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58E18E7" w14:textId="0C3ADD20" w:rsidR="00FB3D88" w:rsidRPr="00F06774" w:rsidRDefault="00E968C4" w:rsidP="00F06774">
      <w:pPr>
        <w:spacing w:line="480" w:lineRule="auto"/>
        <w:jc w:val="center"/>
        <w:rPr>
          <w:u w:val="single"/>
        </w:rPr>
      </w:pPr>
      <w:r w:rsidRPr="00F06774">
        <w:rPr>
          <w:u w:val="single"/>
        </w:rPr>
        <w:t>Supplementary file</w:t>
      </w:r>
    </w:p>
    <w:p w14:paraId="4941DD74" w14:textId="77777777" w:rsidR="00F06774" w:rsidRPr="00F06774" w:rsidRDefault="00F06774" w:rsidP="00F06774">
      <w:pPr>
        <w:spacing w:line="480" w:lineRule="auto"/>
        <w:jc w:val="center"/>
        <w:rPr>
          <w:u w:val="single"/>
        </w:rPr>
      </w:pPr>
    </w:p>
    <w:p w14:paraId="63487CE4" w14:textId="0D7EACD5" w:rsidR="00817C95" w:rsidRPr="00F06774" w:rsidRDefault="00B12998" w:rsidP="00817C95">
      <w:pPr>
        <w:spacing w:line="480" w:lineRule="auto"/>
        <w:rPr>
          <w:lang w:val="en-US"/>
        </w:rPr>
      </w:pPr>
      <w:r w:rsidRPr="00F06774">
        <w:t>The propensity score for the epicardial group was calculated by a logistic regression model using the demographics which were significantly different at baseline, and these included chronic kidney disease, chronic obstructive pulmonary disease and New York Hear</w:t>
      </w:r>
      <w:r w:rsidR="00144318">
        <w:t>t</w:t>
      </w:r>
      <w:r w:rsidRPr="00F06774">
        <w:t xml:space="preserve"> Association functional class.</w:t>
      </w:r>
      <w:r w:rsidR="00144318">
        <w:t xml:space="preserve"> </w:t>
      </w:r>
      <w:r w:rsidRPr="00F06774">
        <w:t xml:space="preserve">Endocardial upgrade recipients were matched 1:1 to </w:t>
      </w:r>
      <w:r w:rsidR="00144318">
        <w:t>coronary sinus</w:t>
      </w:r>
      <w:r w:rsidRPr="00F06774">
        <w:t xml:space="preserve"> upgrade recipients by their </w:t>
      </w:r>
      <w:r w:rsidR="00F06774">
        <w:t>propensity scores</w:t>
      </w:r>
      <w:r w:rsidRPr="00F06774">
        <w:t>, using the nearest neighbour method with a calliper of 0.20 and no replacements</w:t>
      </w:r>
      <w:r w:rsidR="00817C95" w:rsidRPr="00F06774">
        <w:t xml:space="preserve"> (R-studio, package </w:t>
      </w:r>
      <w:proofErr w:type="spellStart"/>
      <w:r w:rsidR="00817C95" w:rsidRPr="00F06774">
        <w:rPr>
          <w:i/>
          <w:iCs/>
        </w:rPr>
        <w:t>Matchit</w:t>
      </w:r>
      <w:proofErr w:type="spellEnd"/>
      <w:r w:rsidR="00817C95" w:rsidRPr="00F06774">
        <w:t>)</w:t>
      </w:r>
      <w:r w:rsidR="00817C95" w:rsidRPr="00F06774">
        <w:fldChar w:fldCharType="begin" w:fldLock="1"/>
      </w:r>
      <w:r w:rsidR="00817C95" w:rsidRPr="00F06774">
        <w:instrText>ADDIN CSL_CITATION {"citationItems":[{"id":"ITEM-1","itemData":{"DOI":"10.18637/jss.v042.i08","ISBN":"1548-7660","ISSN":"1548-7660","abstract":"MatchIt implements the suggestions of Ho, Imai, King, and Stuart (2007) for improving parametric statistical models by preprocessing data with nonparametric matching methods. MatchIt implements a wide range of sophisticated matching methods, making it possible to greatly reduce the dependence of causal inferences on hard-to-justify, but commonly made, statistical modeling assumptions. The software also easily ts into existing research practices since, after preprocessing data with MatchIt, researchers can use whatever parametric model they would have used without MatchIt, but produce inferences with substantially more robustness and less sensitivity to modeling assumptions. MatchIt is an R program, and also works seamlessly with Zelig.","author":[{"dropping-particle":"","family":"Ho","given":"Daniel E.","non-dropping-particle":"","parse-names":false,"suffix":""},{"dropping-particle":"","family":"King","given":"Gary","non-dropping-particle":"","parse-names":false,"suffix":""},{"dropping-particle":"","family":"Stuart","given":"Elizabeth A","non-dropping-particle":"","parse-names":false,"suffix":""},{"dropping-particle":"","family":"Imai","given":"Kosuke","non-dropping-particle":"","parse-names":false,"suffix":""}],"container-title":"Journal Of Statistical Software","id":"ITEM-1","issue":"8","issued":{"date-parts":[["2011"]]},"page":"1-28","title":"MatchIt : Nonparametric Preprocessing for","type":"article-journal","volume":"42"},"uris":["http://www.mendeley.com/documents/?uuid=91ea4547-18f7-4e71-9324-900a96117c77"]}],"mendeley":{"formattedCitation":"&lt;sup&gt;1&lt;/sup&gt;","plainTextFormattedCitation":"1","previouslyFormattedCitation":"&lt;sup&gt;1&lt;/sup&gt;"},"properties":{"noteIndex":0},"schema":"https://github.com/citation-style-language/schema/raw/master/csl-citation.json"}</w:instrText>
      </w:r>
      <w:r w:rsidR="00817C95" w:rsidRPr="00F06774">
        <w:fldChar w:fldCharType="separate"/>
      </w:r>
      <w:r w:rsidR="00817C95" w:rsidRPr="00F06774">
        <w:rPr>
          <w:noProof/>
          <w:vertAlign w:val="superscript"/>
        </w:rPr>
        <w:t>1</w:t>
      </w:r>
      <w:r w:rsidR="00817C95" w:rsidRPr="00F06774">
        <w:fldChar w:fldCharType="end"/>
      </w:r>
      <w:r w:rsidRPr="00F06774">
        <w:t>.</w:t>
      </w:r>
      <w:r w:rsidR="00144318">
        <w:t xml:space="preserve"> </w:t>
      </w:r>
      <w:r w:rsidR="00817C95" w:rsidRPr="00F06774">
        <w:t>An overall standardized mean difference of 0.0126 suggested balanced datasets</w:t>
      </w:r>
      <w:r w:rsidR="00817C95" w:rsidRPr="00F06774">
        <w:fldChar w:fldCharType="begin" w:fldLock="1"/>
      </w:r>
      <w:r w:rsidR="00817C95" w:rsidRPr="00F06774">
        <w:instrText>ADDIN CSL_CITATION {"citationItems":[{"id":"ITEM-1","itemData":{"DOI":"10.21037/atm.2018.12.10","ISSN":"23055839","abstract":"Propensity score matching (PSM) is a popular method in clinical researches to create a balanced covariate distribution between treated and untreated groups. However, the balance diagnostics are often not appropriately conducted and reported in the literature and therefore the validity of the findings from the PSM analysis is not warranted. The special article aims to outline the methods used for assessing balance in covariates after PSM. Standardized mean difference (SMD) is the most commonly used statistic to examine the balance of covariate distribution between treatment groups. Because SMD is independent of the unit of measurement, it allows comparison between variables with different unit of measurement. SMD can be reported with plot. Variance is the second central moment and should also be compared in the matched sample. Finally, a correct specification of the propensity score model (e.g., linearity and additivity) should be reassessed if there is evidence of imbalance between treated and untreated. R code for the implementation of balance diagnostics is provided and explained.","author":[{"dropping-particle":"","family":"","given":"","non-dropping-particle":"","parse-names":false,"suffix":""},{"dropping-particle":"","family":"Zhang","given":"Zhongheng","non-dropping-particle":"","parse-names":false,"suffix":""},{"dropping-particle":"","family":"Kim","given":"Hwa Jung","non-dropping-particle":"","parse-names":false,"suffix":""},{"dropping-particle":"","family":"Lonjon","given":"Guillaume","non-dropping-particle":"","parse-names":false,"suffix":""},{"dropping-particle":"","family":"Zhu","given":"Yibing","non-dropping-particle":"","parse-names":false,"suffix":""}],"container-title":"Annals of Translational Medicine","id":"ITEM-1","issue":"1","issued":{"date-parts":[["2019"]]},"page":"16-16","title":"Balance diagnostics after propensity score matching","type":"article-journal","volume":"7"},"uris":["http://www.mendeley.com/documents/?uuid=facb9860-edb0-4a07-8ea9-7b60fd097cc3"]}],"mendeley":{"formattedCitation":"&lt;sup&gt;2&lt;/sup&gt;","plainTextFormattedCitation":"2","previouslyFormattedCitation":"&lt;sup&gt;2&lt;/sup&gt;"},"properties":{"noteIndex":0},"schema":"https://github.com/citation-style-language/schema/raw/master/csl-citation.json"}</w:instrText>
      </w:r>
      <w:r w:rsidR="00817C95" w:rsidRPr="00F06774">
        <w:fldChar w:fldCharType="separate"/>
      </w:r>
      <w:r w:rsidR="00817C95" w:rsidRPr="00F06774">
        <w:rPr>
          <w:noProof/>
          <w:vertAlign w:val="superscript"/>
        </w:rPr>
        <w:t>2</w:t>
      </w:r>
      <w:r w:rsidR="00817C95" w:rsidRPr="00F06774">
        <w:fldChar w:fldCharType="end"/>
      </w:r>
      <w:r w:rsidR="00817C95" w:rsidRPr="00F06774">
        <w:t xml:space="preserve">, as does the histogram demonstrating the </w:t>
      </w:r>
      <w:r w:rsidR="00804DED">
        <w:t>propensity scores</w:t>
      </w:r>
      <w:r w:rsidR="00817C95" w:rsidRPr="00F06774">
        <w:t xml:space="preserve"> distributions of the groups (supplementary figure S1).</w:t>
      </w:r>
      <w:r w:rsidR="00144318">
        <w:t xml:space="preserve"> </w:t>
      </w:r>
      <w:r w:rsidR="00817C95" w:rsidRPr="00F06774">
        <w:t>Overall, 58 patients in each intervention proceed to analysis</w:t>
      </w:r>
      <w:r w:rsidR="00144318">
        <w:t xml:space="preserve">. </w:t>
      </w:r>
      <w:r w:rsidR="00817C95" w:rsidRPr="00F06774">
        <w:t xml:space="preserve">Patients undergoing endocardial and coronary sinus upgrades had similar improvements in clinical composite score (72.7 vs 70.8%; </w:t>
      </w:r>
      <w:r w:rsidR="00817C95" w:rsidRPr="00F06774">
        <w:rPr>
          <w:i/>
          <w:iCs/>
        </w:rPr>
        <w:t xml:space="preserve">P </w:t>
      </w:r>
      <w:r w:rsidR="00817C95" w:rsidRPr="00F06774">
        <w:t>= 0.804) and reduction in left ventricular end-systolic volume</w:t>
      </w:r>
      <w:r w:rsidR="00817C95" w:rsidRPr="00F06774">
        <w:rPr>
          <w:color w:val="000000" w:themeColor="text1"/>
          <w:lang w:val="en-US"/>
        </w:rPr>
        <w:t xml:space="preserve"> </w:t>
      </w:r>
      <w:r w:rsidR="00817C95" w:rsidRPr="00F06774">
        <w:rPr>
          <w:color w:val="222222"/>
          <w:shd w:val="clear" w:color="auto" w:fill="FFFFFF"/>
          <w:lang w:val="en-US"/>
        </w:rPr>
        <w:t>≥</w:t>
      </w:r>
      <w:r w:rsidR="00817C95" w:rsidRPr="00F06774">
        <w:rPr>
          <w:lang w:val="en-US"/>
        </w:rPr>
        <w:t xml:space="preserve">15% (51.3 vs. 63.6%; </w:t>
      </w:r>
      <w:r w:rsidR="00817C95" w:rsidRPr="00F06774">
        <w:rPr>
          <w:i/>
          <w:iCs/>
          <w:lang w:val="en-US"/>
        </w:rPr>
        <w:t xml:space="preserve">P </w:t>
      </w:r>
      <w:r w:rsidR="00817C95" w:rsidRPr="00F06774">
        <w:rPr>
          <w:lang w:val="en-US"/>
        </w:rPr>
        <w:t>= 0.295).</w:t>
      </w:r>
    </w:p>
    <w:p w14:paraId="40DF6BBA" w14:textId="7738A104" w:rsidR="00B12998" w:rsidRPr="00F06774" w:rsidRDefault="00B12998" w:rsidP="00817C95"/>
    <w:p w14:paraId="52860E1D" w14:textId="1B619D6F" w:rsidR="00817C95" w:rsidRPr="00F06774" w:rsidRDefault="00817C95" w:rsidP="00817C95"/>
    <w:p w14:paraId="0AE179A1" w14:textId="6113BF98" w:rsidR="00817C95" w:rsidRPr="00F06774" w:rsidRDefault="00817C95" w:rsidP="00817C95">
      <w:r w:rsidRPr="00F06774">
        <w:rPr>
          <w:noProof/>
        </w:rPr>
        <w:lastRenderedPageBreak/>
        <w:drawing>
          <wp:inline distT="0" distB="0" distL="0" distR="0" wp14:anchorId="4DAA2759" wp14:editId="5D469FAC">
            <wp:extent cx="5379396" cy="3983854"/>
            <wp:effectExtent l="0" t="0" r="5715" b="4445"/>
            <wp:docPr id="8" name="Picture 8"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Chart, bar chart&#10;&#10;Description automatically generated"/>
                    <pic:cNvPicPr/>
                  </pic:nvPicPr>
                  <pic:blipFill>
                    <a:blip r:embed="rId5"/>
                    <a:stretch>
                      <a:fillRect/>
                    </a:stretch>
                  </pic:blipFill>
                  <pic:spPr>
                    <a:xfrm>
                      <a:off x="0" y="0"/>
                      <a:ext cx="5419732" cy="4013726"/>
                    </a:xfrm>
                    <a:prstGeom prst="rect">
                      <a:avLst/>
                    </a:prstGeom>
                  </pic:spPr>
                </pic:pic>
              </a:graphicData>
            </a:graphic>
          </wp:inline>
        </w:drawing>
      </w:r>
    </w:p>
    <w:p w14:paraId="385850DC" w14:textId="77777777" w:rsidR="00817C95" w:rsidRPr="00F06774" w:rsidRDefault="00817C95" w:rsidP="00817C95"/>
    <w:p w14:paraId="1A0B4C83" w14:textId="2EBCF132" w:rsidR="00817C95" w:rsidRPr="00F06774" w:rsidRDefault="00817C95" w:rsidP="00817C95">
      <w:r w:rsidRPr="00F06774">
        <w:rPr>
          <w:color w:val="333333"/>
          <w:shd w:val="clear" w:color="auto" w:fill="FFFFFF"/>
        </w:rPr>
        <w:t>Supplementary Figure S1 - Histograms showing the density of propensity score distribution in the treated and control groups before and after matching</w:t>
      </w:r>
    </w:p>
    <w:p w14:paraId="33D6171E" w14:textId="62AF675A" w:rsidR="00817C95" w:rsidRPr="00F06774" w:rsidRDefault="00817C95" w:rsidP="00817C95"/>
    <w:p w14:paraId="7E1CE38C" w14:textId="35527BBA" w:rsidR="00817C95" w:rsidRPr="00F06774" w:rsidRDefault="00817C95" w:rsidP="00817C95"/>
    <w:p w14:paraId="386170CD" w14:textId="49082B59" w:rsidR="00817C95" w:rsidRPr="00F06774" w:rsidRDefault="00817C95" w:rsidP="00817C95">
      <w:pPr>
        <w:rPr>
          <w:u w:val="single"/>
        </w:rPr>
      </w:pPr>
      <w:r w:rsidRPr="00F06774">
        <w:rPr>
          <w:u w:val="single"/>
        </w:rPr>
        <w:t>Supplementary References</w:t>
      </w:r>
    </w:p>
    <w:p w14:paraId="5973D610" w14:textId="77777777" w:rsidR="00817C95" w:rsidRPr="00F06774" w:rsidRDefault="00817C95" w:rsidP="00817C95">
      <w:pPr>
        <w:rPr>
          <w:u w:val="single"/>
        </w:rPr>
      </w:pPr>
    </w:p>
    <w:p w14:paraId="338FED5C" w14:textId="1061404B" w:rsidR="00817C95" w:rsidRPr="00F06774" w:rsidRDefault="00817C95" w:rsidP="00817C95">
      <w:pPr>
        <w:widowControl w:val="0"/>
        <w:autoSpaceDE w:val="0"/>
        <w:autoSpaceDN w:val="0"/>
        <w:adjustRightInd w:val="0"/>
        <w:ind w:left="640" w:hanging="640"/>
        <w:rPr>
          <w:noProof/>
        </w:rPr>
      </w:pPr>
      <w:r w:rsidRPr="00F06774">
        <w:fldChar w:fldCharType="begin" w:fldLock="1"/>
      </w:r>
      <w:r w:rsidRPr="00F06774">
        <w:instrText xml:space="preserve">ADDIN Mendeley Bibliography CSL_BIBLIOGRAPHY </w:instrText>
      </w:r>
      <w:r w:rsidRPr="00F06774">
        <w:fldChar w:fldCharType="separate"/>
      </w:r>
      <w:r w:rsidRPr="00F06774">
        <w:rPr>
          <w:noProof/>
        </w:rPr>
        <w:t xml:space="preserve">1. </w:t>
      </w:r>
      <w:r w:rsidRPr="00F06774">
        <w:rPr>
          <w:noProof/>
        </w:rPr>
        <w:tab/>
        <w:t>Ho DE, King G, Stuart EA, Imai K: MatchIt</w:t>
      </w:r>
      <w:r w:rsidR="00F27C86">
        <w:rPr>
          <w:noProof/>
        </w:rPr>
        <w:t>.</w:t>
      </w:r>
      <w:r w:rsidRPr="00F06774">
        <w:rPr>
          <w:noProof/>
        </w:rPr>
        <w:t xml:space="preserve"> Nonparametric Preprocessing for. J Stat Softw [Internet] 2011; 42:1–28. Available from: http://www.jstatsoft.org/v42/i08/paper</w:t>
      </w:r>
    </w:p>
    <w:p w14:paraId="3391A555" w14:textId="67C2CA23" w:rsidR="00817C95" w:rsidRPr="00F06774" w:rsidRDefault="00817C95" w:rsidP="00817C95">
      <w:pPr>
        <w:widowControl w:val="0"/>
        <w:autoSpaceDE w:val="0"/>
        <w:autoSpaceDN w:val="0"/>
        <w:adjustRightInd w:val="0"/>
        <w:ind w:left="640" w:hanging="640"/>
        <w:rPr>
          <w:noProof/>
        </w:rPr>
      </w:pPr>
      <w:r w:rsidRPr="00F06774">
        <w:rPr>
          <w:noProof/>
        </w:rPr>
        <w:t xml:space="preserve">2. </w:t>
      </w:r>
      <w:r w:rsidRPr="00F06774">
        <w:rPr>
          <w:noProof/>
        </w:rPr>
        <w:tab/>
        <w:t>Zhang Z, Kim HJ, Lonjon G, Zhu Y</w:t>
      </w:r>
      <w:r w:rsidR="00F27C86">
        <w:rPr>
          <w:noProof/>
        </w:rPr>
        <w:t>.</w:t>
      </w:r>
      <w:r w:rsidRPr="00F06774">
        <w:rPr>
          <w:noProof/>
        </w:rPr>
        <w:t xml:space="preserve"> Balance diagnostics after propensity score matching. Ann Transl Med 2019; 7:16–16. </w:t>
      </w:r>
    </w:p>
    <w:p w14:paraId="545ADD14" w14:textId="75808F95" w:rsidR="00817C95" w:rsidRPr="00F06774" w:rsidRDefault="00817C95" w:rsidP="00817C95">
      <w:r w:rsidRPr="00F06774">
        <w:fldChar w:fldCharType="end"/>
      </w:r>
    </w:p>
    <w:sectPr w:rsidR="00817C95" w:rsidRPr="00F06774" w:rsidSect="00B9273D">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6"/>
  <w:doNotDisplayPageBoundaries/>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3E6E"/>
    <w:rsid w:val="0000023B"/>
    <w:rsid w:val="00010E53"/>
    <w:rsid w:val="00023B7E"/>
    <w:rsid w:val="00025D6E"/>
    <w:rsid w:val="000813E6"/>
    <w:rsid w:val="00083241"/>
    <w:rsid w:val="00083A86"/>
    <w:rsid w:val="00085428"/>
    <w:rsid w:val="00085DE6"/>
    <w:rsid w:val="000A11C7"/>
    <w:rsid w:val="000A3DBC"/>
    <w:rsid w:val="000A7C08"/>
    <w:rsid w:val="000D0138"/>
    <w:rsid w:val="000D20FC"/>
    <w:rsid w:val="000D228E"/>
    <w:rsid w:val="000F7804"/>
    <w:rsid w:val="001015CF"/>
    <w:rsid w:val="00104F1C"/>
    <w:rsid w:val="00112F50"/>
    <w:rsid w:val="00115371"/>
    <w:rsid w:val="00121783"/>
    <w:rsid w:val="00126A8E"/>
    <w:rsid w:val="00130211"/>
    <w:rsid w:val="0014127F"/>
    <w:rsid w:val="00142095"/>
    <w:rsid w:val="00142F41"/>
    <w:rsid w:val="00144318"/>
    <w:rsid w:val="001453AD"/>
    <w:rsid w:val="0015731F"/>
    <w:rsid w:val="00196349"/>
    <w:rsid w:val="001A3FB9"/>
    <w:rsid w:val="001A4023"/>
    <w:rsid w:val="001B03E9"/>
    <w:rsid w:val="001B4C4D"/>
    <w:rsid w:val="001C67E9"/>
    <w:rsid w:val="001E39D8"/>
    <w:rsid w:val="00207489"/>
    <w:rsid w:val="00223E6E"/>
    <w:rsid w:val="00241C25"/>
    <w:rsid w:val="00251985"/>
    <w:rsid w:val="002554BB"/>
    <w:rsid w:val="002A2F85"/>
    <w:rsid w:val="002B4D53"/>
    <w:rsid w:val="002B5C82"/>
    <w:rsid w:val="002B751F"/>
    <w:rsid w:val="002C71B1"/>
    <w:rsid w:val="002E3C28"/>
    <w:rsid w:val="002E433F"/>
    <w:rsid w:val="002F01B8"/>
    <w:rsid w:val="00300653"/>
    <w:rsid w:val="003314EF"/>
    <w:rsid w:val="0033780D"/>
    <w:rsid w:val="00340F86"/>
    <w:rsid w:val="00341FF9"/>
    <w:rsid w:val="00356136"/>
    <w:rsid w:val="0036124D"/>
    <w:rsid w:val="00371CCF"/>
    <w:rsid w:val="00375123"/>
    <w:rsid w:val="003773EA"/>
    <w:rsid w:val="003A7F3D"/>
    <w:rsid w:val="003C4058"/>
    <w:rsid w:val="003C5A15"/>
    <w:rsid w:val="003C78F7"/>
    <w:rsid w:val="003D2F14"/>
    <w:rsid w:val="003E2D22"/>
    <w:rsid w:val="003F580D"/>
    <w:rsid w:val="00403646"/>
    <w:rsid w:val="00416F0D"/>
    <w:rsid w:val="00485728"/>
    <w:rsid w:val="0049564D"/>
    <w:rsid w:val="004A40C2"/>
    <w:rsid w:val="005230D2"/>
    <w:rsid w:val="00532C41"/>
    <w:rsid w:val="00535A85"/>
    <w:rsid w:val="00536F2E"/>
    <w:rsid w:val="00544637"/>
    <w:rsid w:val="005657DE"/>
    <w:rsid w:val="005766E4"/>
    <w:rsid w:val="00592523"/>
    <w:rsid w:val="005A5C66"/>
    <w:rsid w:val="005C2314"/>
    <w:rsid w:val="005D0C49"/>
    <w:rsid w:val="005E5657"/>
    <w:rsid w:val="0060377A"/>
    <w:rsid w:val="00611EA9"/>
    <w:rsid w:val="00615D3E"/>
    <w:rsid w:val="006213A2"/>
    <w:rsid w:val="00624DD5"/>
    <w:rsid w:val="00635630"/>
    <w:rsid w:val="00647E24"/>
    <w:rsid w:val="00653FBD"/>
    <w:rsid w:val="006600DA"/>
    <w:rsid w:val="00671595"/>
    <w:rsid w:val="0067730E"/>
    <w:rsid w:val="006A3504"/>
    <w:rsid w:val="006B3C68"/>
    <w:rsid w:val="006D199E"/>
    <w:rsid w:val="006F02C6"/>
    <w:rsid w:val="00712AC5"/>
    <w:rsid w:val="00721221"/>
    <w:rsid w:val="007218C0"/>
    <w:rsid w:val="007256CE"/>
    <w:rsid w:val="0074612C"/>
    <w:rsid w:val="00751002"/>
    <w:rsid w:val="00757DC8"/>
    <w:rsid w:val="007712D2"/>
    <w:rsid w:val="007732FB"/>
    <w:rsid w:val="007D68AD"/>
    <w:rsid w:val="007D774A"/>
    <w:rsid w:val="007F0627"/>
    <w:rsid w:val="008027D2"/>
    <w:rsid w:val="00804DED"/>
    <w:rsid w:val="00813E02"/>
    <w:rsid w:val="00817C95"/>
    <w:rsid w:val="0083604B"/>
    <w:rsid w:val="0084648C"/>
    <w:rsid w:val="0084691D"/>
    <w:rsid w:val="00856C86"/>
    <w:rsid w:val="008668FD"/>
    <w:rsid w:val="00884994"/>
    <w:rsid w:val="00887A73"/>
    <w:rsid w:val="0089056D"/>
    <w:rsid w:val="00890738"/>
    <w:rsid w:val="008A731E"/>
    <w:rsid w:val="00906440"/>
    <w:rsid w:val="00946EA9"/>
    <w:rsid w:val="00956930"/>
    <w:rsid w:val="009863EF"/>
    <w:rsid w:val="009910F8"/>
    <w:rsid w:val="00995735"/>
    <w:rsid w:val="009A09C1"/>
    <w:rsid w:val="009D3E22"/>
    <w:rsid w:val="009F2772"/>
    <w:rsid w:val="009F60DE"/>
    <w:rsid w:val="00A2085C"/>
    <w:rsid w:val="00A27A22"/>
    <w:rsid w:val="00A30EAD"/>
    <w:rsid w:val="00A377E5"/>
    <w:rsid w:val="00A654EC"/>
    <w:rsid w:val="00A75D88"/>
    <w:rsid w:val="00A83472"/>
    <w:rsid w:val="00AB7B5C"/>
    <w:rsid w:val="00AC3DB2"/>
    <w:rsid w:val="00AD1DA8"/>
    <w:rsid w:val="00AD6B01"/>
    <w:rsid w:val="00AD7794"/>
    <w:rsid w:val="00AF1694"/>
    <w:rsid w:val="00B12998"/>
    <w:rsid w:val="00B26482"/>
    <w:rsid w:val="00B30875"/>
    <w:rsid w:val="00B30FEC"/>
    <w:rsid w:val="00B76007"/>
    <w:rsid w:val="00B76FC5"/>
    <w:rsid w:val="00B85D4E"/>
    <w:rsid w:val="00B9273D"/>
    <w:rsid w:val="00BA16EA"/>
    <w:rsid w:val="00BB1D5E"/>
    <w:rsid w:val="00BB63F6"/>
    <w:rsid w:val="00BC4C1E"/>
    <w:rsid w:val="00BD726C"/>
    <w:rsid w:val="00BE6BD9"/>
    <w:rsid w:val="00C04B96"/>
    <w:rsid w:val="00C1386C"/>
    <w:rsid w:val="00C317E0"/>
    <w:rsid w:val="00C437BD"/>
    <w:rsid w:val="00C46E5A"/>
    <w:rsid w:val="00C61354"/>
    <w:rsid w:val="00C862CA"/>
    <w:rsid w:val="00C95B73"/>
    <w:rsid w:val="00CC48C8"/>
    <w:rsid w:val="00CD08CE"/>
    <w:rsid w:val="00CD3A8A"/>
    <w:rsid w:val="00CE22D9"/>
    <w:rsid w:val="00D02B41"/>
    <w:rsid w:val="00D16902"/>
    <w:rsid w:val="00D310C2"/>
    <w:rsid w:val="00D33821"/>
    <w:rsid w:val="00D430FF"/>
    <w:rsid w:val="00D97B16"/>
    <w:rsid w:val="00DA3653"/>
    <w:rsid w:val="00DB2895"/>
    <w:rsid w:val="00DF207F"/>
    <w:rsid w:val="00E010CA"/>
    <w:rsid w:val="00E02449"/>
    <w:rsid w:val="00E140D6"/>
    <w:rsid w:val="00E26737"/>
    <w:rsid w:val="00E44775"/>
    <w:rsid w:val="00E83A68"/>
    <w:rsid w:val="00E84264"/>
    <w:rsid w:val="00E968C4"/>
    <w:rsid w:val="00EA1985"/>
    <w:rsid w:val="00EC2C20"/>
    <w:rsid w:val="00ED4538"/>
    <w:rsid w:val="00F06774"/>
    <w:rsid w:val="00F13B16"/>
    <w:rsid w:val="00F17935"/>
    <w:rsid w:val="00F27C86"/>
    <w:rsid w:val="00F4638B"/>
    <w:rsid w:val="00F61F7F"/>
    <w:rsid w:val="00F63340"/>
    <w:rsid w:val="00F71F0A"/>
    <w:rsid w:val="00F86B83"/>
    <w:rsid w:val="00F939FA"/>
    <w:rsid w:val="00FA371D"/>
    <w:rsid w:val="00FA7AB3"/>
    <w:rsid w:val="00FB3D88"/>
    <w:rsid w:val="00FC5024"/>
    <w:rsid w:val="00FD04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C56A1F"/>
  <w14:defaultImageDpi w14:val="32767"/>
  <w15:chartTrackingRefBased/>
  <w15:docId w15:val="{E2EFBC9E-EF1A-A74B-9EA9-8F1D087DA2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817C95"/>
    <w:rPr>
      <w:rFonts w:ascii="Times New Roman" w:eastAsia="Times New Roman" w:hAnsi="Times New Roman"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25667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tif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F38F72-4A47-C14E-A0F0-EC4A9EEEC6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876</Words>
  <Characters>4994</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Sidhu, Baldeep</dc:creator>
  <cp:keywords/>
  <dc:description/>
  <cp:lastModifiedBy>Sidhu, Baldeep</cp:lastModifiedBy>
  <cp:revision>7</cp:revision>
  <dcterms:created xsi:type="dcterms:W3CDTF">2021-04-12T13:36:00Z</dcterms:created>
  <dcterms:modified xsi:type="dcterms:W3CDTF">2021-04-12T13:41:00Z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http://www.zotero.org/styles/heart-rhythm</vt:lpwstr>
  </property>
  <property fmtid="{D5CDD505-2E9C-101B-9397-08002B2CF9AE}" pid="15" name="Mendeley Recent Style Name 6_1">
    <vt:lpwstr>Heart Rhythm</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8th edition</vt:lpwstr>
  </property>
  <property fmtid="{D5CDD505-2E9C-101B-9397-08002B2CF9AE}" pid="22" name="Mendeley Document_1">
    <vt:lpwstr>True</vt:lpwstr>
  </property>
  <property fmtid="{D5CDD505-2E9C-101B-9397-08002B2CF9AE}" pid="23" name="Mendeley Unique User Id_1">
    <vt:lpwstr>03e223af-86ca-3d23-8834-d9d035825f73</vt:lpwstr>
  </property>
  <property fmtid="{D5CDD505-2E9C-101B-9397-08002B2CF9AE}" pid="24" name="Mendeley Citation Style_1">
    <vt:lpwstr>http://www.zotero.org/styles/heart-rhythm</vt:lpwstr>
  </property>
</Properties>
</file>