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0FF4" w14:textId="2FA9AA95" w:rsidR="00731B58" w:rsidRPr="00A25A60" w:rsidRDefault="00FB7593" w:rsidP="00CF568D">
      <w:pPr>
        <w:pStyle w:val="BodyText2"/>
        <w:jc w:val="center"/>
        <w:rPr>
          <w:rFonts w:asciiTheme="majorHAnsi" w:hAnsiTheme="majorHAnsi" w:cstheme="majorHAnsi"/>
          <w:b/>
          <w:sz w:val="24"/>
          <w:lang w:val="en-US"/>
        </w:rPr>
      </w:pPr>
      <w:r w:rsidRPr="00A25A60">
        <w:rPr>
          <w:rFonts w:asciiTheme="majorHAnsi" w:hAnsiTheme="majorHAnsi" w:cstheme="majorHAnsi"/>
          <w:b/>
          <w:sz w:val="24"/>
          <w:lang w:val="en-US"/>
        </w:rPr>
        <w:t>Supplementary Appendix</w:t>
      </w:r>
      <w:r w:rsidR="00A30E20" w:rsidRPr="00A25A60">
        <w:rPr>
          <w:rFonts w:asciiTheme="majorHAnsi" w:hAnsiTheme="majorHAnsi" w:cstheme="majorHAnsi"/>
          <w:b/>
          <w:sz w:val="24"/>
          <w:lang w:val="en-US"/>
        </w:rPr>
        <w:t xml:space="preserve"> </w:t>
      </w:r>
    </w:p>
    <w:p w14:paraId="4BBFAF5D" w14:textId="77777777" w:rsidR="00FB7593" w:rsidRPr="00A25A60" w:rsidRDefault="00FB7593" w:rsidP="00812A44">
      <w:pPr>
        <w:spacing w:line="360" w:lineRule="auto"/>
        <w:jc w:val="both"/>
        <w:rPr>
          <w:rFonts w:asciiTheme="majorHAnsi" w:hAnsiTheme="majorHAnsi" w:cstheme="majorHAnsi"/>
          <w:b/>
          <w:lang w:val="en-US"/>
        </w:rPr>
      </w:pPr>
    </w:p>
    <w:p w14:paraId="3F059D17" w14:textId="77777777" w:rsidR="00FB7593" w:rsidRPr="00A25A60" w:rsidRDefault="00FB7593" w:rsidP="00FB7593">
      <w:pPr>
        <w:pStyle w:val="p1"/>
        <w:rPr>
          <w:rFonts w:asciiTheme="majorHAnsi" w:hAnsiTheme="majorHAnsi" w:cstheme="majorHAnsi"/>
          <w:sz w:val="24"/>
          <w:szCs w:val="24"/>
          <w:lang w:val="en-US"/>
        </w:rPr>
      </w:pPr>
      <w:r w:rsidRPr="00A25A60">
        <w:rPr>
          <w:rFonts w:asciiTheme="majorHAnsi" w:hAnsiTheme="majorHAnsi" w:cstheme="majorHAnsi"/>
          <w:sz w:val="24"/>
          <w:szCs w:val="24"/>
          <w:lang w:val="en-US"/>
        </w:rPr>
        <w:t>This appendix has been provided by the authors to give readers additional information about their work.</w:t>
      </w:r>
    </w:p>
    <w:p w14:paraId="7D103CBE" w14:textId="5F4CFE2A" w:rsidR="00593B1E" w:rsidRPr="00A25A60" w:rsidRDefault="00593B1E" w:rsidP="00415D0B">
      <w:pPr>
        <w:spacing w:line="480" w:lineRule="auto"/>
        <w:jc w:val="center"/>
        <w:rPr>
          <w:rFonts w:asciiTheme="majorHAnsi" w:hAnsiTheme="majorHAnsi" w:cstheme="majorHAnsi"/>
          <w:b/>
          <w:lang w:val="en-US"/>
        </w:rPr>
      </w:pPr>
      <w:r w:rsidRPr="00A25A60">
        <w:rPr>
          <w:rFonts w:asciiTheme="majorHAnsi" w:hAnsiTheme="majorHAnsi" w:cstheme="majorHAnsi"/>
          <w:b/>
          <w:lang w:val="en-US"/>
        </w:rPr>
        <w:t>Table of contents</w:t>
      </w:r>
    </w:p>
    <w:tbl>
      <w:tblPr>
        <w:tblStyle w:val="TableGrid"/>
        <w:tblW w:w="9526" w:type="dxa"/>
        <w:tblInd w:w="108" w:type="dxa"/>
        <w:tblLook w:val="04A0" w:firstRow="1" w:lastRow="0" w:firstColumn="1" w:lastColumn="0" w:noHBand="0" w:noVBand="1"/>
      </w:tblPr>
      <w:tblGrid>
        <w:gridCol w:w="3969"/>
        <w:gridCol w:w="4707"/>
        <w:gridCol w:w="850"/>
      </w:tblGrid>
      <w:tr w:rsidR="00593B1E" w:rsidRPr="00A25A60" w14:paraId="53822049" w14:textId="77777777" w:rsidTr="00F71789">
        <w:tc>
          <w:tcPr>
            <w:tcW w:w="3969" w:type="dxa"/>
          </w:tcPr>
          <w:p w14:paraId="355D6692" w14:textId="77777777" w:rsidR="00593B1E" w:rsidRPr="00A25A60" w:rsidRDefault="00593B1E" w:rsidP="001F1720">
            <w:pPr>
              <w:spacing w:line="360" w:lineRule="auto"/>
              <w:rPr>
                <w:rFonts w:asciiTheme="majorHAnsi" w:eastAsia="Arial" w:hAnsiTheme="majorHAnsi" w:cstheme="majorHAnsi"/>
                <w:b/>
                <w:sz w:val="24"/>
                <w:szCs w:val="24"/>
                <w:lang w:val="en-US"/>
              </w:rPr>
            </w:pPr>
          </w:p>
        </w:tc>
        <w:tc>
          <w:tcPr>
            <w:tcW w:w="4707" w:type="dxa"/>
          </w:tcPr>
          <w:p w14:paraId="5B34B060" w14:textId="77777777" w:rsidR="00593B1E" w:rsidRPr="00A25A60" w:rsidRDefault="00593B1E" w:rsidP="001F1720">
            <w:pPr>
              <w:spacing w:line="360" w:lineRule="auto"/>
              <w:rPr>
                <w:rFonts w:asciiTheme="majorHAnsi" w:eastAsia="Arial" w:hAnsiTheme="majorHAnsi" w:cstheme="majorHAnsi"/>
                <w:b/>
                <w:sz w:val="24"/>
                <w:szCs w:val="24"/>
                <w:lang w:val="en-US"/>
              </w:rPr>
            </w:pPr>
          </w:p>
        </w:tc>
        <w:tc>
          <w:tcPr>
            <w:tcW w:w="850" w:type="dxa"/>
            <w:shd w:val="clear" w:color="auto" w:fill="auto"/>
          </w:tcPr>
          <w:p w14:paraId="0F5F3BB4" w14:textId="77777777" w:rsidR="00593B1E" w:rsidRPr="00A25A60" w:rsidRDefault="00593B1E" w:rsidP="001F1720">
            <w:pPr>
              <w:spacing w:line="360" w:lineRule="auto"/>
              <w:rPr>
                <w:rFonts w:asciiTheme="majorHAnsi" w:eastAsia="Arial" w:hAnsiTheme="majorHAnsi" w:cstheme="majorHAnsi"/>
                <w:b/>
                <w:sz w:val="24"/>
                <w:szCs w:val="24"/>
                <w:lang w:val="en-US"/>
              </w:rPr>
            </w:pPr>
            <w:r w:rsidRPr="00A25A60">
              <w:rPr>
                <w:rFonts w:asciiTheme="majorHAnsi" w:eastAsia="Arial" w:hAnsiTheme="majorHAnsi" w:cstheme="majorHAnsi"/>
                <w:b/>
                <w:sz w:val="24"/>
                <w:szCs w:val="24"/>
                <w:lang w:val="en-US"/>
              </w:rPr>
              <w:t>Pages</w:t>
            </w:r>
          </w:p>
        </w:tc>
      </w:tr>
      <w:tr w:rsidR="00593B1E" w:rsidRPr="00A25A60" w14:paraId="689503B6" w14:textId="77777777" w:rsidTr="00F71789">
        <w:tc>
          <w:tcPr>
            <w:tcW w:w="3969" w:type="dxa"/>
          </w:tcPr>
          <w:p w14:paraId="421D7DB1" w14:textId="316123B2" w:rsidR="00593B1E" w:rsidRPr="00A25A60" w:rsidRDefault="00593B1E" w:rsidP="001F1720">
            <w:pPr>
              <w:spacing w:line="360" w:lineRule="auto"/>
              <w:rPr>
                <w:rFonts w:asciiTheme="majorHAnsi" w:eastAsia="Arial" w:hAnsiTheme="majorHAnsi" w:cstheme="majorHAnsi"/>
                <w:b/>
                <w:sz w:val="24"/>
                <w:szCs w:val="24"/>
                <w:lang w:val="en-US"/>
              </w:rPr>
            </w:pPr>
            <w:r w:rsidRPr="00A25A60">
              <w:rPr>
                <w:rFonts w:asciiTheme="majorHAnsi" w:hAnsiTheme="majorHAnsi" w:cstheme="majorHAnsi"/>
                <w:b/>
                <w:sz w:val="24"/>
                <w:szCs w:val="24"/>
                <w:lang w:val="en-US"/>
              </w:rPr>
              <w:t>List of investigators</w:t>
            </w:r>
            <w:r w:rsidRPr="00A25A60">
              <w:rPr>
                <w:rFonts w:asciiTheme="majorHAnsi" w:eastAsia="Arial" w:hAnsiTheme="majorHAnsi" w:cstheme="majorHAnsi"/>
                <w:b/>
                <w:sz w:val="24"/>
                <w:szCs w:val="24"/>
                <w:lang w:val="en-US"/>
              </w:rPr>
              <w:t xml:space="preserve"> </w:t>
            </w:r>
            <w:r w:rsidR="00A25A60">
              <w:rPr>
                <w:rFonts w:asciiTheme="majorHAnsi" w:eastAsia="Arial" w:hAnsiTheme="majorHAnsi" w:cstheme="majorHAnsi"/>
                <w:b/>
                <w:sz w:val="24"/>
                <w:szCs w:val="24"/>
                <w:lang w:val="en-US"/>
              </w:rPr>
              <w:t>and affiliations</w:t>
            </w:r>
          </w:p>
        </w:tc>
        <w:tc>
          <w:tcPr>
            <w:tcW w:w="4707" w:type="dxa"/>
          </w:tcPr>
          <w:p w14:paraId="006BBBBB" w14:textId="77777777" w:rsidR="00593B1E" w:rsidRPr="00A25A60" w:rsidRDefault="00593B1E" w:rsidP="001F1720">
            <w:pPr>
              <w:spacing w:line="360" w:lineRule="auto"/>
              <w:rPr>
                <w:rFonts w:asciiTheme="majorHAnsi" w:eastAsia="Arial" w:hAnsiTheme="majorHAnsi" w:cstheme="majorHAnsi"/>
                <w:b/>
                <w:sz w:val="24"/>
                <w:szCs w:val="24"/>
                <w:lang w:val="en-US"/>
              </w:rPr>
            </w:pPr>
          </w:p>
        </w:tc>
        <w:tc>
          <w:tcPr>
            <w:tcW w:w="850" w:type="dxa"/>
            <w:shd w:val="clear" w:color="auto" w:fill="auto"/>
          </w:tcPr>
          <w:p w14:paraId="400DB2E6" w14:textId="4B542579" w:rsidR="00593B1E" w:rsidRPr="00A25A60" w:rsidRDefault="00F71789" w:rsidP="001F1720">
            <w:pPr>
              <w:spacing w:line="360" w:lineRule="auto"/>
              <w:rPr>
                <w:rFonts w:asciiTheme="majorHAnsi" w:eastAsiaTheme="minorEastAsia" w:hAnsiTheme="majorHAnsi" w:cstheme="majorHAnsi"/>
                <w:b/>
                <w:sz w:val="24"/>
                <w:szCs w:val="24"/>
                <w:lang w:val="en-US" w:eastAsia="zh-CN"/>
              </w:rPr>
            </w:pPr>
            <w:r w:rsidRPr="00A25A60">
              <w:rPr>
                <w:rFonts w:asciiTheme="majorHAnsi" w:eastAsiaTheme="minorEastAsia" w:hAnsiTheme="majorHAnsi" w:cstheme="majorHAnsi"/>
                <w:b/>
                <w:sz w:val="24"/>
                <w:szCs w:val="24"/>
                <w:lang w:val="en-US" w:eastAsia="zh-CN"/>
              </w:rPr>
              <w:t>2</w:t>
            </w:r>
          </w:p>
        </w:tc>
      </w:tr>
      <w:tr w:rsidR="00593B1E" w:rsidRPr="00A25A60" w14:paraId="759FF39B" w14:textId="77777777" w:rsidTr="00F71789">
        <w:tc>
          <w:tcPr>
            <w:tcW w:w="3969" w:type="dxa"/>
          </w:tcPr>
          <w:p w14:paraId="76049794" w14:textId="77777777" w:rsidR="00593B1E" w:rsidRPr="00A25A60" w:rsidRDefault="00593B1E" w:rsidP="001F1720">
            <w:pPr>
              <w:spacing w:line="360" w:lineRule="auto"/>
              <w:rPr>
                <w:rFonts w:asciiTheme="majorHAnsi" w:eastAsia="Arial" w:hAnsiTheme="majorHAnsi" w:cstheme="majorHAnsi"/>
                <w:b/>
                <w:sz w:val="24"/>
                <w:szCs w:val="24"/>
                <w:lang w:val="en-US"/>
              </w:rPr>
            </w:pPr>
            <w:r w:rsidRPr="00A25A60">
              <w:rPr>
                <w:rFonts w:asciiTheme="majorHAnsi" w:eastAsia="Arial" w:hAnsiTheme="majorHAnsi" w:cstheme="majorHAnsi"/>
                <w:b/>
                <w:sz w:val="24"/>
                <w:szCs w:val="24"/>
                <w:lang w:val="en-US"/>
              </w:rPr>
              <w:t>Supplementary Table 1</w:t>
            </w:r>
          </w:p>
        </w:tc>
        <w:tc>
          <w:tcPr>
            <w:tcW w:w="4707" w:type="dxa"/>
          </w:tcPr>
          <w:p w14:paraId="2937F2F1" w14:textId="2818F57F" w:rsidR="00593B1E" w:rsidRPr="00A25A60" w:rsidRDefault="000F7A28" w:rsidP="001F1720">
            <w:pPr>
              <w:spacing w:line="360" w:lineRule="auto"/>
              <w:rPr>
                <w:rFonts w:asciiTheme="majorHAnsi" w:hAnsiTheme="majorHAnsi" w:cstheme="majorHAnsi"/>
                <w:b/>
                <w:sz w:val="24"/>
                <w:szCs w:val="24"/>
                <w:lang w:val="en-US"/>
              </w:rPr>
            </w:pPr>
            <w:r w:rsidRPr="00A25A60">
              <w:rPr>
                <w:rFonts w:asciiTheme="majorHAnsi" w:hAnsiTheme="majorHAnsi" w:cstheme="majorHAnsi"/>
                <w:b/>
                <w:sz w:val="24"/>
                <w:szCs w:val="24"/>
                <w:lang w:val="en-US"/>
              </w:rPr>
              <w:t>Demographic characteristics and inflammatory mediators in healthy subjects and patients with compensated cirrhosis</w:t>
            </w:r>
          </w:p>
        </w:tc>
        <w:tc>
          <w:tcPr>
            <w:tcW w:w="850" w:type="dxa"/>
            <w:shd w:val="clear" w:color="auto" w:fill="auto"/>
          </w:tcPr>
          <w:p w14:paraId="626FC9DC" w14:textId="13584C78" w:rsidR="00593B1E" w:rsidRPr="00A25A60" w:rsidRDefault="00F71789" w:rsidP="001F1720">
            <w:pPr>
              <w:spacing w:line="360" w:lineRule="auto"/>
              <w:rPr>
                <w:rFonts w:asciiTheme="majorHAnsi" w:eastAsia="Arial" w:hAnsiTheme="majorHAnsi" w:cstheme="majorHAnsi"/>
                <w:b/>
                <w:sz w:val="24"/>
                <w:szCs w:val="24"/>
                <w:lang w:val="en-US"/>
              </w:rPr>
            </w:pPr>
            <w:r w:rsidRPr="00A25A60">
              <w:rPr>
                <w:rFonts w:asciiTheme="majorHAnsi" w:eastAsia="Arial" w:hAnsiTheme="majorHAnsi" w:cstheme="majorHAnsi"/>
                <w:b/>
                <w:sz w:val="24"/>
                <w:szCs w:val="24"/>
                <w:lang w:val="en-US"/>
              </w:rPr>
              <w:t>4</w:t>
            </w:r>
          </w:p>
        </w:tc>
      </w:tr>
      <w:tr w:rsidR="00593B1E" w:rsidRPr="00A25A60" w14:paraId="5F4567D9" w14:textId="77777777" w:rsidTr="00F71789">
        <w:tc>
          <w:tcPr>
            <w:tcW w:w="3969" w:type="dxa"/>
          </w:tcPr>
          <w:p w14:paraId="145176B9" w14:textId="77777777" w:rsidR="00593B1E" w:rsidRPr="00A25A60" w:rsidRDefault="00593B1E" w:rsidP="001F1720">
            <w:pPr>
              <w:spacing w:line="360" w:lineRule="auto"/>
              <w:rPr>
                <w:rFonts w:asciiTheme="majorHAnsi" w:eastAsia="Arial" w:hAnsiTheme="majorHAnsi" w:cstheme="majorHAnsi"/>
                <w:b/>
                <w:sz w:val="24"/>
                <w:szCs w:val="24"/>
                <w:lang w:val="en-US"/>
              </w:rPr>
            </w:pPr>
            <w:r w:rsidRPr="00A25A60">
              <w:rPr>
                <w:rFonts w:asciiTheme="majorHAnsi" w:eastAsia="Arial" w:hAnsiTheme="majorHAnsi" w:cstheme="majorHAnsi"/>
                <w:b/>
                <w:sz w:val="24"/>
                <w:szCs w:val="24"/>
                <w:lang w:val="en-US"/>
              </w:rPr>
              <w:t>Supplementary Table 2</w:t>
            </w:r>
          </w:p>
        </w:tc>
        <w:tc>
          <w:tcPr>
            <w:tcW w:w="4707" w:type="dxa"/>
          </w:tcPr>
          <w:p w14:paraId="144462F6" w14:textId="31FC9B63" w:rsidR="00593B1E" w:rsidRPr="00A25A60" w:rsidRDefault="0062019F" w:rsidP="001F1720">
            <w:pPr>
              <w:spacing w:line="360" w:lineRule="auto"/>
              <w:rPr>
                <w:rFonts w:asciiTheme="majorHAnsi" w:hAnsiTheme="majorHAnsi" w:cstheme="majorHAnsi"/>
                <w:b/>
                <w:sz w:val="24"/>
                <w:szCs w:val="24"/>
                <w:lang w:val="en-US"/>
              </w:rPr>
            </w:pPr>
            <w:r w:rsidRPr="00A25A60">
              <w:rPr>
                <w:rFonts w:asciiTheme="majorHAnsi" w:hAnsiTheme="majorHAnsi" w:cstheme="majorHAnsi"/>
                <w:b/>
                <w:sz w:val="24"/>
                <w:szCs w:val="24"/>
                <w:lang w:val="en-US"/>
              </w:rPr>
              <w:t xml:space="preserve">Clinical characteristics, routine laboratory </w:t>
            </w:r>
            <w:r w:rsidRPr="00A25A60">
              <w:rPr>
                <w:rFonts w:asciiTheme="majorHAnsi" w:hAnsiTheme="majorHAnsi" w:cstheme="majorHAnsi"/>
                <w:b/>
                <w:lang w:val="en-US"/>
              </w:rPr>
              <w:t>test</w:t>
            </w:r>
            <w:r w:rsidRPr="00A25A60">
              <w:rPr>
                <w:rFonts w:asciiTheme="majorHAnsi" w:hAnsiTheme="majorHAnsi" w:cstheme="majorHAnsi"/>
                <w:b/>
                <w:sz w:val="24"/>
                <w:szCs w:val="24"/>
                <w:lang w:val="en-US"/>
              </w:rPr>
              <w:t>s, and inflammatory mediators at enrollment of patients with compensated cirrhosis, patients with acutely decompensated (AD) cirrhosis who were free of ACLF, and patients with ACLF</w:t>
            </w:r>
          </w:p>
        </w:tc>
        <w:tc>
          <w:tcPr>
            <w:tcW w:w="850" w:type="dxa"/>
            <w:shd w:val="clear" w:color="auto" w:fill="auto"/>
          </w:tcPr>
          <w:p w14:paraId="1E954359" w14:textId="4E7852A7" w:rsidR="00593B1E" w:rsidRPr="00A25A60" w:rsidRDefault="00F71789" w:rsidP="001F1720">
            <w:pPr>
              <w:spacing w:line="360" w:lineRule="auto"/>
              <w:rPr>
                <w:rFonts w:asciiTheme="majorHAnsi" w:eastAsia="Arial" w:hAnsiTheme="majorHAnsi" w:cstheme="majorHAnsi"/>
                <w:b/>
                <w:sz w:val="24"/>
                <w:szCs w:val="24"/>
                <w:lang w:val="en-US"/>
              </w:rPr>
            </w:pPr>
            <w:r w:rsidRPr="00A25A60">
              <w:rPr>
                <w:rFonts w:asciiTheme="majorHAnsi" w:eastAsia="Arial" w:hAnsiTheme="majorHAnsi" w:cstheme="majorHAnsi"/>
                <w:b/>
                <w:sz w:val="24"/>
                <w:szCs w:val="24"/>
                <w:lang w:val="en-US"/>
              </w:rPr>
              <w:t>5</w:t>
            </w:r>
          </w:p>
        </w:tc>
      </w:tr>
      <w:tr w:rsidR="00593B1E" w:rsidRPr="00A25A60" w14:paraId="2A5AB562" w14:textId="77777777" w:rsidTr="00F71789">
        <w:tc>
          <w:tcPr>
            <w:tcW w:w="3969" w:type="dxa"/>
          </w:tcPr>
          <w:p w14:paraId="04ADEAB8" w14:textId="77777777" w:rsidR="00593B1E" w:rsidRPr="003F0A32" w:rsidRDefault="00593B1E" w:rsidP="001F1720">
            <w:pPr>
              <w:spacing w:line="360" w:lineRule="auto"/>
              <w:rPr>
                <w:rFonts w:asciiTheme="majorHAnsi" w:eastAsia="Arial" w:hAnsiTheme="majorHAnsi" w:cstheme="majorHAnsi"/>
                <w:b/>
                <w:sz w:val="24"/>
                <w:szCs w:val="24"/>
                <w:lang w:val="en-US"/>
              </w:rPr>
            </w:pPr>
            <w:r w:rsidRPr="003F0A32">
              <w:rPr>
                <w:rFonts w:asciiTheme="majorHAnsi" w:eastAsia="Arial" w:hAnsiTheme="majorHAnsi" w:cstheme="majorHAnsi"/>
                <w:b/>
                <w:sz w:val="24"/>
                <w:szCs w:val="24"/>
                <w:lang w:val="en-US"/>
              </w:rPr>
              <w:t>Supplementary Table 3</w:t>
            </w:r>
          </w:p>
        </w:tc>
        <w:tc>
          <w:tcPr>
            <w:tcW w:w="4707" w:type="dxa"/>
          </w:tcPr>
          <w:p w14:paraId="1F124420" w14:textId="521059F8" w:rsidR="00593B1E" w:rsidRPr="003F0A32" w:rsidRDefault="00EF01F1" w:rsidP="001F1720">
            <w:pPr>
              <w:spacing w:line="360" w:lineRule="auto"/>
              <w:rPr>
                <w:rFonts w:asciiTheme="majorHAnsi" w:eastAsia="Arial" w:hAnsiTheme="majorHAnsi" w:cstheme="majorHAnsi"/>
                <w:b/>
                <w:sz w:val="24"/>
                <w:szCs w:val="24"/>
                <w:lang w:val="en-US"/>
              </w:rPr>
            </w:pPr>
            <w:r w:rsidRPr="003F0A32">
              <w:rPr>
                <w:rFonts w:asciiTheme="majorHAnsi" w:hAnsiTheme="majorHAnsi" w:cstheme="majorHAnsi"/>
                <w:b/>
                <w:sz w:val="24"/>
                <w:szCs w:val="24"/>
                <w:lang w:val="en-US"/>
              </w:rPr>
              <w:t>Presence of specific organ dysfunction or organ failure in the patients of the subgroups AD-2 and AD-3</w:t>
            </w:r>
          </w:p>
        </w:tc>
        <w:tc>
          <w:tcPr>
            <w:tcW w:w="850" w:type="dxa"/>
            <w:shd w:val="clear" w:color="auto" w:fill="auto"/>
          </w:tcPr>
          <w:p w14:paraId="1ACC4AB5" w14:textId="689528EA" w:rsidR="00593B1E" w:rsidRPr="00A25A60" w:rsidRDefault="00F71789" w:rsidP="001F1720">
            <w:pPr>
              <w:spacing w:line="360" w:lineRule="auto"/>
              <w:rPr>
                <w:rFonts w:asciiTheme="majorHAnsi" w:eastAsia="Arial" w:hAnsiTheme="majorHAnsi" w:cstheme="majorHAnsi"/>
                <w:b/>
                <w:sz w:val="24"/>
                <w:szCs w:val="24"/>
                <w:lang w:val="en-US"/>
              </w:rPr>
            </w:pPr>
            <w:r w:rsidRPr="00A25A60">
              <w:rPr>
                <w:rFonts w:asciiTheme="majorHAnsi" w:eastAsia="Arial" w:hAnsiTheme="majorHAnsi" w:cstheme="majorHAnsi"/>
                <w:b/>
                <w:sz w:val="24"/>
                <w:szCs w:val="24"/>
                <w:lang w:val="en-US"/>
              </w:rPr>
              <w:t>7</w:t>
            </w:r>
          </w:p>
        </w:tc>
      </w:tr>
      <w:tr w:rsidR="00593B1E" w:rsidRPr="00A25A60" w14:paraId="0D718F7A" w14:textId="77777777" w:rsidTr="00F71789">
        <w:tc>
          <w:tcPr>
            <w:tcW w:w="3969" w:type="dxa"/>
          </w:tcPr>
          <w:p w14:paraId="74ED29D8" w14:textId="77777777" w:rsidR="00593B1E" w:rsidRPr="00A25A60" w:rsidRDefault="00593B1E" w:rsidP="001F1720">
            <w:pPr>
              <w:spacing w:line="360" w:lineRule="auto"/>
              <w:rPr>
                <w:rFonts w:asciiTheme="majorHAnsi" w:eastAsia="Arial" w:hAnsiTheme="majorHAnsi" w:cstheme="majorHAnsi"/>
                <w:b/>
                <w:sz w:val="24"/>
                <w:szCs w:val="24"/>
                <w:lang w:val="en-US"/>
              </w:rPr>
            </w:pPr>
            <w:r w:rsidRPr="00A25A60">
              <w:rPr>
                <w:rFonts w:asciiTheme="majorHAnsi" w:eastAsia="Arial" w:hAnsiTheme="majorHAnsi" w:cstheme="majorHAnsi"/>
                <w:b/>
                <w:sz w:val="24"/>
                <w:szCs w:val="24"/>
                <w:lang w:val="en-US"/>
              </w:rPr>
              <w:t>Supplementary Table 4</w:t>
            </w:r>
          </w:p>
        </w:tc>
        <w:tc>
          <w:tcPr>
            <w:tcW w:w="4707" w:type="dxa"/>
          </w:tcPr>
          <w:p w14:paraId="496B3AFB" w14:textId="2114C76B" w:rsidR="00593B1E" w:rsidRPr="00A25A60" w:rsidRDefault="000C3704" w:rsidP="000C3704">
            <w:pPr>
              <w:spacing w:line="360" w:lineRule="auto"/>
              <w:rPr>
                <w:rFonts w:asciiTheme="majorHAnsi" w:hAnsiTheme="majorHAnsi" w:cstheme="majorHAnsi"/>
                <w:b/>
                <w:sz w:val="24"/>
                <w:szCs w:val="24"/>
                <w:lang w:val="en-US"/>
              </w:rPr>
            </w:pPr>
            <w:r w:rsidRPr="00A25A60">
              <w:rPr>
                <w:rFonts w:asciiTheme="majorHAnsi" w:hAnsiTheme="majorHAnsi" w:cstheme="majorHAnsi"/>
                <w:b/>
                <w:sz w:val="24"/>
                <w:szCs w:val="24"/>
                <w:lang w:val="en-US"/>
              </w:rPr>
              <w:t xml:space="preserve">Clinical characteristics, routine laboratory tests, and inflammatory mediators at enrollment of 342 patients with acutely decompensated cirrhosis who were free of ACLF, according to their outcome (alive or dead) at 90 days </w:t>
            </w:r>
          </w:p>
        </w:tc>
        <w:tc>
          <w:tcPr>
            <w:tcW w:w="850" w:type="dxa"/>
            <w:shd w:val="clear" w:color="auto" w:fill="auto"/>
          </w:tcPr>
          <w:p w14:paraId="31C27E3C" w14:textId="094E95B7" w:rsidR="00593B1E" w:rsidRPr="00A25A60" w:rsidRDefault="00EF01F1" w:rsidP="001F1720">
            <w:pPr>
              <w:spacing w:line="360" w:lineRule="auto"/>
              <w:rPr>
                <w:rFonts w:asciiTheme="majorHAnsi" w:eastAsia="Arial" w:hAnsiTheme="majorHAnsi" w:cstheme="majorHAnsi"/>
                <w:b/>
                <w:sz w:val="24"/>
                <w:szCs w:val="24"/>
                <w:lang w:val="en-US"/>
              </w:rPr>
            </w:pPr>
            <w:r>
              <w:rPr>
                <w:rFonts w:asciiTheme="majorHAnsi" w:eastAsia="Arial" w:hAnsiTheme="majorHAnsi" w:cstheme="majorHAnsi"/>
                <w:b/>
                <w:sz w:val="24"/>
                <w:szCs w:val="24"/>
                <w:lang w:val="en-US"/>
              </w:rPr>
              <w:t>8</w:t>
            </w:r>
          </w:p>
        </w:tc>
      </w:tr>
      <w:tr w:rsidR="00593B1E" w:rsidRPr="00A25A60" w14:paraId="6604E8FF" w14:textId="77777777" w:rsidTr="00F71789">
        <w:tc>
          <w:tcPr>
            <w:tcW w:w="3969" w:type="dxa"/>
          </w:tcPr>
          <w:p w14:paraId="136DCE27" w14:textId="77777777" w:rsidR="00593B1E" w:rsidRPr="00A25A60" w:rsidRDefault="00593B1E" w:rsidP="001F1720">
            <w:pPr>
              <w:spacing w:line="360" w:lineRule="auto"/>
              <w:rPr>
                <w:rFonts w:asciiTheme="majorHAnsi" w:eastAsia="Arial" w:hAnsiTheme="majorHAnsi" w:cstheme="majorHAnsi"/>
                <w:b/>
                <w:sz w:val="24"/>
                <w:szCs w:val="24"/>
                <w:lang w:val="en-US"/>
              </w:rPr>
            </w:pPr>
            <w:r w:rsidRPr="00A25A60">
              <w:rPr>
                <w:rFonts w:asciiTheme="majorHAnsi" w:eastAsia="Arial" w:hAnsiTheme="majorHAnsi" w:cstheme="majorHAnsi"/>
                <w:b/>
                <w:sz w:val="24"/>
                <w:szCs w:val="24"/>
                <w:lang w:val="en-US"/>
              </w:rPr>
              <w:t>References</w:t>
            </w:r>
          </w:p>
        </w:tc>
        <w:tc>
          <w:tcPr>
            <w:tcW w:w="4707" w:type="dxa"/>
          </w:tcPr>
          <w:p w14:paraId="768A7B57" w14:textId="77777777" w:rsidR="00593B1E" w:rsidRPr="00A25A60" w:rsidRDefault="00593B1E" w:rsidP="001F1720">
            <w:pPr>
              <w:spacing w:line="360" w:lineRule="auto"/>
              <w:rPr>
                <w:rFonts w:asciiTheme="majorHAnsi" w:eastAsia="Arial" w:hAnsiTheme="majorHAnsi" w:cstheme="majorHAnsi"/>
                <w:b/>
                <w:sz w:val="24"/>
                <w:szCs w:val="24"/>
                <w:lang w:val="en-US"/>
              </w:rPr>
            </w:pPr>
          </w:p>
        </w:tc>
        <w:tc>
          <w:tcPr>
            <w:tcW w:w="850" w:type="dxa"/>
            <w:shd w:val="clear" w:color="auto" w:fill="auto"/>
          </w:tcPr>
          <w:p w14:paraId="39AABC41" w14:textId="067BD287" w:rsidR="00593B1E" w:rsidRPr="00A25A60" w:rsidRDefault="00A25A60" w:rsidP="001F1720">
            <w:pPr>
              <w:spacing w:line="360" w:lineRule="auto"/>
              <w:rPr>
                <w:rFonts w:asciiTheme="majorHAnsi" w:eastAsia="Arial" w:hAnsiTheme="majorHAnsi" w:cstheme="majorHAnsi"/>
                <w:b/>
                <w:sz w:val="24"/>
                <w:szCs w:val="24"/>
                <w:lang w:val="en-US"/>
              </w:rPr>
            </w:pPr>
            <w:r w:rsidRPr="00A25A60">
              <w:rPr>
                <w:rFonts w:asciiTheme="majorHAnsi" w:eastAsia="Arial" w:hAnsiTheme="majorHAnsi" w:cstheme="majorHAnsi"/>
                <w:b/>
                <w:sz w:val="24"/>
                <w:szCs w:val="24"/>
                <w:lang w:val="en-US"/>
              </w:rPr>
              <w:t>1</w:t>
            </w:r>
            <w:r w:rsidR="00EF01F1">
              <w:rPr>
                <w:rFonts w:asciiTheme="majorHAnsi" w:eastAsia="Arial" w:hAnsiTheme="majorHAnsi" w:cstheme="majorHAnsi"/>
                <w:b/>
                <w:sz w:val="24"/>
                <w:szCs w:val="24"/>
                <w:lang w:val="en-US"/>
              </w:rPr>
              <w:t>0</w:t>
            </w:r>
          </w:p>
        </w:tc>
      </w:tr>
    </w:tbl>
    <w:p w14:paraId="7B5B92D0" w14:textId="70685259" w:rsidR="00FB7593" w:rsidRPr="00A25A60" w:rsidRDefault="00FB7593" w:rsidP="00812A44">
      <w:pPr>
        <w:spacing w:line="360" w:lineRule="auto"/>
        <w:jc w:val="both"/>
        <w:rPr>
          <w:rFonts w:asciiTheme="majorHAnsi" w:hAnsiTheme="majorHAnsi" w:cstheme="majorHAnsi"/>
          <w:b/>
          <w:lang w:val="en-US"/>
        </w:rPr>
      </w:pPr>
    </w:p>
    <w:p w14:paraId="6D2C1179" w14:textId="7C97AB30" w:rsidR="00593B1E" w:rsidRPr="00A25A60" w:rsidRDefault="00593B1E" w:rsidP="00812A44">
      <w:pPr>
        <w:spacing w:line="360" w:lineRule="auto"/>
        <w:jc w:val="both"/>
        <w:rPr>
          <w:rFonts w:asciiTheme="majorHAnsi" w:hAnsiTheme="majorHAnsi" w:cstheme="majorHAnsi"/>
          <w:b/>
          <w:lang w:val="en-US"/>
        </w:rPr>
      </w:pPr>
    </w:p>
    <w:p w14:paraId="618F4506" w14:textId="77777777" w:rsidR="00593B1E" w:rsidRPr="00A25A60" w:rsidRDefault="00593B1E" w:rsidP="00812A44">
      <w:pPr>
        <w:spacing w:line="360" w:lineRule="auto"/>
        <w:jc w:val="both"/>
        <w:rPr>
          <w:rFonts w:asciiTheme="majorHAnsi" w:hAnsiTheme="majorHAnsi" w:cstheme="majorHAnsi"/>
          <w:b/>
          <w:lang w:val="en-US"/>
        </w:rPr>
        <w:sectPr w:rsidR="00593B1E" w:rsidRPr="00A25A60" w:rsidSect="003F0A32">
          <w:headerReference w:type="default" r:id="rId8"/>
          <w:footerReference w:type="even" r:id="rId9"/>
          <w:footerReference w:type="default" r:id="rId10"/>
          <w:pgSz w:w="11906" w:h="16838"/>
          <w:pgMar w:top="1559" w:right="1418" w:bottom="720" w:left="1418" w:header="720" w:footer="720" w:gutter="0"/>
          <w:cols w:space="720"/>
          <w:docGrid w:linePitch="326"/>
        </w:sectPr>
      </w:pPr>
    </w:p>
    <w:p w14:paraId="052F9737" w14:textId="0BF97073" w:rsidR="00812A44" w:rsidRPr="00A25A60" w:rsidRDefault="00FB7593" w:rsidP="00812A44">
      <w:pPr>
        <w:spacing w:line="360" w:lineRule="auto"/>
        <w:jc w:val="both"/>
        <w:rPr>
          <w:rFonts w:asciiTheme="majorHAnsi" w:hAnsiTheme="majorHAnsi" w:cstheme="majorHAnsi"/>
          <w:b/>
          <w:lang w:val="en-US"/>
        </w:rPr>
      </w:pPr>
      <w:r w:rsidRPr="00A25A60">
        <w:rPr>
          <w:rFonts w:asciiTheme="majorHAnsi" w:hAnsiTheme="majorHAnsi" w:cstheme="majorHAnsi"/>
          <w:b/>
          <w:lang w:val="en-US"/>
        </w:rPr>
        <w:lastRenderedPageBreak/>
        <w:t>List of Investigators</w:t>
      </w:r>
    </w:p>
    <w:p w14:paraId="0DC8BA2D" w14:textId="77777777" w:rsidR="00812A44" w:rsidRPr="00A25A60" w:rsidRDefault="00812A44" w:rsidP="00812A44">
      <w:pPr>
        <w:spacing w:line="360" w:lineRule="auto"/>
        <w:jc w:val="both"/>
        <w:rPr>
          <w:rFonts w:asciiTheme="majorHAnsi" w:hAnsiTheme="majorHAnsi" w:cstheme="majorHAnsi"/>
          <w:b/>
          <w:lang w:val="en-US"/>
        </w:rPr>
      </w:pPr>
      <w:r w:rsidRPr="00A25A60">
        <w:rPr>
          <w:rFonts w:asciiTheme="majorHAnsi" w:hAnsiTheme="majorHAnsi" w:cstheme="majorHAnsi"/>
          <w:lang w:val="en-US"/>
        </w:rPr>
        <w:t>Jonel Trebicka</w:t>
      </w:r>
      <w:r w:rsidRPr="00A25A60">
        <w:rPr>
          <w:rFonts w:asciiTheme="majorHAnsi" w:hAnsiTheme="majorHAnsi" w:cstheme="majorHAnsi"/>
          <w:vertAlign w:val="superscript"/>
          <w:lang w:val="en-US"/>
        </w:rPr>
        <w:t>1, 2, 3, 4#</w:t>
      </w:r>
      <w:r w:rsidRPr="00A25A60">
        <w:rPr>
          <w:rFonts w:asciiTheme="majorHAnsi" w:hAnsiTheme="majorHAnsi" w:cstheme="majorHAnsi"/>
          <w:lang w:val="en-US"/>
        </w:rPr>
        <w:t>, Alex Amoros</w:t>
      </w:r>
      <w:r w:rsidRPr="00A25A60">
        <w:rPr>
          <w:rFonts w:asciiTheme="majorHAnsi" w:hAnsiTheme="majorHAnsi" w:cstheme="majorHAnsi"/>
          <w:vertAlign w:val="superscript"/>
          <w:lang w:val="en-US"/>
        </w:rPr>
        <w:t>1</w:t>
      </w:r>
      <w:r w:rsidRPr="00A25A60">
        <w:rPr>
          <w:rFonts w:asciiTheme="majorHAnsi" w:hAnsiTheme="majorHAnsi" w:cstheme="majorHAnsi"/>
          <w:lang w:val="en-US"/>
        </w:rPr>
        <w:t>, Carla Pitarch</w:t>
      </w:r>
      <w:r w:rsidRPr="00A25A60">
        <w:rPr>
          <w:rFonts w:asciiTheme="majorHAnsi" w:hAnsiTheme="majorHAnsi" w:cstheme="majorHAnsi"/>
          <w:vertAlign w:val="superscript"/>
          <w:lang w:val="en-US"/>
        </w:rPr>
        <w:t>1</w:t>
      </w:r>
      <w:r w:rsidRPr="00A25A60">
        <w:rPr>
          <w:rFonts w:asciiTheme="majorHAnsi" w:hAnsiTheme="majorHAnsi" w:cstheme="majorHAnsi"/>
          <w:lang w:val="en-US"/>
        </w:rPr>
        <w:t>, Esther Titos</w:t>
      </w:r>
      <w:r w:rsidRPr="00A25A60">
        <w:rPr>
          <w:rFonts w:asciiTheme="majorHAnsi" w:hAnsiTheme="majorHAnsi" w:cstheme="majorHAnsi"/>
          <w:vertAlign w:val="superscript"/>
          <w:lang w:val="en-US"/>
        </w:rPr>
        <w:t>5</w:t>
      </w:r>
      <w:r w:rsidRPr="00A25A60">
        <w:rPr>
          <w:rFonts w:asciiTheme="majorHAnsi" w:hAnsiTheme="majorHAnsi" w:cstheme="majorHAnsi"/>
          <w:lang w:val="en-US"/>
        </w:rPr>
        <w:t>, José Alcaraz-Quiles</w:t>
      </w:r>
      <w:r w:rsidRPr="00A25A60">
        <w:rPr>
          <w:rFonts w:asciiTheme="majorHAnsi" w:hAnsiTheme="majorHAnsi" w:cstheme="majorHAnsi"/>
          <w:vertAlign w:val="superscript"/>
          <w:lang w:val="en-US"/>
        </w:rPr>
        <w:t>5</w:t>
      </w:r>
      <w:r w:rsidRPr="00A25A60">
        <w:rPr>
          <w:rFonts w:asciiTheme="majorHAnsi" w:hAnsiTheme="majorHAnsi" w:cstheme="majorHAnsi"/>
          <w:lang w:val="en-US"/>
        </w:rPr>
        <w:t>, Carmen Deulofeu</w:t>
      </w:r>
      <w:r w:rsidRPr="00A25A60">
        <w:rPr>
          <w:rFonts w:asciiTheme="majorHAnsi" w:hAnsiTheme="majorHAnsi" w:cstheme="majorHAnsi"/>
          <w:vertAlign w:val="superscript"/>
          <w:lang w:val="en-US"/>
        </w:rPr>
        <w:t>1</w:t>
      </w:r>
      <w:r w:rsidRPr="00A25A60">
        <w:rPr>
          <w:rFonts w:asciiTheme="majorHAnsi" w:hAnsiTheme="majorHAnsi" w:cstheme="majorHAnsi"/>
          <w:lang w:val="en-US"/>
        </w:rPr>
        <w:t>, Javier Fernandez-Gomez</w:t>
      </w:r>
      <w:r w:rsidRPr="00A25A60">
        <w:rPr>
          <w:rFonts w:asciiTheme="majorHAnsi" w:hAnsiTheme="majorHAnsi" w:cstheme="majorHAnsi"/>
          <w:vertAlign w:val="superscript"/>
          <w:lang w:val="en-US"/>
        </w:rPr>
        <w:t>6</w:t>
      </w:r>
      <w:r w:rsidRPr="00A25A60">
        <w:rPr>
          <w:rFonts w:asciiTheme="majorHAnsi" w:hAnsiTheme="majorHAnsi" w:cstheme="majorHAnsi"/>
          <w:lang w:val="en-US"/>
        </w:rPr>
        <w:t>, Salvatore Piano</w:t>
      </w:r>
      <w:r w:rsidRPr="00A25A60">
        <w:rPr>
          <w:rFonts w:asciiTheme="majorHAnsi" w:hAnsiTheme="majorHAnsi" w:cstheme="majorHAnsi"/>
          <w:vertAlign w:val="superscript"/>
          <w:lang w:val="en-US"/>
        </w:rPr>
        <w:t>7</w:t>
      </w:r>
      <w:r w:rsidRPr="00A25A60">
        <w:rPr>
          <w:rFonts w:asciiTheme="majorHAnsi" w:hAnsiTheme="majorHAnsi" w:cstheme="majorHAnsi"/>
          <w:lang w:val="en-US"/>
        </w:rPr>
        <w:t>, Paolo Caraceni</w:t>
      </w:r>
      <w:r w:rsidRPr="00A25A60">
        <w:rPr>
          <w:rFonts w:asciiTheme="majorHAnsi" w:hAnsiTheme="majorHAnsi" w:cstheme="majorHAnsi"/>
          <w:vertAlign w:val="superscript"/>
          <w:lang w:val="en-US"/>
        </w:rPr>
        <w:t>8</w:t>
      </w:r>
      <w:r w:rsidRPr="00A25A60">
        <w:rPr>
          <w:rFonts w:asciiTheme="majorHAnsi" w:hAnsiTheme="majorHAnsi" w:cstheme="majorHAnsi"/>
          <w:lang w:val="en-US"/>
        </w:rPr>
        <w:t>, Karl Oettl</w:t>
      </w:r>
      <w:r w:rsidRPr="00A25A60">
        <w:rPr>
          <w:rFonts w:asciiTheme="majorHAnsi" w:hAnsiTheme="majorHAnsi" w:cstheme="majorHAnsi"/>
          <w:vertAlign w:val="superscript"/>
          <w:lang w:val="en-US"/>
        </w:rPr>
        <w:t>9</w:t>
      </w:r>
      <w:r w:rsidRPr="00A25A60">
        <w:rPr>
          <w:rFonts w:asciiTheme="majorHAnsi" w:hAnsiTheme="majorHAnsi" w:cstheme="majorHAnsi"/>
          <w:lang w:val="en-US"/>
        </w:rPr>
        <w:t>, Elsa Sola</w:t>
      </w:r>
      <w:r w:rsidRPr="00A25A60">
        <w:rPr>
          <w:rFonts w:asciiTheme="majorHAnsi" w:hAnsiTheme="majorHAnsi" w:cstheme="majorHAnsi"/>
          <w:vertAlign w:val="superscript"/>
          <w:lang w:val="en-US"/>
        </w:rPr>
        <w:t>6</w:t>
      </w:r>
      <w:r w:rsidRPr="00A25A60">
        <w:rPr>
          <w:rFonts w:asciiTheme="majorHAnsi" w:hAnsiTheme="majorHAnsi" w:cstheme="majorHAnsi"/>
          <w:lang w:val="en-US"/>
        </w:rPr>
        <w:t>, Wim Laleman</w:t>
      </w:r>
      <w:r w:rsidRPr="00A25A60">
        <w:rPr>
          <w:rFonts w:asciiTheme="majorHAnsi" w:hAnsiTheme="majorHAnsi" w:cstheme="majorHAnsi"/>
          <w:vertAlign w:val="superscript"/>
          <w:lang w:val="en-US"/>
        </w:rPr>
        <w:t>10</w:t>
      </w:r>
      <w:r w:rsidRPr="00A25A60">
        <w:rPr>
          <w:rFonts w:asciiTheme="majorHAnsi" w:hAnsiTheme="majorHAnsi" w:cstheme="majorHAnsi"/>
          <w:lang w:val="en-US"/>
        </w:rPr>
        <w:t>, Jane McNaughtan</w:t>
      </w:r>
      <w:r w:rsidRPr="00A25A60">
        <w:rPr>
          <w:rFonts w:asciiTheme="majorHAnsi" w:hAnsiTheme="majorHAnsi" w:cstheme="majorHAnsi"/>
          <w:vertAlign w:val="superscript"/>
          <w:lang w:val="en-US"/>
        </w:rPr>
        <w:t>11</w:t>
      </w:r>
      <w:r w:rsidRPr="00A25A60">
        <w:rPr>
          <w:rFonts w:asciiTheme="majorHAnsi" w:hAnsiTheme="majorHAnsi" w:cstheme="majorHAnsi"/>
          <w:lang w:val="en-US"/>
        </w:rPr>
        <w:t xml:space="preserve">, </w:t>
      </w:r>
      <w:proofErr w:type="spellStart"/>
      <w:r w:rsidRPr="00A25A60">
        <w:rPr>
          <w:rFonts w:asciiTheme="majorHAnsi" w:hAnsiTheme="majorHAnsi" w:cstheme="majorHAnsi"/>
          <w:lang w:val="en-US"/>
        </w:rPr>
        <w:t>Rajeshwar</w:t>
      </w:r>
      <w:proofErr w:type="spellEnd"/>
      <w:r w:rsidRPr="00A25A60">
        <w:rPr>
          <w:rFonts w:asciiTheme="majorHAnsi" w:hAnsiTheme="majorHAnsi" w:cstheme="majorHAnsi"/>
          <w:lang w:val="en-US"/>
        </w:rPr>
        <w:t xml:space="preserve"> P. Mookerjee</w:t>
      </w:r>
      <w:r w:rsidRPr="00A25A60">
        <w:rPr>
          <w:rFonts w:asciiTheme="majorHAnsi" w:hAnsiTheme="majorHAnsi" w:cstheme="majorHAnsi"/>
          <w:vertAlign w:val="superscript"/>
          <w:lang w:val="en-US"/>
        </w:rPr>
        <w:t>11</w:t>
      </w:r>
      <w:r w:rsidRPr="00A25A60">
        <w:rPr>
          <w:rFonts w:asciiTheme="majorHAnsi" w:hAnsiTheme="majorHAnsi" w:cstheme="majorHAnsi"/>
          <w:lang w:val="en-US"/>
        </w:rPr>
        <w:t xml:space="preserve">, </w:t>
      </w:r>
      <w:proofErr w:type="spellStart"/>
      <w:r w:rsidRPr="00A25A60">
        <w:rPr>
          <w:rFonts w:asciiTheme="majorHAnsi" w:hAnsiTheme="majorHAnsi" w:cstheme="majorHAnsi"/>
          <w:lang w:val="en-US"/>
        </w:rPr>
        <w:t>Minneke</w:t>
      </w:r>
      <w:proofErr w:type="spellEnd"/>
      <w:r w:rsidRPr="00A25A60">
        <w:rPr>
          <w:rFonts w:asciiTheme="majorHAnsi" w:hAnsiTheme="majorHAnsi" w:cstheme="majorHAnsi"/>
          <w:lang w:val="en-US"/>
        </w:rPr>
        <w:t xml:space="preserve"> J Coenraad</w:t>
      </w:r>
      <w:r w:rsidRPr="00A25A60">
        <w:rPr>
          <w:rFonts w:asciiTheme="majorHAnsi" w:hAnsiTheme="majorHAnsi" w:cstheme="majorHAnsi"/>
          <w:vertAlign w:val="superscript"/>
          <w:lang w:val="en-US"/>
        </w:rPr>
        <w:t>12</w:t>
      </w:r>
      <w:r w:rsidRPr="00A25A60">
        <w:rPr>
          <w:rFonts w:asciiTheme="majorHAnsi" w:hAnsiTheme="majorHAnsi" w:cstheme="majorHAnsi"/>
          <w:lang w:val="en-US"/>
        </w:rPr>
        <w:t>, Tania Welzel</w:t>
      </w:r>
      <w:r w:rsidRPr="00A25A60">
        <w:rPr>
          <w:rFonts w:asciiTheme="majorHAnsi" w:hAnsiTheme="majorHAnsi" w:cstheme="majorHAnsi"/>
          <w:vertAlign w:val="superscript"/>
          <w:lang w:val="en-US"/>
        </w:rPr>
        <w:t>13</w:t>
      </w:r>
      <w:r w:rsidRPr="00A25A60">
        <w:rPr>
          <w:rFonts w:asciiTheme="majorHAnsi" w:hAnsiTheme="majorHAnsi" w:cstheme="majorHAnsi"/>
          <w:lang w:val="en-US"/>
        </w:rPr>
        <w:t>, Christian Steib</w:t>
      </w:r>
      <w:r w:rsidRPr="00A25A60">
        <w:rPr>
          <w:rFonts w:asciiTheme="majorHAnsi" w:hAnsiTheme="majorHAnsi" w:cstheme="majorHAnsi"/>
          <w:vertAlign w:val="superscript"/>
          <w:lang w:val="en-US"/>
        </w:rPr>
        <w:t>14</w:t>
      </w:r>
      <w:r w:rsidRPr="00A25A60">
        <w:rPr>
          <w:rFonts w:asciiTheme="majorHAnsi" w:hAnsiTheme="majorHAnsi" w:cstheme="majorHAnsi"/>
          <w:lang w:val="en-US"/>
        </w:rPr>
        <w:t>, Rita Garcia</w:t>
      </w:r>
      <w:r w:rsidRPr="00A25A60">
        <w:rPr>
          <w:rFonts w:asciiTheme="majorHAnsi" w:hAnsiTheme="majorHAnsi" w:cstheme="majorHAnsi"/>
          <w:vertAlign w:val="superscript"/>
          <w:lang w:val="en-US"/>
        </w:rPr>
        <w:t>15</w:t>
      </w:r>
      <w:r w:rsidRPr="00A25A60">
        <w:rPr>
          <w:rFonts w:asciiTheme="majorHAnsi" w:hAnsiTheme="majorHAnsi" w:cstheme="majorHAnsi"/>
          <w:lang w:val="en-US"/>
        </w:rPr>
        <w:t>, Thierry Gustot</w:t>
      </w:r>
      <w:r w:rsidRPr="00A25A60">
        <w:rPr>
          <w:rFonts w:asciiTheme="majorHAnsi" w:hAnsiTheme="majorHAnsi" w:cstheme="majorHAnsi"/>
          <w:vertAlign w:val="superscript"/>
          <w:lang w:val="en-US"/>
        </w:rPr>
        <w:t>16</w:t>
      </w:r>
      <w:r w:rsidRPr="00A25A60">
        <w:rPr>
          <w:rFonts w:asciiTheme="majorHAnsi" w:hAnsiTheme="majorHAnsi" w:cstheme="majorHAnsi"/>
          <w:lang w:val="en-US"/>
        </w:rPr>
        <w:t>, Miguel Angel Rodriguez Gandia</w:t>
      </w:r>
      <w:r w:rsidRPr="00A25A60">
        <w:rPr>
          <w:rFonts w:asciiTheme="majorHAnsi" w:hAnsiTheme="majorHAnsi" w:cstheme="majorHAnsi"/>
          <w:vertAlign w:val="superscript"/>
          <w:lang w:val="en-US"/>
        </w:rPr>
        <w:t>17</w:t>
      </w:r>
      <w:r w:rsidRPr="00A25A60">
        <w:rPr>
          <w:rFonts w:asciiTheme="majorHAnsi" w:hAnsiTheme="majorHAnsi" w:cstheme="majorHAnsi"/>
          <w:lang w:val="en-US"/>
        </w:rPr>
        <w:t>, Rafael Bañares</w:t>
      </w:r>
      <w:r w:rsidRPr="00A25A60">
        <w:rPr>
          <w:rFonts w:asciiTheme="majorHAnsi" w:hAnsiTheme="majorHAnsi" w:cstheme="majorHAnsi"/>
          <w:vertAlign w:val="superscript"/>
          <w:lang w:val="en-US"/>
        </w:rPr>
        <w:t>15</w:t>
      </w:r>
      <w:r w:rsidRPr="00A25A60">
        <w:rPr>
          <w:rFonts w:asciiTheme="majorHAnsi" w:hAnsiTheme="majorHAnsi" w:cstheme="majorHAnsi"/>
          <w:lang w:val="en-US"/>
        </w:rPr>
        <w:t>, Agustin Albillos</w:t>
      </w:r>
      <w:r w:rsidRPr="00A25A60">
        <w:rPr>
          <w:rFonts w:asciiTheme="majorHAnsi" w:hAnsiTheme="majorHAnsi" w:cstheme="majorHAnsi"/>
          <w:vertAlign w:val="superscript"/>
          <w:lang w:val="en-US"/>
        </w:rPr>
        <w:t>17</w:t>
      </w:r>
      <w:r w:rsidRPr="00A25A60">
        <w:rPr>
          <w:rFonts w:asciiTheme="majorHAnsi" w:hAnsiTheme="majorHAnsi" w:cstheme="majorHAnsi"/>
          <w:lang w:val="en-US"/>
        </w:rPr>
        <w:t>, Stefan Zeuzem</w:t>
      </w:r>
      <w:r w:rsidRPr="00A25A60">
        <w:rPr>
          <w:rFonts w:asciiTheme="majorHAnsi" w:hAnsiTheme="majorHAnsi" w:cstheme="majorHAnsi"/>
          <w:vertAlign w:val="superscript"/>
          <w:lang w:val="en-US"/>
        </w:rPr>
        <w:t>13</w:t>
      </w:r>
      <w:r w:rsidRPr="00A25A60">
        <w:rPr>
          <w:rFonts w:asciiTheme="majorHAnsi" w:hAnsiTheme="majorHAnsi" w:cstheme="majorHAnsi"/>
          <w:lang w:val="en-US"/>
        </w:rPr>
        <w:t>, Victor Vargas</w:t>
      </w:r>
      <w:r w:rsidRPr="00A25A60">
        <w:rPr>
          <w:rFonts w:asciiTheme="majorHAnsi" w:hAnsiTheme="majorHAnsi" w:cstheme="majorHAnsi"/>
          <w:vertAlign w:val="superscript"/>
          <w:lang w:val="en-US"/>
        </w:rPr>
        <w:t>18</w:t>
      </w:r>
      <w:r w:rsidRPr="00A25A60">
        <w:rPr>
          <w:rFonts w:asciiTheme="majorHAnsi" w:hAnsiTheme="majorHAnsi" w:cstheme="majorHAnsi"/>
          <w:lang w:val="en-US"/>
        </w:rPr>
        <w:t>, Faouzi Saliba</w:t>
      </w:r>
      <w:r w:rsidRPr="00A25A60">
        <w:rPr>
          <w:rFonts w:asciiTheme="majorHAnsi" w:hAnsiTheme="majorHAnsi" w:cstheme="majorHAnsi"/>
          <w:vertAlign w:val="superscript"/>
          <w:lang w:val="en-US"/>
        </w:rPr>
        <w:t>19</w:t>
      </w:r>
      <w:r w:rsidRPr="00A25A60">
        <w:rPr>
          <w:rFonts w:asciiTheme="majorHAnsi" w:hAnsiTheme="majorHAnsi" w:cstheme="majorHAnsi"/>
          <w:lang w:val="en-US"/>
        </w:rPr>
        <w:t>, Frederic Nevens</w:t>
      </w:r>
      <w:r w:rsidRPr="00A25A60">
        <w:rPr>
          <w:rFonts w:asciiTheme="majorHAnsi" w:hAnsiTheme="majorHAnsi" w:cstheme="majorHAnsi"/>
          <w:vertAlign w:val="superscript"/>
          <w:lang w:val="en-US"/>
        </w:rPr>
        <w:t>10</w:t>
      </w:r>
      <w:r w:rsidRPr="00A25A60">
        <w:rPr>
          <w:rFonts w:asciiTheme="majorHAnsi" w:hAnsiTheme="majorHAnsi" w:cstheme="majorHAnsi"/>
          <w:lang w:val="en-US"/>
        </w:rPr>
        <w:t>, Carlo Alessandria</w:t>
      </w:r>
      <w:r w:rsidRPr="00A25A60">
        <w:rPr>
          <w:rFonts w:asciiTheme="majorHAnsi" w:hAnsiTheme="majorHAnsi" w:cstheme="majorHAnsi"/>
          <w:vertAlign w:val="superscript"/>
          <w:lang w:val="en-US"/>
        </w:rPr>
        <w:t>20</w:t>
      </w:r>
      <w:r w:rsidRPr="00A25A60">
        <w:rPr>
          <w:rFonts w:asciiTheme="majorHAnsi" w:hAnsiTheme="majorHAnsi" w:cstheme="majorHAnsi"/>
          <w:lang w:val="en-US"/>
        </w:rPr>
        <w:t>, Andrea de Gottardi</w:t>
      </w:r>
      <w:r w:rsidRPr="00A25A60">
        <w:rPr>
          <w:rFonts w:asciiTheme="majorHAnsi" w:hAnsiTheme="majorHAnsi" w:cstheme="majorHAnsi"/>
          <w:vertAlign w:val="superscript"/>
          <w:lang w:val="en-US"/>
        </w:rPr>
        <w:t>21</w:t>
      </w:r>
      <w:r w:rsidRPr="00A25A60">
        <w:rPr>
          <w:rFonts w:asciiTheme="majorHAnsi" w:hAnsiTheme="majorHAnsi" w:cstheme="majorHAnsi"/>
          <w:lang w:val="en-US"/>
        </w:rPr>
        <w:t>, Heinz Zoller</w:t>
      </w:r>
      <w:r w:rsidRPr="00A25A60">
        <w:rPr>
          <w:rFonts w:asciiTheme="majorHAnsi" w:hAnsiTheme="majorHAnsi" w:cstheme="majorHAnsi"/>
          <w:vertAlign w:val="superscript"/>
          <w:lang w:val="en-US"/>
        </w:rPr>
        <w:t>22</w:t>
      </w:r>
      <w:r w:rsidRPr="00A25A60">
        <w:rPr>
          <w:rFonts w:asciiTheme="majorHAnsi" w:hAnsiTheme="majorHAnsi" w:cstheme="majorHAnsi"/>
          <w:lang w:val="en-US"/>
        </w:rPr>
        <w:t>, Pere Ginès</w:t>
      </w:r>
      <w:r w:rsidRPr="00A25A60">
        <w:rPr>
          <w:rFonts w:asciiTheme="majorHAnsi" w:hAnsiTheme="majorHAnsi" w:cstheme="majorHAnsi"/>
          <w:vertAlign w:val="superscript"/>
          <w:lang w:val="en-US"/>
        </w:rPr>
        <w:t>6</w:t>
      </w:r>
      <w:r w:rsidRPr="00A25A60">
        <w:rPr>
          <w:rFonts w:asciiTheme="majorHAnsi" w:hAnsiTheme="majorHAnsi" w:cstheme="majorHAnsi"/>
          <w:lang w:val="en-US"/>
        </w:rPr>
        <w:t>, Rajiv Jalan</w:t>
      </w:r>
      <w:r w:rsidRPr="00A25A60">
        <w:rPr>
          <w:rFonts w:asciiTheme="majorHAnsi" w:hAnsiTheme="majorHAnsi" w:cstheme="majorHAnsi"/>
          <w:vertAlign w:val="superscript"/>
          <w:lang w:val="en-US"/>
        </w:rPr>
        <w:t>11</w:t>
      </w:r>
      <w:r w:rsidRPr="00A25A60">
        <w:rPr>
          <w:rFonts w:asciiTheme="majorHAnsi" w:hAnsiTheme="majorHAnsi" w:cstheme="majorHAnsi"/>
          <w:lang w:val="en-US"/>
        </w:rPr>
        <w:t>, Tilman Sauerbruch</w:t>
      </w:r>
      <w:r w:rsidRPr="00A25A60">
        <w:rPr>
          <w:rFonts w:asciiTheme="majorHAnsi" w:hAnsiTheme="majorHAnsi" w:cstheme="majorHAnsi"/>
          <w:vertAlign w:val="superscript"/>
          <w:lang w:val="en-US"/>
        </w:rPr>
        <w:t>2</w:t>
      </w:r>
      <w:r w:rsidRPr="00A25A60">
        <w:rPr>
          <w:rFonts w:asciiTheme="majorHAnsi" w:hAnsiTheme="majorHAnsi" w:cstheme="majorHAnsi"/>
          <w:lang w:val="en-US"/>
        </w:rPr>
        <w:t>, Alexander Gerbes</w:t>
      </w:r>
      <w:r w:rsidRPr="00A25A60">
        <w:rPr>
          <w:rFonts w:asciiTheme="majorHAnsi" w:hAnsiTheme="majorHAnsi" w:cstheme="majorHAnsi"/>
          <w:vertAlign w:val="superscript"/>
          <w:lang w:val="en-US"/>
        </w:rPr>
        <w:t>14</w:t>
      </w:r>
      <w:r w:rsidRPr="00A25A60">
        <w:rPr>
          <w:rFonts w:asciiTheme="majorHAnsi" w:hAnsiTheme="majorHAnsi" w:cstheme="majorHAnsi"/>
          <w:lang w:val="en-US"/>
        </w:rPr>
        <w:t>, Rudolf Stauber</w:t>
      </w:r>
      <w:r w:rsidRPr="00A25A60">
        <w:rPr>
          <w:rFonts w:asciiTheme="majorHAnsi" w:hAnsiTheme="majorHAnsi" w:cstheme="majorHAnsi"/>
          <w:vertAlign w:val="superscript"/>
          <w:lang w:val="en-US"/>
        </w:rPr>
        <w:t>9</w:t>
      </w:r>
      <w:r w:rsidRPr="00A25A60">
        <w:rPr>
          <w:rFonts w:asciiTheme="majorHAnsi" w:hAnsiTheme="majorHAnsi" w:cstheme="majorHAnsi"/>
          <w:lang w:val="en-US"/>
        </w:rPr>
        <w:t>, Mauro Bernardi</w:t>
      </w:r>
      <w:r w:rsidRPr="00A25A60">
        <w:rPr>
          <w:rFonts w:asciiTheme="majorHAnsi" w:hAnsiTheme="majorHAnsi" w:cstheme="majorHAnsi"/>
          <w:vertAlign w:val="superscript"/>
          <w:lang w:val="en-US"/>
        </w:rPr>
        <w:t>8</w:t>
      </w:r>
      <w:r w:rsidRPr="00A25A60">
        <w:rPr>
          <w:rFonts w:asciiTheme="majorHAnsi" w:hAnsiTheme="majorHAnsi" w:cstheme="majorHAnsi"/>
          <w:lang w:val="en-US"/>
        </w:rPr>
        <w:t>, Paolo Angeli</w:t>
      </w:r>
      <w:r w:rsidRPr="00A25A60">
        <w:rPr>
          <w:rFonts w:asciiTheme="majorHAnsi" w:hAnsiTheme="majorHAnsi" w:cstheme="majorHAnsi"/>
          <w:vertAlign w:val="superscript"/>
          <w:lang w:val="en-US"/>
        </w:rPr>
        <w:t>7</w:t>
      </w:r>
      <w:r w:rsidRPr="00A25A60">
        <w:rPr>
          <w:rFonts w:asciiTheme="majorHAnsi" w:hAnsiTheme="majorHAnsi" w:cstheme="majorHAnsi"/>
          <w:lang w:val="en-US"/>
        </w:rPr>
        <w:t>, Marco Pavesi</w:t>
      </w:r>
      <w:r w:rsidRPr="00A25A60">
        <w:rPr>
          <w:rFonts w:asciiTheme="majorHAnsi" w:hAnsiTheme="majorHAnsi" w:cstheme="majorHAnsi"/>
          <w:vertAlign w:val="superscript"/>
          <w:lang w:val="en-US"/>
        </w:rPr>
        <w:t>1</w:t>
      </w:r>
      <w:r w:rsidRPr="00A25A60">
        <w:rPr>
          <w:rFonts w:asciiTheme="majorHAnsi" w:hAnsiTheme="majorHAnsi" w:cstheme="majorHAnsi"/>
          <w:lang w:val="en-US"/>
        </w:rPr>
        <w:t>, Richard Moreau</w:t>
      </w:r>
      <w:r w:rsidRPr="00A25A60">
        <w:rPr>
          <w:rFonts w:asciiTheme="majorHAnsi" w:hAnsiTheme="majorHAnsi" w:cstheme="majorHAnsi"/>
          <w:vertAlign w:val="superscript"/>
          <w:lang w:val="en-US"/>
        </w:rPr>
        <w:t>1,23</w:t>
      </w:r>
      <w:r w:rsidRPr="00A25A60">
        <w:rPr>
          <w:rFonts w:asciiTheme="majorHAnsi" w:hAnsiTheme="majorHAnsi" w:cstheme="majorHAnsi"/>
          <w:lang w:val="en-US"/>
        </w:rPr>
        <w:t>, Joan Clària</w:t>
      </w:r>
      <w:r w:rsidRPr="00A25A60">
        <w:rPr>
          <w:rFonts w:asciiTheme="majorHAnsi" w:hAnsiTheme="majorHAnsi" w:cstheme="majorHAnsi"/>
          <w:vertAlign w:val="superscript"/>
          <w:lang w:val="en-US"/>
        </w:rPr>
        <w:t>1,5</w:t>
      </w:r>
      <w:r w:rsidRPr="00A25A60">
        <w:rPr>
          <w:rFonts w:asciiTheme="majorHAnsi" w:hAnsiTheme="majorHAnsi" w:cstheme="majorHAnsi"/>
          <w:lang w:val="en-US"/>
        </w:rPr>
        <w:t xml:space="preserve"> and Vicente Arroyo</w:t>
      </w:r>
      <w:r w:rsidRPr="00A25A60">
        <w:rPr>
          <w:rFonts w:asciiTheme="majorHAnsi" w:hAnsiTheme="majorHAnsi" w:cstheme="majorHAnsi"/>
          <w:vertAlign w:val="superscript"/>
          <w:lang w:val="en-US"/>
        </w:rPr>
        <w:t>1</w:t>
      </w:r>
      <w:r w:rsidRPr="00A25A60">
        <w:rPr>
          <w:rFonts w:asciiTheme="majorHAnsi" w:hAnsiTheme="majorHAnsi" w:cstheme="majorHAnsi"/>
          <w:lang w:val="en-US"/>
        </w:rPr>
        <w:t xml:space="preserve"> on behalf of the CANONIC Study Investigators of the EASL-CLIF Consortium and the European Foundation for the Study of Chronic Liver Failure (EF-CLIF)</w:t>
      </w:r>
    </w:p>
    <w:p w14:paraId="689B15BB" w14:textId="77777777" w:rsidR="00812A44" w:rsidRPr="00A25A60" w:rsidRDefault="00812A44" w:rsidP="00812A44">
      <w:pPr>
        <w:spacing w:line="360" w:lineRule="auto"/>
        <w:jc w:val="both"/>
        <w:rPr>
          <w:rFonts w:asciiTheme="majorHAnsi" w:hAnsiTheme="majorHAnsi" w:cstheme="majorHAnsi"/>
          <w:b/>
          <w:lang w:val="en-US"/>
        </w:rPr>
      </w:pPr>
    </w:p>
    <w:p w14:paraId="209D886B" w14:textId="77777777" w:rsidR="00812A44" w:rsidRPr="00A25A60" w:rsidRDefault="00812A44" w:rsidP="00812A44">
      <w:pPr>
        <w:spacing w:line="360" w:lineRule="auto"/>
        <w:jc w:val="both"/>
        <w:rPr>
          <w:rFonts w:asciiTheme="majorHAnsi" w:hAnsiTheme="majorHAnsi" w:cstheme="majorHAnsi"/>
          <w:b/>
          <w:lang w:val="en-US"/>
        </w:rPr>
      </w:pPr>
      <w:r w:rsidRPr="00A25A60">
        <w:rPr>
          <w:rFonts w:asciiTheme="majorHAnsi" w:hAnsiTheme="majorHAnsi" w:cstheme="majorHAnsi"/>
          <w:b/>
          <w:lang w:val="en-US"/>
        </w:rPr>
        <w:t>Affiliations:</w:t>
      </w:r>
    </w:p>
    <w:p w14:paraId="56873069"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 xml:space="preserve">1 </w:t>
      </w:r>
      <w:r w:rsidRPr="00A25A60">
        <w:rPr>
          <w:rFonts w:asciiTheme="majorHAnsi" w:hAnsiTheme="majorHAnsi" w:cstheme="majorHAnsi"/>
          <w:lang w:val="en-US"/>
        </w:rPr>
        <w:t>European Foundation for the Study of Chronic Liver Failure, Barcelona, Spain;</w:t>
      </w:r>
    </w:p>
    <w:p w14:paraId="1B59072F"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 xml:space="preserve">2 </w:t>
      </w:r>
      <w:r w:rsidRPr="00A25A60">
        <w:rPr>
          <w:rFonts w:asciiTheme="majorHAnsi" w:hAnsiTheme="majorHAnsi" w:cstheme="majorHAnsi"/>
          <w:lang w:val="en-US"/>
        </w:rPr>
        <w:t>Department of Internal Medicine I, University of Bonn, Germany;</w:t>
      </w:r>
    </w:p>
    <w:p w14:paraId="41756426"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 xml:space="preserve">3 </w:t>
      </w:r>
      <w:r w:rsidRPr="00A25A60">
        <w:rPr>
          <w:rFonts w:asciiTheme="majorHAnsi" w:hAnsiTheme="majorHAnsi" w:cstheme="majorHAnsi"/>
          <w:lang w:val="en-US"/>
        </w:rPr>
        <w:t>Faculty of Health Sciences, University of Southern Denmark, Odense, Denmark;</w:t>
      </w:r>
    </w:p>
    <w:p w14:paraId="4F8FE9FC"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 xml:space="preserve">4 </w:t>
      </w:r>
      <w:r w:rsidRPr="00A25A60">
        <w:rPr>
          <w:rFonts w:asciiTheme="majorHAnsi" w:hAnsiTheme="majorHAnsi" w:cstheme="majorHAnsi"/>
          <w:lang w:val="en-US"/>
        </w:rPr>
        <w:t>Institute for Bioengineering of Catalonia, Barcelona, Spain;</w:t>
      </w:r>
    </w:p>
    <w:p w14:paraId="5F103CC4"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5</w:t>
      </w:r>
      <w:r w:rsidRPr="00A25A60">
        <w:rPr>
          <w:rFonts w:asciiTheme="majorHAnsi" w:hAnsiTheme="majorHAnsi" w:cstheme="majorHAnsi"/>
          <w:lang w:val="en-US"/>
        </w:rPr>
        <w:t xml:space="preserve">Department of Biochemistry and Molecular Genetics, Hospital </w:t>
      </w:r>
      <w:proofErr w:type="spellStart"/>
      <w:r w:rsidRPr="00A25A60">
        <w:rPr>
          <w:rFonts w:asciiTheme="majorHAnsi" w:hAnsiTheme="majorHAnsi" w:cstheme="majorHAnsi"/>
          <w:lang w:val="en-US"/>
        </w:rPr>
        <w:t>Clínic</w:t>
      </w:r>
      <w:proofErr w:type="spellEnd"/>
      <w:r w:rsidRPr="00A25A60">
        <w:rPr>
          <w:rFonts w:asciiTheme="majorHAnsi" w:hAnsiTheme="majorHAnsi" w:cstheme="majorHAnsi"/>
          <w:lang w:val="en-US"/>
        </w:rPr>
        <w:t xml:space="preserve">, IDIBAPS and </w:t>
      </w:r>
      <w:proofErr w:type="spellStart"/>
      <w:r w:rsidRPr="00A25A60">
        <w:rPr>
          <w:rFonts w:asciiTheme="majorHAnsi" w:hAnsiTheme="majorHAnsi" w:cstheme="majorHAnsi"/>
          <w:lang w:val="en-US"/>
        </w:rPr>
        <w:t>CIBERehd</w:t>
      </w:r>
      <w:proofErr w:type="spellEnd"/>
      <w:r w:rsidRPr="00A25A60">
        <w:rPr>
          <w:rFonts w:asciiTheme="majorHAnsi" w:hAnsiTheme="majorHAnsi" w:cstheme="majorHAnsi"/>
          <w:lang w:val="en-US"/>
        </w:rPr>
        <w:t xml:space="preserve"> Barcelona, Spain;</w:t>
      </w:r>
    </w:p>
    <w:p w14:paraId="0CF80B57"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6</w:t>
      </w:r>
      <w:r w:rsidRPr="00A25A60">
        <w:rPr>
          <w:rFonts w:asciiTheme="majorHAnsi" w:hAnsiTheme="majorHAnsi" w:cstheme="majorHAnsi"/>
          <w:lang w:val="en-US"/>
        </w:rPr>
        <w:t xml:space="preserve">Liver Unit, Hospital </w:t>
      </w:r>
      <w:proofErr w:type="spellStart"/>
      <w:r w:rsidRPr="00A25A60">
        <w:rPr>
          <w:rFonts w:asciiTheme="majorHAnsi" w:hAnsiTheme="majorHAnsi" w:cstheme="majorHAnsi"/>
          <w:lang w:val="en-US"/>
        </w:rPr>
        <w:t>Clínic</w:t>
      </w:r>
      <w:proofErr w:type="spellEnd"/>
      <w:r w:rsidRPr="00A25A60">
        <w:rPr>
          <w:rFonts w:asciiTheme="majorHAnsi" w:hAnsiTheme="majorHAnsi" w:cstheme="majorHAnsi"/>
          <w:lang w:val="en-US"/>
        </w:rPr>
        <w:t xml:space="preserve">, IDIBAPS and </w:t>
      </w:r>
      <w:proofErr w:type="spellStart"/>
      <w:r w:rsidRPr="00A25A60">
        <w:rPr>
          <w:rFonts w:asciiTheme="majorHAnsi" w:hAnsiTheme="majorHAnsi" w:cstheme="majorHAnsi"/>
          <w:lang w:val="en-US"/>
        </w:rPr>
        <w:t>CIBERehd</w:t>
      </w:r>
      <w:proofErr w:type="spellEnd"/>
      <w:r w:rsidRPr="00A25A60">
        <w:rPr>
          <w:rFonts w:asciiTheme="majorHAnsi" w:hAnsiTheme="majorHAnsi" w:cstheme="majorHAnsi"/>
          <w:lang w:val="en-US"/>
        </w:rPr>
        <w:t xml:space="preserve"> Barcelona, Spain;</w:t>
      </w:r>
    </w:p>
    <w:p w14:paraId="22D7BDCF"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7</w:t>
      </w:r>
      <w:r w:rsidRPr="00A25A60">
        <w:rPr>
          <w:rFonts w:asciiTheme="majorHAnsi" w:hAnsiTheme="majorHAnsi" w:cstheme="majorHAnsi"/>
          <w:lang w:val="en-US"/>
        </w:rPr>
        <w:t xml:space="preserve">Unit of Internal Medicine and Hepatology, Dept. of Medicine, DIMED, University of Padova, Italy; </w:t>
      </w:r>
    </w:p>
    <w:p w14:paraId="49996053"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8</w:t>
      </w:r>
      <w:r w:rsidRPr="00A25A60">
        <w:rPr>
          <w:rFonts w:asciiTheme="majorHAnsi" w:hAnsiTheme="majorHAnsi" w:cstheme="majorHAnsi"/>
          <w:lang w:val="en-US"/>
        </w:rPr>
        <w:t xml:space="preserve">Department of Medical and Surgical Sciences, University of Bologna, Bologna, Italy; </w:t>
      </w:r>
    </w:p>
    <w:p w14:paraId="1C113DDA"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9</w:t>
      </w:r>
      <w:r w:rsidRPr="00A25A60">
        <w:rPr>
          <w:rFonts w:asciiTheme="majorHAnsi" w:hAnsiTheme="majorHAnsi" w:cstheme="majorHAnsi"/>
          <w:lang w:val="en-US"/>
        </w:rPr>
        <w:t>Medical University of Graz, Graz, Austria;</w:t>
      </w:r>
    </w:p>
    <w:p w14:paraId="5C7E84AC" w14:textId="77777777" w:rsidR="00812A44" w:rsidRPr="003F0A32" w:rsidRDefault="00812A44" w:rsidP="00812A44">
      <w:pPr>
        <w:spacing w:line="360" w:lineRule="auto"/>
        <w:jc w:val="both"/>
        <w:rPr>
          <w:rFonts w:asciiTheme="majorHAnsi" w:hAnsiTheme="majorHAnsi" w:cstheme="majorHAnsi"/>
          <w:lang w:val="nl-NL"/>
        </w:rPr>
      </w:pPr>
      <w:r w:rsidRPr="003F0A32">
        <w:rPr>
          <w:rFonts w:asciiTheme="majorHAnsi" w:hAnsiTheme="majorHAnsi" w:cstheme="majorHAnsi"/>
          <w:vertAlign w:val="superscript"/>
          <w:lang w:val="nl-NL"/>
        </w:rPr>
        <w:t>10</w:t>
      </w:r>
      <w:r w:rsidRPr="003F0A32">
        <w:rPr>
          <w:rFonts w:asciiTheme="majorHAnsi" w:hAnsiTheme="majorHAnsi" w:cstheme="majorHAnsi"/>
          <w:lang w:val="nl-NL"/>
        </w:rPr>
        <w:t xml:space="preserve">University </w:t>
      </w:r>
      <w:proofErr w:type="spellStart"/>
      <w:r w:rsidRPr="003F0A32">
        <w:rPr>
          <w:rFonts w:asciiTheme="majorHAnsi" w:hAnsiTheme="majorHAnsi" w:cstheme="majorHAnsi"/>
          <w:lang w:val="nl-NL"/>
        </w:rPr>
        <w:t>Hospital</w:t>
      </w:r>
      <w:proofErr w:type="spellEnd"/>
      <w:r w:rsidRPr="003F0A32">
        <w:rPr>
          <w:rFonts w:asciiTheme="majorHAnsi" w:hAnsiTheme="majorHAnsi" w:cstheme="majorHAnsi"/>
          <w:lang w:val="nl-NL"/>
        </w:rPr>
        <w:t xml:space="preserve"> Gasthuisberg, KU Leuven, Belgium; </w:t>
      </w:r>
    </w:p>
    <w:p w14:paraId="7CB4A853"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11</w:t>
      </w:r>
      <w:r w:rsidRPr="00A25A60">
        <w:rPr>
          <w:rFonts w:asciiTheme="majorHAnsi" w:hAnsiTheme="majorHAnsi" w:cstheme="majorHAnsi"/>
          <w:lang w:val="en-US"/>
        </w:rPr>
        <w:t>Royal Free Hospital, London, UK;</w:t>
      </w:r>
    </w:p>
    <w:p w14:paraId="39AA834B"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12</w:t>
      </w:r>
      <w:r w:rsidRPr="00A25A60">
        <w:rPr>
          <w:rFonts w:asciiTheme="majorHAnsi" w:hAnsiTheme="majorHAnsi" w:cstheme="majorHAnsi"/>
          <w:lang w:val="en-US"/>
        </w:rPr>
        <w:t>Department of Gastroenterology and Hepatology, Leiden University Medical Center, Leiden, The Netherlands;</w:t>
      </w:r>
    </w:p>
    <w:p w14:paraId="5D7BB9EC"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13</w:t>
      </w:r>
      <w:r w:rsidRPr="00A25A60">
        <w:rPr>
          <w:rFonts w:asciiTheme="majorHAnsi" w:hAnsiTheme="majorHAnsi" w:cstheme="majorHAnsi"/>
          <w:lang w:val="en-US"/>
        </w:rPr>
        <w:t>J.W. Goethe University Hospital, Frankfurt, Germany;</w:t>
      </w:r>
    </w:p>
    <w:p w14:paraId="6E987F3A"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14</w:t>
      </w:r>
      <w:r w:rsidRPr="00A25A60">
        <w:rPr>
          <w:rFonts w:asciiTheme="majorHAnsi" w:hAnsiTheme="majorHAnsi" w:cstheme="majorHAnsi"/>
          <w:lang w:val="en-US"/>
        </w:rPr>
        <w:t xml:space="preserve">Department of Medicine II, University Hospital LMU Munich, Liver Center Munich, Munich, Germany; </w:t>
      </w:r>
    </w:p>
    <w:p w14:paraId="6B55D4DF" w14:textId="77777777" w:rsidR="00812A44" w:rsidRPr="00512EAB" w:rsidRDefault="00812A44" w:rsidP="00812A44">
      <w:pPr>
        <w:spacing w:line="360" w:lineRule="auto"/>
        <w:jc w:val="both"/>
        <w:rPr>
          <w:rFonts w:asciiTheme="majorHAnsi" w:hAnsiTheme="majorHAnsi" w:cstheme="majorHAnsi"/>
          <w:lang w:val="es-ES"/>
        </w:rPr>
      </w:pPr>
      <w:r w:rsidRPr="00512EAB">
        <w:rPr>
          <w:rFonts w:asciiTheme="majorHAnsi" w:hAnsiTheme="majorHAnsi" w:cstheme="majorHAnsi"/>
          <w:vertAlign w:val="superscript"/>
          <w:lang w:val="es-ES"/>
        </w:rPr>
        <w:lastRenderedPageBreak/>
        <w:t>15</w:t>
      </w:r>
      <w:r w:rsidRPr="00512EAB">
        <w:rPr>
          <w:rFonts w:asciiTheme="majorHAnsi" w:hAnsiTheme="majorHAnsi" w:cstheme="majorHAnsi"/>
          <w:lang w:val="es-ES"/>
        </w:rPr>
        <w:t xml:space="preserve">Department </w:t>
      </w:r>
      <w:proofErr w:type="spellStart"/>
      <w:r w:rsidRPr="00512EAB">
        <w:rPr>
          <w:rFonts w:asciiTheme="majorHAnsi" w:hAnsiTheme="majorHAnsi" w:cstheme="majorHAnsi"/>
          <w:lang w:val="es-ES"/>
        </w:rPr>
        <w:t>of</w:t>
      </w:r>
      <w:proofErr w:type="spellEnd"/>
      <w:r w:rsidRPr="00512EAB">
        <w:rPr>
          <w:rFonts w:asciiTheme="majorHAnsi" w:hAnsiTheme="majorHAnsi" w:cstheme="majorHAnsi"/>
          <w:lang w:val="es-ES"/>
        </w:rPr>
        <w:t xml:space="preserve"> </w:t>
      </w:r>
      <w:proofErr w:type="spellStart"/>
      <w:r w:rsidRPr="00512EAB">
        <w:rPr>
          <w:rFonts w:asciiTheme="majorHAnsi" w:hAnsiTheme="majorHAnsi" w:cstheme="majorHAnsi"/>
          <w:lang w:val="es-ES"/>
        </w:rPr>
        <w:t>Digestive</w:t>
      </w:r>
      <w:proofErr w:type="spellEnd"/>
      <w:r w:rsidRPr="00512EAB">
        <w:rPr>
          <w:rFonts w:asciiTheme="majorHAnsi" w:hAnsiTheme="majorHAnsi" w:cstheme="majorHAnsi"/>
          <w:lang w:val="es-ES"/>
        </w:rPr>
        <w:t xml:space="preserve"> </w:t>
      </w:r>
      <w:proofErr w:type="spellStart"/>
      <w:r w:rsidRPr="00512EAB">
        <w:rPr>
          <w:rFonts w:asciiTheme="majorHAnsi" w:hAnsiTheme="majorHAnsi" w:cstheme="majorHAnsi"/>
          <w:lang w:val="es-ES"/>
        </w:rPr>
        <w:t>Diseases</w:t>
      </w:r>
      <w:proofErr w:type="spellEnd"/>
      <w:r w:rsidRPr="00512EAB">
        <w:rPr>
          <w:rFonts w:asciiTheme="majorHAnsi" w:hAnsiTheme="majorHAnsi" w:cstheme="majorHAnsi"/>
          <w:lang w:val="es-ES"/>
        </w:rPr>
        <w:t xml:space="preserve"> and CIBEREHD, Hospital General Universitario Gregorio Marañón, Instituto de Investigación Sanitaria Gregorio Marañón, and Facultad de Medicina, Universidad Complutense, Madrid, </w:t>
      </w:r>
      <w:proofErr w:type="spellStart"/>
      <w:r w:rsidRPr="00512EAB">
        <w:rPr>
          <w:rFonts w:asciiTheme="majorHAnsi" w:hAnsiTheme="majorHAnsi" w:cstheme="majorHAnsi"/>
          <w:lang w:val="es-ES"/>
        </w:rPr>
        <w:t>Spain</w:t>
      </w:r>
      <w:proofErr w:type="spellEnd"/>
      <w:r w:rsidRPr="00512EAB">
        <w:rPr>
          <w:rFonts w:asciiTheme="majorHAnsi" w:hAnsiTheme="majorHAnsi" w:cstheme="majorHAnsi"/>
          <w:lang w:val="es-ES"/>
        </w:rPr>
        <w:t>;</w:t>
      </w:r>
    </w:p>
    <w:p w14:paraId="56D45224" w14:textId="77777777" w:rsidR="00812A44" w:rsidRPr="00512EAB" w:rsidRDefault="00812A44" w:rsidP="00812A44">
      <w:pPr>
        <w:spacing w:line="360" w:lineRule="auto"/>
        <w:jc w:val="both"/>
        <w:rPr>
          <w:rFonts w:asciiTheme="majorHAnsi" w:hAnsiTheme="majorHAnsi" w:cstheme="majorHAnsi"/>
          <w:lang w:val="es-ES"/>
        </w:rPr>
      </w:pPr>
      <w:r w:rsidRPr="00512EAB">
        <w:rPr>
          <w:rFonts w:asciiTheme="majorHAnsi" w:hAnsiTheme="majorHAnsi" w:cstheme="majorHAnsi"/>
          <w:vertAlign w:val="superscript"/>
          <w:lang w:val="es-ES"/>
        </w:rPr>
        <w:t>16</w:t>
      </w:r>
      <w:r w:rsidRPr="00512EAB">
        <w:rPr>
          <w:rFonts w:asciiTheme="majorHAnsi" w:hAnsiTheme="majorHAnsi" w:cstheme="majorHAnsi"/>
          <w:lang w:val="es-ES"/>
        </w:rPr>
        <w:t xml:space="preserve">Erasme Hospital, </w:t>
      </w:r>
      <w:proofErr w:type="spellStart"/>
      <w:r w:rsidRPr="00512EAB">
        <w:rPr>
          <w:rFonts w:asciiTheme="majorHAnsi" w:hAnsiTheme="majorHAnsi" w:cstheme="majorHAnsi"/>
          <w:lang w:val="es-ES"/>
        </w:rPr>
        <w:t>Université</w:t>
      </w:r>
      <w:proofErr w:type="spellEnd"/>
      <w:r w:rsidRPr="00512EAB">
        <w:rPr>
          <w:rFonts w:asciiTheme="majorHAnsi" w:hAnsiTheme="majorHAnsi" w:cstheme="majorHAnsi"/>
          <w:lang w:val="es-ES"/>
        </w:rPr>
        <w:t xml:space="preserve"> Libre de </w:t>
      </w:r>
      <w:proofErr w:type="spellStart"/>
      <w:r w:rsidRPr="00512EAB">
        <w:rPr>
          <w:rFonts w:asciiTheme="majorHAnsi" w:hAnsiTheme="majorHAnsi" w:cstheme="majorHAnsi"/>
          <w:lang w:val="es-ES"/>
        </w:rPr>
        <w:t>Bruxelles</w:t>
      </w:r>
      <w:proofErr w:type="spellEnd"/>
      <w:r w:rsidRPr="00512EAB">
        <w:rPr>
          <w:rFonts w:asciiTheme="majorHAnsi" w:hAnsiTheme="majorHAnsi" w:cstheme="majorHAnsi"/>
          <w:lang w:val="es-ES"/>
        </w:rPr>
        <w:t xml:space="preserve">, </w:t>
      </w:r>
      <w:proofErr w:type="spellStart"/>
      <w:r w:rsidRPr="00512EAB">
        <w:rPr>
          <w:rFonts w:asciiTheme="majorHAnsi" w:hAnsiTheme="majorHAnsi" w:cstheme="majorHAnsi"/>
          <w:lang w:val="es-ES"/>
        </w:rPr>
        <w:t>Brussels</w:t>
      </w:r>
      <w:proofErr w:type="spellEnd"/>
      <w:r w:rsidRPr="00512EAB">
        <w:rPr>
          <w:rFonts w:asciiTheme="majorHAnsi" w:hAnsiTheme="majorHAnsi" w:cstheme="majorHAnsi"/>
          <w:lang w:val="es-ES"/>
        </w:rPr>
        <w:t xml:space="preserve">, </w:t>
      </w:r>
      <w:proofErr w:type="spellStart"/>
      <w:r w:rsidRPr="00512EAB">
        <w:rPr>
          <w:rFonts w:asciiTheme="majorHAnsi" w:hAnsiTheme="majorHAnsi" w:cstheme="majorHAnsi"/>
          <w:lang w:val="es-ES"/>
        </w:rPr>
        <w:t>Belgium</w:t>
      </w:r>
      <w:proofErr w:type="spellEnd"/>
      <w:r w:rsidRPr="00512EAB">
        <w:rPr>
          <w:rFonts w:asciiTheme="majorHAnsi" w:hAnsiTheme="majorHAnsi" w:cstheme="majorHAnsi"/>
          <w:lang w:val="es-ES"/>
        </w:rPr>
        <w:t xml:space="preserve">; </w:t>
      </w:r>
    </w:p>
    <w:p w14:paraId="2A6014E8" w14:textId="77777777" w:rsidR="00812A44" w:rsidRPr="00512EAB" w:rsidRDefault="00812A44" w:rsidP="00812A44">
      <w:pPr>
        <w:spacing w:line="360" w:lineRule="auto"/>
        <w:jc w:val="both"/>
        <w:rPr>
          <w:rFonts w:asciiTheme="majorHAnsi" w:hAnsiTheme="majorHAnsi" w:cstheme="majorHAnsi"/>
          <w:lang w:val="es-ES"/>
        </w:rPr>
      </w:pPr>
      <w:r w:rsidRPr="00512EAB">
        <w:rPr>
          <w:rFonts w:asciiTheme="majorHAnsi" w:hAnsiTheme="majorHAnsi" w:cstheme="majorHAnsi"/>
          <w:vertAlign w:val="superscript"/>
          <w:lang w:val="es-ES"/>
        </w:rPr>
        <w:t>17</w:t>
      </w:r>
      <w:r w:rsidRPr="00512EAB">
        <w:rPr>
          <w:rFonts w:asciiTheme="majorHAnsi" w:hAnsiTheme="majorHAnsi" w:cstheme="majorHAnsi"/>
          <w:lang w:val="es-ES"/>
        </w:rPr>
        <w:t xml:space="preserve">Hospital Ramón y Cajal, Madrid, </w:t>
      </w:r>
      <w:proofErr w:type="spellStart"/>
      <w:r w:rsidRPr="00512EAB">
        <w:rPr>
          <w:rFonts w:asciiTheme="majorHAnsi" w:hAnsiTheme="majorHAnsi" w:cstheme="majorHAnsi"/>
          <w:lang w:val="es-ES"/>
        </w:rPr>
        <w:t>Spain</w:t>
      </w:r>
      <w:proofErr w:type="spellEnd"/>
      <w:r w:rsidRPr="00512EAB">
        <w:rPr>
          <w:rFonts w:asciiTheme="majorHAnsi" w:hAnsiTheme="majorHAnsi" w:cstheme="majorHAnsi"/>
          <w:lang w:val="es-ES"/>
        </w:rPr>
        <w:t xml:space="preserve">; </w:t>
      </w:r>
    </w:p>
    <w:p w14:paraId="430EDC5A" w14:textId="77777777" w:rsidR="00812A44" w:rsidRPr="00512EAB" w:rsidRDefault="00812A44" w:rsidP="00812A44">
      <w:pPr>
        <w:spacing w:line="360" w:lineRule="auto"/>
        <w:jc w:val="both"/>
        <w:rPr>
          <w:rFonts w:asciiTheme="majorHAnsi" w:hAnsiTheme="majorHAnsi" w:cstheme="majorHAnsi"/>
          <w:vertAlign w:val="superscript"/>
          <w:lang w:val="es-ES"/>
        </w:rPr>
      </w:pPr>
      <w:r w:rsidRPr="00512EAB">
        <w:rPr>
          <w:rFonts w:asciiTheme="majorHAnsi" w:hAnsiTheme="majorHAnsi" w:cstheme="majorHAnsi"/>
          <w:vertAlign w:val="superscript"/>
          <w:lang w:val="es-ES"/>
        </w:rPr>
        <w:t xml:space="preserve">18 </w:t>
      </w:r>
      <w:proofErr w:type="spellStart"/>
      <w:r w:rsidRPr="00512EAB">
        <w:rPr>
          <w:rFonts w:asciiTheme="majorHAnsi" w:hAnsiTheme="majorHAnsi" w:cstheme="majorHAnsi"/>
          <w:lang w:val="es-ES"/>
        </w:rPr>
        <w:t>Vall´d</w:t>
      </w:r>
      <w:proofErr w:type="spellEnd"/>
      <w:r w:rsidRPr="00512EAB">
        <w:rPr>
          <w:rFonts w:asciiTheme="majorHAnsi" w:hAnsiTheme="majorHAnsi" w:cstheme="majorHAnsi"/>
          <w:lang w:val="es-ES"/>
        </w:rPr>
        <w:t xml:space="preserve"> </w:t>
      </w:r>
      <w:proofErr w:type="spellStart"/>
      <w:r w:rsidRPr="00512EAB">
        <w:rPr>
          <w:rFonts w:asciiTheme="majorHAnsi" w:hAnsiTheme="majorHAnsi" w:cstheme="majorHAnsi"/>
          <w:lang w:val="es-ES"/>
        </w:rPr>
        <w:t>Hebron</w:t>
      </w:r>
      <w:proofErr w:type="spellEnd"/>
      <w:r w:rsidRPr="00512EAB">
        <w:rPr>
          <w:rFonts w:asciiTheme="majorHAnsi" w:hAnsiTheme="majorHAnsi" w:cstheme="majorHAnsi"/>
          <w:lang w:val="es-ES"/>
        </w:rPr>
        <w:t xml:space="preserve"> Hospital, Barcelona, </w:t>
      </w:r>
      <w:proofErr w:type="spellStart"/>
      <w:r w:rsidRPr="00512EAB">
        <w:rPr>
          <w:rFonts w:asciiTheme="majorHAnsi" w:hAnsiTheme="majorHAnsi" w:cstheme="majorHAnsi"/>
          <w:lang w:val="es-ES"/>
        </w:rPr>
        <w:t>Spain</w:t>
      </w:r>
      <w:proofErr w:type="spellEnd"/>
      <w:r w:rsidRPr="00512EAB">
        <w:rPr>
          <w:rFonts w:asciiTheme="majorHAnsi" w:hAnsiTheme="majorHAnsi" w:cstheme="majorHAnsi"/>
          <w:lang w:val="es-ES"/>
        </w:rPr>
        <w:t>;</w:t>
      </w:r>
    </w:p>
    <w:p w14:paraId="2C283AE5" w14:textId="77777777" w:rsidR="00812A44" w:rsidRPr="003F0A32" w:rsidRDefault="00812A44" w:rsidP="00812A44">
      <w:pPr>
        <w:spacing w:line="360" w:lineRule="auto"/>
        <w:jc w:val="both"/>
        <w:rPr>
          <w:rFonts w:asciiTheme="majorHAnsi" w:hAnsiTheme="majorHAnsi" w:cstheme="majorHAnsi"/>
          <w:lang w:val="fr-CH"/>
        </w:rPr>
      </w:pPr>
      <w:r w:rsidRPr="003F0A32">
        <w:rPr>
          <w:rFonts w:asciiTheme="majorHAnsi" w:hAnsiTheme="majorHAnsi" w:cstheme="majorHAnsi"/>
          <w:vertAlign w:val="superscript"/>
          <w:lang w:val="fr-CH"/>
        </w:rPr>
        <w:t>19</w:t>
      </w:r>
      <w:r w:rsidRPr="003F0A32">
        <w:rPr>
          <w:rFonts w:asciiTheme="majorHAnsi" w:hAnsiTheme="majorHAnsi" w:cstheme="majorHAnsi"/>
          <w:lang w:val="fr-CH"/>
        </w:rPr>
        <w:t xml:space="preserve">Hôpital Paul Brousse, Université Paris-Sud, Villejuif, </w:t>
      </w:r>
      <w:proofErr w:type="gramStart"/>
      <w:r w:rsidRPr="003F0A32">
        <w:rPr>
          <w:rFonts w:asciiTheme="majorHAnsi" w:hAnsiTheme="majorHAnsi" w:cstheme="majorHAnsi"/>
          <w:lang w:val="fr-CH"/>
        </w:rPr>
        <w:t>France;</w:t>
      </w:r>
      <w:proofErr w:type="gramEnd"/>
      <w:r w:rsidRPr="003F0A32">
        <w:rPr>
          <w:rFonts w:asciiTheme="majorHAnsi" w:hAnsiTheme="majorHAnsi" w:cstheme="majorHAnsi"/>
          <w:lang w:val="fr-CH"/>
        </w:rPr>
        <w:t xml:space="preserve"> </w:t>
      </w:r>
    </w:p>
    <w:p w14:paraId="1E6820A3"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20</w:t>
      </w:r>
      <w:r w:rsidRPr="00A25A60">
        <w:rPr>
          <w:rFonts w:asciiTheme="majorHAnsi" w:hAnsiTheme="majorHAnsi" w:cstheme="majorHAnsi"/>
          <w:lang w:val="en-US"/>
        </w:rPr>
        <w:t xml:space="preserve">Division of Gastroenterology and Hepatology, San Giovanni Battista Hospital, Torino, Italy; </w:t>
      </w:r>
    </w:p>
    <w:p w14:paraId="1BB8BE98"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vertAlign w:val="superscript"/>
          <w:lang w:val="en-US"/>
        </w:rPr>
        <w:t>21</w:t>
      </w:r>
      <w:r w:rsidRPr="00A25A60">
        <w:rPr>
          <w:rFonts w:asciiTheme="majorHAnsi" w:hAnsiTheme="majorHAnsi" w:cstheme="majorHAnsi"/>
          <w:lang w:val="en-US"/>
        </w:rPr>
        <w:t xml:space="preserve">Department of Hepatology, </w:t>
      </w:r>
      <w:proofErr w:type="spellStart"/>
      <w:r w:rsidRPr="00A25A60">
        <w:rPr>
          <w:rFonts w:asciiTheme="majorHAnsi" w:hAnsiTheme="majorHAnsi" w:cstheme="majorHAnsi"/>
          <w:lang w:val="en-US"/>
        </w:rPr>
        <w:t>Inselspital</w:t>
      </w:r>
      <w:proofErr w:type="spellEnd"/>
      <w:r w:rsidRPr="00A25A60">
        <w:rPr>
          <w:rFonts w:asciiTheme="majorHAnsi" w:hAnsiTheme="majorHAnsi" w:cstheme="majorHAnsi"/>
          <w:lang w:val="en-US"/>
        </w:rPr>
        <w:t>, Bern, Switzerland;</w:t>
      </w:r>
    </w:p>
    <w:p w14:paraId="19749B99" w14:textId="77777777" w:rsidR="00812A44" w:rsidRPr="00A25A60" w:rsidRDefault="00812A44" w:rsidP="00812A44">
      <w:pPr>
        <w:spacing w:line="360" w:lineRule="auto"/>
        <w:jc w:val="both"/>
        <w:rPr>
          <w:rFonts w:asciiTheme="majorHAnsi" w:hAnsiTheme="majorHAnsi" w:cstheme="majorHAnsi"/>
          <w:vertAlign w:val="superscript"/>
          <w:lang w:val="en-US"/>
        </w:rPr>
      </w:pPr>
      <w:r w:rsidRPr="00A25A60">
        <w:rPr>
          <w:rFonts w:asciiTheme="majorHAnsi" w:hAnsiTheme="majorHAnsi" w:cstheme="majorHAnsi"/>
          <w:vertAlign w:val="superscript"/>
          <w:lang w:val="en-US"/>
        </w:rPr>
        <w:t>22</w:t>
      </w:r>
      <w:r w:rsidRPr="00A25A60">
        <w:rPr>
          <w:rFonts w:asciiTheme="majorHAnsi" w:hAnsiTheme="majorHAnsi" w:cstheme="majorHAnsi"/>
          <w:lang w:val="en-US"/>
        </w:rPr>
        <w:t xml:space="preserve">Department of </w:t>
      </w:r>
      <w:proofErr w:type="spellStart"/>
      <w:r w:rsidRPr="00A25A60">
        <w:rPr>
          <w:rFonts w:asciiTheme="majorHAnsi" w:hAnsiTheme="majorHAnsi" w:cstheme="majorHAnsi"/>
          <w:lang w:val="en-US"/>
        </w:rPr>
        <w:t>HEpatology</w:t>
      </w:r>
      <w:proofErr w:type="spellEnd"/>
      <w:r w:rsidRPr="00A25A60">
        <w:rPr>
          <w:rFonts w:asciiTheme="majorHAnsi" w:hAnsiTheme="majorHAnsi" w:cstheme="majorHAnsi"/>
          <w:lang w:val="en-US"/>
        </w:rPr>
        <w:t xml:space="preserve"> and Gastroenterology, University Clinic Innsbruck, Austria;</w:t>
      </w:r>
    </w:p>
    <w:p w14:paraId="2981EFE9" w14:textId="77777777" w:rsidR="00812A44" w:rsidRPr="003F0A32" w:rsidRDefault="00812A44" w:rsidP="00812A44">
      <w:pPr>
        <w:spacing w:line="360" w:lineRule="auto"/>
        <w:jc w:val="both"/>
        <w:rPr>
          <w:rFonts w:asciiTheme="majorHAnsi" w:hAnsiTheme="majorHAnsi" w:cstheme="majorHAnsi"/>
          <w:lang w:val="fr-CH"/>
        </w:rPr>
      </w:pPr>
      <w:r w:rsidRPr="003F0A32">
        <w:rPr>
          <w:rFonts w:asciiTheme="majorHAnsi" w:hAnsiTheme="majorHAnsi" w:cstheme="majorHAnsi"/>
          <w:vertAlign w:val="superscript"/>
          <w:lang w:val="fr-CH"/>
        </w:rPr>
        <w:t>23</w:t>
      </w:r>
      <w:r w:rsidRPr="003F0A32">
        <w:rPr>
          <w:rFonts w:asciiTheme="majorHAnsi" w:hAnsiTheme="majorHAnsi" w:cstheme="majorHAnsi"/>
          <w:lang w:val="fr-CH"/>
        </w:rPr>
        <w:t>Inserm, U1149, Centre de Recherche sur l’Inflammation (CRI), UMRS</w:t>
      </w:r>
      <w:proofErr w:type="gramStart"/>
      <w:r w:rsidRPr="003F0A32">
        <w:rPr>
          <w:rFonts w:asciiTheme="majorHAnsi" w:hAnsiTheme="majorHAnsi" w:cstheme="majorHAnsi"/>
          <w:lang w:val="fr-CH"/>
        </w:rPr>
        <w:t>1149;</w:t>
      </w:r>
      <w:proofErr w:type="gramEnd"/>
      <w:r w:rsidRPr="003F0A32">
        <w:rPr>
          <w:rFonts w:asciiTheme="majorHAnsi" w:hAnsiTheme="majorHAnsi" w:cstheme="majorHAnsi"/>
          <w:lang w:val="fr-CH"/>
        </w:rPr>
        <w:t xml:space="preserve"> Université Paris Diderot-Paris 7, Département Hospitalo-Universitaire (DHU) UNITY; Service d’Hépatologie, Hôpital Beaujon, Assistance Publique-Hôpitaux de Paris; Laboratoire d’Excellence </w:t>
      </w:r>
      <w:proofErr w:type="spellStart"/>
      <w:r w:rsidRPr="003F0A32">
        <w:rPr>
          <w:rFonts w:asciiTheme="majorHAnsi" w:hAnsiTheme="majorHAnsi" w:cstheme="majorHAnsi"/>
          <w:lang w:val="fr-CH"/>
        </w:rPr>
        <w:t>Inflamex</w:t>
      </w:r>
      <w:proofErr w:type="spellEnd"/>
      <w:r w:rsidRPr="003F0A32">
        <w:rPr>
          <w:rFonts w:asciiTheme="majorHAnsi" w:hAnsiTheme="majorHAnsi" w:cstheme="majorHAnsi"/>
          <w:lang w:val="fr-CH"/>
        </w:rPr>
        <w:t xml:space="preserve">, </w:t>
      </w:r>
      <w:proofErr w:type="spellStart"/>
      <w:r w:rsidRPr="003F0A32">
        <w:rPr>
          <w:rFonts w:asciiTheme="majorHAnsi" w:hAnsiTheme="majorHAnsi" w:cstheme="majorHAnsi"/>
          <w:lang w:val="fr-CH"/>
        </w:rPr>
        <w:t>ComUE</w:t>
      </w:r>
      <w:proofErr w:type="spellEnd"/>
      <w:r w:rsidRPr="003F0A32">
        <w:rPr>
          <w:rFonts w:asciiTheme="majorHAnsi" w:hAnsiTheme="majorHAnsi" w:cstheme="majorHAnsi"/>
          <w:lang w:val="fr-CH"/>
        </w:rPr>
        <w:t xml:space="preserve"> Sorbonne Paris Cité, Paris, France; </w:t>
      </w:r>
    </w:p>
    <w:p w14:paraId="78DD8160" w14:textId="77777777" w:rsidR="00812A44" w:rsidRPr="003F0A32" w:rsidRDefault="00812A44" w:rsidP="00812A44">
      <w:pPr>
        <w:spacing w:line="360" w:lineRule="auto"/>
        <w:jc w:val="both"/>
        <w:rPr>
          <w:rFonts w:asciiTheme="majorHAnsi" w:hAnsiTheme="majorHAnsi" w:cstheme="majorHAnsi"/>
          <w:lang w:val="fr-CH"/>
        </w:rPr>
      </w:pPr>
    </w:p>
    <w:p w14:paraId="64B947DE" w14:textId="77777777" w:rsidR="00812A44" w:rsidRPr="00A25A60" w:rsidRDefault="00812A44" w:rsidP="00812A44">
      <w:pPr>
        <w:spacing w:line="360" w:lineRule="auto"/>
        <w:jc w:val="both"/>
        <w:rPr>
          <w:rFonts w:asciiTheme="majorHAnsi" w:hAnsiTheme="majorHAnsi" w:cstheme="majorHAnsi"/>
          <w:lang w:val="en-US"/>
        </w:rPr>
      </w:pPr>
      <w:r w:rsidRPr="00A25A60">
        <w:rPr>
          <w:rFonts w:asciiTheme="majorHAnsi" w:hAnsiTheme="majorHAnsi" w:cstheme="majorHAnsi"/>
          <w:b/>
          <w:vertAlign w:val="superscript"/>
          <w:lang w:val="en-US"/>
        </w:rPr>
        <w:t>#</w:t>
      </w:r>
      <w:r w:rsidRPr="00A25A60">
        <w:rPr>
          <w:rFonts w:asciiTheme="majorHAnsi" w:hAnsiTheme="majorHAnsi" w:cstheme="majorHAnsi"/>
          <w:b/>
          <w:lang w:val="en-US"/>
        </w:rPr>
        <w:t xml:space="preserve">Corresponding author: </w:t>
      </w:r>
      <w:proofErr w:type="spellStart"/>
      <w:r w:rsidRPr="00A25A60">
        <w:rPr>
          <w:rFonts w:asciiTheme="majorHAnsi" w:hAnsiTheme="majorHAnsi" w:cstheme="majorHAnsi"/>
          <w:lang w:val="en-US"/>
        </w:rPr>
        <w:t>Jonel</w:t>
      </w:r>
      <w:proofErr w:type="spellEnd"/>
      <w:r w:rsidRPr="00A25A60">
        <w:rPr>
          <w:rFonts w:asciiTheme="majorHAnsi" w:hAnsiTheme="majorHAnsi" w:cstheme="majorHAnsi"/>
          <w:lang w:val="en-US"/>
        </w:rPr>
        <w:t xml:space="preserve"> </w:t>
      </w:r>
      <w:proofErr w:type="spellStart"/>
      <w:r w:rsidRPr="00A25A60">
        <w:rPr>
          <w:rFonts w:asciiTheme="majorHAnsi" w:hAnsiTheme="majorHAnsi" w:cstheme="majorHAnsi"/>
          <w:lang w:val="en-US"/>
        </w:rPr>
        <w:t>Trebicka</w:t>
      </w:r>
      <w:proofErr w:type="spellEnd"/>
      <w:r w:rsidRPr="00A25A60">
        <w:rPr>
          <w:rFonts w:asciiTheme="majorHAnsi" w:hAnsiTheme="majorHAnsi" w:cstheme="majorHAnsi"/>
          <w:lang w:val="en-US"/>
        </w:rPr>
        <w:t xml:space="preserve"> MD, PhD, European Foundation for the Study of Chronic Liver Failure, </w:t>
      </w:r>
      <w:proofErr w:type="spellStart"/>
      <w:r w:rsidRPr="00A25A60">
        <w:rPr>
          <w:rFonts w:asciiTheme="majorHAnsi" w:hAnsiTheme="majorHAnsi" w:cstheme="majorHAnsi"/>
          <w:lang w:val="en-US"/>
        </w:rPr>
        <w:t>Travesera</w:t>
      </w:r>
      <w:proofErr w:type="spellEnd"/>
      <w:r w:rsidRPr="00A25A60">
        <w:rPr>
          <w:rFonts w:asciiTheme="majorHAnsi" w:hAnsiTheme="majorHAnsi" w:cstheme="majorHAnsi"/>
          <w:lang w:val="en-US"/>
        </w:rPr>
        <w:t xml:space="preserve"> de </w:t>
      </w:r>
      <w:proofErr w:type="spellStart"/>
      <w:r w:rsidRPr="00A25A60">
        <w:rPr>
          <w:rFonts w:asciiTheme="majorHAnsi" w:hAnsiTheme="majorHAnsi" w:cstheme="majorHAnsi"/>
          <w:lang w:val="en-US"/>
        </w:rPr>
        <w:t>Gracia</w:t>
      </w:r>
      <w:proofErr w:type="spellEnd"/>
      <w:r w:rsidRPr="00A25A60">
        <w:rPr>
          <w:rFonts w:asciiTheme="majorHAnsi" w:hAnsiTheme="majorHAnsi" w:cstheme="majorHAnsi"/>
          <w:lang w:val="en-US"/>
        </w:rPr>
        <w:t xml:space="preserve"> 11, 7</w:t>
      </w:r>
      <w:r w:rsidRPr="00A25A60">
        <w:rPr>
          <w:rFonts w:asciiTheme="majorHAnsi" w:hAnsiTheme="majorHAnsi" w:cstheme="majorHAnsi"/>
          <w:vertAlign w:val="superscript"/>
          <w:lang w:val="en-US"/>
        </w:rPr>
        <w:t>th</w:t>
      </w:r>
      <w:r w:rsidRPr="00A25A60">
        <w:rPr>
          <w:rFonts w:asciiTheme="majorHAnsi" w:hAnsiTheme="majorHAnsi" w:cstheme="majorHAnsi"/>
          <w:lang w:val="en-US"/>
        </w:rPr>
        <w:t xml:space="preserve"> floor, 08021 Barcelona, Spain. </w:t>
      </w:r>
      <w:hyperlink r:id="rId11" w:history="1">
        <w:r w:rsidRPr="00A25A60">
          <w:rPr>
            <w:rStyle w:val="Hyperlink"/>
            <w:rFonts w:asciiTheme="majorHAnsi" w:hAnsiTheme="majorHAnsi" w:cstheme="majorHAnsi"/>
            <w:color w:val="auto"/>
            <w:lang w:val="en-US"/>
          </w:rPr>
          <w:t>jonel.trebicka@efclif.com</w:t>
        </w:r>
      </w:hyperlink>
      <w:r w:rsidRPr="00A25A60">
        <w:rPr>
          <w:rFonts w:asciiTheme="majorHAnsi" w:hAnsiTheme="majorHAnsi" w:cstheme="majorHAnsi"/>
          <w:lang w:val="en-US"/>
        </w:rPr>
        <w:t xml:space="preserve"> </w:t>
      </w:r>
    </w:p>
    <w:p w14:paraId="33070390" w14:textId="77777777" w:rsidR="00812A44" w:rsidRPr="00A25A60" w:rsidRDefault="00812A44" w:rsidP="00812A44">
      <w:pPr>
        <w:spacing w:line="360" w:lineRule="auto"/>
        <w:jc w:val="both"/>
        <w:rPr>
          <w:rFonts w:asciiTheme="majorHAnsi" w:hAnsiTheme="majorHAnsi" w:cstheme="majorHAnsi"/>
          <w:lang w:val="en-US"/>
        </w:rPr>
      </w:pPr>
    </w:p>
    <w:p w14:paraId="16B4BBB9" w14:textId="77777777" w:rsidR="00723D2D" w:rsidRPr="00A25A60" w:rsidRDefault="00723D2D" w:rsidP="005F6D4C">
      <w:pPr>
        <w:spacing w:line="360" w:lineRule="auto"/>
        <w:jc w:val="both"/>
        <w:rPr>
          <w:rFonts w:asciiTheme="majorHAnsi" w:hAnsiTheme="majorHAnsi" w:cstheme="majorHAnsi"/>
          <w:lang w:val="en-US"/>
        </w:rPr>
      </w:pPr>
    </w:p>
    <w:p w14:paraId="4157E554" w14:textId="3B3C5B6F" w:rsidR="00A83F40" w:rsidRPr="00A25A60" w:rsidRDefault="00A30E20">
      <w:pPr>
        <w:rPr>
          <w:rFonts w:asciiTheme="majorHAnsi" w:hAnsiTheme="majorHAnsi" w:cstheme="majorHAnsi"/>
          <w:b/>
          <w:bCs/>
          <w:kern w:val="36"/>
          <w:lang w:val="en-US"/>
        </w:rPr>
      </w:pPr>
      <w:r w:rsidRPr="00A25A60">
        <w:rPr>
          <w:rFonts w:asciiTheme="majorHAnsi" w:hAnsiTheme="majorHAnsi" w:cstheme="majorHAnsi"/>
          <w:lang w:val="en-US"/>
        </w:rPr>
        <w:br w:type="page"/>
      </w:r>
    </w:p>
    <w:p w14:paraId="5006FDB4" w14:textId="1A20FAF0" w:rsidR="006B1CEA" w:rsidRPr="00A25A60" w:rsidRDefault="00593B1E" w:rsidP="003730FF">
      <w:pPr>
        <w:spacing w:line="360" w:lineRule="auto"/>
        <w:contextualSpacing/>
        <w:rPr>
          <w:rFonts w:asciiTheme="majorHAnsi" w:hAnsiTheme="majorHAnsi" w:cstheme="majorHAnsi"/>
          <w:b/>
          <w:lang w:val="en-US"/>
        </w:rPr>
      </w:pPr>
      <w:r w:rsidRPr="00A25A60">
        <w:rPr>
          <w:rFonts w:asciiTheme="majorHAnsi" w:hAnsiTheme="majorHAnsi" w:cstheme="majorHAnsi"/>
          <w:b/>
          <w:lang w:val="en-US"/>
        </w:rPr>
        <w:lastRenderedPageBreak/>
        <w:t>Supplementary T</w:t>
      </w:r>
      <w:r w:rsidR="006B1CEA" w:rsidRPr="00A25A60">
        <w:rPr>
          <w:rFonts w:asciiTheme="majorHAnsi" w:hAnsiTheme="majorHAnsi" w:cstheme="majorHAnsi"/>
          <w:b/>
          <w:lang w:val="en-US"/>
        </w:rPr>
        <w:t>able 1. Demographic characteristics and inflammatory mediators in healthy subjects and pati</w:t>
      </w:r>
      <w:r w:rsidR="00F85E15" w:rsidRPr="00A25A60">
        <w:rPr>
          <w:rFonts w:asciiTheme="majorHAnsi" w:hAnsiTheme="majorHAnsi" w:cstheme="majorHAnsi"/>
          <w:b/>
          <w:lang w:val="en-US"/>
        </w:rPr>
        <w:t>ents with compensated cirrhosis</w:t>
      </w: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681"/>
        <w:gridCol w:w="1988"/>
        <w:gridCol w:w="2978"/>
        <w:gridCol w:w="987"/>
      </w:tblGrid>
      <w:tr w:rsidR="006B1CEA" w:rsidRPr="00A25A60" w14:paraId="057649C6" w14:textId="77777777" w:rsidTr="009F2EBF">
        <w:trPr>
          <w:jc w:val="center"/>
        </w:trPr>
        <w:tc>
          <w:tcPr>
            <w:tcW w:w="3681" w:type="dxa"/>
            <w:tcBorders>
              <w:top w:val="single" w:sz="4" w:space="0" w:color="auto"/>
              <w:bottom w:val="single" w:sz="4" w:space="0" w:color="auto"/>
            </w:tcBorders>
          </w:tcPr>
          <w:p w14:paraId="58F6B97E" w14:textId="77777777" w:rsidR="00F85E15" w:rsidRPr="00A25A60" w:rsidRDefault="00F85E15" w:rsidP="00F85E15">
            <w:pPr>
              <w:widowControl w:val="0"/>
              <w:adjustRightInd w:val="0"/>
              <w:spacing w:line="360" w:lineRule="auto"/>
              <w:contextualSpacing/>
              <w:rPr>
                <w:rFonts w:asciiTheme="majorHAnsi" w:hAnsiTheme="majorHAnsi" w:cstheme="majorHAnsi"/>
                <w:b/>
                <w:bCs/>
                <w:sz w:val="24"/>
                <w:szCs w:val="24"/>
                <w:lang w:val="en-US"/>
              </w:rPr>
            </w:pPr>
          </w:p>
          <w:p w14:paraId="373FB377" w14:textId="3E658D9E" w:rsidR="006B1CEA" w:rsidRPr="00A25A60" w:rsidRDefault="006B1CEA" w:rsidP="00F85E15">
            <w:pPr>
              <w:widowControl w:val="0"/>
              <w:adjustRightInd w:val="0"/>
              <w:spacing w:line="360" w:lineRule="auto"/>
              <w:contextualSpacing/>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Variable</w:t>
            </w:r>
          </w:p>
        </w:tc>
        <w:tc>
          <w:tcPr>
            <w:tcW w:w="1988" w:type="dxa"/>
            <w:tcBorders>
              <w:top w:val="single" w:sz="4" w:space="0" w:color="auto"/>
              <w:bottom w:val="single" w:sz="4" w:space="0" w:color="auto"/>
            </w:tcBorders>
          </w:tcPr>
          <w:p w14:paraId="31F12308" w14:textId="7BE36EBE" w:rsidR="00F85E15" w:rsidRPr="00A25A60" w:rsidRDefault="006B1CEA" w:rsidP="009F2EBF">
            <w:pPr>
              <w:widowControl w:val="0"/>
              <w:adjustRightInd w:val="0"/>
              <w:spacing w:line="360" w:lineRule="auto"/>
              <w:contextualSpacing/>
              <w:jc w:val="center"/>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 xml:space="preserve">Healthy </w:t>
            </w:r>
            <w:r w:rsidR="009F2EBF" w:rsidRPr="00A25A60">
              <w:rPr>
                <w:rFonts w:asciiTheme="majorHAnsi" w:hAnsiTheme="majorHAnsi" w:cstheme="majorHAnsi"/>
                <w:b/>
                <w:bCs/>
                <w:sz w:val="24"/>
                <w:szCs w:val="24"/>
                <w:lang w:val="en-US"/>
              </w:rPr>
              <w:t>Subjects</w:t>
            </w:r>
          </w:p>
          <w:p w14:paraId="21D4A43D" w14:textId="31A2FAC9" w:rsidR="006B1CEA" w:rsidRPr="00A25A60" w:rsidRDefault="009F2EBF" w:rsidP="00F85E15">
            <w:pPr>
              <w:widowControl w:val="0"/>
              <w:adjustRightInd w:val="0"/>
              <w:spacing w:line="360" w:lineRule="auto"/>
              <w:contextualSpacing/>
              <w:jc w:val="center"/>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 xml:space="preserve"> </w:t>
            </w:r>
            <w:r w:rsidR="006B1CEA" w:rsidRPr="00A25A60">
              <w:rPr>
                <w:rFonts w:asciiTheme="majorHAnsi" w:hAnsiTheme="majorHAnsi" w:cstheme="majorHAnsi"/>
                <w:b/>
                <w:bCs/>
                <w:sz w:val="24"/>
                <w:szCs w:val="24"/>
                <w:lang w:val="en-US"/>
              </w:rPr>
              <w:t>(N=40)</w:t>
            </w:r>
          </w:p>
        </w:tc>
        <w:tc>
          <w:tcPr>
            <w:tcW w:w="2978" w:type="dxa"/>
            <w:tcBorders>
              <w:top w:val="single" w:sz="4" w:space="0" w:color="auto"/>
              <w:bottom w:val="single" w:sz="4" w:space="0" w:color="auto"/>
            </w:tcBorders>
          </w:tcPr>
          <w:p w14:paraId="75AD80FD" w14:textId="3AD4FA2B" w:rsidR="006B1CEA" w:rsidRPr="00A25A60" w:rsidRDefault="00F85E15" w:rsidP="00F85E15">
            <w:pPr>
              <w:widowControl w:val="0"/>
              <w:adjustRightInd w:val="0"/>
              <w:spacing w:line="360" w:lineRule="auto"/>
              <w:contextualSpacing/>
              <w:jc w:val="center"/>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 xml:space="preserve">Patients with </w:t>
            </w:r>
            <w:r w:rsidR="006B1CEA" w:rsidRPr="00A25A60">
              <w:rPr>
                <w:rFonts w:asciiTheme="majorHAnsi" w:hAnsiTheme="majorHAnsi" w:cstheme="majorHAnsi"/>
                <w:b/>
                <w:bCs/>
                <w:sz w:val="24"/>
                <w:szCs w:val="24"/>
                <w:lang w:val="en-US"/>
              </w:rPr>
              <w:t xml:space="preserve">Compensated </w:t>
            </w:r>
            <w:r w:rsidRPr="00A25A60">
              <w:rPr>
                <w:rFonts w:asciiTheme="majorHAnsi" w:hAnsiTheme="majorHAnsi" w:cstheme="majorHAnsi"/>
                <w:b/>
                <w:bCs/>
                <w:sz w:val="24"/>
                <w:szCs w:val="24"/>
                <w:lang w:val="en-US"/>
              </w:rPr>
              <w:t xml:space="preserve">Cirrhosis </w:t>
            </w:r>
            <w:r w:rsidR="006B1CEA" w:rsidRPr="00A25A60">
              <w:rPr>
                <w:rFonts w:asciiTheme="majorHAnsi" w:hAnsiTheme="majorHAnsi" w:cstheme="majorHAnsi"/>
                <w:b/>
                <w:bCs/>
                <w:sz w:val="24"/>
                <w:szCs w:val="24"/>
                <w:lang w:val="en-US"/>
              </w:rPr>
              <w:t>(N=39)</w:t>
            </w:r>
          </w:p>
        </w:tc>
        <w:tc>
          <w:tcPr>
            <w:tcW w:w="987" w:type="dxa"/>
            <w:tcBorders>
              <w:top w:val="single" w:sz="4" w:space="0" w:color="auto"/>
              <w:bottom w:val="single" w:sz="4" w:space="0" w:color="auto"/>
            </w:tcBorders>
          </w:tcPr>
          <w:p w14:paraId="51891E8D" w14:textId="77777777" w:rsidR="00F85E15" w:rsidRPr="00A25A60" w:rsidRDefault="00F85E15" w:rsidP="009F2EBF">
            <w:pPr>
              <w:widowControl w:val="0"/>
              <w:adjustRightInd w:val="0"/>
              <w:spacing w:line="360" w:lineRule="auto"/>
              <w:contextualSpacing/>
              <w:rPr>
                <w:rFonts w:asciiTheme="majorHAnsi" w:hAnsiTheme="majorHAnsi" w:cstheme="majorHAnsi"/>
                <w:b/>
                <w:bCs/>
                <w:sz w:val="24"/>
                <w:szCs w:val="24"/>
                <w:lang w:val="en-US"/>
              </w:rPr>
            </w:pPr>
          </w:p>
          <w:p w14:paraId="1C3A5908" w14:textId="48146590" w:rsidR="006B1CEA" w:rsidRPr="00A25A60" w:rsidRDefault="006B1CEA" w:rsidP="00F85E15">
            <w:pPr>
              <w:widowControl w:val="0"/>
              <w:adjustRightInd w:val="0"/>
              <w:spacing w:line="360" w:lineRule="auto"/>
              <w:contextualSpacing/>
              <w:jc w:val="center"/>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P-value</w:t>
            </w:r>
          </w:p>
        </w:tc>
      </w:tr>
      <w:tr w:rsidR="006B1CEA" w:rsidRPr="00A25A60" w14:paraId="4ABB14C4" w14:textId="77777777" w:rsidTr="009F2EBF">
        <w:trPr>
          <w:trHeight w:val="204"/>
          <w:jc w:val="center"/>
        </w:trPr>
        <w:tc>
          <w:tcPr>
            <w:tcW w:w="3681" w:type="dxa"/>
            <w:tcBorders>
              <w:top w:val="single" w:sz="4" w:space="0" w:color="auto"/>
            </w:tcBorders>
          </w:tcPr>
          <w:p w14:paraId="25F8D772" w14:textId="32862E3D" w:rsidR="006B1CEA" w:rsidRPr="00A25A60" w:rsidRDefault="00503C3E" w:rsidP="003730FF">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b/>
                <w:sz w:val="24"/>
                <w:szCs w:val="24"/>
                <w:lang w:val="en-US"/>
              </w:rPr>
              <w:t>Demographic characteristic</w:t>
            </w:r>
            <w:r w:rsidR="00F8332A" w:rsidRPr="00A25A60">
              <w:rPr>
                <w:rFonts w:asciiTheme="majorHAnsi" w:hAnsiTheme="majorHAnsi" w:cstheme="majorHAnsi"/>
                <w:b/>
                <w:sz w:val="24"/>
                <w:szCs w:val="24"/>
                <w:lang w:val="en-US"/>
              </w:rPr>
              <w:t>s</w:t>
            </w:r>
          </w:p>
        </w:tc>
        <w:tc>
          <w:tcPr>
            <w:tcW w:w="1988" w:type="dxa"/>
            <w:tcBorders>
              <w:top w:val="single" w:sz="4" w:space="0" w:color="auto"/>
            </w:tcBorders>
          </w:tcPr>
          <w:p w14:paraId="566DF1D3" w14:textId="77777777" w:rsidR="006B1CEA" w:rsidRPr="00A25A60" w:rsidRDefault="006B1CEA" w:rsidP="003730FF">
            <w:pPr>
              <w:adjustRightInd w:val="0"/>
              <w:spacing w:line="360" w:lineRule="auto"/>
              <w:contextualSpacing/>
              <w:rPr>
                <w:rFonts w:asciiTheme="majorHAnsi" w:hAnsiTheme="majorHAnsi" w:cstheme="majorHAnsi"/>
                <w:sz w:val="24"/>
                <w:szCs w:val="24"/>
                <w:lang w:val="en-US"/>
              </w:rPr>
            </w:pPr>
          </w:p>
        </w:tc>
        <w:tc>
          <w:tcPr>
            <w:tcW w:w="2978" w:type="dxa"/>
            <w:tcBorders>
              <w:top w:val="single" w:sz="4" w:space="0" w:color="auto"/>
            </w:tcBorders>
          </w:tcPr>
          <w:p w14:paraId="52E31B72" w14:textId="77777777" w:rsidR="006B1CEA" w:rsidRPr="00A25A60" w:rsidRDefault="006B1CEA" w:rsidP="003730FF">
            <w:pPr>
              <w:adjustRightInd w:val="0"/>
              <w:spacing w:line="360" w:lineRule="auto"/>
              <w:contextualSpacing/>
              <w:jc w:val="center"/>
              <w:rPr>
                <w:rFonts w:asciiTheme="majorHAnsi" w:hAnsiTheme="majorHAnsi" w:cstheme="majorHAnsi"/>
                <w:sz w:val="24"/>
                <w:szCs w:val="24"/>
                <w:lang w:val="en-US"/>
              </w:rPr>
            </w:pPr>
          </w:p>
        </w:tc>
        <w:tc>
          <w:tcPr>
            <w:tcW w:w="987" w:type="dxa"/>
            <w:tcBorders>
              <w:top w:val="single" w:sz="4" w:space="0" w:color="auto"/>
            </w:tcBorders>
          </w:tcPr>
          <w:p w14:paraId="6DA0BE8D" w14:textId="77777777" w:rsidR="006B1CEA" w:rsidRPr="00A25A60" w:rsidRDefault="006B1CEA" w:rsidP="003730FF">
            <w:pPr>
              <w:adjustRightInd w:val="0"/>
              <w:spacing w:line="360" w:lineRule="auto"/>
              <w:contextualSpacing/>
              <w:jc w:val="center"/>
              <w:rPr>
                <w:rFonts w:asciiTheme="majorHAnsi" w:hAnsiTheme="majorHAnsi" w:cstheme="majorHAnsi"/>
                <w:sz w:val="24"/>
                <w:szCs w:val="24"/>
                <w:lang w:val="en-US"/>
              </w:rPr>
            </w:pPr>
          </w:p>
        </w:tc>
      </w:tr>
      <w:tr w:rsidR="006B1CEA" w:rsidRPr="00A25A60" w14:paraId="1876FBD3" w14:textId="77777777" w:rsidTr="009F2EBF">
        <w:trPr>
          <w:jc w:val="center"/>
        </w:trPr>
        <w:tc>
          <w:tcPr>
            <w:tcW w:w="3681" w:type="dxa"/>
          </w:tcPr>
          <w:p w14:paraId="061892A0" w14:textId="75DD36BE" w:rsidR="006B1CEA" w:rsidRPr="00A25A60" w:rsidRDefault="00503C3E" w:rsidP="003730FF">
            <w:pPr>
              <w:adjustRightInd w:val="0"/>
              <w:spacing w:line="360" w:lineRule="auto"/>
              <w:contextualSpacing/>
              <w:rPr>
                <w:rFonts w:asciiTheme="majorHAnsi" w:hAnsiTheme="majorHAnsi" w:cstheme="majorHAnsi"/>
                <w:sz w:val="24"/>
                <w:szCs w:val="24"/>
                <w:lang w:val="en-US"/>
              </w:rPr>
            </w:pPr>
            <w:r w:rsidRPr="00A25A60">
              <w:rPr>
                <w:rFonts w:asciiTheme="majorHAnsi" w:hAnsiTheme="majorHAnsi" w:cstheme="majorHAnsi"/>
                <w:sz w:val="24"/>
                <w:szCs w:val="24"/>
                <w:lang w:val="en-US"/>
              </w:rPr>
              <w:t xml:space="preserve">   Age— year</w:t>
            </w:r>
          </w:p>
        </w:tc>
        <w:tc>
          <w:tcPr>
            <w:tcW w:w="1988" w:type="dxa"/>
          </w:tcPr>
          <w:p w14:paraId="77BDBB6B" w14:textId="03D0BCBC" w:rsidR="006B1CEA" w:rsidRPr="00A25A60" w:rsidRDefault="006B1CEA" w:rsidP="003730FF">
            <w:pPr>
              <w:adjustRightInd w:val="0"/>
              <w:spacing w:line="360" w:lineRule="auto"/>
              <w:contextualSpacing/>
              <w:jc w:val="center"/>
              <w:rPr>
                <w:rFonts w:asciiTheme="majorHAnsi" w:hAnsiTheme="majorHAnsi" w:cstheme="majorHAnsi"/>
                <w:sz w:val="24"/>
                <w:szCs w:val="24"/>
                <w:highlight w:val="yellow"/>
                <w:lang w:val="en-US"/>
              </w:rPr>
            </w:pPr>
            <w:r w:rsidRPr="00A25A60">
              <w:rPr>
                <w:rFonts w:asciiTheme="majorHAnsi" w:hAnsiTheme="majorHAnsi" w:cstheme="majorHAnsi"/>
                <w:sz w:val="24"/>
                <w:szCs w:val="24"/>
                <w:lang w:val="en-US"/>
              </w:rPr>
              <w:t xml:space="preserve">52.4 </w:t>
            </w:r>
            <w:r w:rsidR="00256514" w:rsidRPr="00A25A60">
              <w:rPr>
                <w:rFonts w:asciiTheme="majorHAnsi" w:hAnsiTheme="majorHAnsi" w:cstheme="majorHAnsi"/>
                <w:sz w:val="24"/>
                <w:szCs w:val="24"/>
                <w:lang w:val="en-US"/>
              </w:rPr>
              <w:t>±</w:t>
            </w:r>
            <w:r w:rsidRPr="00A25A60">
              <w:rPr>
                <w:rFonts w:asciiTheme="majorHAnsi" w:hAnsiTheme="majorHAnsi" w:cstheme="majorHAnsi"/>
                <w:sz w:val="24"/>
                <w:szCs w:val="24"/>
                <w:lang w:val="en-US"/>
              </w:rPr>
              <w:t xml:space="preserve"> 7.28</w:t>
            </w:r>
          </w:p>
        </w:tc>
        <w:tc>
          <w:tcPr>
            <w:tcW w:w="2978" w:type="dxa"/>
          </w:tcPr>
          <w:p w14:paraId="44CBFA06" w14:textId="4125D695" w:rsidR="006B1CEA" w:rsidRPr="00A25A60" w:rsidRDefault="006B1CEA" w:rsidP="003730FF">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 xml:space="preserve">59.6 </w:t>
            </w:r>
            <w:r w:rsidR="00256514" w:rsidRPr="00A25A60">
              <w:rPr>
                <w:rFonts w:asciiTheme="majorHAnsi" w:hAnsiTheme="majorHAnsi" w:cstheme="majorHAnsi"/>
                <w:sz w:val="24"/>
                <w:szCs w:val="24"/>
                <w:lang w:val="en-US"/>
              </w:rPr>
              <w:t>±</w:t>
            </w:r>
            <w:r w:rsidRPr="00A25A60">
              <w:rPr>
                <w:rFonts w:asciiTheme="majorHAnsi" w:hAnsiTheme="majorHAnsi" w:cstheme="majorHAnsi"/>
                <w:sz w:val="24"/>
                <w:szCs w:val="24"/>
                <w:lang w:val="en-US"/>
              </w:rPr>
              <w:t xml:space="preserve"> 9.19</w:t>
            </w:r>
          </w:p>
        </w:tc>
        <w:tc>
          <w:tcPr>
            <w:tcW w:w="987" w:type="dxa"/>
          </w:tcPr>
          <w:p w14:paraId="60437F49" w14:textId="77777777" w:rsidR="006B1CEA" w:rsidRPr="00A25A60" w:rsidRDefault="006B1CEA" w:rsidP="003730FF">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&lt;0.001</w:t>
            </w:r>
          </w:p>
        </w:tc>
      </w:tr>
      <w:tr w:rsidR="006B1CEA" w:rsidRPr="00A25A60" w14:paraId="1F65B41F" w14:textId="77777777" w:rsidTr="009F2EBF">
        <w:trPr>
          <w:jc w:val="center"/>
        </w:trPr>
        <w:tc>
          <w:tcPr>
            <w:tcW w:w="3681" w:type="dxa"/>
          </w:tcPr>
          <w:p w14:paraId="27A77B23" w14:textId="37A528E3" w:rsidR="006B1CEA" w:rsidRPr="00A25A60" w:rsidRDefault="00503C3E" w:rsidP="003730FF">
            <w:pPr>
              <w:adjustRightInd w:val="0"/>
              <w:spacing w:line="360" w:lineRule="auto"/>
              <w:contextualSpacing/>
              <w:rPr>
                <w:rFonts w:asciiTheme="majorHAnsi" w:hAnsiTheme="majorHAnsi" w:cstheme="majorHAnsi"/>
                <w:sz w:val="24"/>
                <w:szCs w:val="24"/>
                <w:lang w:val="en-US"/>
              </w:rPr>
            </w:pPr>
            <w:r w:rsidRPr="00A25A60">
              <w:rPr>
                <w:rFonts w:asciiTheme="majorHAnsi" w:hAnsiTheme="majorHAnsi" w:cstheme="majorHAnsi"/>
                <w:sz w:val="24"/>
                <w:szCs w:val="24"/>
                <w:lang w:val="en-US"/>
              </w:rPr>
              <w:t xml:space="preserve">   Male gender — no./total no. (%)</w:t>
            </w:r>
          </w:p>
        </w:tc>
        <w:tc>
          <w:tcPr>
            <w:tcW w:w="1988" w:type="dxa"/>
          </w:tcPr>
          <w:p w14:paraId="5F2BAB01" w14:textId="126E2618" w:rsidR="006B1CEA" w:rsidRPr="00A25A60" w:rsidRDefault="009B0ADE" w:rsidP="003730FF">
            <w:pPr>
              <w:adjustRightInd w:val="0"/>
              <w:spacing w:line="360" w:lineRule="auto"/>
              <w:contextualSpacing/>
              <w:jc w:val="center"/>
              <w:rPr>
                <w:rFonts w:asciiTheme="majorHAnsi" w:hAnsiTheme="majorHAnsi" w:cstheme="majorHAnsi"/>
                <w:sz w:val="24"/>
                <w:szCs w:val="24"/>
                <w:highlight w:val="yellow"/>
                <w:lang w:val="en-US"/>
              </w:rPr>
            </w:pPr>
            <w:r w:rsidRPr="00A25A60">
              <w:rPr>
                <w:rFonts w:asciiTheme="majorHAnsi" w:hAnsiTheme="majorHAnsi" w:cstheme="majorHAnsi"/>
                <w:sz w:val="24"/>
                <w:szCs w:val="24"/>
                <w:lang w:val="en-US"/>
              </w:rPr>
              <w:t>14/20 (70.0</w:t>
            </w:r>
            <w:r w:rsidR="006B1CEA" w:rsidRPr="00A25A60">
              <w:rPr>
                <w:rFonts w:asciiTheme="majorHAnsi" w:hAnsiTheme="majorHAnsi" w:cstheme="majorHAnsi"/>
                <w:sz w:val="24"/>
                <w:szCs w:val="24"/>
                <w:lang w:val="en-US"/>
              </w:rPr>
              <w:t>)</w:t>
            </w:r>
          </w:p>
        </w:tc>
        <w:tc>
          <w:tcPr>
            <w:tcW w:w="2978" w:type="dxa"/>
          </w:tcPr>
          <w:p w14:paraId="294C3588" w14:textId="72955BCE" w:rsidR="006B1CEA" w:rsidRPr="00A25A60" w:rsidRDefault="009B0ADE" w:rsidP="003730FF">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23/39 (59.0</w:t>
            </w:r>
            <w:r w:rsidR="006B1CEA" w:rsidRPr="00A25A60">
              <w:rPr>
                <w:rFonts w:asciiTheme="majorHAnsi" w:hAnsiTheme="majorHAnsi" w:cstheme="majorHAnsi"/>
                <w:sz w:val="24"/>
                <w:szCs w:val="24"/>
                <w:lang w:val="en-US"/>
              </w:rPr>
              <w:t>)</w:t>
            </w:r>
          </w:p>
        </w:tc>
        <w:tc>
          <w:tcPr>
            <w:tcW w:w="987" w:type="dxa"/>
          </w:tcPr>
          <w:p w14:paraId="6BAE7905" w14:textId="77777777" w:rsidR="006B1CEA" w:rsidRPr="00A25A60" w:rsidRDefault="006B1CEA" w:rsidP="003730FF">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0.407</w:t>
            </w:r>
          </w:p>
        </w:tc>
      </w:tr>
      <w:tr w:rsidR="006B1CEA" w:rsidRPr="003F0A32" w14:paraId="0FAFEB21" w14:textId="77777777" w:rsidTr="009F2EBF">
        <w:trPr>
          <w:trHeight w:val="260"/>
          <w:jc w:val="center"/>
        </w:trPr>
        <w:tc>
          <w:tcPr>
            <w:tcW w:w="3681" w:type="dxa"/>
          </w:tcPr>
          <w:p w14:paraId="1BBBD41E" w14:textId="3C832CCC" w:rsidR="006B1CEA" w:rsidRPr="00A25A60" w:rsidRDefault="001505E5" w:rsidP="003730FF">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b/>
                <w:sz w:val="24"/>
                <w:szCs w:val="24"/>
                <w:lang w:val="en-US"/>
              </w:rPr>
              <w:t>Median values for i</w:t>
            </w:r>
            <w:r w:rsidR="006B1CEA" w:rsidRPr="00A25A60">
              <w:rPr>
                <w:rFonts w:asciiTheme="majorHAnsi" w:hAnsiTheme="majorHAnsi" w:cstheme="majorHAnsi"/>
                <w:b/>
                <w:sz w:val="24"/>
                <w:szCs w:val="24"/>
                <w:lang w:val="en-US"/>
              </w:rPr>
              <w:t>nflam</w:t>
            </w:r>
            <w:r w:rsidR="00F85E15" w:rsidRPr="00A25A60">
              <w:rPr>
                <w:rFonts w:asciiTheme="majorHAnsi" w:hAnsiTheme="majorHAnsi" w:cstheme="majorHAnsi"/>
                <w:b/>
                <w:sz w:val="24"/>
                <w:szCs w:val="24"/>
                <w:lang w:val="en-US"/>
              </w:rPr>
              <w:t>m</w:t>
            </w:r>
            <w:r w:rsidR="006B1CEA" w:rsidRPr="00A25A60">
              <w:rPr>
                <w:rFonts w:asciiTheme="majorHAnsi" w:hAnsiTheme="majorHAnsi" w:cstheme="majorHAnsi"/>
                <w:b/>
                <w:sz w:val="24"/>
                <w:szCs w:val="24"/>
                <w:lang w:val="en-US"/>
              </w:rPr>
              <w:t>atory mediators</w:t>
            </w:r>
            <w:r w:rsidRPr="00A25A60">
              <w:rPr>
                <w:rFonts w:asciiTheme="majorHAnsi" w:hAnsiTheme="majorHAnsi" w:cstheme="majorHAnsi"/>
                <w:b/>
                <w:sz w:val="24"/>
                <w:szCs w:val="24"/>
                <w:lang w:val="en-US"/>
              </w:rPr>
              <w:t xml:space="preserve"> (IQR)</w:t>
            </w:r>
          </w:p>
        </w:tc>
        <w:tc>
          <w:tcPr>
            <w:tcW w:w="1988" w:type="dxa"/>
          </w:tcPr>
          <w:p w14:paraId="0FC547FC" w14:textId="77777777" w:rsidR="006B1CEA" w:rsidRPr="00A25A60" w:rsidRDefault="006B1CEA" w:rsidP="003730FF">
            <w:pPr>
              <w:adjustRightInd w:val="0"/>
              <w:spacing w:line="360" w:lineRule="auto"/>
              <w:contextualSpacing/>
              <w:rPr>
                <w:rFonts w:asciiTheme="majorHAnsi" w:hAnsiTheme="majorHAnsi" w:cstheme="majorHAnsi"/>
                <w:sz w:val="24"/>
                <w:szCs w:val="24"/>
                <w:lang w:val="en-US"/>
              </w:rPr>
            </w:pPr>
          </w:p>
        </w:tc>
        <w:tc>
          <w:tcPr>
            <w:tcW w:w="2978" w:type="dxa"/>
          </w:tcPr>
          <w:p w14:paraId="1E675428" w14:textId="77777777" w:rsidR="006B1CEA" w:rsidRPr="00A25A60" w:rsidRDefault="006B1CEA" w:rsidP="003730FF">
            <w:pPr>
              <w:adjustRightInd w:val="0"/>
              <w:spacing w:line="360" w:lineRule="auto"/>
              <w:contextualSpacing/>
              <w:jc w:val="center"/>
              <w:rPr>
                <w:rFonts w:asciiTheme="majorHAnsi" w:hAnsiTheme="majorHAnsi" w:cstheme="majorHAnsi"/>
                <w:sz w:val="24"/>
                <w:szCs w:val="24"/>
                <w:lang w:val="en-US"/>
              </w:rPr>
            </w:pPr>
          </w:p>
        </w:tc>
        <w:tc>
          <w:tcPr>
            <w:tcW w:w="987" w:type="dxa"/>
          </w:tcPr>
          <w:p w14:paraId="7D14528D" w14:textId="77777777" w:rsidR="006B1CEA" w:rsidRPr="00A25A60" w:rsidRDefault="006B1CEA" w:rsidP="003730FF">
            <w:pPr>
              <w:adjustRightInd w:val="0"/>
              <w:spacing w:line="360" w:lineRule="auto"/>
              <w:contextualSpacing/>
              <w:jc w:val="center"/>
              <w:rPr>
                <w:rFonts w:asciiTheme="majorHAnsi" w:hAnsiTheme="majorHAnsi" w:cstheme="majorHAnsi"/>
                <w:sz w:val="24"/>
                <w:szCs w:val="24"/>
                <w:lang w:val="en-US"/>
              </w:rPr>
            </w:pPr>
          </w:p>
        </w:tc>
      </w:tr>
      <w:tr w:rsidR="00503C3E" w:rsidRPr="00A25A60" w14:paraId="06C79471" w14:textId="77777777" w:rsidTr="009F2EBF">
        <w:trPr>
          <w:jc w:val="center"/>
        </w:trPr>
        <w:tc>
          <w:tcPr>
            <w:tcW w:w="3681" w:type="dxa"/>
          </w:tcPr>
          <w:p w14:paraId="6ADC06DC" w14:textId="1120AB68"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TNF-α — pg/ml</w:t>
            </w:r>
          </w:p>
        </w:tc>
        <w:tc>
          <w:tcPr>
            <w:tcW w:w="1988" w:type="dxa"/>
          </w:tcPr>
          <w:p w14:paraId="160016C4"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9.0 (6.52- 11.70)</w:t>
            </w:r>
          </w:p>
        </w:tc>
        <w:tc>
          <w:tcPr>
            <w:tcW w:w="2978" w:type="dxa"/>
          </w:tcPr>
          <w:p w14:paraId="1C7625F6"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6.0 (2.85- 9.46)</w:t>
            </w:r>
          </w:p>
        </w:tc>
        <w:tc>
          <w:tcPr>
            <w:tcW w:w="987" w:type="dxa"/>
          </w:tcPr>
          <w:p w14:paraId="7B9B1027"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0.001</w:t>
            </w:r>
          </w:p>
        </w:tc>
      </w:tr>
      <w:tr w:rsidR="00503C3E" w:rsidRPr="00A25A60" w14:paraId="1FCCCB15" w14:textId="77777777" w:rsidTr="009F2EBF">
        <w:trPr>
          <w:jc w:val="center"/>
        </w:trPr>
        <w:tc>
          <w:tcPr>
            <w:tcW w:w="3681" w:type="dxa"/>
          </w:tcPr>
          <w:p w14:paraId="319678A9" w14:textId="01D1B126"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IL-6 — pg/ml</w:t>
            </w:r>
          </w:p>
        </w:tc>
        <w:tc>
          <w:tcPr>
            <w:tcW w:w="1988" w:type="dxa"/>
          </w:tcPr>
          <w:p w14:paraId="749FBB6A"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0.3 (0.30- 0.30)</w:t>
            </w:r>
          </w:p>
        </w:tc>
        <w:tc>
          <w:tcPr>
            <w:tcW w:w="2978" w:type="dxa"/>
          </w:tcPr>
          <w:p w14:paraId="2EE5D169"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2.4 (0.23- 5.59)</w:t>
            </w:r>
          </w:p>
        </w:tc>
        <w:tc>
          <w:tcPr>
            <w:tcW w:w="987" w:type="dxa"/>
          </w:tcPr>
          <w:p w14:paraId="419F8562"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0.007</w:t>
            </w:r>
          </w:p>
        </w:tc>
      </w:tr>
      <w:tr w:rsidR="00503C3E" w:rsidRPr="00A25A60" w14:paraId="6E5A77AA" w14:textId="77777777" w:rsidTr="009F2EBF">
        <w:trPr>
          <w:jc w:val="center"/>
        </w:trPr>
        <w:tc>
          <w:tcPr>
            <w:tcW w:w="3681" w:type="dxa"/>
          </w:tcPr>
          <w:p w14:paraId="0E97AD3D" w14:textId="4EB2B591"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IL-8 — pg/ml)</w:t>
            </w:r>
          </w:p>
        </w:tc>
        <w:tc>
          <w:tcPr>
            <w:tcW w:w="1988" w:type="dxa"/>
          </w:tcPr>
          <w:p w14:paraId="6BDDB102"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1.6 (0.64- 3.33)</w:t>
            </w:r>
          </w:p>
        </w:tc>
        <w:tc>
          <w:tcPr>
            <w:tcW w:w="2978" w:type="dxa"/>
          </w:tcPr>
          <w:p w14:paraId="32DC8E3E"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5.6 (4.14- 12.54)</w:t>
            </w:r>
          </w:p>
        </w:tc>
        <w:tc>
          <w:tcPr>
            <w:tcW w:w="987" w:type="dxa"/>
          </w:tcPr>
          <w:p w14:paraId="5249A562"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&lt;0.001</w:t>
            </w:r>
          </w:p>
        </w:tc>
      </w:tr>
      <w:tr w:rsidR="00503C3E" w:rsidRPr="00A25A60" w14:paraId="6F5CF048" w14:textId="77777777" w:rsidTr="009F2EBF">
        <w:trPr>
          <w:jc w:val="center"/>
        </w:trPr>
        <w:tc>
          <w:tcPr>
            <w:tcW w:w="3681" w:type="dxa"/>
          </w:tcPr>
          <w:p w14:paraId="1FADB783" w14:textId="4B6A9385"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MCP-1 — pg/ml</w:t>
            </w:r>
          </w:p>
        </w:tc>
        <w:tc>
          <w:tcPr>
            <w:tcW w:w="1988" w:type="dxa"/>
          </w:tcPr>
          <w:p w14:paraId="6665CEB7"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337.1 (217.14- 417.05)</w:t>
            </w:r>
          </w:p>
        </w:tc>
        <w:tc>
          <w:tcPr>
            <w:tcW w:w="2978" w:type="dxa"/>
          </w:tcPr>
          <w:p w14:paraId="6AB8302C"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213.7 (154.6- 276.3)</w:t>
            </w:r>
          </w:p>
        </w:tc>
        <w:tc>
          <w:tcPr>
            <w:tcW w:w="987" w:type="dxa"/>
          </w:tcPr>
          <w:p w14:paraId="371D0531"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&lt;0.001</w:t>
            </w:r>
          </w:p>
        </w:tc>
      </w:tr>
      <w:tr w:rsidR="00503C3E" w:rsidRPr="00A25A60" w14:paraId="6D4E1EF5" w14:textId="77777777" w:rsidTr="009F2EBF">
        <w:trPr>
          <w:jc w:val="center"/>
        </w:trPr>
        <w:tc>
          <w:tcPr>
            <w:tcW w:w="3681" w:type="dxa"/>
          </w:tcPr>
          <w:p w14:paraId="5B7ADEEF" w14:textId="5BDF58F8"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IP-10 — pg/ml</w:t>
            </w:r>
          </w:p>
        </w:tc>
        <w:tc>
          <w:tcPr>
            <w:tcW w:w="1988" w:type="dxa"/>
          </w:tcPr>
          <w:p w14:paraId="13C75C81"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328.4 (234.61- 432.04)</w:t>
            </w:r>
          </w:p>
        </w:tc>
        <w:tc>
          <w:tcPr>
            <w:tcW w:w="2978" w:type="dxa"/>
          </w:tcPr>
          <w:p w14:paraId="623486FF"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484.0 (350.2- 905.9)</w:t>
            </w:r>
          </w:p>
        </w:tc>
        <w:tc>
          <w:tcPr>
            <w:tcW w:w="987" w:type="dxa"/>
          </w:tcPr>
          <w:p w14:paraId="142BBF14"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0.002</w:t>
            </w:r>
          </w:p>
        </w:tc>
      </w:tr>
      <w:tr w:rsidR="00503C3E" w:rsidRPr="00A25A60" w14:paraId="38301399" w14:textId="77777777" w:rsidTr="009F2EBF">
        <w:trPr>
          <w:jc w:val="center"/>
        </w:trPr>
        <w:tc>
          <w:tcPr>
            <w:tcW w:w="3681" w:type="dxa"/>
          </w:tcPr>
          <w:p w14:paraId="69067BC9" w14:textId="784956E8"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MIP-1ß — pg/ml</w:t>
            </w:r>
          </w:p>
        </w:tc>
        <w:tc>
          <w:tcPr>
            <w:tcW w:w="1988" w:type="dxa"/>
          </w:tcPr>
          <w:p w14:paraId="38C7C5AE"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12.5 (6.38- 17.18)</w:t>
            </w:r>
          </w:p>
        </w:tc>
        <w:tc>
          <w:tcPr>
            <w:tcW w:w="2978" w:type="dxa"/>
          </w:tcPr>
          <w:p w14:paraId="62F7811F"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11.9 (6.59- 30.96)</w:t>
            </w:r>
          </w:p>
        </w:tc>
        <w:tc>
          <w:tcPr>
            <w:tcW w:w="987" w:type="dxa"/>
          </w:tcPr>
          <w:p w14:paraId="4C216517"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0.384</w:t>
            </w:r>
          </w:p>
        </w:tc>
      </w:tr>
      <w:tr w:rsidR="00503C3E" w:rsidRPr="00A25A60" w14:paraId="79263951" w14:textId="77777777" w:rsidTr="009F2EBF">
        <w:trPr>
          <w:jc w:val="center"/>
        </w:trPr>
        <w:tc>
          <w:tcPr>
            <w:tcW w:w="3681" w:type="dxa"/>
          </w:tcPr>
          <w:p w14:paraId="276CB22B" w14:textId="6A0099B9"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G-CSF — pg/ml</w:t>
            </w:r>
          </w:p>
        </w:tc>
        <w:tc>
          <w:tcPr>
            <w:tcW w:w="1988" w:type="dxa"/>
          </w:tcPr>
          <w:p w14:paraId="0FFBF071"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2.1 (1.80- 11.04)</w:t>
            </w:r>
          </w:p>
        </w:tc>
        <w:tc>
          <w:tcPr>
            <w:tcW w:w="2978" w:type="dxa"/>
          </w:tcPr>
          <w:p w14:paraId="4F43EA34"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9.7 (2.37- 16.33)</w:t>
            </w:r>
          </w:p>
        </w:tc>
        <w:tc>
          <w:tcPr>
            <w:tcW w:w="987" w:type="dxa"/>
          </w:tcPr>
          <w:p w14:paraId="7B7CADD8"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0.084</w:t>
            </w:r>
          </w:p>
        </w:tc>
      </w:tr>
      <w:tr w:rsidR="00503C3E" w:rsidRPr="00A25A60" w14:paraId="5C3EB6C0" w14:textId="77777777" w:rsidTr="009F2EBF">
        <w:trPr>
          <w:jc w:val="center"/>
        </w:trPr>
        <w:tc>
          <w:tcPr>
            <w:tcW w:w="3681" w:type="dxa"/>
          </w:tcPr>
          <w:p w14:paraId="4A71D063" w14:textId="67238BB8"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GM-CSF — pg/ml</w:t>
            </w:r>
          </w:p>
        </w:tc>
        <w:tc>
          <w:tcPr>
            <w:tcW w:w="1988" w:type="dxa"/>
          </w:tcPr>
          <w:p w14:paraId="0B543877"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7.5 (7.50- 7.50)</w:t>
            </w:r>
          </w:p>
        </w:tc>
        <w:tc>
          <w:tcPr>
            <w:tcW w:w="2978" w:type="dxa"/>
          </w:tcPr>
          <w:p w14:paraId="3906E02F"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2.1 (0.63- 6.86)</w:t>
            </w:r>
          </w:p>
        </w:tc>
        <w:tc>
          <w:tcPr>
            <w:tcW w:w="987" w:type="dxa"/>
          </w:tcPr>
          <w:p w14:paraId="57D33254"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0.007</w:t>
            </w:r>
          </w:p>
        </w:tc>
      </w:tr>
      <w:tr w:rsidR="00503C3E" w:rsidRPr="00A25A60" w14:paraId="70EABCF0" w14:textId="77777777" w:rsidTr="009F2EBF">
        <w:trPr>
          <w:jc w:val="center"/>
        </w:trPr>
        <w:tc>
          <w:tcPr>
            <w:tcW w:w="3681" w:type="dxa"/>
          </w:tcPr>
          <w:p w14:paraId="6CF5D5B7" w14:textId="3FB6E957"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IL-10 — pg/ml</w:t>
            </w:r>
          </w:p>
        </w:tc>
        <w:tc>
          <w:tcPr>
            <w:tcW w:w="1988" w:type="dxa"/>
          </w:tcPr>
          <w:p w14:paraId="2E14B1E3"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1.1 (0.40- 1.10)</w:t>
            </w:r>
          </w:p>
        </w:tc>
        <w:tc>
          <w:tcPr>
            <w:tcW w:w="2978" w:type="dxa"/>
          </w:tcPr>
          <w:p w14:paraId="6AF91439"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2.7 (1.21- 6.72)</w:t>
            </w:r>
          </w:p>
        </w:tc>
        <w:tc>
          <w:tcPr>
            <w:tcW w:w="987" w:type="dxa"/>
          </w:tcPr>
          <w:p w14:paraId="7089C8D6"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&lt;0.001</w:t>
            </w:r>
          </w:p>
        </w:tc>
      </w:tr>
      <w:tr w:rsidR="00503C3E" w:rsidRPr="00A25A60" w14:paraId="63E4B7B5" w14:textId="77777777" w:rsidTr="009F2EBF">
        <w:trPr>
          <w:jc w:val="center"/>
        </w:trPr>
        <w:tc>
          <w:tcPr>
            <w:tcW w:w="3681" w:type="dxa"/>
          </w:tcPr>
          <w:p w14:paraId="785F457C" w14:textId="3E8BF5B2"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IL1-ra — pg/ml</w:t>
            </w:r>
          </w:p>
        </w:tc>
        <w:tc>
          <w:tcPr>
            <w:tcW w:w="1988" w:type="dxa"/>
          </w:tcPr>
          <w:p w14:paraId="79F9A173"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6.5 (2.72- 8.74)</w:t>
            </w:r>
          </w:p>
        </w:tc>
        <w:tc>
          <w:tcPr>
            <w:tcW w:w="2978" w:type="dxa"/>
          </w:tcPr>
          <w:p w14:paraId="78B3BF45"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7.4 (0.75- 61.61)</w:t>
            </w:r>
          </w:p>
        </w:tc>
        <w:tc>
          <w:tcPr>
            <w:tcW w:w="987" w:type="dxa"/>
          </w:tcPr>
          <w:p w14:paraId="22BDBC12"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0.958</w:t>
            </w:r>
          </w:p>
        </w:tc>
      </w:tr>
      <w:tr w:rsidR="00503C3E" w:rsidRPr="00A25A60" w14:paraId="4BE38F99" w14:textId="77777777" w:rsidTr="009F2EBF">
        <w:trPr>
          <w:jc w:val="center"/>
        </w:trPr>
        <w:tc>
          <w:tcPr>
            <w:tcW w:w="3681" w:type="dxa"/>
          </w:tcPr>
          <w:p w14:paraId="58688B4C" w14:textId="2AFA4B77"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w:t>
            </w:r>
            <w:proofErr w:type="spellStart"/>
            <w:r w:rsidRPr="00A25A60">
              <w:rPr>
                <w:rFonts w:asciiTheme="majorHAnsi" w:hAnsiTheme="majorHAnsi" w:cstheme="majorHAnsi"/>
                <w:sz w:val="24"/>
                <w:szCs w:val="24"/>
                <w:lang w:val="en-US"/>
              </w:rPr>
              <w:t>IFNγ</w:t>
            </w:r>
            <w:proofErr w:type="spellEnd"/>
            <w:r w:rsidRPr="00A25A60">
              <w:rPr>
                <w:rFonts w:asciiTheme="majorHAnsi" w:hAnsiTheme="majorHAnsi" w:cstheme="majorHAnsi"/>
                <w:sz w:val="24"/>
                <w:szCs w:val="24"/>
                <w:lang w:val="en-US"/>
              </w:rPr>
              <w:t xml:space="preserve"> — </w:t>
            </w:r>
            <w:proofErr w:type="spellStart"/>
            <w:r w:rsidRPr="00A25A60">
              <w:rPr>
                <w:rFonts w:asciiTheme="majorHAnsi" w:hAnsiTheme="majorHAnsi" w:cstheme="majorHAnsi"/>
                <w:sz w:val="24"/>
                <w:szCs w:val="24"/>
                <w:lang w:val="en-US"/>
              </w:rPr>
              <w:t>pg</w:t>
            </w:r>
            <w:proofErr w:type="spellEnd"/>
            <w:r w:rsidRPr="00A25A60">
              <w:rPr>
                <w:rFonts w:asciiTheme="majorHAnsi" w:hAnsiTheme="majorHAnsi" w:cstheme="majorHAnsi"/>
                <w:sz w:val="24"/>
                <w:szCs w:val="24"/>
                <w:lang w:val="en-US"/>
              </w:rPr>
              <w:t>/ml</w:t>
            </w:r>
          </w:p>
        </w:tc>
        <w:tc>
          <w:tcPr>
            <w:tcW w:w="1988" w:type="dxa"/>
          </w:tcPr>
          <w:p w14:paraId="3DB4B5B5"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0.8 (0.80- 5.46)</w:t>
            </w:r>
          </w:p>
        </w:tc>
        <w:tc>
          <w:tcPr>
            <w:tcW w:w="2978" w:type="dxa"/>
          </w:tcPr>
          <w:p w14:paraId="58ABA516"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4.4 (0.77- 11.10)</w:t>
            </w:r>
          </w:p>
        </w:tc>
        <w:tc>
          <w:tcPr>
            <w:tcW w:w="987" w:type="dxa"/>
          </w:tcPr>
          <w:p w14:paraId="4BE93002"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0.258</w:t>
            </w:r>
          </w:p>
        </w:tc>
      </w:tr>
      <w:tr w:rsidR="00503C3E" w:rsidRPr="00A25A60" w14:paraId="1C0886F2" w14:textId="77777777" w:rsidTr="009F2EBF">
        <w:trPr>
          <w:jc w:val="center"/>
        </w:trPr>
        <w:tc>
          <w:tcPr>
            <w:tcW w:w="3681" w:type="dxa"/>
          </w:tcPr>
          <w:p w14:paraId="7408B65F" w14:textId="40BE34A0"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Eotaxin — pg/ml</w:t>
            </w:r>
          </w:p>
        </w:tc>
        <w:tc>
          <w:tcPr>
            <w:tcW w:w="1988" w:type="dxa"/>
          </w:tcPr>
          <w:p w14:paraId="0D4959E5"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93.5 (54.14- 125.86)</w:t>
            </w:r>
          </w:p>
        </w:tc>
        <w:tc>
          <w:tcPr>
            <w:tcW w:w="2978" w:type="dxa"/>
          </w:tcPr>
          <w:p w14:paraId="520A5193"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81.7 (64.28- 107.51)</w:t>
            </w:r>
          </w:p>
        </w:tc>
        <w:tc>
          <w:tcPr>
            <w:tcW w:w="987" w:type="dxa"/>
          </w:tcPr>
          <w:p w14:paraId="70E854C2"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0.345</w:t>
            </w:r>
          </w:p>
        </w:tc>
      </w:tr>
      <w:tr w:rsidR="00503C3E" w:rsidRPr="00A25A60" w14:paraId="5AF9311B" w14:textId="77777777" w:rsidTr="009F2EBF">
        <w:trPr>
          <w:jc w:val="center"/>
        </w:trPr>
        <w:tc>
          <w:tcPr>
            <w:tcW w:w="3681" w:type="dxa"/>
          </w:tcPr>
          <w:p w14:paraId="0E2DBE1F" w14:textId="61C72129"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IL-17A — pg/ml</w:t>
            </w:r>
          </w:p>
        </w:tc>
        <w:tc>
          <w:tcPr>
            <w:tcW w:w="1988" w:type="dxa"/>
          </w:tcPr>
          <w:p w14:paraId="0BE35453"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0.7 (0.70- 2.98)</w:t>
            </w:r>
          </w:p>
        </w:tc>
        <w:tc>
          <w:tcPr>
            <w:tcW w:w="2978" w:type="dxa"/>
          </w:tcPr>
          <w:p w14:paraId="2B26BC4F"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0.9 (0.60- 1.67)</w:t>
            </w:r>
          </w:p>
        </w:tc>
        <w:tc>
          <w:tcPr>
            <w:tcW w:w="987" w:type="dxa"/>
          </w:tcPr>
          <w:p w14:paraId="0812F978"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0.822</w:t>
            </w:r>
          </w:p>
        </w:tc>
      </w:tr>
      <w:tr w:rsidR="00503C3E" w:rsidRPr="00A25A60" w14:paraId="583D0B63" w14:textId="77777777" w:rsidTr="009F2EBF">
        <w:trPr>
          <w:jc w:val="center"/>
        </w:trPr>
        <w:tc>
          <w:tcPr>
            <w:tcW w:w="3681" w:type="dxa"/>
          </w:tcPr>
          <w:p w14:paraId="24DDC1B6" w14:textId="7A6BBC20" w:rsidR="00503C3E" w:rsidRPr="00A25A60" w:rsidRDefault="00503C3E" w:rsidP="00503C3E">
            <w:pPr>
              <w:widowControl w:val="0"/>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IL-7 — pg/ml</w:t>
            </w:r>
          </w:p>
        </w:tc>
        <w:tc>
          <w:tcPr>
            <w:tcW w:w="1988" w:type="dxa"/>
          </w:tcPr>
          <w:p w14:paraId="6A5D21FB" w14:textId="77777777" w:rsidR="00503C3E" w:rsidRPr="00A25A60" w:rsidRDefault="00503C3E" w:rsidP="00503C3E">
            <w:pPr>
              <w:widowControl w:val="0"/>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1.4 (1.40- 1.40)</w:t>
            </w:r>
          </w:p>
        </w:tc>
        <w:tc>
          <w:tcPr>
            <w:tcW w:w="2978" w:type="dxa"/>
          </w:tcPr>
          <w:p w14:paraId="11ED833C" w14:textId="77777777" w:rsidR="00503C3E" w:rsidRPr="00A25A60" w:rsidRDefault="00503C3E" w:rsidP="00503C3E">
            <w:pPr>
              <w:widowControl w:val="0"/>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2.6 (1.93- 3.02)</w:t>
            </w:r>
          </w:p>
        </w:tc>
        <w:tc>
          <w:tcPr>
            <w:tcW w:w="987" w:type="dxa"/>
          </w:tcPr>
          <w:p w14:paraId="5FD06199" w14:textId="77777777" w:rsidR="00503C3E" w:rsidRPr="00A25A60" w:rsidRDefault="00503C3E" w:rsidP="00503C3E">
            <w:pPr>
              <w:widowControl w:val="0"/>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&lt;0.001</w:t>
            </w:r>
          </w:p>
        </w:tc>
      </w:tr>
      <w:tr w:rsidR="00503C3E" w:rsidRPr="00A25A60" w14:paraId="17A6AB4A" w14:textId="77777777" w:rsidTr="009F2EBF">
        <w:trPr>
          <w:jc w:val="center"/>
        </w:trPr>
        <w:tc>
          <w:tcPr>
            <w:tcW w:w="3681" w:type="dxa"/>
            <w:tcBorders>
              <w:bottom w:val="single" w:sz="4" w:space="0" w:color="auto"/>
            </w:tcBorders>
          </w:tcPr>
          <w:p w14:paraId="38EAC8E1" w14:textId="43F640BA" w:rsidR="00503C3E" w:rsidRPr="00A25A60" w:rsidRDefault="00503C3E" w:rsidP="00503C3E">
            <w:pPr>
              <w:adjustRightInd w:val="0"/>
              <w:spacing w:line="360" w:lineRule="auto"/>
              <w:contextualSpacing/>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HNA2 — %</w:t>
            </w:r>
          </w:p>
        </w:tc>
        <w:tc>
          <w:tcPr>
            <w:tcW w:w="1988" w:type="dxa"/>
            <w:tcBorders>
              <w:bottom w:val="single" w:sz="4" w:space="0" w:color="auto"/>
            </w:tcBorders>
          </w:tcPr>
          <w:p w14:paraId="22293981"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1.3 (0.30- 1.93)</w:t>
            </w:r>
          </w:p>
        </w:tc>
        <w:tc>
          <w:tcPr>
            <w:tcW w:w="2978" w:type="dxa"/>
            <w:tcBorders>
              <w:bottom w:val="single" w:sz="4" w:space="0" w:color="auto"/>
            </w:tcBorders>
          </w:tcPr>
          <w:p w14:paraId="228FD492"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6.7 (5.51- 7.42)</w:t>
            </w:r>
          </w:p>
        </w:tc>
        <w:tc>
          <w:tcPr>
            <w:tcW w:w="987" w:type="dxa"/>
            <w:tcBorders>
              <w:bottom w:val="single" w:sz="4" w:space="0" w:color="auto"/>
            </w:tcBorders>
          </w:tcPr>
          <w:p w14:paraId="02DA9C31" w14:textId="77777777" w:rsidR="00503C3E" w:rsidRPr="00A25A60" w:rsidRDefault="00503C3E" w:rsidP="00503C3E">
            <w:pPr>
              <w:adjustRightInd w:val="0"/>
              <w:spacing w:line="360" w:lineRule="auto"/>
              <w:contextualSpacing/>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&lt;0.001</w:t>
            </w:r>
          </w:p>
        </w:tc>
      </w:tr>
    </w:tbl>
    <w:p w14:paraId="0D822BAA" w14:textId="5D7821CD" w:rsidR="00F8332A" w:rsidRPr="009F2EBF" w:rsidRDefault="006C1924" w:rsidP="009F2EBF">
      <w:pPr>
        <w:spacing w:line="276" w:lineRule="auto"/>
        <w:rPr>
          <w:rFonts w:asciiTheme="majorHAnsi" w:hAnsiTheme="majorHAnsi" w:cstheme="majorHAnsi"/>
          <w:sz w:val="20"/>
          <w:szCs w:val="20"/>
          <w:lang w:val="en-US"/>
        </w:rPr>
      </w:pPr>
      <w:r w:rsidRPr="009F2EBF">
        <w:rPr>
          <w:rFonts w:asciiTheme="majorHAnsi" w:hAnsiTheme="majorHAnsi" w:cstheme="majorHAnsi"/>
          <w:sz w:val="20"/>
          <w:szCs w:val="20"/>
          <w:lang w:val="en-US"/>
        </w:rPr>
        <w:t xml:space="preserve">NOTE: </w:t>
      </w:r>
      <w:r w:rsidR="00A25A60" w:rsidRPr="009F2EBF">
        <w:rPr>
          <w:rFonts w:asciiTheme="majorHAnsi" w:hAnsiTheme="majorHAnsi" w:cstheme="majorHAnsi"/>
          <w:sz w:val="20"/>
          <w:szCs w:val="20"/>
          <w:lang w:val="en-US"/>
        </w:rPr>
        <w:t xml:space="preserve">Data </w:t>
      </w:r>
      <w:r w:rsidRPr="009F2EBF">
        <w:rPr>
          <w:rFonts w:asciiTheme="majorHAnsi" w:hAnsiTheme="majorHAnsi" w:cstheme="majorHAnsi"/>
          <w:sz w:val="20"/>
          <w:szCs w:val="20"/>
          <w:lang w:val="en-US"/>
        </w:rPr>
        <w:t xml:space="preserve">are </w:t>
      </w:r>
      <w:r w:rsidR="00A25A60" w:rsidRPr="009F2EBF">
        <w:rPr>
          <w:rFonts w:asciiTheme="majorHAnsi" w:hAnsiTheme="majorHAnsi" w:cstheme="majorHAnsi"/>
          <w:sz w:val="20"/>
          <w:szCs w:val="20"/>
          <w:lang w:val="en-US"/>
        </w:rPr>
        <w:t xml:space="preserve">shown as </w:t>
      </w:r>
      <w:r w:rsidRPr="009F2EBF">
        <w:rPr>
          <w:rFonts w:asciiTheme="majorHAnsi" w:hAnsiTheme="majorHAnsi" w:cstheme="majorHAnsi"/>
          <w:sz w:val="20"/>
          <w:szCs w:val="20"/>
          <w:lang w:val="en-US"/>
        </w:rPr>
        <w:t>means ± SD</w:t>
      </w:r>
      <w:r w:rsidR="00A25A60" w:rsidRPr="009F2EBF">
        <w:rPr>
          <w:rFonts w:asciiTheme="majorHAnsi" w:hAnsiTheme="majorHAnsi" w:cstheme="majorHAnsi"/>
          <w:sz w:val="20"/>
          <w:szCs w:val="20"/>
          <w:lang w:val="en-US"/>
        </w:rPr>
        <w:t xml:space="preserve"> or median (range)</w:t>
      </w:r>
      <w:r w:rsidRPr="009F2EBF">
        <w:rPr>
          <w:rFonts w:asciiTheme="majorHAnsi" w:hAnsiTheme="majorHAnsi" w:cstheme="majorHAnsi"/>
          <w:sz w:val="20"/>
          <w:szCs w:val="20"/>
          <w:lang w:val="en-US"/>
        </w:rPr>
        <w:t xml:space="preserve">. P values were calculated by unpaired Students’ t-test or </w:t>
      </w:r>
      <w:r w:rsidR="00A25A60" w:rsidRPr="009F2EBF">
        <w:rPr>
          <w:rFonts w:asciiTheme="majorHAnsi" w:hAnsiTheme="majorHAnsi" w:cstheme="majorHAnsi"/>
          <w:sz w:val="20"/>
          <w:szCs w:val="20"/>
          <w:shd w:val="clear" w:color="auto" w:fill="FFFFFF"/>
          <w:lang w:val="en-US"/>
        </w:rPr>
        <w:t xml:space="preserve">Man-Whitney </w:t>
      </w:r>
      <w:r w:rsidR="00A25A60" w:rsidRPr="009F2EBF">
        <w:rPr>
          <w:rFonts w:asciiTheme="majorHAnsi" w:hAnsiTheme="majorHAnsi" w:cstheme="majorHAnsi"/>
          <w:i/>
          <w:sz w:val="20"/>
          <w:szCs w:val="20"/>
          <w:shd w:val="clear" w:color="auto" w:fill="FFFFFF"/>
          <w:lang w:val="en-US"/>
        </w:rPr>
        <w:t>U</w:t>
      </w:r>
      <w:r w:rsidRPr="009F2EBF">
        <w:rPr>
          <w:rFonts w:asciiTheme="majorHAnsi" w:hAnsiTheme="majorHAnsi" w:cstheme="majorHAnsi"/>
          <w:sz w:val="20"/>
          <w:szCs w:val="20"/>
          <w:shd w:val="clear" w:color="auto" w:fill="FFFFFF"/>
          <w:lang w:val="en-US"/>
        </w:rPr>
        <w:t xml:space="preserve"> test where</w:t>
      </w:r>
      <w:r w:rsidRPr="003F0A32">
        <w:rPr>
          <w:rFonts w:asciiTheme="majorHAnsi" w:hAnsiTheme="majorHAnsi" w:cstheme="majorHAnsi"/>
          <w:sz w:val="20"/>
          <w:szCs w:val="20"/>
          <w:shd w:val="clear" w:color="auto" w:fill="FFFFFF"/>
          <w:lang w:val="en-US"/>
        </w:rPr>
        <w:t xml:space="preserve"> </w:t>
      </w:r>
      <w:proofErr w:type="gramStart"/>
      <w:r w:rsidRPr="009F2EBF">
        <w:rPr>
          <w:rFonts w:asciiTheme="majorHAnsi" w:hAnsiTheme="majorHAnsi" w:cstheme="majorHAnsi"/>
          <w:sz w:val="20"/>
          <w:szCs w:val="20"/>
          <w:shd w:val="clear" w:color="auto" w:fill="FFFFFF"/>
          <w:lang w:val="en-US"/>
        </w:rPr>
        <w:t>appropriate</w:t>
      </w:r>
      <w:proofErr w:type="gramEnd"/>
      <w:r w:rsidRPr="009F2EBF">
        <w:rPr>
          <w:rFonts w:asciiTheme="majorHAnsi" w:hAnsiTheme="majorHAnsi" w:cstheme="majorHAnsi"/>
          <w:sz w:val="20"/>
          <w:szCs w:val="20"/>
          <w:lang w:val="en-US"/>
        </w:rPr>
        <w:t xml:space="preserve">. </w:t>
      </w:r>
    </w:p>
    <w:p w14:paraId="28DC2EAA" w14:textId="3262A5DF" w:rsidR="006C1924" w:rsidRPr="009F2EBF" w:rsidRDefault="006C1924" w:rsidP="009F2EBF">
      <w:pPr>
        <w:spacing w:line="276" w:lineRule="auto"/>
        <w:rPr>
          <w:rFonts w:asciiTheme="majorHAnsi" w:hAnsiTheme="majorHAnsi" w:cstheme="majorHAnsi"/>
          <w:sz w:val="20"/>
          <w:szCs w:val="20"/>
          <w:lang w:val="en-US"/>
        </w:rPr>
      </w:pPr>
      <w:r w:rsidRPr="009F2EBF">
        <w:rPr>
          <w:rFonts w:asciiTheme="majorHAnsi" w:hAnsiTheme="majorHAnsi" w:cstheme="majorHAnsi"/>
          <w:sz w:val="20"/>
          <w:szCs w:val="20"/>
          <w:lang w:val="en-US"/>
        </w:rPr>
        <w:t xml:space="preserve">IQR denotes interquartile range; TNF, umor necrosis factor; IL, interleukin; MCP-1, </w:t>
      </w:r>
      <w:r w:rsidRPr="009F2EBF">
        <w:rPr>
          <w:rFonts w:asciiTheme="majorHAnsi" w:hAnsiTheme="majorHAnsi" w:cstheme="majorHAnsi"/>
          <w:sz w:val="20"/>
          <w:szCs w:val="20"/>
          <w:shd w:val="clear" w:color="auto" w:fill="FFFFFF"/>
          <w:lang w:val="en-US"/>
        </w:rPr>
        <w:t>monocyte chemotactic protein 1</w:t>
      </w:r>
      <w:r w:rsidRPr="009F2EBF">
        <w:rPr>
          <w:rFonts w:asciiTheme="majorHAnsi" w:hAnsiTheme="majorHAnsi" w:cstheme="majorHAnsi"/>
          <w:sz w:val="20"/>
          <w:szCs w:val="20"/>
          <w:lang w:val="en-US"/>
        </w:rPr>
        <w:t xml:space="preserve">; IP-10, </w:t>
      </w:r>
      <w:r w:rsidRPr="009F2EBF">
        <w:rPr>
          <w:rFonts w:ascii="Verdana" w:hAnsi="Verdana"/>
          <w:sz w:val="20"/>
          <w:szCs w:val="20"/>
          <w:shd w:val="clear" w:color="auto" w:fill="FFFFFF"/>
          <w:lang w:val="en-US"/>
        </w:rPr>
        <w:t>10 kDa interferon gamma-induced protein</w:t>
      </w:r>
      <w:r w:rsidRPr="009F2EBF">
        <w:rPr>
          <w:rFonts w:asciiTheme="majorHAnsi" w:hAnsiTheme="majorHAnsi" w:cstheme="majorHAnsi"/>
          <w:sz w:val="20"/>
          <w:szCs w:val="20"/>
          <w:lang w:val="en-US"/>
        </w:rPr>
        <w:t xml:space="preserve">; MIP-1ß, </w:t>
      </w:r>
      <w:r w:rsidRPr="009F2EBF">
        <w:rPr>
          <w:rFonts w:ascii="Verdana" w:hAnsi="Verdana"/>
          <w:sz w:val="20"/>
          <w:szCs w:val="20"/>
          <w:shd w:val="clear" w:color="auto" w:fill="FFFFFF"/>
          <w:lang w:val="en-US"/>
        </w:rPr>
        <w:t>macrophage inflammatory protein 1-beta</w:t>
      </w:r>
      <w:r w:rsidRPr="009F2EBF">
        <w:rPr>
          <w:rFonts w:asciiTheme="majorHAnsi" w:hAnsiTheme="majorHAnsi" w:cstheme="majorHAnsi"/>
          <w:sz w:val="20"/>
          <w:szCs w:val="20"/>
          <w:lang w:val="en-US"/>
        </w:rPr>
        <w:t xml:space="preserve">; G-CSF, </w:t>
      </w:r>
      <w:r w:rsidRPr="009F2EBF">
        <w:rPr>
          <w:rStyle w:val="Strong"/>
          <w:rFonts w:asciiTheme="majorHAnsi" w:hAnsiTheme="majorHAnsi" w:cstheme="majorHAnsi"/>
          <w:b w:val="0"/>
          <w:sz w:val="20"/>
          <w:szCs w:val="20"/>
          <w:shd w:val="clear" w:color="auto" w:fill="FFFFFF"/>
          <w:lang w:val="en-US"/>
        </w:rPr>
        <w:t xml:space="preserve">granulocyte colony-stimulating factor; </w:t>
      </w:r>
      <w:r w:rsidRPr="009F2EBF">
        <w:rPr>
          <w:rFonts w:asciiTheme="majorHAnsi" w:hAnsiTheme="majorHAnsi" w:cstheme="majorHAnsi"/>
          <w:sz w:val="20"/>
          <w:szCs w:val="20"/>
          <w:lang w:val="en-US"/>
        </w:rPr>
        <w:t xml:space="preserve">GM-CSF, </w:t>
      </w:r>
      <w:r w:rsidRPr="009F2EBF">
        <w:rPr>
          <w:rStyle w:val="Strong"/>
          <w:rFonts w:asciiTheme="majorHAnsi" w:hAnsiTheme="majorHAnsi" w:cstheme="majorHAnsi"/>
          <w:b w:val="0"/>
          <w:sz w:val="20"/>
          <w:szCs w:val="20"/>
          <w:shd w:val="clear" w:color="auto" w:fill="FFFFFF"/>
          <w:lang w:val="en-US"/>
        </w:rPr>
        <w:t>granulocyte-macrophage colony-stimulating factor</w:t>
      </w:r>
      <w:r w:rsidRPr="009F2EBF">
        <w:rPr>
          <w:rFonts w:asciiTheme="majorHAnsi" w:hAnsiTheme="majorHAnsi" w:cstheme="majorHAnsi"/>
          <w:sz w:val="20"/>
          <w:szCs w:val="20"/>
          <w:lang w:val="en-US"/>
        </w:rPr>
        <w:t xml:space="preserve">; </w:t>
      </w:r>
      <w:r w:rsidR="00027310" w:rsidRPr="009F2EBF">
        <w:rPr>
          <w:rFonts w:asciiTheme="majorHAnsi" w:hAnsiTheme="majorHAnsi" w:cstheme="majorHAnsi"/>
          <w:sz w:val="20"/>
          <w:szCs w:val="20"/>
          <w:lang w:val="en-US"/>
        </w:rPr>
        <w:t xml:space="preserve">IL-1ra, </w:t>
      </w:r>
      <w:r w:rsidR="00027310" w:rsidRPr="009F2EBF">
        <w:rPr>
          <w:rStyle w:val="Strong"/>
          <w:rFonts w:asciiTheme="majorHAnsi" w:hAnsiTheme="majorHAnsi" w:cstheme="majorHAnsi"/>
          <w:b w:val="0"/>
          <w:sz w:val="20"/>
          <w:szCs w:val="20"/>
          <w:shd w:val="clear" w:color="auto" w:fill="FFFFFF"/>
          <w:lang w:val="en-US"/>
        </w:rPr>
        <w:t>interleukin-1 receptor antagonist protein</w:t>
      </w:r>
      <w:r w:rsidR="00027310" w:rsidRPr="009F2EBF">
        <w:rPr>
          <w:rFonts w:asciiTheme="majorHAnsi" w:hAnsiTheme="majorHAnsi" w:cstheme="majorHAnsi"/>
          <w:sz w:val="20"/>
          <w:szCs w:val="20"/>
          <w:lang w:val="en-US"/>
        </w:rPr>
        <w:t xml:space="preserve">; </w:t>
      </w:r>
      <w:r w:rsidRPr="009F2EBF">
        <w:rPr>
          <w:rFonts w:asciiTheme="majorHAnsi" w:hAnsiTheme="majorHAnsi" w:cstheme="majorHAnsi"/>
          <w:sz w:val="20"/>
          <w:szCs w:val="20"/>
          <w:lang w:val="en-US"/>
        </w:rPr>
        <w:t>IFN, interferon; HNA2, human nonmercaptalbumin 2.</w:t>
      </w:r>
    </w:p>
    <w:p w14:paraId="70060528" w14:textId="77777777" w:rsidR="006B1CEA" w:rsidRPr="00A25A60" w:rsidRDefault="006B1CEA" w:rsidP="003730FF">
      <w:pPr>
        <w:spacing w:line="360" w:lineRule="auto"/>
        <w:contextualSpacing/>
        <w:rPr>
          <w:rFonts w:asciiTheme="majorHAnsi" w:hAnsiTheme="majorHAnsi" w:cstheme="majorHAnsi"/>
          <w:lang w:val="en-US"/>
        </w:rPr>
      </w:pPr>
    </w:p>
    <w:p w14:paraId="2CEE85FC" w14:textId="77777777" w:rsidR="0019481C" w:rsidRPr="00A25A60" w:rsidRDefault="0019481C" w:rsidP="00081F6A">
      <w:pPr>
        <w:spacing w:after="160" w:line="259" w:lineRule="auto"/>
        <w:rPr>
          <w:rFonts w:asciiTheme="majorHAnsi" w:hAnsiTheme="majorHAnsi" w:cstheme="majorHAnsi"/>
          <w:b/>
          <w:lang w:val="en-US"/>
        </w:rPr>
        <w:sectPr w:rsidR="0019481C" w:rsidRPr="00A25A60" w:rsidSect="003F0A32">
          <w:pgSz w:w="11906" w:h="16838"/>
          <w:pgMar w:top="1559" w:right="1418" w:bottom="720" w:left="1418" w:header="720" w:footer="720" w:gutter="0"/>
          <w:cols w:space="720"/>
          <w:docGrid w:linePitch="326"/>
        </w:sectPr>
      </w:pPr>
    </w:p>
    <w:p w14:paraId="2150425C" w14:textId="762B0D3F" w:rsidR="00246477" w:rsidRPr="00A25A60" w:rsidRDefault="00EC589C" w:rsidP="0062019F">
      <w:pPr>
        <w:spacing w:line="360" w:lineRule="auto"/>
        <w:rPr>
          <w:rFonts w:asciiTheme="majorHAnsi" w:hAnsiTheme="majorHAnsi" w:cstheme="majorHAnsi"/>
          <w:b/>
          <w:lang w:val="en-US"/>
        </w:rPr>
      </w:pPr>
      <w:r w:rsidRPr="00A25A60">
        <w:rPr>
          <w:rFonts w:asciiTheme="majorHAnsi" w:hAnsiTheme="majorHAnsi" w:cstheme="majorHAnsi"/>
          <w:b/>
          <w:lang w:val="en-US"/>
        </w:rPr>
        <w:lastRenderedPageBreak/>
        <w:t>Supplementary T</w:t>
      </w:r>
      <w:r w:rsidR="00B5081B" w:rsidRPr="00A25A60">
        <w:rPr>
          <w:rFonts w:asciiTheme="majorHAnsi" w:hAnsiTheme="majorHAnsi" w:cstheme="majorHAnsi"/>
          <w:b/>
          <w:lang w:val="en-US"/>
        </w:rPr>
        <w:t>able 2</w:t>
      </w:r>
      <w:r w:rsidR="00081F6A" w:rsidRPr="00A25A60">
        <w:rPr>
          <w:rFonts w:asciiTheme="majorHAnsi" w:hAnsiTheme="majorHAnsi" w:cstheme="majorHAnsi"/>
          <w:b/>
          <w:lang w:val="en-US"/>
        </w:rPr>
        <w:t xml:space="preserve">. </w:t>
      </w:r>
      <w:r w:rsidR="0019481C" w:rsidRPr="00A25A60">
        <w:rPr>
          <w:rFonts w:asciiTheme="majorHAnsi" w:hAnsiTheme="majorHAnsi" w:cstheme="majorHAnsi"/>
          <w:b/>
          <w:lang w:val="en-US"/>
        </w:rPr>
        <w:t>Clinical characteristics</w:t>
      </w:r>
      <w:r w:rsidR="00E66052" w:rsidRPr="00A25A60">
        <w:rPr>
          <w:rFonts w:asciiTheme="majorHAnsi" w:hAnsiTheme="majorHAnsi" w:cstheme="majorHAnsi"/>
          <w:b/>
          <w:lang w:val="en-US"/>
        </w:rPr>
        <w:t xml:space="preserve">, </w:t>
      </w:r>
      <w:r w:rsidR="00FD0A47" w:rsidRPr="00A25A60">
        <w:rPr>
          <w:rFonts w:asciiTheme="majorHAnsi" w:hAnsiTheme="majorHAnsi" w:cstheme="majorHAnsi"/>
          <w:b/>
          <w:lang w:val="en-US"/>
        </w:rPr>
        <w:t xml:space="preserve">routine </w:t>
      </w:r>
      <w:r w:rsidR="00E66052" w:rsidRPr="00A25A60">
        <w:rPr>
          <w:rFonts w:asciiTheme="majorHAnsi" w:hAnsiTheme="majorHAnsi" w:cstheme="majorHAnsi"/>
          <w:b/>
          <w:lang w:val="en-US"/>
        </w:rPr>
        <w:t xml:space="preserve">laboratory </w:t>
      </w:r>
      <w:r w:rsidR="0062019F" w:rsidRPr="00A25A60">
        <w:rPr>
          <w:rFonts w:asciiTheme="majorHAnsi" w:hAnsiTheme="majorHAnsi" w:cstheme="majorHAnsi"/>
          <w:b/>
          <w:lang w:val="en-US"/>
        </w:rPr>
        <w:t>test</w:t>
      </w:r>
      <w:r w:rsidR="00E66052" w:rsidRPr="00A25A60">
        <w:rPr>
          <w:rFonts w:asciiTheme="majorHAnsi" w:hAnsiTheme="majorHAnsi" w:cstheme="majorHAnsi"/>
          <w:b/>
          <w:lang w:val="en-US"/>
        </w:rPr>
        <w:t>s,</w:t>
      </w:r>
      <w:r w:rsidR="00246477" w:rsidRPr="00A25A60">
        <w:rPr>
          <w:rFonts w:asciiTheme="majorHAnsi" w:hAnsiTheme="majorHAnsi" w:cstheme="majorHAnsi"/>
          <w:b/>
          <w:lang w:val="en-US"/>
        </w:rPr>
        <w:t xml:space="preserve"> and inflammatory mediators </w:t>
      </w:r>
      <w:r w:rsidR="0019481C" w:rsidRPr="00A25A60">
        <w:rPr>
          <w:rFonts w:asciiTheme="majorHAnsi" w:hAnsiTheme="majorHAnsi" w:cstheme="majorHAnsi"/>
          <w:b/>
          <w:lang w:val="en-US"/>
        </w:rPr>
        <w:t>at enrollment</w:t>
      </w:r>
      <w:r w:rsidR="00E66052" w:rsidRPr="00A25A60">
        <w:rPr>
          <w:rFonts w:asciiTheme="majorHAnsi" w:hAnsiTheme="majorHAnsi" w:cstheme="majorHAnsi"/>
          <w:b/>
          <w:lang w:val="en-US"/>
        </w:rPr>
        <w:t xml:space="preserve"> of</w:t>
      </w:r>
      <w:r w:rsidR="0019481C" w:rsidRPr="00A25A60">
        <w:rPr>
          <w:rFonts w:asciiTheme="majorHAnsi" w:hAnsiTheme="majorHAnsi" w:cstheme="majorHAnsi"/>
          <w:b/>
          <w:lang w:val="en-US"/>
        </w:rPr>
        <w:t xml:space="preserve"> patients with compensated cirrhosis, patients with acutely decompensated (AD) cirrho</w:t>
      </w:r>
      <w:r w:rsidR="00190BC5" w:rsidRPr="00A25A60">
        <w:rPr>
          <w:rFonts w:asciiTheme="majorHAnsi" w:hAnsiTheme="majorHAnsi" w:cstheme="majorHAnsi"/>
          <w:b/>
          <w:lang w:val="en-US"/>
        </w:rPr>
        <w:t>sis who were free of ACLF, and p</w:t>
      </w:r>
      <w:r w:rsidR="0019481C" w:rsidRPr="00A25A60">
        <w:rPr>
          <w:rFonts w:asciiTheme="majorHAnsi" w:hAnsiTheme="majorHAnsi" w:cstheme="majorHAnsi"/>
          <w:b/>
          <w:lang w:val="en-US"/>
        </w:rPr>
        <w:t>atients with A</w:t>
      </w:r>
      <w:r w:rsidR="001F1720" w:rsidRPr="00A25A60">
        <w:rPr>
          <w:rFonts w:asciiTheme="majorHAnsi" w:hAnsiTheme="majorHAnsi" w:cstheme="majorHAnsi"/>
          <w:b/>
          <w:lang w:val="en-US"/>
        </w:rPr>
        <w:t>CLF</w:t>
      </w:r>
    </w:p>
    <w:tbl>
      <w:tblPr>
        <w:tblStyle w:val="TableGrid"/>
        <w:tblW w:w="13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48"/>
        <w:gridCol w:w="2835"/>
        <w:gridCol w:w="2840"/>
        <w:gridCol w:w="2268"/>
        <w:gridCol w:w="987"/>
      </w:tblGrid>
      <w:tr w:rsidR="00081F6A" w:rsidRPr="00A25A60" w14:paraId="733A8475" w14:textId="77777777" w:rsidTr="00A8572D">
        <w:trPr>
          <w:jc w:val="center"/>
        </w:trPr>
        <w:tc>
          <w:tcPr>
            <w:tcW w:w="4248" w:type="dxa"/>
            <w:tcBorders>
              <w:top w:val="single" w:sz="4" w:space="0" w:color="auto"/>
              <w:bottom w:val="single" w:sz="4" w:space="0" w:color="auto"/>
            </w:tcBorders>
          </w:tcPr>
          <w:p w14:paraId="09EE938A" w14:textId="7EB0CFE6" w:rsidR="0019481C" w:rsidRPr="00A25A60" w:rsidRDefault="0019481C" w:rsidP="0062019F">
            <w:pPr>
              <w:spacing w:line="360" w:lineRule="auto"/>
              <w:rPr>
                <w:rFonts w:asciiTheme="majorHAnsi" w:eastAsiaTheme="minorEastAsia" w:hAnsiTheme="majorHAnsi" w:cstheme="majorHAnsi"/>
                <w:b/>
                <w:bCs/>
                <w:sz w:val="24"/>
                <w:szCs w:val="24"/>
                <w:lang w:val="en-US" w:eastAsia="de-DE"/>
              </w:rPr>
            </w:pPr>
          </w:p>
          <w:p w14:paraId="42A00212" w14:textId="7A4D7E2E" w:rsidR="00081F6A" w:rsidRPr="00A25A60" w:rsidRDefault="00081F6A" w:rsidP="0062019F">
            <w:pPr>
              <w:spacing w:line="360" w:lineRule="auto"/>
              <w:rPr>
                <w:rFonts w:asciiTheme="majorHAnsi" w:eastAsiaTheme="minorEastAsia" w:hAnsiTheme="majorHAnsi" w:cstheme="majorHAnsi"/>
                <w:b/>
                <w:bCs/>
                <w:sz w:val="24"/>
                <w:szCs w:val="24"/>
                <w:lang w:val="en-US" w:eastAsia="de-DE"/>
              </w:rPr>
            </w:pPr>
            <w:r w:rsidRPr="00A25A60">
              <w:rPr>
                <w:rFonts w:asciiTheme="majorHAnsi" w:eastAsiaTheme="minorEastAsia" w:hAnsiTheme="majorHAnsi" w:cstheme="majorHAnsi"/>
                <w:b/>
                <w:bCs/>
                <w:sz w:val="24"/>
                <w:szCs w:val="24"/>
                <w:lang w:val="en-US" w:eastAsia="de-DE"/>
              </w:rPr>
              <w:t>Variable</w:t>
            </w:r>
          </w:p>
        </w:tc>
        <w:tc>
          <w:tcPr>
            <w:tcW w:w="2835" w:type="dxa"/>
            <w:tcBorders>
              <w:top w:val="single" w:sz="4" w:space="0" w:color="auto"/>
              <w:bottom w:val="single" w:sz="4" w:space="0" w:color="auto"/>
            </w:tcBorders>
          </w:tcPr>
          <w:p w14:paraId="556E454F" w14:textId="2252B309" w:rsidR="0019481C" w:rsidRPr="00A25A60" w:rsidRDefault="00081F6A" w:rsidP="0062019F">
            <w:pPr>
              <w:spacing w:line="360" w:lineRule="auto"/>
              <w:jc w:val="center"/>
              <w:rPr>
                <w:rFonts w:asciiTheme="majorHAnsi" w:eastAsiaTheme="minorEastAsia" w:hAnsiTheme="majorHAnsi" w:cstheme="majorHAnsi"/>
                <w:b/>
                <w:bCs/>
                <w:sz w:val="24"/>
                <w:szCs w:val="24"/>
                <w:lang w:val="en-US" w:eastAsia="de-DE"/>
              </w:rPr>
            </w:pPr>
            <w:r w:rsidRPr="00A25A60">
              <w:rPr>
                <w:rFonts w:asciiTheme="majorHAnsi" w:eastAsiaTheme="minorEastAsia" w:hAnsiTheme="majorHAnsi" w:cstheme="majorHAnsi"/>
                <w:b/>
                <w:bCs/>
                <w:sz w:val="24"/>
                <w:szCs w:val="24"/>
                <w:lang w:val="en-US" w:eastAsia="de-DE"/>
              </w:rPr>
              <w:t>Compensated</w:t>
            </w:r>
            <w:r w:rsidR="004056A9" w:rsidRPr="00A25A60">
              <w:rPr>
                <w:rFonts w:asciiTheme="majorHAnsi" w:eastAsiaTheme="minorEastAsia" w:hAnsiTheme="majorHAnsi" w:cstheme="majorHAnsi"/>
                <w:b/>
                <w:bCs/>
                <w:sz w:val="24"/>
                <w:szCs w:val="24"/>
                <w:lang w:val="en-US" w:eastAsia="de-DE"/>
              </w:rPr>
              <w:t xml:space="preserve"> C</w:t>
            </w:r>
            <w:r w:rsidR="0019481C" w:rsidRPr="00A25A60">
              <w:rPr>
                <w:rFonts w:asciiTheme="majorHAnsi" w:eastAsiaTheme="minorEastAsia" w:hAnsiTheme="majorHAnsi" w:cstheme="majorHAnsi"/>
                <w:b/>
                <w:bCs/>
                <w:sz w:val="24"/>
                <w:szCs w:val="24"/>
                <w:lang w:val="en-US" w:eastAsia="de-DE"/>
              </w:rPr>
              <w:t>irrhosis</w:t>
            </w:r>
          </w:p>
          <w:p w14:paraId="2D90A9D1" w14:textId="49D04184" w:rsidR="00081F6A" w:rsidRPr="00A25A60" w:rsidRDefault="00081F6A" w:rsidP="0062019F">
            <w:pPr>
              <w:spacing w:line="360" w:lineRule="auto"/>
              <w:jc w:val="center"/>
              <w:rPr>
                <w:rFonts w:asciiTheme="majorHAnsi" w:eastAsiaTheme="minorEastAsia" w:hAnsiTheme="majorHAnsi" w:cstheme="majorHAnsi"/>
                <w:b/>
                <w:bCs/>
                <w:sz w:val="24"/>
                <w:szCs w:val="24"/>
                <w:lang w:val="en-US" w:eastAsia="de-DE"/>
              </w:rPr>
            </w:pPr>
            <w:r w:rsidRPr="00A25A60">
              <w:rPr>
                <w:rFonts w:asciiTheme="majorHAnsi" w:eastAsiaTheme="minorEastAsia" w:hAnsiTheme="majorHAnsi" w:cstheme="majorHAnsi"/>
                <w:b/>
                <w:bCs/>
                <w:sz w:val="24"/>
                <w:szCs w:val="24"/>
                <w:lang w:val="en-US" w:eastAsia="de-DE"/>
              </w:rPr>
              <w:t>(N=39)</w:t>
            </w:r>
          </w:p>
        </w:tc>
        <w:tc>
          <w:tcPr>
            <w:tcW w:w="2840" w:type="dxa"/>
            <w:tcBorders>
              <w:top w:val="single" w:sz="4" w:space="0" w:color="auto"/>
              <w:bottom w:val="single" w:sz="4" w:space="0" w:color="auto"/>
            </w:tcBorders>
          </w:tcPr>
          <w:p w14:paraId="75CF20B9" w14:textId="5787C48B" w:rsidR="0019481C" w:rsidRPr="00A25A60" w:rsidRDefault="00081F6A" w:rsidP="00A8572D">
            <w:pPr>
              <w:spacing w:line="360" w:lineRule="auto"/>
              <w:jc w:val="center"/>
              <w:rPr>
                <w:rFonts w:asciiTheme="majorHAnsi" w:eastAsiaTheme="minorEastAsia" w:hAnsiTheme="majorHAnsi" w:cstheme="majorHAnsi"/>
                <w:b/>
                <w:bCs/>
                <w:sz w:val="24"/>
                <w:szCs w:val="24"/>
                <w:lang w:val="en-US" w:eastAsia="de-DE"/>
              </w:rPr>
            </w:pPr>
            <w:r w:rsidRPr="00A25A60">
              <w:rPr>
                <w:rFonts w:asciiTheme="majorHAnsi" w:eastAsiaTheme="minorEastAsia" w:hAnsiTheme="majorHAnsi" w:cstheme="majorHAnsi"/>
                <w:b/>
                <w:bCs/>
                <w:sz w:val="24"/>
                <w:szCs w:val="24"/>
                <w:lang w:val="en-US" w:eastAsia="de-DE"/>
              </w:rPr>
              <w:t xml:space="preserve">AD </w:t>
            </w:r>
            <w:r w:rsidR="00A8572D" w:rsidRPr="00A25A60">
              <w:rPr>
                <w:rFonts w:asciiTheme="majorHAnsi" w:eastAsiaTheme="minorEastAsia" w:hAnsiTheme="majorHAnsi" w:cstheme="majorHAnsi"/>
                <w:b/>
                <w:bCs/>
                <w:sz w:val="24"/>
                <w:szCs w:val="24"/>
                <w:lang w:val="en-US" w:eastAsia="de-DE"/>
              </w:rPr>
              <w:t>Cirrhosis F</w:t>
            </w:r>
            <w:r w:rsidR="0019481C" w:rsidRPr="00A25A60">
              <w:rPr>
                <w:rFonts w:asciiTheme="majorHAnsi" w:eastAsiaTheme="minorEastAsia" w:hAnsiTheme="majorHAnsi" w:cstheme="majorHAnsi"/>
                <w:b/>
                <w:bCs/>
                <w:sz w:val="24"/>
                <w:szCs w:val="24"/>
                <w:lang w:val="en-US" w:eastAsia="de-DE"/>
              </w:rPr>
              <w:t>ree of ACLF</w:t>
            </w:r>
          </w:p>
          <w:p w14:paraId="21CF86CD" w14:textId="09009134" w:rsidR="00081F6A" w:rsidRPr="00A25A60" w:rsidRDefault="00081F6A" w:rsidP="0062019F">
            <w:pPr>
              <w:spacing w:line="360" w:lineRule="auto"/>
              <w:jc w:val="center"/>
              <w:rPr>
                <w:rFonts w:asciiTheme="majorHAnsi" w:eastAsiaTheme="minorEastAsia" w:hAnsiTheme="majorHAnsi" w:cstheme="majorHAnsi"/>
                <w:b/>
                <w:bCs/>
                <w:sz w:val="24"/>
                <w:szCs w:val="24"/>
                <w:lang w:val="en-US" w:eastAsia="de-DE"/>
              </w:rPr>
            </w:pPr>
            <w:r w:rsidRPr="00A25A60">
              <w:rPr>
                <w:rFonts w:asciiTheme="majorHAnsi" w:eastAsiaTheme="minorEastAsia" w:hAnsiTheme="majorHAnsi" w:cstheme="majorHAnsi"/>
                <w:b/>
                <w:bCs/>
                <w:sz w:val="24"/>
                <w:szCs w:val="24"/>
                <w:lang w:val="en-US" w:eastAsia="de-DE"/>
              </w:rPr>
              <w:t>(N=342)</w:t>
            </w:r>
          </w:p>
        </w:tc>
        <w:tc>
          <w:tcPr>
            <w:tcW w:w="2268" w:type="dxa"/>
            <w:tcBorders>
              <w:top w:val="single" w:sz="4" w:space="0" w:color="auto"/>
              <w:bottom w:val="single" w:sz="4" w:space="0" w:color="auto"/>
            </w:tcBorders>
          </w:tcPr>
          <w:p w14:paraId="542B44C1" w14:textId="064147E8" w:rsidR="0019481C" w:rsidRPr="00A25A60" w:rsidRDefault="00081F6A" w:rsidP="0062019F">
            <w:pPr>
              <w:spacing w:line="360" w:lineRule="auto"/>
              <w:jc w:val="center"/>
              <w:rPr>
                <w:rFonts w:asciiTheme="majorHAnsi" w:eastAsiaTheme="minorEastAsia" w:hAnsiTheme="majorHAnsi" w:cstheme="majorHAnsi"/>
                <w:b/>
                <w:bCs/>
                <w:sz w:val="24"/>
                <w:szCs w:val="24"/>
                <w:lang w:val="en-US" w:eastAsia="de-DE"/>
              </w:rPr>
            </w:pPr>
            <w:r w:rsidRPr="00A25A60">
              <w:rPr>
                <w:rFonts w:asciiTheme="majorHAnsi" w:eastAsiaTheme="minorEastAsia" w:hAnsiTheme="majorHAnsi" w:cstheme="majorHAnsi"/>
                <w:b/>
                <w:bCs/>
                <w:sz w:val="24"/>
                <w:szCs w:val="24"/>
                <w:lang w:val="en-US" w:eastAsia="de-DE"/>
              </w:rPr>
              <w:t xml:space="preserve">ACLF </w:t>
            </w:r>
          </w:p>
          <w:p w14:paraId="31733214" w14:textId="7D1971AF" w:rsidR="00081F6A" w:rsidRPr="00A25A60" w:rsidRDefault="00081F6A" w:rsidP="0062019F">
            <w:pPr>
              <w:spacing w:line="360" w:lineRule="auto"/>
              <w:jc w:val="center"/>
              <w:rPr>
                <w:rFonts w:asciiTheme="majorHAnsi" w:eastAsiaTheme="minorEastAsia" w:hAnsiTheme="majorHAnsi" w:cstheme="majorHAnsi"/>
                <w:b/>
                <w:bCs/>
                <w:sz w:val="24"/>
                <w:szCs w:val="24"/>
                <w:lang w:val="en-US" w:eastAsia="de-DE"/>
              </w:rPr>
            </w:pPr>
            <w:r w:rsidRPr="00A25A60">
              <w:rPr>
                <w:rFonts w:asciiTheme="majorHAnsi" w:eastAsiaTheme="minorEastAsia" w:hAnsiTheme="majorHAnsi" w:cstheme="majorHAnsi"/>
                <w:b/>
                <w:bCs/>
                <w:sz w:val="24"/>
                <w:szCs w:val="24"/>
                <w:lang w:val="en-US" w:eastAsia="de-DE"/>
              </w:rPr>
              <w:t>(N=161)</w:t>
            </w:r>
          </w:p>
        </w:tc>
        <w:tc>
          <w:tcPr>
            <w:tcW w:w="987" w:type="dxa"/>
            <w:tcBorders>
              <w:top w:val="single" w:sz="4" w:space="0" w:color="auto"/>
              <w:bottom w:val="single" w:sz="4" w:space="0" w:color="auto"/>
            </w:tcBorders>
          </w:tcPr>
          <w:p w14:paraId="7668277C" w14:textId="77777777" w:rsidR="0019481C" w:rsidRPr="00A25A60" w:rsidRDefault="0019481C" w:rsidP="0062019F">
            <w:pPr>
              <w:spacing w:line="360" w:lineRule="auto"/>
              <w:jc w:val="center"/>
              <w:rPr>
                <w:rFonts w:asciiTheme="majorHAnsi" w:eastAsiaTheme="minorEastAsia" w:hAnsiTheme="majorHAnsi" w:cstheme="majorHAnsi"/>
                <w:b/>
                <w:bCs/>
                <w:sz w:val="24"/>
                <w:szCs w:val="24"/>
                <w:lang w:val="en-US" w:eastAsia="de-DE"/>
              </w:rPr>
            </w:pPr>
          </w:p>
          <w:p w14:paraId="2B54E74F" w14:textId="2F51F671" w:rsidR="00081F6A" w:rsidRPr="00A25A60" w:rsidRDefault="00081F6A" w:rsidP="0062019F">
            <w:pPr>
              <w:spacing w:line="360" w:lineRule="auto"/>
              <w:jc w:val="center"/>
              <w:rPr>
                <w:rFonts w:asciiTheme="majorHAnsi" w:eastAsiaTheme="minorEastAsia" w:hAnsiTheme="majorHAnsi" w:cstheme="majorHAnsi"/>
                <w:b/>
                <w:bCs/>
                <w:sz w:val="24"/>
                <w:szCs w:val="24"/>
                <w:lang w:val="en-US" w:eastAsia="de-DE"/>
              </w:rPr>
            </w:pPr>
            <w:r w:rsidRPr="00A25A60">
              <w:rPr>
                <w:rFonts w:asciiTheme="majorHAnsi" w:eastAsiaTheme="minorEastAsia" w:hAnsiTheme="majorHAnsi" w:cstheme="majorHAnsi"/>
                <w:b/>
                <w:bCs/>
                <w:sz w:val="24"/>
                <w:szCs w:val="24"/>
                <w:lang w:val="en-US" w:eastAsia="de-DE"/>
              </w:rPr>
              <w:t>P-value</w:t>
            </w:r>
          </w:p>
        </w:tc>
      </w:tr>
      <w:tr w:rsidR="0019481C" w:rsidRPr="00A25A60" w14:paraId="082E1AAD" w14:textId="77777777" w:rsidTr="00A8572D">
        <w:trPr>
          <w:jc w:val="center"/>
        </w:trPr>
        <w:tc>
          <w:tcPr>
            <w:tcW w:w="4248" w:type="dxa"/>
            <w:tcBorders>
              <w:top w:val="single" w:sz="4" w:space="0" w:color="auto"/>
            </w:tcBorders>
          </w:tcPr>
          <w:p w14:paraId="72A026DA" w14:textId="6C711B69" w:rsidR="0019481C" w:rsidRPr="00A25A60" w:rsidRDefault="0019481C" w:rsidP="0062019F">
            <w:pPr>
              <w:spacing w:line="360" w:lineRule="auto"/>
              <w:rPr>
                <w:rFonts w:asciiTheme="majorHAnsi" w:hAnsiTheme="majorHAnsi" w:cstheme="majorHAnsi"/>
                <w:b/>
                <w:sz w:val="24"/>
                <w:szCs w:val="24"/>
                <w:lang w:val="en-US"/>
              </w:rPr>
            </w:pPr>
            <w:r w:rsidRPr="00A25A60">
              <w:rPr>
                <w:rFonts w:asciiTheme="majorHAnsi" w:hAnsiTheme="majorHAnsi" w:cstheme="majorHAnsi"/>
                <w:b/>
                <w:sz w:val="24"/>
                <w:szCs w:val="24"/>
                <w:lang w:val="en-US"/>
              </w:rPr>
              <w:t>Clinical characteristics</w:t>
            </w:r>
          </w:p>
        </w:tc>
        <w:tc>
          <w:tcPr>
            <w:tcW w:w="2835" w:type="dxa"/>
            <w:tcBorders>
              <w:top w:val="single" w:sz="4" w:space="0" w:color="auto"/>
            </w:tcBorders>
          </w:tcPr>
          <w:p w14:paraId="04FF7C8C" w14:textId="77777777" w:rsidR="0019481C" w:rsidRPr="00A25A60" w:rsidRDefault="0019481C" w:rsidP="0062019F">
            <w:pPr>
              <w:spacing w:line="360" w:lineRule="auto"/>
              <w:rPr>
                <w:rFonts w:asciiTheme="majorHAnsi" w:hAnsiTheme="majorHAnsi" w:cstheme="majorHAnsi"/>
                <w:b/>
                <w:sz w:val="24"/>
                <w:szCs w:val="24"/>
                <w:lang w:val="en-US"/>
              </w:rPr>
            </w:pPr>
          </w:p>
        </w:tc>
        <w:tc>
          <w:tcPr>
            <w:tcW w:w="2840" w:type="dxa"/>
            <w:tcBorders>
              <w:top w:val="single" w:sz="4" w:space="0" w:color="auto"/>
            </w:tcBorders>
          </w:tcPr>
          <w:p w14:paraId="5859CA5E" w14:textId="77777777" w:rsidR="0019481C" w:rsidRPr="00A25A60" w:rsidRDefault="0019481C" w:rsidP="0062019F">
            <w:pPr>
              <w:spacing w:line="360" w:lineRule="auto"/>
              <w:rPr>
                <w:rFonts w:asciiTheme="majorHAnsi" w:hAnsiTheme="majorHAnsi" w:cstheme="majorHAnsi"/>
                <w:b/>
                <w:sz w:val="24"/>
                <w:szCs w:val="24"/>
                <w:lang w:val="en-US"/>
              </w:rPr>
            </w:pPr>
          </w:p>
        </w:tc>
        <w:tc>
          <w:tcPr>
            <w:tcW w:w="2268" w:type="dxa"/>
            <w:tcBorders>
              <w:top w:val="single" w:sz="4" w:space="0" w:color="auto"/>
            </w:tcBorders>
          </w:tcPr>
          <w:p w14:paraId="07B56B3E" w14:textId="77777777" w:rsidR="0019481C" w:rsidRPr="00A25A60" w:rsidRDefault="0019481C" w:rsidP="0062019F">
            <w:pPr>
              <w:spacing w:line="360" w:lineRule="auto"/>
              <w:rPr>
                <w:rFonts w:asciiTheme="majorHAnsi" w:hAnsiTheme="majorHAnsi" w:cstheme="majorHAnsi"/>
                <w:b/>
                <w:sz w:val="24"/>
                <w:szCs w:val="24"/>
                <w:lang w:val="en-US"/>
              </w:rPr>
            </w:pPr>
          </w:p>
        </w:tc>
        <w:tc>
          <w:tcPr>
            <w:tcW w:w="987" w:type="dxa"/>
            <w:tcBorders>
              <w:top w:val="single" w:sz="4" w:space="0" w:color="auto"/>
            </w:tcBorders>
          </w:tcPr>
          <w:p w14:paraId="55DFDD00" w14:textId="77777777" w:rsidR="0019481C" w:rsidRPr="00A25A60" w:rsidRDefault="0019481C" w:rsidP="0062019F">
            <w:pPr>
              <w:spacing w:line="360" w:lineRule="auto"/>
              <w:rPr>
                <w:rFonts w:asciiTheme="majorHAnsi" w:hAnsiTheme="majorHAnsi" w:cstheme="majorHAnsi"/>
                <w:b/>
                <w:sz w:val="24"/>
                <w:szCs w:val="24"/>
                <w:lang w:val="en-US"/>
              </w:rPr>
            </w:pPr>
          </w:p>
        </w:tc>
      </w:tr>
      <w:tr w:rsidR="00CD2DC7" w:rsidRPr="00A25A60" w14:paraId="40318E7B" w14:textId="77777777" w:rsidTr="00A8572D">
        <w:trPr>
          <w:jc w:val="center"/>
        </w:trPr>
        <w:tc>
          <w:tcPr>
            <w:tcW w:w="4248" w:type="dxa"/>
          </w:tcPr>
          <w:p w14:paraId="12C95696" w14:textId="32409CC8" w:rsidR="00CD2DC7" w:rsidRPr="00A25A60" w:rsidRDefault="00CD2DC7"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Age— year</w:t>
            </w:r>
          </w:p>
        </w:tc>
        <w:tc>
          <w:tcPr>
            <w:tcW w:w="2835" w:type="dxa"/>
          </w:tcPr>
          <w:p w14:paraId="42336CFC" w14:textId="38D3E705"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 xml:space="preserve">59.6 </w:t>
            </w:r>
            <w:r w:rsidR="00600D8A" w:rsidRPr="00A25A60">
              <w:rPr>
                <w:rFonts w:asciiTheme="majorHAnsi" w:hAnsiTheme="majorHAnsi" w:cstheme="majorHAnsi"/>
                <w:sz w:val="24"/>
                <w:szCs w:val="24"/>
                <w:lang w:val="en-US"/>
              </w:rPr>
              <w:t>±</w:t>
            </w:r>
            <w:r w:rsidRPr="00A25A60">
              <w:rPr>
                <w:rFonts w:asciiTheme="majorHAnsi" w:eastAsiaTheme="minorEastAsia" w:hAnsiTheme="majorHAnsi" w:cstheme="majorHAnsi"/>
                <w:sz w:val="24"/>
                <w:szCs w:val="24"/>
                <w:lang w:val="en-US" w:eastAsia="de-DE"/>
              </w:rPr>
              <w:t xml:space="preserve"> 9.19</w:t>
            </w:r>
          </w:p>
        </w:tc>
        <w:tc>
          <w:tcPr>
            <w:tcW w:w="2840" w:type="dxa"/>
          </w:tcPr>
          <w:p w14:paraId="49E8D7E3" w14:textId="2DFC8629"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 xml:space="preserve">57.0 </w:t>
            </w:r>
            <w:r w:rsidRPr="00A25A60">
              <w:rPr>
                <w:rFonts w:asciiTheme="majorHAnsi" w:hAnsiTheme="majorHAnsi" w:cstheme="majorHAnsi"/>
                <w:sz w:val="24"/>
                <w:szCs w:val="24"/>
                <w:lang w:val="en-US"/>
              </w:rPr>
              <w:t>±</w:t>
            </w:r>
            <w:r w:rsidR="00CD2DC7" w:rsidRPr="00A25A60">
              <w:rPr>
                <w:rFonts w:asciiTheme="majorHAnsi" w:eastAsiaTheme="minorEastAsia" w:hAnsiTheme="majorHAnsi" w:cstheme="majorHAnsi"/>
                <w:sz w:val="24"/>
                <w:szCs w:val="24"/>
                <w:lang w:val="en-US" w:eastAsia="de-DE"/>
              </w:rPr>
              <w:t xml:space="preserve"> 11.53</w:t>
            </w:r>
          </w:p>
        </w:tc>
        <w:tc>
          <w:tcPr>
            <w:tcW w:w="2268" w:type="dxa"/>
          </w:tcPr>
          <w:p w14:paraId="04AEFF3A" w14:textId="2B3A8BAF"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 xml:space="preserve">57.3 </w:t>
            </w:r>
            <w:r w:rsidRPr="00A25A60">
              <w:rPr>
                <w:rFonts w:asciiTheme="majorHAnsi" w:hAnsiTheme="majorHAnsi" w:cstheme="majorHAnsi"/>
                <w:sz w:val="24"/>
                <w:szCs w:val="24"/>
                <w:lang w:val="en-US"/>
              </w:rPr>
              <w:t>±</w:t>
            </w:r>
            <w:r w:rsidR="00CD2DC7" w:rsidRPr="00A25A60">
              <w:rPr>
                <w:rFonts w:asciiTheme="majorHAnsi" w:eastAsiaTheme="minorEastAsia" w:hAnsiTheme="majorHAnsi" w:cstheme="majorHAnsi"/>
                <w:sz w:val="24"/>
                <w:szCs w:val="24"/>
                <w:lang w:val="en-US" w:eastAsia="de-DE"/>
              </w:rPr>
              <w:t xml:space="preserve"> 11.45</w:t>
            </w:r>
          </w:p>
        </w:tc>
        <w:tc>
          <w:tcPr>
            <w:tcW w:w="987" w:type="dxa"/>
          </w:tcPr>
          <w:p w14:paraId="48820CCA" w14:textId="77777777"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0.405</w:t>
            </w:r>
          </w:p>
        </w:tc>
      </w:tr>
      <w:tr w:rsidR="00CD2DC7" w:rsidRPr="00A25A60" w14:paraId="7B455930" w14:textId="77777777" w:rsidTr="00A8572D">
        <w:trPr>
          <w:jc w:val="center"/>
        </w:trPr>
        <w:tc>
          <w:tcPr>
            <w:tcW w:w="4248" w:type="dxa"/>
          </w:tcPr>
          <w:p w14:paraId="4833CA24" w14:textId="5FCECB43" w:rsidR="00CD2DC7" w:rsidRPr="00A25A60" w:rsidRDefault="00CD2DC7"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Male gender — no./total no. (%)</w:t>
            </w:r>
          </w:p>
        </w:tc>
        <w:tc>
          <w:tcPr>
            <w:tcW w:w="2835" w:type="dxa"/>
          </w:tcPr>
          <w:p w14:paraId="4B00AFD3" w14:textId="40456FED"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23/39 (</w:t>
            </w:r>
            <w:proofErr w:type="gramStart"/>
            <w:r w:rsidRPr="00A25A60">
              <w:rPr>
                <w:rFonts w:asciiTheme="majorHAnsi" w:eastAsiaTheme="minorEastAsia" w:hAnsiTheme="majorHAnsi" w:cstheme="majorHAnsi"/>
                <w:sz w:val="24"/>
                <w:szCs w:val="24"/>
                <w:lang w:val="en-US" w:eastAsia="de-DE"/>
              </w:rPr>
              <w:t xml:space="preserve">59.0 </w:t>
            </w:r>
            <w:r w:rsidR="00CD2DC7" w:rsidRPr="00A25A60">
              <w:rPr>
                <w:rFonts w:asciiTheme="majorHAnsi" w:eastAsiaTheme="minorEastAsia" w:hAnsiTheme="majorHAnsi" w:cstheme="majorHAnsi"/>
                <w:sz w:val="24"/>
                <w:szCs w:val="24"/>
                <w:lang w:val="en-US" w:eastAsia="de-DE"/>
              </w:rPr>
              <w:t>)</w:t>
            </w:r>
            <w:proofErr w:type="gramEnd"/>
          </w:p>
        </w:tc>
        <w:tc>
          <w:tcPr>
            <w:tcW w:w="2840" w:type="dxa"/>
          </w:tcPr>
          <w:p w14:paraId="74660D10" w14:textId="627BDF17"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227/342 (</w:t>
            </w:r>
            <w:proofErr w:type="gramStart"/>
            <w:r w:rsidRPr="00A25A60">
              <w:rPr>
                <w:rFonts w:asciiTheme="majorHAnsi" w:eastAsiaTheme="minorEastAsia" w:hAnsiTheme="majorHAnsi" w:cstheme="majorHAnsi"/>
                <w:sz w:val="24"/>
                <w:szCs w:val="24"/>
                <w:lang w:val="en-US" w:eastAsia="de-DE"/>
              </w:rPr>
              <w:t xml:space="preserve">66.4 </w:t>
            </w:r>
            <w:r w:rsidR="00CD2DC7" w:rsidRPr="00A25A60">
              <w:rPr>
                <w:rFonts w:asciiTheme="majorHAnsi" w:eastAsiaTheme="minorEastAsia" w:hAnsiTheme="majorHAnsi" w:cstheme="majorHAnsi"/>
                <w:sz w:val="24"/>
                <w:szCs w:val="24"/>
                <w:lang w:val="en-US" w:eastAsia="de-DE"/>
              </w:rPr>
              <w:t>)</w:t>
            </w:r>
            <w:proofErr w:type="gramEnd"/>
          </w:p>
        </w:tc>
        <w:tc>
          <w:tcPr>
            <w:tcW w:w="2268" w:type="dxa"/>
          </w:tcPr>
          <w:p w14:paraId="0A100FBC" w14:textId="0188CE38"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108/161 (</w:t>
            </w:r>
            <w:proofErr w:type="gramStart"/>
            <w:r w:rsidRPr="00A25A60">
              <w:rPr>
                <w:rFonts w:asciiTheme="majorHAnsi" w:eastAsiaTheme="minorEastAsia" w:hAnsiTheme="majorHAnsi" w:cstheme="majorHAnsi"/>
                <w:sz w:val="24"/>
                <w:szCs w:val="24"/>
                <w:lang w:val="en-US" w:eastAsia="de-DE"/>
              </w:rPr>
              <w:t xml:space="preserve">67.1 </w:t>
            </w:r>
            <w:r w:rsidR="00CD2DC7" w:rsidRPr="00A25A60">
              <w:rPr>
                <w:rFonts w:asciiTheme="majorHAnsi" w:eastAsiaTheme="minorEastAsia" w:hAnsiTheme="majorHAnsi" w:cstheme="majorHAnsi"/>
                <w:sz w:val="24"/>
                <w:szCs w:val="24"/>
                <w:lang w:val="en-US" w:eastAsia="de-DE"/>
              </w:rPr>
              <w:t>)</w:t>
            </w:r>
            <w:proofErr w:type="gramEnd"/>
          </w:p>
        </w:tc>
        <w:tc>
          <w:tcPr>
            <w:tcW w:w="987" w:type="dxa"/>
          </w:tcPr>
          <w:p w14:paraId="25384896" w14:textId="77777777"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0.618</w:t>
            </w:r>
          </w:p>
        </w:tc>
      </w:tr>
      <w:tr w:rsidR="00CD2DC7" w:rsidRPr="00A25A60" w14:paraId="62767B63" w14:textId="77777777" w:rsidTr="00A8572D">
        <w:trPr>
          <w:jc w:val="center"/>
        </w:trPr>
        <w:tc>
          <w:tcPr>
            <w:tcW w:w="4248" w:type="dxa"/>
          </w:tcPr>
          <w:p w14:paraId="2E7B7735" w14:textId="49B3DFEA" w:rsidR="00CD2DC7" w:rsidRPr="00A25A60" w:rsidRDefault="00CD2DC7"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w:t>
            </w:r>
            <w:r w:rsidR="008A6FA9" w:rsidRPr="00A25A60">
              <w:rPr>
                <w:rFonts w:asciiTheme="majorHAnsi" w:hAnsiTheme="majorHAnsi" w:cstheme="majorHAnsi"/>
                <w:sz w:val="24"/>
                <w:szCs w:val="24"/>
                <w:lang w:val="en-US"/>
              </w:rPr>
              <w:t>Mean arterial pressure</w:t>
            </w:r>
            <w:r w:rsidRPr="00A25A60">
              <w:rPr>
                <w:rFonts w:asciiTheme="majorHAnsi" w:hAnsiTheme="majorHAnsi" w:cstheme="majorHAnsi"/>
                <w:sz w:val="24"/>
                <w:szCs w:val="24"/>
                <w:lang w:val="en-US"/>
              </w:rPr>
              <w:t xml:space="preserve"> — mm Hg</w:t>
            </w:r>
          </w:p>
        </w:tc>
        <w:tc>
          <w:tcPr>
            <w:tcW w:w="2835" w:type="dxa"/>
          </w:tcPr>
          <w:p w14:paraId="72EE0208" w14:textId="11AF57B8"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 xml:space="preserve">100.7 </w:t>
            </w:r>
            <w:r w:rsidR="00600D8A" w:rsidRPr="00A25A60">
              <w:rPr>
                <w:rFonts w:asciiTheme="majorHAnsi" w:hAnsiTheme="majorHAnsi" w:cstheme="majorHAnsi"/>
                <w:sz w:val="24"/>
                <w:szCs w:val="24"/>
                <w:lang w:val="en-US"/>
              </w:rPr>
              <w:t>±</w:t>
            </w:r>
            <w:r w:rsidRPr="00A25A60">
              <w:rPr>
                <w:rFonts w:asciiTheme="majorHAnsi" w:eastAsiaTheme="minorEastAsia" w:hAnsiTheme="majorHAnsi" w:cstheme="majorHAnsi"/>
                <w:sz w:val="24"/>
                <w:szCs w:val="24"/>
                <w:lang w:val="en-US" w:eastAsia="de-DE"/>
              </w:rPr>
              <w:t xml:space="preserve"> 11.89</w:t>
            </w:r>
          </w:p>
        </w:tc>
        <w:tc>
          <w:tcPr>
            <w:tcW w:w="2840" w:type="dxa"/>
          </w:tcPr>
          <w:p w14:paraId="2FD0DCED" w14:textId="796BFA3B"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 xml:space="preserve">83.9 </w:t>
            </w:r>
            <w:r w:rsidR="00600D8A" w:rsidRPr="00A25A60">
              <w:rPr>
                <w:rFonts w:asciiTheme="majorHAnsi" w:hAnsiTheme="majorHAnsi" w:cstheme="majorHAnsi"/>
                <w:sz w:val="24"/>
                <w:szCs w:val="24"/>
                <w:lang w:val="en-US"/>
              </w:rPr>
              <w:t>±</w:t>
            </w:r>
            <w:r w:rsidRPr="00A25A60">
              <w:rPr>
                <w:rFonts w:asciiTheme="majorHAnsi" w:eastAsiaTheme="minorEastAsia" w:hAnsiTheme="majorHAnsi" w:cstheme="majorHAnsi"/>
                <w:sz w:val="24"/>
                <w:szCs w:val="24"/>
                <w:lang w:val="en-US" w:eastAsia="de-DE"/>
              </w:rPr>
              <w:t xml:space="preserve"> 11.61</w:t>
            </w:r>
          </w:p>
        </w:tc>
        <w:tc>
          <w:tcPr>
            <w:tcW w:w="2268" w:type="dxa"/>
          </w:tcPr>
          <w:p w14:paraId="7AB838DA" w14:textId="4F607037"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 xml:space="preserve">80.8 </w:t>
            </w:r>
            <w:r w:rsidR="00600D8A" w:rsidRPr="00A25A60">
              <w:rPr>
                <w:rFonts w:asciiTheme="majorHAnsi" w:hAnsiTheme="majorHAnsi" w:cstheme="majorHAnsi"/>
                <w:sz w:val="24"/>
                <w:szCs w:val="24"/>
                <w:lang w:val="en-US"/>
              </w:rPr>
              <w:t>±</w:t>
            </w:r>
            <w:r w:rsidRPr="00A25A60">
              <w:rPr>
                <w:rFonts w:asciiTheme="majorHAnsi" w:eastAsiaTheme="minorEastAsia" w:hAnsiTheme="majorHAnsi" w:cstheme="majorHAnsi"/>
                <w:sz w:val="24"/>
                <w:szCs w:val="24"/>
                <w:lang w:val="en-US" w:eastAsia="de-DE"/>
              </w:rPr>
              <w:t xml:space="preserve"> 13.40</w:t>
            </w:r>
          </w:p>
        </w:tc>
        <w:tc>
          <w:tcPr>
            <w:tcW w:w="987" w:type="dxa"/>
          </w:tcPr>
          <w:p w14:paraId="0869EB59" w14:textId="77777777"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8A4931" w:rsidRPr="00A25A60" w14:paraId="18EE48D7" w14:textId="77777777" w:rsidTr="00A8572D">
        <w:trPr>
          <w:jc w:val="center"/>
        </w:trPr>
        <w:tc>
          <w:tcPr>
            <w:tcW w:w="4248" w:type="dxa"/>
          </w:tcPr>
          <w:p w14:paraId="1F1BAE78" w14:textId="7EAB33E2" w:rsidR="008A4931" w:rsidRPr="00A25A60" w:rsidRDefault="008A4931" w:rsidP="0062019F">
            <w:pPr>
              <w:spacing w:line="360" w:lineRule="auto"/>
              <w:rPr>
                <w:rFonts w:asciiTheme="majorHAnsi" w:hAnsiTheme="majorHAnsi" w:cstheme="majorHAnsi"/>
                <w:sz w:val="24"/>
                <w:szCs w:val="24"/>
                <w:lang w:val="en-US"/>
              </w:rPr>
            </w:pPr>
            <w:r w:rsidRPr="00A25A60">
              <w:rPr>
                <w:rFonts w:asciiTheme="majorHAnsi" w:hAnsiTheme="majorHAnsi" w:cstheme="majorHAnsi"/>
                <w:sz w:val="24"/>
                <w:szCs w:val="24"/>
                <w:lang w:val="en-US"/>
              </w:rPr>
              <w:t xml:space="preserve">   Etiology of cirrhosis — no./total no. (%)</w:t>
            </w:r>
          </w:p>
        </w:tc>
        <w:tc>
          <w:tcPr>
            <w:tcW w:w="2835" w:type="dxa"/>
          </w:tcPr>
          <w:p w14:paraId="0401036B" w14:textId="77777777" w:rsidR="008A4931" w:rsidRPr="00A25A60" w:rsidRDefault="008A4931" w:rsidP="0062019F">
            <w:pPr>
              <w:spacing w:line="360" w:lineRule="auto"/>
              <w:jc w:val="center"/>
              <w:rPr>
                <w:rFonts w:asciiTheme="majorHAnsi" w:hAnsiTheme="majorHAnsi" w:cstheme="majorHAnsi"/>
                <w:sz w:val="24"/>
                <w:szCs w:val="24"/>
                <w:lang w:val="en-US"/>
              </w:rPr>
            </w:pPr>
          </w:p>
        </w:tc>
        <w:tc>
          <w:tcPr>
            <w:tcW w:w="2840" w:type="dxa"/>
          </w:tcPr>
          <w:p w14:paraId="35ECE0D6" w14:textId="77777777" w:rsidR="008A4931" w:rsidRPr="00A25A60" w:rsidRDefault="008A4931" w:rsidP="0062019F">
            <w:pPr>
              <w:spacing w:line="360" w:lineRule="auto"/>
              <w:jc w:val="center"/>
              <w:rPr>
                <w:rFonts w:asciiTheme="majorHAnsi" w:hAnsiTheme="majorHAnsi" w:cstheme="majorHAnsi"/>
                <w:sz w:val="24"/>
                <w:szCs w:val="24"/>
                <w:lang w:val="en-US"/>
              </w:rPr>
            </w:pPr>
          </w:p>
        </w:tc>
        <w:tc>
          <w:tcPr>
            <w:tcW w:w="2268" w:type="dxa"/>
          </w:tcPr>
          <w:p w14:paraId="5B7A37B9" w14:textId="77777777" w:rsidR="008A4931" w:rsidRPr="00A25A60" w:rsidRDefault="008A4931" w:rsidP="0062019F">
            <w:pPr>
              <w:spacing w:line="360" w:lineRule="auto"/>
              <w:jc w:val="center"/>
              <w:rPr>
                <w:rFonts w:asciiTheme="majorHAnsi" w:hAnsiTheme="majorHAnsi" w:cstheme="majorHAnsi"/>
                <w:sz w:val="24"/>
                <w:szCs w:val="24"/>
                <w:lang w:val="en-US"/>
              </w:rPr>
            </w:pPr>
          </w:p>
        </w:tc>
        <w:tc>
          <w:tcPr>
            <w:tcW w:w="987" w:type="dxa"/>
          </w:tcPr>
          <w:p w14:paraId="7AB8A712" w14:textId="77777777" w:rsidR="008A4931" w:rsidRPr="00A25A60" w:rsidRDefault="008A4931" w:rsidP="0062019F">
            <w:pPr>
              <w:spacing w:line="360" w:lineRule="auto"/>
              <w:jc w:val="center"/>
              <w:rPr>
                <w:rFonts w:asciiTheme="majorHAnsi" w:hAnsiTheme="majorHAnsi" w:cstheme="majorHAnsi"/>
                <w:sz w:val="24"/>
                <w:szCs w:val="24"/>
                <w:lang w:val="en-US"/>
              </w:rPr>
            </w:pPr>
          </w:p>
        </w:tc>
      </w:tr>
      <w:tr w:rsidR="00CD2DC7" w:rsidRPr="00A25A60" w14:paraId="7E9E9001" w14:textId="77777777" w:rsidTr="00A8572D">
        <w:trPr>
          <w:jc w:val="center"/>
        </w:trPr>
        <w:tc>
          <w:tcPr>
            <w:tcW w:w="4248" w:type="dxa"/>
          </w:tcPr>
          <w:p w14:paraId="0CE9B202" w14:textId="7846874D" w:rsidR="00CD2DC7" w:rsidRPr="00A25A60" w:rsidRDefault="00CD2DC7"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Alcoholic</w:t>
            </w:r>
          </w:p>
        </w:tc>
        <w:tc>
          <w:tcPr>
            <w:tcW w:w="2835" w:type="dxa"/>
          </w:tcPr>
          <w:p w14:paraId="56FC3B54" w14:textId="03845400"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8/39 (</w:t>
            </w:r>
            <w:proofErr w:type="gramStart"/>
            <w:r w:rsidRPr="00A25A60">
              <w:rPr>
                <w:rFonts w:asciiTheme="majorHAnsi" w:eastAsiaTheme="minorEastAsia" w:hAnsiTheme="majorHAnsi" w:cstheme="majorHAnsi"/>
                <w:sz w:val="24"/>
                <w:szCs w:val="24"/>
                <w:lang w:val="en-US" w:eastAsia="de-DE"/>
              </w:rPr>
              <w:t xml:space="preserve">20.5 </w:t>
            </w:r>
            <w:r w:rsidR="00CD2DC7" w:rsidRPr="00A25A60">
              <w:rPr>
                <w:rFonts w:asciiTheme="majorHAnsi" w:eastAsiaTheme="minorEastAsia" w:hAnsiTheme="majorHAnsi" w:cstheme="majorHAnsi"/>
                <w:sz w:val="24"/>
                <w:szCs w:val="24"/>
                <w:lang w:val="en-US" w:eastAsia="de-DE"/>
              </w:rPr>
              <w:t>)</w:t>
            </w:r>
            <w:proofErr w:type="gramEnd"/>
          </w:p>
        </w:tc>
        <w:tc>
          <w:tcPr>
            <w:tcW w:w="2840" w:type="dxa"/>
          </w:tcPr>
          <w:p w14:paraId="257CEB0C" w14:textId="5139081D"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 xml:space="preserve">157/321 </w:t>
            </w:r>
            <w:r w:rsidR="00600D8A" w:rsidRPr="00A25A60">
              <w:rPr>
                <w:rFonts w:asciiTheme="majorHAnsi" w:eastAsiaTheme="minorEastAsia" w:hAnsiTheme="majorHAnsi" w:cstheme="majorHAnsi"/>
                <w:sz w:val="24"/>
                <w:szCs w:val="24"/>
                <w:lang w:val="en-US" w:eastAsia="de-DE"/>
              </w:rPr>
              <w:t>(48.9</w:t>
            </w:r>
            <w:r w:rsidRPr="00A25A60">
              <w:rPr>
                <w:rFonts w:asciiTheme="majorHAnsi" w:eastAsiaTheme="minorEastAsia" w:hAnsiTheme="majorHAnsi" w:cstheme="majorHAnsi"/>
                <w:sz w:val="24"/>
                <w:szCs w:val="24"/>
                <w:lang w:val="en-US" w:eastAsia="de-DE"/>
              </w:rPr>
              <w:t>)</w:t>
            </w:r>
          </w:p>
        </w:tc>
        <w:tc>
          <w:tcPr>
            <w:tcW w:w="2268" w:type="dxa"/>
          </w:tcPr>
          <w:p w14:paraId="4451E38E" w14:textId="3F45E48B"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90/152 (59.2</w:t>
            </w:r>
            <w:r w:rsidR="00CD2DC7" w:rsidRPr="00A25A60">
              <w:rPr>
                <w:rFonts w:asciiTheme="majorHAnsi" w:eastAsiaTheme="minorEastAsia" w:hAnsiTheme="majorHAnsi" w:cstheme="majorHAnsi"/>
                <w:sz w:val="24"/>
                <w:szCs w:val="24"/>
                <w:lang w:val="en-US" w:eastAsia="de-DE"/>
              </w:rPr>
              <w:t>)</w:t>
            </w:r>
          </w:p>
        </w:tc>
        <w:tc>
          <w:tcPr>
            <w:tcW w:w="987" w:type="dxa"/>
          </w:tcPr>
          <w:p w14:paraId="1493A145" w14:textId="77777777"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CD2DC7" w:rsidRPr="00A25A60" w14:paraId="1B96C807" w14:textId="77777777" w:rsidTr="00A8572D">
        <w:trPr>
          <w:jc w:val="center"/>
        </w:trPr>
        <w:tc>
          <w:tcPr>
            <w:tcW w:w="4248" w:type="dxa"/>
          </w:tcPr>
          <w:p w14:paraId="2407828E" w14:textId="17C63267" w:rsidR="00CD2DC7" w:rsidRPr="00A25A60" w:rsidRDefault="00CD2DC7"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HCV</w:t>
            </w:r>
          </w:p>
        </w:tc>
        <w:tc>
          <w:tcPr>
            <w:tcW w:w="2835" w:type="dxa"/>
          </w:tcPr>
          <w:p w14:paraId="596DC019" w14:textId="5EE8971D"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17/39 (</w:t>
            </w:r>
            <w:proofErr w:type="gramStart"/>
            <w:r w:rsidRPr="00A25A60">
              <w:rPr>
                <w:rFonts w:asciiTheme="majorHAnsi" w:eastAsiaTheme="minorEastAsia" w:hAnsiTheme="majorHAnsi" w:cstheme="majorHAnsi"/>
                <w:sz w:val="24"/>
                <w:szCs w:val="24"/>
                <w:lang w:val="en-US" w:eastAsia="de-DE"/>
              </w:rPr>
              <w:t xml:space="preserve">43.6 </w:t>
            </w:r>
            <w:r w:rsidR="00CD2DC7" w:rsidRPr="00A25A60">
              <w:rPr>
                <w:rFonts w:asciiTheme="majorHAnsi" w:eastAsiaTheme="minorEastAsia" w:hAnsiTheme="majorHAnsi" w:cstheme="majorHAnsi"/>
                <w:sz w:val="24"/>
                <w:szCs w:val="24"/>
                <w:lang w:val="en-US" w:eastAsia="de-DE"/>
              </w:rPr>
              <w:t>)</w:t>
            </w:r>
            <w:proofErr w:type="gramEnd"/>
          </w:p>
        </w:tc>
        <w:tc>
          <w:tcPr>
            <w:tcW w:w="2840" w:type="dxa"/>
          </w:tcPr>
          <w:p w14:paraId="626F5EC4" w14:textId="5F61150C"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78/321 (24.3</w:t>
            </w:r>
            <w:r w:rsidR="00CD2DC7" w:rsidRPr="00A25A60">
              <w:rPr>
                <w:rFonts w:asciiTheme="majorHAnsi" w:eastAsiaTheme="minorEastAsia" w:hAnsiTheme="majorHAnsi" w:cstheme="majorHAnsi"/>
                <w:sz w:val="24"/>
                <w:szCs w:val="24"/>
                <w:lang w:val="en-US" w:eastAsia="de-DE"/>
              </w:rPr>
              <w:t>)</w:t>
            </w:r>
          </w:p>
        </w:tc>
        <w:tc>
          <w:tcPr>
            <w:tcW w:w="2268" w:type="dxa"/>
          </w:tcPr>
          <w:p w14:paraId="65935D51" w14:textId="762FC2F3"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27/152 (17.8</w:t>
            </w:r>
            <w:r w:rsidR="00CD2DC7" w:rsidRPr="00A25A60">
              <w:rPr>
                <w:rFonts w:asciiTheme="majorHAnsi" w:eastAsiaTheme="minorEastAsia" w:hAnsiTheme="majorHAnsi" w:cstheme="majorHAnsi"/>
                <w:sz w:val="24"/>
                <w:szCs w:val="24"/>
                <w:lang w:val="en-US" w:eastAsia="de-DE"/>
              </w:rPr>
              <w:t>)</w:t>
            </w:r>
          </w:p>
        </w:tc>
        <w:tc>
          <w:tcPr>
            <w:tcW w:w="987" w:type="dxa"/>
          </w:tcPr>
          <w:p w14:paraId="616FDDA4" w14:textId="77777777"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0.003</w:t>
            </w:r>
          </w:p>
        </w:tc>
      </w:tr>
      <w:tr w:rsidR="00CD2DC7" w:rsidRPr="00A25A60" w14:paraId="5400145C" w14:textId="77777777" w:rsidTr="00A8572D">
        <w:trPr>
          <w:jc w:val="center"/>
        </w:trPr>
        <w:tc>
          <w:tcPr>
            <w:tcW w:w="4248" w:type="dxa"/>
          </w:tcPr>
          <w:p w14:paraId="02847A28" w14:textId="3C52297D" w:rsidR="00CD2DC7" w:rsidRPr="00A25A60" w:rsidRDefault="00CD2DC7"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Alcohol + HCV</w:t>
            </w:r>
          </w:p>
        </w:tc>
        <w:tc>
          <w:tcPr>
            <w:tcW w:w="2835" w:type="dxa"/>
          </w:tcPr>
          <w:p w14:paraId="03E10359" w14:textId="0FCC9BB9"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0/39 (0.0</w:t>
            </w:r>
            <w:r w:rsidR="00CD2DC7" w:rsidRPr="00A25A60">
              <w:rPr>
                <w:rFonts w:asciiTheme="majorHAnsi" w:eastAsiaTheme="minorEastAsia" w:hAnsiTheme="majorHAnsi" w:cstheme="majorHAnsi"/>
                <w:sz w:val="24"/>
                <w:szCs w:val="24"/>
                <w:lang w:val="en-US" w:eastAsia="de-DE"/>
              </w:rPr>
              <w:t>)</w:t>
            </w:r>
          </w:p>
        </w:tc>
        <w:tc>
          <w:tcPr>
            <w:tcW w:w="2840" w:type="dxa"/>
          </w:tcPr>
          <w:p w14:paraId="6A4A13C5" w14:textId="7941C23F"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29/321 (9.0</w:t>
            </w:r>
            <w:r w:rsidR="00CD2DC7" w:rsidRPr="00A25A60">
              <w:rPr>
                <w:rFonts w:asciiTheme="majorHAnsi" w:eastAsiaTheme="minorEastAsia" w:hAnsiTheme="majorHAnsi" w:cstheme="majorHAnsi"/>
                <w:sz w:val="24"/>
                <w:szCs w:val="24"/>
                <w:lang w:val="en-US" w:eastAsia="de-DE"/>
              </w:rPr>
              <w:t>)</w:t>
            </w:r>
          </w:p>
        </w:tc>
        <w:tc>
          <w:tcPr>
            <w:tcW w:w="2268" w:type="dxa"/>
          </w:tcPr>
          <w:p w14:paraId="36E54D60" w14:textId="47268680"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17/152 (11.2</w:t>
            </w:r>
            <w:r w:rsidR="00CD2DC7" w:rsidRPr="00A25A60">
              <w:rPr>
                <w:rFonts w:asciiTheme="majorHAnsi" w:eastAsiaTheme="minorEastAsia" w:hAnsiTheme="majorHAnsi" w:cstheme="majorHAnsi"/>
                <w:sz w:val="24"/>
                <w:szCs w:val="24"/>
                <w:lang w:val="en-US" w:eastAsia="de-DE"/>
              </w:rPr>
              <w:t>)</w:t>
            </w:r>
          </w:p>
        </w:tc>
        <w:tc>
          <w:tcPr>
            <w:tcW w:w="987" w:type="dxa"/>
          </w:tcPr>
          <w:p w14:paraId="15D6296E" w14:textId="77777777"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0.093</w:t>
            </w:r>
          </w:p>
        </w:tc>
      </w:tr>
      <w:tr w:rsidR="00CD2DC7" w:rsidRPr="00A25A60" w14:paraId="21339D8B" w14:textId="77777777" w:rsidTr="00A8572D">
        <w:trPr>
          <w:jc w:val="center"/>
        </w:trPr>
        <w:tc>
          <w:tcPr>
            <w:tcW w:w="4248" w:type="dxa"/>
          </w:tcPr>
          <w:p w14:paraId="2219FE7E" w14:textId="3BBDB4E6" w:rsidR="00CD2DC7" w:rsidRPr="00A25A60" w:rsidRDefault="00CD2DC7"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Others</w:t>
            </w:r>
          </w:p>
        </w:tc>
        <w:tc>
          <w:tcPr>
            <w:tcW w:w="2835" w:type="dxa"/>
          </w:tcPr>
          <w:p w14:paraId="1F28D196" w14:textId="7A1DDBB0"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14/39 (35.9</w:t>
            </w:r>
            <w:r w:rsidR="00CD2DC7" w:rsidRPr="00A25A60">
              <w:rPr>
                <w:rFonts w:asciiTheme="majorHAnsi" w:eastAsiaTheme="minorEastAsia" w:hAnsiTheme="majorHAnsi" w:cstheme="majorHAnsi"/>
                <w:sz w:val="24"/>
                <w:szCs w:val="24"/>
                <w:lang w:val="en-US" w:eastAsia="de-DE"/>
              </w:rPr>
              <w:t>)</w:t>
            </w:r>
          </w:p>
        </w:tc>
        <w:tc>
          <w:tcPr>
            <w:tcW w:w="2840" w:type="dxa"/>
          </w:tcPr>
          <w:p w14:paraId="7BFD36C3" w14:textId="4B4F4D75"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57/321 (17.8</w:t>
            </w:r>
            <w:r w:rsidR="00CD2DC7" w:rsidRPr="00A25A60">
              <w:rPr>
                <w:rFonts w:asciiTheme="majorHAnsi" w:eastAsiaTheme="minorEastAsia" w:hAnsiTheme="majorHAnsi" w:cstheme="majorHAnsi"/>
                <w:sz w:val="24"/>
                <w:szCs w:val="24"/>
                <w:lang w:val="en-US" w:eastAsia="de-DE"/>
              </w:rPr>
              <w:t>)</w:t>
            </w:r>
          </w:p>
        </w:tc>
        <w:tc>
          <w:tcPr>
            <w:tcW w:w="2268" w:type="dxa"/>
          </w:tcPr>
          <w:p w14:paraId="3C2ADDC9" w14:textId="28BCB4DD" w:rsidR="00CD2DC7" w:rsidRPr="00A25A60" w:rsidRDefault="00600D8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18/152 (11.8</w:t>
            </w:r>
            <w:r w:rsidR="00CD2DC7" w:rsidRPr="00A25A60">
              <w:rPr>
                <w:rFonts w:asciiTheme="majorHAnsi" w:eastAsiaTheme="minorEastAsia" w:hAnsiTheme="majorHAnsi" w:cstheme="majorHAnsi"/>
                <w:sz w:val="24"/>
                <w:szCs w:val="24"/>
                <w:lang w:val="en-US" w:eastAsia="de-DE"/>
              </w:rPr>
              <w:t>)</w:t>
            </w:r>
          </w:p>
        </w:tc>
        <w:tc>
          <w:tcPr>
            <w:tcW w:w="987" w:type="dxa"/>
          </w:tcPr>
          <w:p w14:paraId="538B471A" w14:textId="77777777" w:rsidR="00CD2DC7" w:rsidRPr="00A25A60" w:rsidRDefault="00CD2DC7"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0.002</w:t>
            </w:r>
          </w:p>
        </w:tc>
      </w:tr>
      <w:tr w:rsidR="00AE2BFD" w:rsidRPr="003F0A32" w14:paraId="71D44A8B" w14:textId="77777777" w:rsidTr="00A8572D">
        <w:trPr>
          <w:jc w:val="center"/>
        </w:trPr>
        <w:tc>
          <w:tcPr>
            <w:tcW w:w="4248" w:type="dxa"/>
          </w:tcPr>
          <w:p w14:paraId="1FA356FA" w14:textId="0DBC0705" w:rsidR="00AE2BFD" w:rsidRPr="00A25A60" w:rsidRDefault="00AE2BFD" w:rsidP="0062019F">
            <w:pPr>
              <w:spacing w:line="360" w:lineRule="auto"/>
              <w:rPr>
                <w:rFonts w:asciiTheme="majorHAnsi" w:hAnsiTheme="majorHAnsi" w:cstheme="majorHAnsi"/>
                <w:b/>
                <w:sz w:val="24"/>
                <w:szCs w:val="24"/>
                <w:lang w:val="en-US"/>
              </w:rPr>
            </w:pPr>
            <w:r w:rsidRPr="00A25A60">
              <w:rPr>
                <w:rFonts w:asciiTheme="majorHAnsi" w:hAnsiTheme="majorHAnsi" w:cstheme="majorHAnsi"/>
                <w:b/>
                <w:sz w:val="24"/>
                <w:szCs w:val="24"/>
                <w:lang w:val="en-US"/>
              </w:rPr>
              <w:t xml:space="preserve">Median </w:t>
            </w:r>
            <w:r w:rsidR="0062019F" w:rsidRPr="00A25A60">
              <w:rPr>
                <w:rFonts w:asciiTheme="majorHAnsi" w:hAnsiTheme="majorHAnsi" w:cstheme="majorHAnsi"/>
                <w:b/>
                <w:sz w:val="24"/>
                <w:szCs w:val="24"/>
                <w:lang w:val="en-US"/>
              </w:rPr>
              <w:t>values for</w:t>
            </w:r>
            <w:r w:rsidR="00FD0A47" w:rsidRPr="00A25A60">
              <w:rPr>
                <w:rFonts w:asciiTheme="majorHAnsi" w:hAnsiTheme="majorHAnsi" w:cstheme="majorHAnsi"/>
                <w:b/>
                <w:sz w:val="24"/>
                <w:szCs w:val="24"/>
                <w:lang w:val="en-US"/>
              </w:rPr>
              <w:t xml:space="preserve"> routine </w:t>
            </w:r>
            <w:r w:rsidR="0062019F" w:rsidRPr="00A25A60">
              <w:rPr>
                <w:rFonts w:asciiTheme="majorHAnsi" w:hAnsiTheme="majorHAnsi" w:cstheme="majorHAnsi"/>
                <w:b/>
                <w:sz w:val="24"/>
                <w:szCs w:val="24"/>
                <w:lang w:val="en-US"/>
              </w:rPr>
              <w:t>laboratory test</w:t>
            </w:r>
            <w:r w:rsidR="00634559" w:rsidRPr="00A25A60">
              <w:rPr>
                <w:rFonts w:asciiTheme="majorHAnsi" w:hAnsiTheme="majorHAnsi" w:cstheme="majorHAnsi"/>
                <w:b/>
                <w:sz w:val="24"/>
                <w:szCs w:val="24"/>
                <w:lang w:val="en-US"/>
              </w:rPr>
              <w:t>s</w:t>
            </w:r>
            <w:r w:rsidRPr="00A25A60">
              <w:rPr>
                <w:rFonts w:asciiTheme="majorHAnsi" w:hAnsiTheme="majorHAnsi" w:cstheme="majorHAnsi"/>
                <w:b/>
                <w:sz w:val="24"/>
                <w:szCs w:val="24"/>
                <w:lang w:val="en-US"/>
              </w:rPr>
              <w:t xml:space="preserve"> (IQR)</w:t>
            </w:r>
          </w:p>
        </w:tc>
        <w:tc>
          <w:tcPr>
            <w:tcW w:w="2835" w:type="dxa"/>
          </w:tcPr>
          <w:p w14:paraId="584C7748" w14:textId="77777777" w:rsidR="00AE2BFD" w:rsidRPr="00A25A60" w:rsidRDefault="00AE2BFD" w:rsidP="0062019F">
            <w:pPr>
              <w:spacing w:line="360" w:lineRule="auto"/>
              <w:jc w:val="center"/>
              <w:rPr>
                <w:rFonts w:asciiTheme="majorHAnsi" w:hAnsiTheme="majorHAnsi" w:cstheme="majorHAnsi"/>
                <w:sz w:val="24"/>
                <w:szCs w:val="24"/>
                <w:lang w:val="en-US"/>
              </w:rPr>
            </w:pPr>
          </w:p>
        </w:tc>
        <w:tc>
          <w:tcPr>
            <w:tcW w:w="2840" w:type="dxa"/>
          </w:tcPr>
          <w:p w14:paraId="0888E36B" w14:textId="77777777" w:rsidR="00AE2BFD" w:rsidRPr="00A25A60" w:rsidRDefault="00AE2BFD" w:rsidP="0062019F">
            <w:pPr>
              <w:spacing w:line="360" w:lineRule="auto"/>
              <w:jc w:val="center"/>
              <w:rPr>
                <w:rFonts w:asciiTheme="majorHAnsi" w:hAnsiTheme="majorHAnsi" w:cstheme="majorHAnsi"/>
                <w:sz w:val="24"/>
                <w:szCs w:val="24"/>
                <w:lang w:val="en-US"/>
              </w:rPr>
            </w:pPr>
          </w:p>
        </w:tc>
        <w:tc>
          <w:tcPr>
            <w:tcW w:w="2268" w:type="dxa"/>
          </w:tcPr>
          <w:p w14:paraId="068946AF" w14:textId="77777777" w:rsidR="00AE2BFD" w:rsidRPr="00A25A60" w:rsidRDefault="00AE2BFD" w:rsidP="0062019F">
            <w:pPr>
              <w:spacing w:line="360" w:lineRule="auto"/>
              <w:jc w:val="center"/>
              <w:rPr>
                <w:rFonts w:asciiTheme="majorHAnsi" w:hAnsiTheme="majorHAnsi" w:cstheme="majorHAnsi"/>
                <w:sz w:val="24"/>
                <w:szCs w:val="24"/>
                <w:lang w:val="en-US"/>
              </w:rPr>
            </w:pPr>
          </w:p>
        </w:tc>
        <w:tc>
          <w:tcPr>
            <w:tcW w:w="987" w:type="dxa"/>
          </w:tcPr>
          <w:p w14:paraId="5B694DA3" w14:textId="77777777" w:rsidR="00AE2BFD" w:rsidRPr="00A25A60" w:rsidRDefault="00AE2BFD" w:rsidP="0062019F">
            <w:pPr>
              <w:spacing w:line="360" w:lineRule="auto"/>
              <w:jc w:val="center"/>
              <w:rPr>
                <w:rFonts w:asciiTheme="majorHAnsi" w:hAnsiTheme="majorHAnsi" w:cstheme="majorHAnsi"/>
                <w:sz w:val="24"/>
                <w:szCs w:val="24"/>
                <w:lang w:val="en-US"/>
              </w:rPr>
            </w:pPr>
          </w:p>
        </w:tc>
      </w:tr>
      <w:tr w:rsidR="00E66052" w:rsidRPr="00A25A60" w14:paraId="66EF7880" w14:textId="77777777" w:rsidTr="00A8572D">
        <w:trPr>
          <w:jc w:val="center"/>
        </w:trPr>
        <w:tc>
          <w:tcPr>
            <w:tcW w:w="4248" w:type="dxa"/>
          </w:tcPr>
          <w:p w14:paraId="75FF7B22" w14:textId="4CFB03BA" w:rsidR="00E66052" w:rsidRPr="00A25A60" w:rsidRDefault="00AE2BFD"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w:t>
            </w:r>
            <w:r w:rsidR="00E66052" w:rsidRPr="00A25A60">
              <w:rPr>
                <w:rFonts w:asciiTheme="majorHAnsi" w:hAnsiTheme="majorHAnsi" w:cstheme="majorHAnsi"/>
                <w:sz w:val="24"/>
                <w:szCs w:val="24"/>
                <w:lang w:val="en-US"/>
              </w:rPr>
              <w:t>Serum albumin — g/dl</w:t>
            </w:r>
          </w:p>
        </w:tc>
        <w:tc>
          <w:tcPr>
            <w:tcW w:w="2835" w:type="dxa"/>
          </w:tcPr>
          <w:p w14:paraId="28E7C18B"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4.0 (3.80- 4.40)</w:t>
            </w:r>
          </w:p>
        </w:tc>
        <w:tc>
          <w:tcPr>
            <w:tcW w:w="2840" w:type="dxa"/>
          </w:tcPr>
          <w:p w14:paraId="5DF8C112"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2.9 (2.50- 3.20)</w:t>
            </w:r>
          </w:p>
        </w:tc>
        <w:tc>
          <w:tcPr>
            <w:tcW w:w="2268" w:type="dxa"/>
          </w:tcPr>
          <w:p w14:paraId="2B13A5A2"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3.0 (2.40- 3.40)</w:t>
            </w:r>
          </w:p>
        </w:tc>
        <w:tc>
          <w:tcPr>
            <w:tcW w:w="987" w:type="dxa"/>
          </w:tcPr>
          <w:p w14:paraId="2BC60661"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E66052" w:rsidRPr="00A25A60" w14:paraId="4B46B145" w14:textId="77777777" w:rsidTr="00A8572D">
        <w:trPr>
          <w:jc w:val="center"/>
        </w:trPr>
        <w:tc>
          <w:tcPr>
            <w:tcW w:w="4248" w:type="dxa"/>
          </w:tcPr>
          <w:p w14:paraId="0BEEA85C" w14:textId="12F82420" w:rsidR="00E66052" w:rsidRPr="00A25A60" w:rsidRDefault="00E66052"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Serum bilirubin — mg/d</w:t>
            </w:r>
          </w:p>
        </w:tc>
        <w:tc>
          <w:tcPr>
            <w:tcW w:w="2835" w:type="dxa"/>
          </w:tcPr>
          <w:p w14:paraId="4BE7EE7C"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0.9 (0.70- 1.17)</w:t>
            </w:r>
          </w:p>
        </w:tc>
        <w:tc>
          <w:tcPr>
            <w:tcW w:w="2840" w:type="dxa"/>
          </w:tcPr>
          <w:p w14:paraId="1BB4DAFF"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3.1 (1.60- 6.98)</w:t>
            </w:r>
          </w:p>
        </w:tc>
        <w:tc>
          <w:tcPr>
            <w:tcW w:w="2268" w:type="dxa"/>
          </w:tcPr>
          <w:p w14:paraId="04423B36"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6.1 (2.00- 14.37)</w:t>
            </w:r>
          </w:p>
        </w:tc>
        <w:tc>
          <w:tcPr>
            <w:tcW w:w="987" w:type="dxa"/>
          </w:tcPr>
          <w:p w14:paraId="7BE64089"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E66052" w:rsidRPr="00A25A60" w14:paraId="71A86EDE" w14:textId="77777777" w:rsidTr="00A8572D">
        <w:trPr>
          <w:jc w:val="center"/>
        </w:trPr>
        <w:tc>
          <w:tcPr>
            <w:tcW w:w="4248" w:type="dxa"/>
          </w:tcPr>
          <w:p w14:paraId="720B7450" w14:textId="2B866386" w:rsidR="00E66052" w:rsidRPr="00A25A60" w:rsidRDefault="00AE2BFD"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w:t>
            </w:r>
            <w:r w:rsidR="00E66052" w:rsidRPr="00A25A60">
              <w:rPr>
                <w:rFonts w:asciiTheme="majorHAnsi" w:hAnsiTheme="majorHAnsi" w:cstheme="majorHAnsi"/>
                <w:sz w:val="24"/>
                <w:szCs w:val="24"/>
                <w:lang w:val="en-US"/>
              </w:rPr>
              <w:t>Serum creatinine — mg/dl</w:t>
            </w:r>
          </w:p>
        </w:tc>
        <w:tc>
          <w:tcPr>
            <w:tcW w:w="2835" w:type="dxa"/>
          </w:tcPr>
          <w:p w14:paraId="31B1BE2D"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0.7 (0.65- 0.89)</w:t>
            </w:r>
          </w:p>
        </w:tc>
        <w:tc>
          <w:tcPr>
            <w:tcW w:w="2840" w:type="dxa"/>
          </w:tcPr>
          <w:p w14:paraId="0AD996EC"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0.9 (0.70- 1.37)</w:t>
            </w:r>
          </w:p>
        </w:tc>
        <w:tc>
          <w:tcPr>
            <w:tcW w:w="2268" w:type="dxa"/>
          </w:tcPr>
          <w:p w14:paraId="587F95A7"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2.2 (0.98- 3.04)</w:t>
            </w:r>
          </w:p>
        </w:tc>
        <w:tc>
          <w:tcPr>
            <w:tcW w:w="987" w:type="dxa"/>
          </w:tcPr>
          <w:p w14:paraId="319D112B"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E66052" w:rsidRPr="00A25A60" w14:paraId="5A7D2938" w14:textId="77777777" w:rsidTr="00A8572D">
        <w:trPr>
          <w:jc w:val="center"/>
        </w:trPr>
        <w:tc>
          <w:tcPr>
            <w:tcW w:w="4248" w:type="dxa"/>
          </w:tcPr>
          <w:p w14:paraId="65B22917" w14:textId="0452C9A5" w:rsidR="00E66052" w:rsidRPr="00A25A60" w:rsidRDefault="00AE2BFD"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w:t>
            </w:r>
            <w:r w:rsidR="00E66052" w:rsidRPr="00A25A60">
              <w:rPr>
                <w:rFonts w:asciiTheme="majorHAnsi" w:hAnsiTheme="majorHAnsi" w:cstheme="majorHAnsi"/>
                <w:sz w:val="24"/>
                <w:szCs w:val="24"/>
                <w:lang w:val="en-US"/>
              </w:rPr>
              <w:t>C-reactive protein — mg/L</w:t>
            </w:r>
          </w:p>
        </w:tc>
        <w:tc>
          <w:tcPr>
            <w:tcW w:w="2835" w:type="dxa"/>
          </w:tcPr>
          <w:p w14:paraId="57B36BB1"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0.4 (0.13- 0.70)</w:t>
            </w:r>
          </w:p>
        </w:tc>
        <w:tc>
          <w:tcPr>
            <w:tcW w:w="2840" w:type="dxa"/>
          </w:tcPr>
          <w:p w14:paraId="193745BC"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18.0 (6.50- 41.00)</w:t>
            </w:r>
          </w:p>
        </w:tc>
        <w:tc>
          <w:tcPr>
            <w:tcW w:w="2268" w:type="dxa"/>
          </w:tcPr>
          <w:p w14:paraId="787B0E5E"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25.0 (9.70- 50.40)</w:t>
            </w:r>
          </w:p>
        </w:tc>
        <w:tc>
          <w:tcPr>
            <w:tcW w:w="987" w:type="dxa"/>
          </w:tcPr>
          <w:p w14:paraId="23E31A85"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E66052" w:rsidRPr="00A25A60" w14:paraId="2351A211" w14:textId="77777777" w:rsidTr="00A8572D">
        <w:trPr>
          <w:jc w:val="center"/>
        </w:trPr>
        <w:tc>
          <w:tcPr>
            <w:tcW w:w="4248" w:type="dxa"/>
          </w:tcPr>
          <w:p w14:paraId="0EA33F6F" w14:textId="4279DF29" w:rsidR="00E66052" w:rsidRPr="00A25A60" w:rsidRDefault="00AE2BFD"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w:t>
            </w:r>
            <w:r w:rsidR="00E66052" w:rsidRPr="00A25A60">
              <w:rPr>
                <w:rFonts w:asciiTheme="majorHAnsi" w:hAnsiTheme="majorHAnsi" w:cstheme="majorHAnsi"/>
                <w:sz w:val="24"/>
                <w:szCs w:val="24"/>
                <w:lang w:val="en-US"/>
              </w:rPr>
              <w:t>International Normalized Ratio</w:t>
            </w:r>
          </w:p>
        </w:tc>
        <w:tc>
          <w:tcPr>
            <w:tcW w:w="2835" w:type="dxa"/>
          </w:tcPr>
          <w:p w14:paraId="55A7D08E"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1.1 (1.07- 1.20)</w:t>
            </w:r>
          </w:p>
        </w:tc>
        <w:tc>
          <w:tcPr>
            <w:tcW w:w="2840" w:type="dxa"/>
          </w:tcPr>
          <w:p w14:paraId="21F8BFF7"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1.5 (1.30- 1.76)</w:t>
            </w:r>
          </w:p>
        </w:tc>
        <w:tc>
          <w:tcPr>
            <w:tcW w:w="2268" w:type="dxa"/>
          </w:tcPr>
          <w:p w14:paraId="5EE91B2E"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1.7 (1.37- 2.30)</w:t>
            </w:r>
          </w:p>
        </w:tc>
        <w:tc>
          <w:tcPr>
            <w:tcW w:w="987" w:type="dxa"/>
          </w:tcPr>
          <w:p w14:paraId="2FC4933F"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E66052" w:rsidRPr="00A25A60" w14:paraId="54B2DAAE" w14:textId="77777777" w:rsidTr="00A8572D">
        <w:trPr>
          <w:jc w:val="center"/>
        </w:trPr>
        <w:tc>
          <w:tcPr>
            <w:tcW w:w="4248" w:type="dxa"/>
          </w:tcPr>
          <w:p w14:paraId="0DC33946" w14:textId="194A48A6" w:rsidR="00E66052" w:rsidRPr="00A25A60" w:rsidRDefault="00AE2BFD"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w:t>
            </w:r>
            <w:r w:rsidR="00E66052" w:rsidRPr="00A25A60">
              <w:rPr>
                <w:rFonts w:asciiTheme="majorHAnsi" w:hAnsiTheme="majorHAnsi" w:cstheme="majorHAnsi"/>
                <w:sz w:val="24"/>
                <w:szCs w:val="24"/>
                <w:lang w:val="en-US"/>
              </w:rPr>
              <w:t>Platelets — x10</w:t>
            </w:r>
            <w:r w:rsidR="00E66052" w:rsidRPr="00A25A60">
              <w:rPr>
                <w:rFonts w:asciiTheme="majorHAnsi" w:hAnsiTheme="majorHAnsi" w:cstheme="majorHAnsi"/>
                <w:sz w:val="24"/>
                <w:szCs w:val="24"/>
                <w:vertAlign w:val="superscript"/>
                <w:lang w:val="en-US"/>
              </w:rPr>
              <w:t>9</w:t>
            </w:r>
            <w:r w:rsidR="00E66052" w:rsidRPr="00A25A60">
              <w:rPr>
                <w:rFonts w:asciiTheme="majorHAnsi" w:hAnsiTheme="majorHAnsi" w:cstheme="majorHAnsi"/>
                <w:sz w:val="24"/>
                <w:szCs w:val="24"/>
                <w:lang w:val="en-US"/>
              </w:rPr>
              <w:t>/L</w:t>
            </w:r>
          </w:p>
        </w:tc>
        <w:tc>
          <w:tcPr>
            <w:tcW w:w="2835" w:type="dxa"/>
          </w:tcPr>
          <w:p w14:paraId="5C9F89DA"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108.0 (72.00- 159.00)</w:t>
            </w:r>
          </w:p>
        </w:tc>
        <w:tc>
          <w:tcPr>
            <w:tcW w:w="2840" w:type="dxa"/>
          </w:tcPr>
          <w:p w14:paraId="6F78696D"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89.0 (57.00- 136.00)</w:t>
            </w:r>
          </w:p>
        </w:tc>
        <w:tc>
          <w:tcPr>
            <w:tcW w:w="2268" w:type="dxa"/>
          </w:tcPr>
          <w:p w14:paraId="797176C0"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76.0 (53.00- 121.00)</w:t>
            </w:r>
          </w:p>
        </w:tc>
        <w:tc>
          <w:tcPr>
            <w:tcW w:w="987" w:type="dxa"/>
          </w:tcPr>
          <w:p w14:paraId="10E5A335" w14:textId="77777777" w:rsidR="00E66052" w:rsidRPr="00A25A60" w:rsidRDefault="00E66052"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0.049</w:t>
            </w:r>
          </w:p>
        </w:tc>
      </w:tr>
      <w:tr w:rsidR="00B86CBF" w:rsidRPr="00A25A60" w14:paraId="14939039" w14:textId="77777777" w:rsidTr="00A8572D">
        <w:trPr>
          <w:jc w:val="center"/>
        </w:trPr>
        <w:tc>
          <w:tcPr>
            <w:tcW w:w="4248" w:type="dxa"/>
          </w:tcPr>
          <w:p w14:paraId="432D86EC" w14:textId="526179D1" w:rsidR="00B86CBF" w:rsidRPr="00A25A60" w:rsidRDefault="00B86CBF" w:rsidP="0062019F">
            <w:pPr>
              <w:spacing w:line="360" w:lineRule="auto"/>
              <w:rPr>
                <w:rFonts w:asciiTheme="majorHAnsi" w:hAnsiTheme="majorHAnsi" w:cstheme="majorHAnsi"/>
                <w:lang w:val="en-US"/>
              </w:rPr>
            </w:pPr>
            <w:r w:rsidRPr="00A25A60">
              <w:rPr>
                <w:rFonts w:asciiTheme="majorHAnsi" w:hAnsiTheme="majorHAnsi" w:cstheme="majorHAnsi"/>
                <w:b/>
                <w:sz w:val="24"/>
                <w:szCs w:val="24"/>
                <w:lang w:val="en-US"/>
              </w:rPr>
              <w:t>Supplementary Table 2. (Continued)</w:t>
            </w:r>
          </w:p>
        </w:tc>
        <w:tc>
          <w:tcPr>
            <w:tcW w:w="2835" w:type="dxa"/>
          </w:tcPr>
          <w:p w14:paraId="449DED37" w14:textId="77777777" w:rsidR="00B86CBF" w:rsidRPr="00A25A60" w:rsidRDefault="00B86CBF" w:rsidP="0062019F">
            <w:pPr>
              <w:spacing w:line="360" w:lineRule="auto"/>
              <w:jc w:val="center"/>
              <w:rPr>
                <w:rFonts w:asciiTheme="majorHAnsi" w:hAnsiTheme="majorHAnsi" w:cstheme="majorHAnsi"/>
                <w:lang w:val="en-US"/>
              </w:rPr>
            </w:pPr>
          </w:p>
        </w:tc>
        <w:tc>
          <w:tcPr>
            <w:tcW w:w="2840" w:type="dxa"/>
          </w:tcPr>
          <w:p w14:paraId="79A23CE1" w14:textId="77777777" w:rsidR="00B86CBF" w:rsidRPr="00A25A60" w:rsidRDefault="00B86CBF" w:rsidP="0062019F">
            <w:pPr>
              <w:spacing w:line="360" w:lineRule="auto"/>
              <w:jc w:val="center"/>
              <w:rPr>
                <w:rFonts w:asciiTheme="majorHAnsi" w:hAnsiTheme="majorHAnsi" w:cstheme="majorHAnsi"/>
                <w:lang w:val="en-US"/>
              </w:rPr>
            </w:pPr>
          </w:p>
        </w:tc>
        <w:tc>
          <w:tcPr>
            <w:tcW w:w="2268" w:type="dxa"/>
          </w:tcPr>
          <w:p w14:paraId="60068523" w14:textId="77777777" w:rsidR="00B86CBF" w:rsidRPr="00A25A60" w:rsidRDefault="00B86CBF" w:rsidP="0062019F">
            <w:pPr>
              <w:spacing w:line="360" w:lineRule="auto"/>
              <w:jc w:val="center"/>
              <w:rPr>
                <w:rFonts w:asciiTheme="majorHAnsi" w:hAnsiTheme="majorHAnsi" w:cstheme="majorHAnsi"/>
                <w:lang w:val="en-US"/>
              </w:rPr>
            </w:pPr>
          </w:p>
        </w:tc>
        <w:tc>
          <w:tcPr>
            <w:tcW w:w="987" w:type="dxa"/>
          </w:tcPr>
          <w:p w14:paraId="752E843A" w14:textId="77777777" w:rsidR="00B86CBF" w:rsidRPr="00A25A60" w:rsidRDefault="00B86CBF" w:rsidP="0062019F">
            <w:pPr>
              <w:spacing w:line="360" w:lineRule="auto"/>
              <w:jc w:val="center"/>
              <w:rPr>
                <w:rFonts w:asciiTheme="majorHAnsi" w:hAnsiTheme="majorHAnsi" w:cstheme="majorHAnsi"/>
                <w:lang w:val="en-US"/>
              </w:rPr>
            </w:pPr>
          </w:p>
        </w:tc>
      </w:tr>
      <w:tr w:rsidR="00081F6A" w:rsidRPr="00A25A60" w14:paraId="3DFC9B78" w14:textId="77777777" w:rsidTr="00A8572D">
        <w:trPr>
          <w:jc w:val="center"/>
        </w:trPr>
        <w:tc>
          <w:tcPr>
            <w:tcW w:w="4248" w:type="dxa"/>
          </w:tcPr>
          <w:p w14:paraId="6C7C286A" w14:textId="61E2D28E" w:rsidR="00081F6A" w:rsidRPr="00A25A60" w:rsidRDefault="00AE2BFD" w:rsidP="0062019F">
            <w:pPr>
              <w:spacing w:line="360" w:lineRule="auto"/>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lastRenderedPageBreak/>
              <w:t xml:space="preserve">   </w:t>
            </w:r>
            <w:r w:rsidRPr="00A25A60">
              <w:rPr>
                <w:rFonts w:asciiTheme="majorHAnsi" w:hAnsiTheme="majorHAnsi" w:cstheme="majorHAnsi"/>
                <w:sz w:val="24"/>
                <w:szCs w:val="24"/>
                <w:lang w:val="en-US"/>
              </w:rPr>
              <w:t xml:space="preserve">   White-cell count — x10</w:t>
            </w:r>
            <w:r w:rsidRPr="00A25A60">
              <w:rPr>
                <w:rFonts w:asciiTheme="majorHAnsi" w:hAnsiTheme="majorHAnsi" w:cstheme="majorHAnsi"/>
                <w:sz w:val="24"/>
                <w:szCs w:val="24"/>
                <w:vertAlign w:val="superscript"/>
                <w:lang w:val="en-US"/>
              </w:rPr>
              <w:t>9</w:t>
            </w:r>
            <w:r w:rsidRPr="00A25A60">
              <w:rPr>
                <w:rFonts w:asciiTheme="majorHAnsi" w:hAnsiTheme="majorHAnsi" w:cstheme="majorHAnsi"/>
                <w:sz w:val="24"/>
                <w:szCs w:val="24"/>
                <w:lang w:val="en-US"/>
              </w:rPr>
              <w:t>/L</w:t>
            </w:r>
          </w:p>
        </w:tc>
        <w:tc>
          <w:tcPr>
            <w:tcW w:w="2835" w:type="dxa"/>
          </w:tcPr>
          <w:p w14:paraId="6A4A3B7D" w14:textId="77777777" w:rsidR="00081F6A" w:rsidRPr="00A25A60" w:rsidRDefault="00081F6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4.7 (3.65- 7.11)</w:t>
            </w:r>
          </w:p>
        </w:tc>
        <w:tc>
          <w:tcPr>
            <w:tcW w:w="2840" w:type="dxa"/>
          </w:tcPr>
          <w:p w14:paraId="3CD90825" w14:textId="77777777" w:rsidR="00081F6A" w:rsidRPr="00A25A60" w:rsidRDefault="00081F6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6.3 (4.39- 9.40)</w:t>
            </w:r>
          </w:p>
        </w:tc>
        <w:tc>
          <w:tcPr>
            <w:tcW w:w="2268" w:type="dxa"/>
          </w:tcPr>
          <w:p w14:paraId="6D1A5632" w14:textId="77777777" w:rsidR="00081F6A" w:rsidRPr="00A25A60" w:rsidRDefault="00081F6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8.0 (5.30- 12.20)</w:t>
            </w:r>
          </w:p>
        </w:tc>
        <w:tc>
          <w:tcPr>
            <w:tcW w:w="987" w:type="dxa"/>
          </w:tcPr>
          <w:p w14:paraId="2669A571" w14:textId="77777777" w:rsidR="00081F6A" w:rsidRPr="00A25A60" w:rsidRDefault="00081F6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3F0A32" w14:paraId="307992C9" w14:textId="77777777" w:rsidTr="00A8572D">
        <w:trPr>
          <w:jc w:val="center"/>
        </w:trPr>
        <w:tc>
          <w:tcPr>
            <w:tcW w:w="4248" w:type="dxa"/>
          </w:tcPr>
          <w:p w14:paraId="1F15BE21" w14:textId="6CFFC4CF" w:rsidR="0029774A" w:rsidRPr="00A25A60" w:rsidRDefault="0029774A" w:rsidP="0062019F">
            <w:pPr>
              <w:spacing w:line="360" w:lineRule="auto"/>
              <w:rPr>
                <w:rFonts w:asciiTheme="majorHAnsi" w:hAnsiTheme="majorHAnsi" w:cstheme="majorHAnsi"/>
                <w:b/>
                <w:sz w:val="24"/>
                <w:szCs w:val="24"/>
                <w:lang w:val="en-US"/>
              </w:rPr>
            </w:pPr>
            <w:r w:rsidRPr="00A25A60">
              <w:rPr>
                <w:rFonts w:asciiTheme="majorHAnsi" w:hAnsiTheme="majorHAnsi" w:cstheme="majorHAnsi"/>
                <w:b/>
                <w:sz w:val="24"/>
                <w:szCs w:val="24"/>
                <w:lang w:val="en-US"/>
              </w:rPr>
              <w:t>Median values for inflammatory mediators (IQR)</w:t>
            </w:r>
          </w:p>
        </w:tc>
        <w:tc>
          <w:tcPr>
            <w:tcW w:w="2835" w:type="dxa"/>
          </w:tcPr>
          <w:p w14:paraId="202BC53E" w14:textId="77777777" w:rsidR="0029774A" w:rsidRPr="00A25A60" w:rsidRDefault="0029774A" w:rsidP="0062019F">
            <w:pPr>
              <w:spacing w:line="360" w:lineRule="auto"/>
              <w:jc w:val="center"/>
              <w:rPr>
                <w:rFonts w:asciiTheme="majorHAnsi" w:hAnsiTheme="majorHAnsi" w:cstheme="majorHAnsi"/>
                <w:b/>
                <w:sz w:val="24"/>
                <w:szCs w:val="24"/>
                <w:lang w:val="en-US"/>
              </w:rPr>
            </w:pPr>
          </w:p>
        </w:tc>
        <w:tc>
          <w:tcPr>
            <w:tcW w:w="2840" w:type="dxa"/>
          </w:tcPr>
          <w:p w14:paraId="4A3A996A" w14:textId="77777777" w:rsidR="0029774A" w:rsidRPr="00A25A60" w:rsidRDefault="0029774A" w:rsidP="0062019F">
            <w:pPr>
              <w:spacing w:line="360" w:lineRule="auto"/>
              <w:jc w:val="center"/>
              <w:rPr>
                <w:rFonts w:asciiTheme="majorHAnsi" w:hAnsiTheme="majorHAnsi" w:cstheme="majorHAnsi"/>
                <w:b/>
                <w:sz w:val="24"/>
                <w:szCs w:val="24"/>
                <w:lang w:val="en-US"/>
              </w:rPr>
            </w:pPr>
          </w:p>
        </w:tc>
        <w:tc>
          <w:tcPr>
            <w:tcW w:w="2268" w:type="dxa"/>
          </w:tcPr>
          <w:p w14:paraId="451C52B2" w14:textId="77777777" w:rsidR="0029774A" w:rsidRPr="00A25A60" w:rsidRDefault="0029774A" w:rsidP="0062019F">
            <w:pPr>
              <w:spacing w:line="360" w:lineRule="auto"/>
              <w:jc w:val="center"/>
              <w:rPr>
                <w:rFonts w:asciiTheme="majorHAnsi" w:hAnsiTheme="majorHAnsi" w:cstheme="majorHAnsi"/>
                <w:b/>
                <w:sz w:val="24"/>
                <w:szCs w:val="24"/>
                <w:lang w:val="en-US"/>
              </w:rPr>
            </w:pPr>
          </w:p>
        </w:tc>
        <w:tc>
          <w:tcPr>
            <w:tcW w:w="987" w:type="dxa"/>
          </w:tcPr>
          <w:p w14:paraId="6A9D52AC" w14:textId="77777777" w:rsidR="0029774A" w:rsidRPr="00A25A60" w:rsidRDefault="0029774A" w:rsidP="0062019F">
            <w:pPr>
              <w:spacing w:line="360" w:lineRule="auto"/>
              <w:jc w:val="center"/>
              <w:rPr>
                <w:rFonts w:asciiTheme="majorHAnsi" w:hAnsiTheme="majorHAnsi" w:cstheme="majorHAnsi"/>
                <w:b/>
                <w:sz w:val="24"/>
                <w:szCs w:val="24"/>
                <w:lang w:val="en-US"/>
              </w:rPr>
            </w:pPr>
          </w:p>
        </w:tc>
      </w:tr>
      <w:tr w:rsidR="0029774A" w:rsidRPr="00A25A60" w14:paraId="4B87EC9B" w14:textId="77777777" w:rsidTr="00A8572D">
        <w:trPr>
          <w:jc w:val="center"/>
        </w:trPr>
        <w:tc>
          <w:tcPr>
            <w:tcW w:w="4248" w:type="dxa"/>
          </w:tcPr>
          <w:p w14:paraId="5DAFCCDB" w14:textId="209F38A1"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TNF-α — pg/ml</w:t>
            </w:r>
          </w:p>
        </w:tc>
        <w:tc>
          <w:tcPr>
            <w:tcW w:w="2835" w:type="dxa"/>
          </w:tcPr>
          <w:p w14:paraId="5361500E"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6.0 (2.85- 9.46)</w:t>
            </w:r>
          </w:p>
        </w:tc>
        <w:tc>
          <w:tcPr>
            <w:tcW w:w="2840" w:type="dxa"/>
          </w:tcPr>
          <w:p w14:paraId="57491295"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20.2 (14.45- 29.36)</w:t>
            </w:r>
          </w:p>
        </w:tc>
        <w:tc>
          <w:tcPr>
            <w:tcW w:w="2268" w:type="dxa"/>
          </w:tcPr>
          <w:p w14:paraId="295AD4BE"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29.0 (17.38- 42.83)</w:t>
            </w:r>
          </w:p>
        </w:tc>
        <w:tc>
          <w:tcPr>
            <w:tcW w:w="987" w:type="dxa"/>
          </w:tcPr>
          <w:p w14:paraId="1CA0451B"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A25A60" w14:paraId="20001F54" w14:textId="77777777" w:rsidTr="00A8572D">
        <w:trPr>
          <w:jc w:val="center"/>
        </w:trPr>
        <w:tc>
          <w:tcPr>
            <w:tcW w:w="4248" w:type="dxa"/>
          </w:tcPr>
          <w:p w14:paraId="388CE14F" w14:textId="61CF026D"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IL-6 — pg/ml</w:t>
            </w:r>
          </w:p>
        </w:tc>
        <w:tc>
          <w:tcPr>
            <w:tcW w:w="2835" w:type="dxa"/>
          </w:tcPr>
          <w:p w14:paraId="6166C1AB"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2.4 (0.23- 5.59)</w:t>
            </w:r>
          </w:p>
        </w:tc>
        <w:tc>
          <w:tcPr>
            <w:tcW w:w="2840" w:type="dxa"/>
          </w:tcPr>
          <w:p w14:paraId="3E20BAC7"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24.0 (12.22- 47.78)</w:t>
            </w:r>
          </w:p>
        </w:tc>
        <w:tc>
          <w:tcPr>
            <w:tcW w:w="2268" w:type="dxa"/>
          </w:tcPr>
          <w:p w14:paraId="08AA2F3A"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36.7 (13.79- 106.83)</w:t>
            </w:r>
          </w:p>
        </w:tc>
        <w:tc>
          <w:tcPr>
            <w:tcW w:w="987" w:type="dxa"/>
          </w:tcPr>
          <w:p w14:paraId="03E269C3"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A25A60" w14:paraId="51C9BC74" w14:textId="77777777" w:rsidTr="00A8572D">
        <w:trPr>
          <w:jc w:val="center"/>
        </w:trPr>
        <w:tc>
          <w:tcPr>
            <w:tcW w:w="4248" w:type="dxa"/>
          </w:tcPr>
          <w:p w14:paraId="3FBEA9EA" w14:textId="68079B9B"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IL-8 — pg/ml)</w:t>
            </w:r>
          </w:p>
        </w:tc>
        <w:tc>
          <w:tcPr>
            <w:tcW w:w="2835" w:type="dxa"/>
          </w:tcPr>
          <w:p w14:paraId="7E367019"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5.6 (4.14- 12.54)</w:t>
            </w:r>
          </w:p>
        </w:tc>
        <w:tc>
          <w:tcPr>
            <w:tcW w:w="2840" w:type="dxa"/>
          </w:tcPr>
          <w:p w14:paraId="09775AD5"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42.4 (22.30- 83.92)</w:t>
            </w:r>
          </w:p>
        </w:tc>
        <w:tc>
          <w:tcPr>
            <w:tcW w:w="2268" w:type="dxa"/>
          </w:tcPr>
          <w:p w14:paraId="42E458A6"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84.5 (38.64- 165.10)</w:t>
            </w:r>
          </w:p>
        </w:tc>
        <w:tc>
          <w:tcPr>
            <w:tcW w:w="987" w:type="dxa"/>
          </w:tcPr>
          <w:p w14:paraId="4D29A5C8"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A25A60" w14:paraId="47D652F1" w14:textId="77777777" w:rsidTr="00A8572D">
        <w:trPr>
          <w:jc w:val="center"/>
        </w:trPr>
        <w:tc>
          <w:tcPr>
            <w:tcW w:w="4248" w:type="dxa"/>
          </w:tcPr>
          <w:p w14:paraId="434F7CF7" w14:textId="479260AB"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MCP-1 — pg/ml</w:t>
            </w:r>
          </w:p>
        </w:tc>
        <w:tc>
          <w:tcPr>
            <w:tcW w:w="2835" w:type="dxa"/>
          </w:tcPr>
          <w:p w14:paraId="6F80D205"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213.7 (154.6- 276.3)</w:t>
            </w:r>
          </w:p>
        </w:tc>
        <w:tc>
          <w:tcPr>
            <w:tcW w:w="2840" w:type="dxa"/>
          </w:tcPr>
          <w:p w14:paraId="3C05EDB2"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324.3 (229.1- 456.3)</w:t>
            </w:r>
          </w:p>
        </w:tc>
        <w:tc>
          <w:tcPr>
            <w:tcW w:w="2268" w:type="dxa"/>
          </w:tcPr>
          <w:p w14:paraId="4A7CA473"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410.3 (293.9- 690)</w:t>
            </w:r>
          </w:p>
        </w:tc>
        <w:tc>
          <w:tcPr>
            <w:tcW w:w="987" w:type="dxa"/>
          </w:tcPr>
          <w:p w14:paraId="2ABDA100"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A25A60" w14:paraId="7EA2860A" w14:textId="77777777" w:rsidTr="00A8572D">
        <w:trPr>
          <w:jc w:val="center"/>
        </w:trPr>
        <w:tc>
          <w:tcPr>
            <w:tcW w:w="4248" w:type="dxa"/>
          </w:tcPr>
          <w:p w14:paraId="0438CE82" w14:textId="10C3E5FB"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IP-10 — pg/ml</w:t>
            </w:r>
          </w:p>
        </w:tc>
        <w:tc>
          <w:tcPr>
            <w:tcW w:w="2835" w:type="dxa"/>
          </w:tcPr>
          <w:p w14:paraId="2CE99B42"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484.0 (350.2- 905.9)</w:t>
            </w:r>
          </w:p>
        </w:tc>
        <w:tc>
          <w:tcPr>
            <w:tcW w:w="2840" w:type="dxa"/>
          </w:tcPr>
          <w:p w14:paraId="18F5F60A"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988.6 (582.3- 1764)</w:t>
            </w:r>
          </w:p>
        </w:tc>
        <w:tc>
          <w:tcPr>
            <w:tcW w:w="2268" w:type="dxa"/>
          </w:tcPr>
          <w:p w14:paraId="2EECA6EA"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1147.0 (651.2- 2123)</w:t>
            </w:r>
          </w:p>
        </w:tc>
        <w:tc>
          <w:tcPr>
            <w:tcW w:w="987" w:type="dxa"/>
          </w:tcPr>
          <w:p w14:paraId="47CC2B36"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A25A60" w14:paraId="6CD62C81" w14:textId="77777777" w:rsidTr="00A8572D">
        <w:trPr>
          <w:jc w:val="center"/>
        </w:trPr>
        <w:tc>
          <w:tcPr>
            <w:tcW w:w="4248" w:type="dxa"/>
          </w:tcPr>
          <w:p w14:paraId="3BFD1C27" w14:textId="1C9F7A5E"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MIP-1ß — pg/ml</w:t>
            </w:r>
          </w:p>
        </w:tc>
        <w:tc>
          <w:tcPr>
            <w:tcW w:w="2835" w:type="dxa"/>
          </w:tcPr>
          <w:p w14:paraId="1237C993"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11.9 (6.59- 30.96)</w:t>
            </w:r>
          </w:p>
        </w:tc>
        <w:tc>
          <w:tcPr>
            <w:tcW w:w="2840" w:type="dxa"/>
          </w:tcPr>
          <w:p w14:paraId="013CCAF9"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23.3 (13.85- 37.59)</w:t>
            </w:r>
          </w:p>
        </w:tc>
        <w:tc>
          <w:tcPr>
            <w:tcW w:w="2268" w:type="dxa"/>
          </w:tcPr>
          <w:p w14:paraId="14435946"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26.2 (17.89- 42.55)</w:t>
            </w:r>
          </w:p>
        </w:tc>
        <w:tc>
          <w:tcPr>
            <w:tcW w:w="987" w:type="dxa"/>
          </w:tcPr>
          <w:p w14:paraId="76C4895A"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0.001</w:t>
            </w:r>
          </w:p>
        </w:tc>
      </w:tr>
      <w:tr w:rsidR="0029774A" w:rsidRPr="00A25A60" w14:paraId="456FB014" w14:textId="77777777" w:rsidTr="00A8572D">
        <w:trPr>
          <w:jc w:val="center"/>
        </w:trPr>
        <w:tc>
          <w:tcPr>
            <w:tcW w:w="4248" w:type="dxa"/>
          </w:tcPr>
          <w:p w14:paraId="6F763B2F" w14:textId="2A0CFA27"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G-CSF — pg/ml</w:t>
            </w:r>
          </w:p>
        </w:tc>
        <w:tc>
          <w:tcPr>
            <w:tcW w:w="2835" w:type="dxa"/>
          </w:tcPr>
          <w:p w14:paraId="3BF4D818"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9.7 (2.37- 16.33)</w:t>
            </w:r>
          </w:p>
        </w:tc>
        <w:tc>
          <w:tcPr>
            <w:tcW w:w="2840" w:type="dxa"/>
          </w:tcPr>
          <w:p w14:paraId="3B12E77D"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23.5 (12.32- 52.01)</w:t>
            </w:r>
          </w:p>
        </w:tc>
        <w:tc>
          <w:tcPr>
            <w:tcW w:w="2268" w:type="dxa"/>
          </w:tcPr>
          <w:p w14:paraId="5F4766EC"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30.5 (13.85- 81.63)</w:t>
            </w:r>
          </w:p>
        </w:tc>
        <w:tc>
          <w:tcPr>
            <w:tcW w:w="987" w:type="dxa"/>
          </w:tcPr>
          <w:p w14:paraId="514454A2"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A25A60" w14:paraId="42B9FB3D" w14:textId="77777777" w:rsidTr="00A8572D">
        <w:trPr>
          <w:jc w:val="center"/>
        </w:trPr>
        <w:tc>
          <w:tcPr>
            <w:tcW w:w="4248" w:type="dxa"/>
          </w:tcPr>
          <w:p w14:paraId="68C2D850" w14:textId="52DE56BD"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GM-CSF — pg/ml</w:t>
            </w:r>
          </w:p>
        </w:tc>
        <w:tc>
          <w:tcPr>
            <w:tcW w:w="2835" w:type="dxa"/>
          </w:tcPr>
          <w:p w14:paraId="693859E0"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2.1 (0.63- 6.86)</w:t>
            </w:r>
          </w:p>
        </w:tc>
        <w:tc>
          <w:tcPr>
            <w:tcW w:w="2840" w:type="dxa"/>
          </w:tcPr>
          <w:p w14:paraId="31DCDA4A"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5.1 (2.19- 11.02)</w:t>
            </w:r>
          </w:p>
        </w:tc>
        <w:tc>
          <w:tcPr>
            <w:tcW w:w="2268" w:type="dxa"/>
          </w:tcPr>
          <w:p w14:paraId="00AF22A7"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6.8 (3.47- 15.97)</w:t>
            </w:r>
          </w:p>
        </w:tc>
        <w:tc>
          <w:tcPr>
            <w:tcW w:w="987" w:type="dxa"/>
          </w:tcPr>
          <w:p w14:paraId="59D10502"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A25A60" w14:paraId="2C21E368" w14:textId="77777777" w:rsidTr="00A8572D">
        <w:trPr>
          <w:jc w:val="center"/>
        </w:trPr>
        <w:tc>
          <w:tcPr>
            <w:tcW w:w="4248" w:type="dxa"/>
          </w:tcPr>
          <w:p w14:paraId="73E82C79" w14:textId="76AC56A9"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IL-10 — pg/ml</w:t>
            </w:r>
          </w:p>
        </w:tc>
        <w:tc>
          <w:tcPr>
            <w:tcW w:w="2835" w:type="dxa"/>
          </w:tcPr>
          <w:p w14:paraId="4F6BFCB7"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2.7 (1.21- 6.72)</w:t>
            </w:r>
          </w:p>
        </w:tc>
        <w:tc>
          <w:tcPr>
            <w:tcW w:w="2840" w:type="dxa"/>
          </w:tcPr>
          <w:p w14:paraId="7CCACB0C"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3.8 (1.24- 10.79)</w:t>
            </w:r>
          </w:p>
        </w:tc>
        <w:tc>
          <w:tcPr>
            <w:tcW w:w="2268" w:type="dxa"/>
          </w:tcPr>
          <w:p w14:paraId="0ADC9202"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7.2 (1.90- 25.78)</w:t>
            </w:r>
          </w:p>
        </w:tc>
        <w:tc>
          <w:tcPr>
            <w:tcW w:w="987" w:type="dxa"/>
          </w:tcPr>
          <w:p w14:paraId="4ADA19F0"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A25A60" w14:paraId="4E0F90AC" w14:textId="77777777" w:rsidTr="00A8572D">
        <w:trPr>
          <w:jc w:val="center"/>
        </w:trPr>
        <w:tc>
          <w:tcPr>
            <w:tcW w:w="4248" w:type="dxa"/>
          </w:tcPr>
          <w:p w14:paraId="2B1DD0BE" w14:textId="37E5324C"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IL1-ra — pg/ml</w:t>
            </w:r>
          </w:p>
        </w:tc>
        <w:tc>
          <w:tcPr>
            <w:tcW w:w="2835" w:type="dxa"/>
          </w:tcPr>
          <w:p w14:paraId="26E23AA4"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7.4 (0.75- 61.61)</w:t>
            </w:r>
          </w:p>
        </w:tc>
        <w:tc>
          <w:tcPr>
            <w:tcW w:w="2840" w:type="dxa"/>
          </w:tcPr>
          <w:p w14:paraId="4FF0797F"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11.5 (5.20- 28.35)</w:t>
            </w:r>
          </w:p>
        </w:tc>
        <w:tc>
          <w:tcPr>
            <w:tcW w:w="2268" w:type="dxa"/>
          </w:tcPr>
          <w:p w14:paraId="5771E7C2"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18.7 (8.56- 50.48)</w:t>
            </w:r>
          </w:p>
        </w:tc>
        <w:tc>
          <w:tcPr>
            <w:tcW w:w="987" w:type="dxa"/>
          </w:tcPr>
          <w:p w14:paraId="47D4E986"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A25A60" w14:paraId="7AE9A73C" w14:textId="77777777" w:rsidTr="00A8572D">
        <w:trPr>
          <w:jc w:val="center"/>
        </w:trPr>
        <w:tc>
          <w:tcPr>
            <w:tcW w:w="4248" w:type="dxa"/>
          </w:tcPr>
          <w:p w14:paraId="462DEBE7" w14:textId="71D8A3F5"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w:t>
            </w:r>
            <w:proofErr w:type="spellStart"/>
            <w:r w:rsidRPr="00A25A60">
              <w:rPr>
                <w:rFonts w:asciiTheme="majorHAnsi" w:hAnsiTheme="majorHAnsi" w:cstheme="majorHAnsi"/>
                <w:sz w:val="24"/>
                <w:szCs w:val="24"/>
                <w:lang w:val="en-US"/>
              </w:rPr>
              <w:t>IFNγ</w:t>
            </w:r>
            <w:proofErr w:type="spellEnd"/>
            <w:r w:rsidRPr="00A25A60">
              <w:rPr>
                <w:rFonts w:asciiTheme="majorHAnsi" w:hAnsiTheme="majorHAnsi" w:cstheme="majorHAnsi"/>
                <w:sz w:val="24"/>
                <w:szCs w:val="24"/>
                <w:lang w:val="en-US"/>
              </w:rPr>
              <w:t xml:space="preserve"> — </w:t>
            </w:r>
            <w:proofErr w:type="spellStart"/>
            <w:r w:rsidRPr="00A25A60">
              <w:rPr>
                <w:rFonts w:asciiTheme="majorHAnsi" w:hAnsiTheme="majorHAnsi" w:cstheme="majorHAnsi"/>
                <w:sz w:val="24"/>
                <w:szCs w:val="24"/>
                <w:lang w:val="en-US"/>
              </w:rPr>
              <w:t>pg</w:t>
            </w:r>
            <w:proofErr w:type="spellEnd"/>
            <w:r w:rsidRPr="00A25A60">
              <w:rPr>
                <w:rFonts w:asciiTheme="majorHAnsi" w:hAnsiTheme="majorHAnsi" w:cstheme="majorHAnsi"/>
                <w:sz w:val="24"/>
                <w:szCs w:val="24"/>
                <w:lang w:val="en-US"/>
              </w:rPr>
              <w:t>/ml</w:t>
            </w:r>
          </w:p>
        </w:tc>
        <w:tc>
          <w:tcPr>
            <w:tcW w:w="2835" w:type="dxa"/>
          </w:tcPr>
          <w:p w14:paraId="5D061D7E"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4.4 (0.77- 11.10)</w:t>
            </w:r>
          </w:p>
        </w:tc>
        <w:tc>
          <w:tcPr>
            <w:tcW w:w="2840" w:type="dxa"/>
          </w:tcPr>
          <w:p w14:paraId="4EA64942"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6.4 (2.11- 19.73)</w:t>
            </w:r>
          </w:p>
        </w:tc>
        <w:tc>
          <w:tcPr>
            <w:tcW w:w="2268" w:type="dxa"/>
          </w:tcPr>
          <w:p w14:paraId="5C5544B0"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6.0 (2.32- 23.12)</w:t>
            </w:r>
          </w:p>
        </w:tc>
        <w:tc>
          <w:tcPr>
            <w:tcW w:w="987" w:type="dxa"/>
          </w:tcPr>
          <w:p w14:paraId="4E38FA5D"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0.237</w:t>
            </w:r>
          </w:p>
        </w:tc>
      </w:tr>
      <w:tr w:rsidR="0029774A" w:rsidRPr="00A25A60" w14:paraId="3B17972F" w14:textId="77777777" w:rsidTr="00A8572D">
        <w:trPr>
          <w:jc w:val="center"/>
        </w:trPr>
        <w:tc>
          <w:tcPr>
            <w:tcW w:w="4248" w:type="dxa"/>
          </w:tcPr>
          <w:p w14:paraId="70C1A6C0" w14:textId="4B2816BF"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Eotaxin — pg/ml</w:t>
            </w:r>
          </w:p>
        </w:tc>
        <w:tc>
          <w:tcPr>
            <w:tcW w:w="2835" w:type="dxa"/>
          </w:tcPr>
          <w:p w14:paraId="0269B51B"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81.7 (64.28- 107.51)</w:t>
            </w:r>
          </w:p>
        </w:tc>
        <w:tc>
          <w:tcPr>
            <w:tcW w:w="2840" w:type="dxa"/>
          </w:tcPr>
          <w:p w14:paraId="2C556C48"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113.8 (84.1- 160.5)</w:t>
            </w:r>
          </w:p>
        </w:tc>
        <w:tc>
          <w:tcPr>
            <w:tcW w:w="2268" w:type="dxa"/>
          </w:tcPr>
          <w:p w14:paraId="6427C4B9"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123.5 (86.6- 177.2)</w:t>
            </w:r>
          </w:p>
        </w:tc>
        <w:tc>
          <w:tcPr>
            <w:tcW w:w="987" w:type="dxa"/>
          </w:tcPr>
          <w:p w14:paraId="64B2D162"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r w:rsidR="0029774A" w:rsidRPr="00A25A60" w14:paraId="63ABF312" w14:textId="77777777" w:rsidTr="00A8572D">
        <w:trPr>
          <w:jc w:val="center"/>
        </w:trPr>
        <w:tc>
          <w:tcPr>
            <w:tcW w:w="4248" w:type="dxa"/>
          </w:tcPr>
          <w:p w14:paraId="130FC636" w14:textId="251EA5E4"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IL-17A — pg/ml</w:t>
            </w:r>
          </w:p>
        </w:tc>
        <w:tc>
          <w:tcPr>
            <w:tcW w:w="2835" w:type="dxa"/>
          </w:tcPr>
          <w:p w14:paraId="5E92BC6A"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0.9 (0.60- 1.67)</w:t>
            </w:r>
          </w:p>
        </w:tc>
        <w:tc>
          <w:tcPr>
            <w:tcW w:w="2840" w:type="dxa"/>
          </w:tcPr>
          <w:p w14:paraId="3E531C34"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3.6 (1.60- 11.87)</w:t>
            </w:r>
          </w:p>
        </w:tc>
        <w:tc>
          <w:tcPr>
            <w:tcW w:w="2268" w:type="dxa"/>
          </w:tcPr>
          <w:p w14:paraId="156DCDBC"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4.8 (1.62- 14.90)</w:t>
            </w:r>
          </w:p>
        </w:tc>
        <w:tc>
          <w:tcPr>
            <w:tcW w:w="987" w:type="dxa"/>
          </w:tcPr>
          <w:p w14:paraId="307A6CC8"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0.001</w:t>
            </w:r>
          </w:p>
        </w:tc>
      </w:tr>
      <w:tr w:rsidR="0029774A" w:rsidRPr="00A25A60" w14:paraId="659D54F7" w14:textId="77777777" w:rsidTr="00A8572D">
        <w:trPr>
          <w:jc w:val="center"/>
        </w:trPr>
        <w:tc>
          <w:tcPr>
            <w:tcW w:w="4248" w:type="dxa"/>
          </w:tcPr>
          <w:p w14:paraId="5698DF24" w14:textId="544C22F5"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IL-7 — pg/ml</w:t>
            </w:r>
          </w:p>
        </w:tc>
        <w:tc>
          <w:tcPr>
            <w:tcW w:w="2835" w:type="dxa"/>
          </w:tcPr>
          <w:p w14:paraId="636F11DE"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2.6 (1.93- 3.02)</w:t>
            </w:r>
          </w:p>
        </w:tc>
        <w:tc>
          <w:tcPr>
            <w:tcW w:w="2840" w:type="dxa"/>
          </w:tcPr>
          <w:p w14:paraId="370D5454"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2.8 (1.11- 8.93)</w:t>
            </w:r>
          </w:p>
        </w:tc>
        <w:tc>
          <w:tcPr>
            <w:tcW w:w="2268" w:type="dxa"/>
          </w:tcPr>
          <w:p w14:paraId="1568FCD3"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3.5 (1.62- 11.07)</w:t>
            </w:r>
          </w:p>
        </w:tc>
        <w:tc>
          <w:tcPr>
            <w:tcW w:w="987" w:type="dxa"/>
          </w:tcPr>
          <w:p w14:paraId="77B7EA1D"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0.252</w:t>
            </w:r>
          </w:p>
        </w:tc>
      </w:tr>
      <w:tr w:rsidR="0029774A" w:rsidRPr="00A25A60" w14:paraId="033C6BA7" w14:textId="77777777" w:rsidTr="00A8572D">
        <w:trPr>
          <w:jc w:val="center"/>
        </w:trPr>
        <w:tc>
          <w:tcPr>
            <w:tcW w:w="4248" w:type="dxa"/>
            <w:tcBorders>
              <w:bottom w:val="single" w:sz="4" w:space="0" w:color="auto"/>
            </w:tcBorders>
          </w:tcPr>
          <w:p w14:paraId="5FD18070" w14:textId="1CD37699" w:rsidR="0029774A" w:rsidRPr="00A25A60" w:rsidRDefault="0029774A" w:rsidP="0062019F">
            <w:pPr>
              <w:spacing w:line="360" w:lineRule="auto"/>
              <w:rPr>
                <w:rFonts w:asciiTheme="majorHAnsi" w:eastAsiaTheme="minorEastAsia" w:hAnsiTheme="majorHAnsi" w:cstheme="majorHAnsi"/>
                <w:sz w:val="24"/>
                <w:szCs w:val="24"/>
                <w:lang w:val="en-US" w:eastAsia="de-DE"/>
              </w:rPr>
            </w:pPr>
            <w:r w:rsidRPr="00A25A60">
              <w:rPr>
                <w:rFonts w:asciiTheme="majorHAnsi" w:hAnsiTheme="majorHAnsi" w:cstheme="majorHAnsi"/>
                <w:sz w:val="24"/>
                <w:szCs w:val="24"/>
                <w:lang w:val="en-US"/>
              </w:rPr>
              <w:t xml:space="preserve">   HNA2 — %</w:t>
            </w:r>
          </w:p>
        </w:tc>
        <w:tc>
          <w:tcPr>
            <w:tcW w:w="2835" w:type="dxa"/>
            <w:tcBorders>
              <w:bottom w:val="single" w:sz="4" w:space="0" w:color="auto"/>
            </w:tcBorders>
          </w:tcPr>
          <w:p w14:paraId="45835D76"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6.7 (5.51- 7.42)</w:t>
            </w:r>
          </w:p>
        </w:tc>
        <w:tc>
          <w:tcPr>
            <w:tcW w:w="2840" w:type="dxa"/>
            <w:tcBorders>
              <w:bottom w:val="single" w:sz="4" w:space="0" w:color="auto"/>
            </w:tcBorders>
          </w:tcPr>
          <w:p w14:paraId="5BA546FE"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5.2 (2.65- 9.20)</w:t>
            </w:r>
          </w:p>
        </w:tc>
        <w:tc>
          <w:tcPr>
            <w:tcW w:w="2268" w:type="dxa"/>
            <w:tcBorders>
              <w:bottom w:val="single" w:sz="4" w:space="0" w:color="auto"/>
            </w:tcBorders>
          </w:tcPr>
          <w:p w14:paraId="6EA167EB"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11.0 (6.25- 15.15)</w:t>
            </w:r>
          </w:p>
        </w:tc>
        <w:tc>
          <w:tcPr>
            <w:tcW w:w="987" w:type="dxa"/>
            <w:tcBorders>
              <w:bottom w:val="single" w:sz="4" w:space="0" w:color="auto"/>
            </w:tcBorders>
          </w:tcPr>
          <w:p w14:paraId="411CA6EB" w14:textId="77777777" w:rsidR="0029774A" w:rsidRPr="00A25A60" w:rsidRDefault="0029774A" w:rsidP="0062019F">
            <w:pPr>
              <w:spacing w:line="360" w:lineRule="auto"/>
              <w:jc w:val="center"/>
              <w:rPr>
                <w:rFonts w:asciiTheme="majorHAnsi" w:eastAsiaTheme="minorEastAsia" w:hAnsiTheme="majorHAnsi" w:cstheme="majorHAnsi"/>
                <w:sz w:val="24"/>
                <w:szCs w:val="24"/>
                <w:lang w:val="en-US" w:eastAsia="de-DE"/>
              </w:rPr>
            </w:pPr>
            <w:r w:rsidRPr="00A25A60">
              <w:rPr>
                <w:rFonts w:asciiTheme="majorHAnsi" w:eastAsiaTheme="minorEastAsia" w:hAnsiTheme="majorHAnsi" w:cstheme="majorHAnsi"/>
                <w:sz w:val="24"/>
                <w:szCs w:val="24"/>
                <w:lang w:val="en-US" w:eastAsia="de-DE"/>
              </w:rPr>
              <w:t>&lt;.001</w:t>
            </w:r>
          </w:p>
        </w:tc>
      </w:tr>
    </w:tbl>
    <w:p w14:paraId="631B0E24" w14:textId="69B9E8D7" w:rsidR="00C63709" w:rsidRPr="0094218C" w:rsidRDefault="00F90800" w:rsidP="0062019F">
      <w:pPr>
        <w:spacing w:line="360" w:lineRule="auto"/>
        <w:rPr>
          <w:rFonts w:asciiTheme="majorHAnsi" w:hAnsiTheme="majorHAnsi" w:cstheme="majorHAnsi"/>
          <w:sz w:val="20"/>
          <w:szCs w:val="20"/>
          <w:lang w:val="en-US"/>
        </w:rPr>
      </w:pPr>
      <w:r w:rsidRPr="0094218C">
        <w:rPr>
          <w:rFonts w:asciiTheme="majorHAnsi" w:hAnsiTheme="majorHAnsi" w:cstheme="majorHAnsi"/>
          <w:sz w:val="20"/>
          <w:szCs w:val="20"/>
          <w:lang w:val="en-US"/>
        </w:rPr>
        <w:t xml:space="preserve">NOTE: </w:t>
      </w:r>
      <w:r w:rsidR="00395754" w:rsidRPr="0094218C">
        <w:rPr>
          <w:rFonts w:asciiTheme="majorHAnsi" w:hAnsiTheme="majorHAnsi" w:cstheme="majorHAnsi"/>
          <w:sz w:val="20"/>
          <w:szCs w:val="20"/>
          <w:lang w:val="en-US"/>
        </w:rPr>
        <w:t xml:space="preserve">Patients with acutely decompensated cirrhosis were classified as being free of ACLF or having ACLF according to the EASL-CLIF Consortium criteria </w:t>
      </w:r>
      <w:r w:rsidR="00D8682C">
        <w:rPr>
          <w:rFonts w:asciiTheme="majorHAnsi" w:hAnsiTheme="majorHAnsi" w:cstheme="majorHAnsi"/>
          <w:sz w:val="20"/>
          <w:szCs w:val="20"/>
          <w:lang w:val="en-US"/>
        </w:rPr>
        <w:fldChar w:fldCharType="begin">
          <w:fldData xml:space="preserve">PEVuZE5vdGU+PENpdGU+PEF1dGhvcj5Nb3JlYXU8L0F1dGhvcj48WWVhcj4yMDEzPC9ZZWFyPjxS
ZWNOdW0+NDM0MzwvUmVjTnVtPjxEaXNwbGF5VGV4dD48c3R5bGUgZmFjZT0ic3VwZXJzY3JpcHQi
PjEgMjwvc3R5bGU+PC9EaXNwbGF5VGV4dD48cmVjb3JkPjxyZWMtbnVtYmVyPjQzNDM8L3JlYy1u
dW1iZXI+PGZvcmVpZ24ta2V5cz48a2V5IGFwcD0iRU4iIGRiLWlkPSJ0dng1OXJyZjNhMjk5YmV6
ZXQzeGFzOXN4ZmFhNXRlcmRldHIiIHRpbWVzdGFtcD0iMTUxNjUzNjU3MSI+NDM0Mzwva2V5Pjwv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Vi48L2F1dGhvcj48YXV0aG9yPkNhbm9uaWMgU3R1ZHkgSW52ZXN0aWdhdG9ycyBvZiB0aGUgRUFT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</w:fldData>
        </w:fldChar>
      </w:r>
      <w:r w:rsidR="00D8682C">
        <w:rPr>
          <w:rFonts w:asciiTheme="majorHAnsi" w:hAnsiTheme="majorHAnsi" w:cstheme="majorHAnsi"/>
          <w:sz w:val="20"/>
          <w:szCs w:val="20"/>
          <w:lang w:val="en-US"/>
        </w:rPr>
        <w:instrText xml:space="preserve"> ADDIN EN.CITE </w:instrText>
      </w:r>
      <w:r w:rsidR="00D8682C">
        <w:rPr>
          <w:rFonts w:asciiTheme="majorHAnsi" w:hAnsiTheme="majorHAnsi" w:cstheme="majorHAnsi"/>
          <w:sz w:val="20"/>
          <w:szCs w:val="20"/>
          <w:lang w:val="en-US"/>
        </w:rPr>
        <w:fldChar w:fldCharType="begin">
          <w:fldData xml:space="preserve">PEVuZE5vdGU+PENpdGU+PEF1dGhvcj5Nb3JlYXU8L0F1dGhvcj48WWVhcj4yMDEzPC9ZZWFyPjxS
ZWNOdW0+NDM0MzwvUmVjTnVtPjxEaXNwbGF5VGV4dD48c3R5bGUgZmFjZT0ic3VwZXJzY3JpcHQi
PjEgMjwvc3R5bGU+PC9EaXNwbGF5VGV4dD48cmVjb3JkPjxyZWMtbnVtYmVyPjQzNDM8L3JlYy1u
dW1iZXI+PGZvcmVpZ24ta2V5cz48a2V5IGFwcD0iRU4iIGRiLWlkPSJ0dng1OXJyZjNhMjk5YmV6
ZXQzeGFzOXN4ZmFhNXRlcmRldHIiIHRpbWVzdGFtcD0iMTUxNjUzNjU3MSI+NDM0Mzwva2V5Pjwv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Vi48L2F1dGhvcj48YXV0aG9yPkNhbm9uaWMgU3R1ZHkgSW52ZXN0aWdhdG9ycyBvZiB0aGUgRUFT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</w:fldData>
        </w:fldChar>
      </w:r>
      <w:r w:rsidR="00D8682C">
        <w:rPr>
          <w:rFonts w:asciiTheme="majorHAnsi" w:hAnsiTheme="majorHAnsi" w:cstheme="majorHAnsi"/>
          <w:sz w:val="20"/>
          <w:szCs w:val="20"/>
          <w:lang w:val="en-US"/>
        </w:rPr>
        <w:instrText xml:space="preserve"> ADDIN EN.CITE.DATA </w:instrText>
      </w:r>
      <w:r w:rsidR="00D8682C">
        <w:rPr>
          <w:rFonts w:asciiTheme="majorHAnsi" w:hAnsiTheme="majorHAnsi" w:cstheme="majorHAnsi"/>
          <w:sz w:val="20"/>
          <w:szCs w:val="20"/>
          <w:lang w:val="en-US"/>
        </w:rPr>
      </w:r>
      <w:r w:rsidR="00D8682C">
        <w:rPr>
          <w:rFonts w:asciiTheme="majorHAnsi" w:hAnsiTheme="majorHAnsi" w:cstheme="majorHAnsi"/>
          <w:sz w:val="20"/>
          <w:szCs w:val="20"/>
          <w:lang w:val="en-US"/>
        </w:rPr>
        <w:fldChar w:fldCharType="end"/>
      </w:r>
      <w:r w:rsidR="00D8682C">
        <w:rPr>
          <w:rFonts w:asciiTheme="majorHAnsi" w:hAnsiTheme="majorHAnsi" w:cstheme="majorHAnsi"/>
          <w:sz w:val="20"/>
          <w:szCs w:val="20"/>
          <w:lang w:val="en-US"/>
        </w:rPr>
      </w:r>
      <w:r w:rsidR="00D8682C">
        <w:rPr>
          <w:rFonts w:asciiTheme="majorHAnsi" w:hAnsiTheme="majorHAnsi" w:cstheme="majorHAnsi"/>
          <w:sz w:val="20"/>
          <w:szCs w:val="20"/>
          <w:lang w:val="en-US"/>
        </w:rPr>
        <w:fldChar w:fldCharType="separate"/>
      </w:r>
      <w:r w:rsidR="00D8682C" w:rsidRPr="00D8682C">
        <w:rPr>
          <w:rFonts w:asciiTheme="majorHAnsi" w:hAnsiTheme="majorHAnsi" w:cstheme="majorHAnsi"/>
          <w:noProof/>
          <w:sz w:val="20"/>
          <w:szCs w:val="20"/>
          <w:vertAlign w:val="superscript"/>
          <w:lang w:val="en-US"/>
        </w:rPr>
        <w:t>1 2</w:t>
      </w:r>
      <w:r w:rsidR="00D8682C">
        <w:rPr>
          <w:rFonts w:asciiTheme="majorHAnsi" w:hAnsiTheme="majorHAnsi" w:cstheme="majorHAnsi"/>
          <w:sz w:val="20"/>
          <w:szCs w:val="20"/>
          <w:lang w:val="en-US"/>
        </w:rPr>
        <w:fldChar w:fldCharType="end"/>
      </w:r>
      <w:r w:rsidR="00096572">
        <w:rPr>
          <w:rFonts w:asciiTheme="majorHAnsi" w:hAnsiTheme="majorHAnsi" w:cstheme="majorHAnsi"/>
          <w:sz w:val="20"/>
          <w:szCs w:val="20"/>
          <w:lang w:val="en-US"/>
        </w:rPr>
        <w:t>.</w:t>
      </w:r>
      <w:r w:rsidR="00395754" w:rsidRPr="0094218C">
        <w:rPr>
          <w:rFonts w:asciiTheme="majorHAnsi" w:hAnsiTheme="majorHAnsi" w:cstheme="majorHAnsi"/>
          <w:sz w:val="20"/>
          <w:szCs w:val="20"/>
          <w:lang w:val="en-US"/>
        </w:rPr>
        <w:t xml:space="preserve"> </w:t>
      </w:r>
      <w:r w:rsidR="0094218C" w:rsidRPr="0094218C">
        <w:rPr>
          <w:rFonts w:asciiTheme="majorHAnsi" w:hAnsiTheme="majorHAnsi" w:cstheme="majorHAnsi"/>
          <w:sz w:val="20"/>
          <w:szCs w:val="20"/>
          <w:lang w:val="en-US"/>
        </w:rPr>
        <w:t xml:space="preserve">Data are shown as means ± SD or median (range). P values were calculated by unpaired Students’ t-test or </w:t>
      </w:r>
      <w:proofErr w:type="spellStart"/>
      <w:r w:rsidRPr="0094218C">
        <w:rPr>
          <w:rFonts w:asciiTheme="majorHAnsi" w:hAnsiTheme="majorHAnsi" w:cstheme="majorHAnsi"/>
          <w:sz w:val="20"/>
          <w:szCs w:val="20"/>
          <w:shd w:val="clear" w:color="auto" w:fill="FFFFFF"/>
          <w:lang w:val="en-US"/>
        </w:rPr>
        <w:t>Kruskall</w:t>
      </w:r>
      <w:proofErr w:type="spellEnd"/>
      <w:r w:rsidRPr="0094218C">
        <w:rPr>
          <w:rFonts w:asciiTheme="majorHAnsi" w:hAnsiTheme="majorHAnsi" w:cstheme="majorHAnsi"/>
          <w:sz w:val="20"/>
          <w:szCs w:val="20"/>
          <w:shd w:val="clear" w:color="auto" w:fill="FFFFFF"/>
          <w:lang w:val="en-US"/>
        </w:rPr>
        <w:t>-Wallis test where</w:t>
      </w:r>
      <w:r w:rsidRPr="003F0A32">
        <w:rPr>
          <w:rFonts w:asciiTheme="majorHAnsi" w:hAnsiTheme="majorHAnsi" w:cstheme="majorHAnsi"/>
          <w:sz w:val="20"/>
          <w:szCs w:val="20"/>
          <w:shd w:val="clear" w:color="auto" w:fill="FFFFFF"/>
          <w:lang w:val="en-US"/>
        </w:rPr>
        <w:t xml:space="preserve"> </w:t>
      </w:r>
      <w:proofErr w:type="gramStart"/>
      <w:r w:rsidRPr="0094218C">
        <w:rPr>
          <w:rFonts w:asciiTheme="majorHAnsi" w:hAnsiTheme="majorHAnsi" w:cstheme="majorHAnsi"/>
          <w:sz w:val="20"/>
          <w:szCs w:val="20"/>
          <w:shd w:val="clear" w:color="auto" w:fill="FFFFFF"/>
          <w:lang w:val="en-US"/>
        </w:rPr>
        <w:t>appropriate</w:t>
      </w:r>
      <w:proofErr w:type="gramEnd"/>
      <w:r w:rsidRPr="0094218C">
        <w:rPr>
          <w:rFonts w:asciiTheme="majorHAnsi" w:hAnsiTheme="majorHAnsi" w:cstheme="majorHAnsi"/>
          <w:sz w:val="20"/>
          <w:szCs w:val="20"/>
          <w:lang w:val="en-US"/>
        </w:rPr>
        <w:t xml:space="preserve">. </w:t>
      </w:r>
    </w:p>
    <w:p w14:paraId="3FFA96D2" w14:textId="03FB849C" w:rsidR="00081F6A" w:rsidRPr="00A25A60" w:rsidRDefault="008A6FA9" w:rsidP="0062019F">
      <w:pPr>
        <w:spacing w:line="360" w:lineRule="auto"/>
        <w:rPr>
          <w:rFonts w:asciiTheme="majorHAnsi" w:hAnsiTheme="majorHAnsi" w:cstheme="majorHAnsi"/>
          <w:b/>
          <w:lang w:val="en-US"/>
        </w:rPr>
      </w:pPr>
      <w:r w:rsidRPr="0094218C">
        <w:rPr>
          <w:rFonts w:asciiTheme="majorHAnsi" w:hAnsiTheme="majorHAnsi" w:cstheme="majorHAnsi"/>
          <w:sz w:val="20"/>
          <w:szCs w:val="20"/>
          <w:lang w:val="en-US"/>
        </w:rPr>
        <w:t>HCV denotes</w:t>
      </w:r>
      <w:r w:rsidR="00F90800" w:rsidRPr="0094218C">
        <w:rPr>
          <w:rFonts w:asciiTheme="majorHAnsi" w:hAnsiTheme="majorHAnsi" w:cstheme="majorHAnsi"/>
          <w:sz w:val="20"/>
          <w:szCs w:val="20"/>
          <w:lang w:val="en-US"/>
        </w:rPr>
        <w:t xml:space="preserve"> hepatitis C virus; IQR, interquartile range; TNF, umor necrosis factor; IL, interleukin; MCP-1, </w:t>
      </w:r>
      <w:r w:rsidR="00F90800" w:rsidRPr="0094218C">
        <w:rPr>
          <w:rFonts w:asciiTheme="majorHAnsi" w:hAnsiTheme="majorHAnsi" w:cstheme="majorHAnsi"/>
          <w:sz w:val="20"/>
          <w:szCs w:val="20"/>
          <w:shd w:val="clear" w:color="auto" w:fill="FFFFFF"/>
          <w:lang w:val="en-US"/>
        </w:rPr>
        <w:t>monocyte chemotactic protein 1</w:t>
      </w:r>
      <w:r w:rsidR="00F90800" w:rsidRPr="0094218C">
        <w:rPr>
          <w:rFonts w:asciiTheme="majorHAnsi" w:hAnsiTheme="majorHAnsi" w:cstheme="majorHAnsi"/>
          <w:sz w:val="20"/>
          <w:szCs w:val="20"/>
          <w:lang w:val="en-US"/>
        </w:rPr>
        <w:t xml:space="preserve">; IP-10, </w:t>
      </w:r>
      <w:r w:rsidR="00F90800" w:rsidRPr="0094218C">
        <w:rPr>
          <w:rFonts w:asciiTheme="majorHAnsi" w:hAnsiTheme="majorHAnsi" w:cstheme="majorHAnsi"/>
          <w:sz w:val="20"/>
          <w:szCs w:val="20"/>
          <w:shd w:val="clear" w:color="auto" w:fill="FFFFFF"/>
          <w:lang w:val="en-US"/>
        </w:rPr>
        <w:t>10 kDa interferon gamma-induced protein</w:t>
      </w:r>
      <w:r w:rsidR="00F90800" w:rsidRPr="0094218C">
        <w:rPr>
          <w:rFonts w:asciiTheme="majorHAnsi" w:hAnsiTheme="majorHAnsi" w:cstheme="majorHAnsi"/>
          <w:sz w:val="20"/>
          <w:szCs w:val="20"/>
          <w:lang w:val="en-US"/>
        </w:rPr>
        <w:t xml:space="preserve">; MIP-1ß, </w:t>
      </w:r>
      <w:r w:rsidR="00F90800" w:rsidRPr="0094218C">
        <w:rPr>
          <w:rFonts w:asciiTheme="majorHAnsi" w:hAnsiTheme="majorHAnsi" w:cstheme="majorHAnsi"/>
          <w:sz w:val="20"/>
          <w:szCs w:val="20"/>
          <w:shd w:val="clear" w:color="auto" w:fill="FFFFFF"/>
          <w:lang w:val="en-US"/>
        </w:rPr>
        <w:t>macrophage inflammatory protein 1-beta</w:t>
      </w:r>
      <w:r w:rsidR="00F90800" w:rsidRPr="0094218C">
        <w:rPr>
          <w:rFonts w:asciiTheme="majorHAnsi" w:hAnsiTheme="majorHAnsi" w:cstheme="majorHAnsi"/>
          <w:sz w:val="20"/>
          <w:szCs w:val="20"/>
          <w:lang w:val="en-US"/>
        </w:rPr>
        <w:t xml:space="preserve">; G-CSF, </w:t>
      </w:r>
      <w:r w:rsidR="00F90800" w:rsidRPr="0094218C">
        <w:rPr>
          <w:rStyle w:val="Strong"/>
          <w:rFonts w:asciiTheme="majorHAnsi" w:hAnsiTheme="majorHAnsi" w:cstheme="majorHAnsi"/>
          <w:b w:val="0"/>
          <w:sz w:val="20"/>
          <w:szCs w:val="20"/>
          <w:shd w:val="clear" w:color="auto" w:fill="FFFFFF"/>
          <w:lang w:val="en-US"/>
        </w:rPr>
        <w:t xml:space="preserve">granulocyte colony-stimulating factor; </w:t>
      </w:r>
      <w:r w:rsidR="00F90800" w:rsidRPr="0094218C">
        <w:rPr>
          <w:rFonts w:asciiTheme="majorHAnsi" w:hAnsiTheme="majorHAnsi" w:cstheme="majorHAnsi"/>
          <w:sz w:val="20"/>
          <w:szCs w:val="20"/>
          <w:lang w:val="en-US"/>
        </w:rPr>
        <w:t xml:space="preserve">GM-CSF, </w:t>
      </w:r>
      <w:r w:rsidR="00F90800" w:rsidRPr="0094218C">
        <w:rPr>
          <w:rStyle w:val="Strong"/>
          <w:rFonts w:asciiTheme="majorHAnsi" w:hAnsiTheme="majorHAnsi" w:cstheme="majorHAnsi"/>
          <w:b w:val="0"/>
          <w:sz w:val="20"/>
          <w:szCs w:val="20"/>
          <w:shd w:val="clear" w:color="auto" w:fill="FFFFFF"/>
          <w:lang w:val="en-US"/>
        </w:rPr>
        <w:t>granulocyte-macrophage colony-stimulating factor</w:t>
      </w:r>
      <w:r w:rsidR="00F90800" w:rsidRPr="0094218C">
        <w:rPr>
          <w:rFonts w:asciiTheme="majorHAnsi" w:hAnsiTheme="majorHAnsi" w:cstheme="majorHAnsi"/>
          <w:sz w:val="20"/>
          <w:szCs w:val="20"/>
          <w:lang w:val="en-US"/>
        </w:rPr>
        <w:t xml:space="preserve">; IL-1ra, </w:t>
      </w:r>
      <w:r w:rsidR="00F90800" w:rsidRPr="0094218C">
        <w:rPr>
          <w:rStyle w:val="Strong"/>
          <w:rFonts w:asciiTheme="majorHAnsi" w:hAnsiTheme="majorHAnsi" w:cstheme="majorHAnsi"/>
          <w:b w:val="0"/>
          <w:sz w:val="20"/>
          <w:szCs w:val="20"/>
          <w:shd w:val="clear" w:color="auto" w:fill="FFFFFF"/>
          <w:lang w:val="en-US"/>
        </w:rPr>
        <w:t>interleukin-1 receptor antagonist protein</w:t>
      </w:r>
      <w:r w:rsidR="00F90800" w:rsidRPr="0094218C">
        <w:rPr>
          <w:rFonts w:asciiTheme="majorHAnsi" w:hAnsiTheme="majorHAnsi" w:cstheme="majorHAnsi"/>
          <w:sz w:val="20"/>
          <w:szCs w:val="20"/>
          <w:lang w:val="en-US"/>
        </w:rPr>
        <w:t>; IFN, interferon; HNA2, human nonmercaptalbumin 2.</w:t>
      </w:r>
      <w:r w:rsidR="00081F6A" w:rsidRPr="00A25A60">
        <w:rPr>
          <w:rFonts w:asciiTheme="majorHAnsi" w:hAnsiTheme="majorHAnsi" w:cstheme="majorHAnsi"/>
          <w:b/>
          <w:lang w:val="en-US"/>
        </w:rPr>
        <w:br w:type="page"/>
      </w:r>
    </w:p>
    <w:p w14:paraId="255142BD" w14:textId="5E8DA775" w:rsidR="00B5081B" w:rsidRPr="003F0A32" w:rsidRDefault="008627B1" w:rsidP="00D340EC">
      <w:pPr>
        <w:spacing w:line="360" w:lineRule="auto"/>
        <w:rPr>
          <w:rFonts w:asciiTheme="majorHAnsi" w:hAnsiTheme="majorHAnsi" w:cstheme="majorHAnsi"/>
          <w:b/>
          <w:lang w:val="en-US"/>
        </w:rPr>
      </w:pPr>
      <w:r w:rsidRPr="003F0A32">
        <w:rPr>
          <w:rFonts w:asciiTheme="majorHAnsi" w:hAnsiTheme="majorHAnsi" w:cstheme="majorHAnsi"/>
          <w:b/>
          <w:lang w:val="en-US"/>
        </w:rPr>
        <w:lastRenderedPageBreak/>
        <w:t>Supplementary</w:t>
      </w:r>
      <w:r w:rsidR="00634559" w:rsidRPr="003F0A32">
        <w:rPr>
          <w:rFonts w:asciiTheme="majorHAnsi" w:hAnsiTheme="majorHAnsi" w:cstheme="majorHAnsi"/>
          <w:b/>
          <w:lang w:val="en-US"/>
        </w:rPr>
        <w:t xml:space="preserve"> T</w:t>
      </w:r>
      <w:r w:rsidR="00B5081B" w:rsidRPr="003F0A32">
        <w:rPr>
          <w:rFonts w:asciiTheme="majorHAnsi" w:hAnsiTheme="majorHAnsi" w:cstheme="majorHAnsi"/>
          <w:b/>
          <w:lang w:val="en-US"/>
        </w:rPr>
        <w:t xml:space="preserve">able 3. </w:t>
      </w:r>
      <w:r w:rsidR="00EF01F1" w:rsidRPr="003F0A32">
        <w:rPr>
          <w:rFonts w:asciiTheme="majorHAnsi" w:hAnsiTheme="majorHAnsi" w:cstheme="majorHAnsi"/>
          <w:b/>
          <w:lang w:val="en-US"/>
        </w:rPr>
        <w:t>Presence of specific organ dysfunction or organ failure in the patients of the subgroups AD-2 and</w:t>
      </w:r>
      <w:r w:rsidR="00ED7501" w:rsidRPr="003F0A32">
        <w:rPr>
          <w:rFonts w:asciiTheme="majorHAnsi" w:hAnsiTheme="majorHAnsi" w:cstheme="majorHAnsi"/>
          <w:b/>
          <w:lang w:val="en-US"/>
        </w:rPr>
        <w:t xml:space="preserve"> AD-3</w:t>
      </w:r>
      <w:r w:rsidR="00EF01F1" w:rsidRPr="003F0A32">
        <w:rPr>
          <w:rFonts w:asciiTheme="majorHAnsi" w:hAnsiTheme="majorHAnsi" w:cstheme="majorHAnsi"/>
          <w:b/>
          <w:lang w:val="en-US"/>
        </w:rPr>
        <w:t xml:space="preserve">. Data </w:t>
      </w:r>
      <w:proofErr w:type="gramStart"/>
      <w:r w:rsidR="00EF01F1" w:rsidRPr="003F0A32">
        <w:rPr>
          <w:rFonts w:asciiTheme="majorHAnsi" w:hAnsiTheme="majorHAnsi" w:cstheme="majorHAnsi"/>
          <w:b/>
          <w:lang w:val="en-US"/>
        </w:rPr>
        <w:t>are shown</w:t>
      </w:r>
      <w:proofErr w:type="gramEnd"/>
      <w:r w:rsidR="00EF01F1" w:rsidRPr="003F0A32">
        <w:rPr>
          <w:rFonts w:asciiTheme="majorHAnsi" w:hAnsiTheme="majorHAnsi" w:cstheme="majorHAnsi"/>
          <w:b/>
          <w:lang w:val="en-US"/>
        </w:rPr>
        <w:t xml:space="preserve"> as numbers (%).</w:t>
      </w:r>
    </w:p>
    <w:p w14:paraId="7B5E18E1" w14:textId="77777777" w:rsidR="00D4645D" w:rsidRPr="003F0A32" w:rsidRDefault="00D4645D" w:rsidP="00D340EC">
      <w:pPr>
        <w:spacing w:line="360" w:lineRule="auto"/>
        <w:rPr>
          <w:rFonts w:asciiTheme="majorHAnsi" w:hAnsiTheme="majorHAnsi" w:cstheme="majorHAnsi"/>
          <w:b/>
          <w:lang w:val="en-US"/>
        </w:rPr>
      </w:pPr>
    </w:p>
    <w:tbl>
      <w:tblPr>
        <w:tblStyle w:val="TableGrid"/>
        <w:tblW w:w="77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47"/>
        <w:gridCol w:w="2551"/>
        <w:gridCol w:w="2552"/>
      </w:tblGrid>
      <w:tr w:rsidR="003F0A32" w:rsidRPr="003F0A32" w14:paraId="11309E44" w14:textId="3A65F738" w:rsidTr="00512EAB">
        <w:trPr>
          <w:jc w:val="center"/>
        </w:trPr>
        <w:tc>
          <w:tcPr>
            <w:tcW w:w="2647" w:type="dxa"/>
            <w:tcBorders>
              <w:top w:val="single" w:sz="4" w:space="0" w:color="auto"/>
              <w:bottom w:val="single" w:sz="4" w:space="0" w:color="auto"/>
            </w:tcBorders>
          </w:tcPr>
          <w:p w14:paraId="38187FDF" w14:textId="77777777" w:rsidR="00512EAB" w:rsidRPr="003F0A32" w:rsidRDefault="00512EAB" w:rsidP="00512EAB">
            <w:pPr>
              <w:widowControl w:val="0"/>
              <w:adjustRightInd w:val="0"/>
              <w:spacing w:line="360" w:lineRule="auto"/>
              <w:rPr>
                <w:rFonts w:asciiTheme="majorHAnsi" w:hAnsiTheme="majorHAnsi" w:cstheme="majorHAnsi"/>
                <w:b/>
                <w:bCs/>
                <w:sz w:val="24"/>
                <w:szCs w:val="24"/>
                <w:lang w:val="en-US"/>
              </w:rPr>
            </w:pPr>
            <w:bookmarkStart w:id="0" w:name="_Hlk503946802"/>
          </w:p>
          <w:p w14:paraId="397A10EC" w14:textId="6C68ED4E" w:rsidR="00512EAB" w:rsidRPr="003F0A32" w:rsidRDefault="00512EAB" w:rsidP="00512EAB">
            <w:pPr>
              <w:widowControl w:val="0"/>
              <w:adjustRightInd w:val="0"/>
              <w:spacing w:line="360" w:lineRule="auto"/>
              <w:rPr>
                <w:rFonts w:asciiTheme="majorHAnsi" w:hAnsiTheme="majorHAnsi" w:cstheme="majorHAnsi"/>
                <w:b/>
                <w:bCs/>
                <w:sz w:val="24"/>
                <w:szCs w:val="24"/>
                <w:lang w:val="en-US"/>
              </w:rPr>
            </w:pPr>
            <w:r w:rsidRPr="003F0A32">
              <w:rPr>
                <w:rFonts w:asciiTheme="majorHAnsi" w:hAnsiTheme="majorHAnsi" w:cstheme="majorHAnsi"/>
                <w:b/>
                <w:bCs/>
                <w:sz w:val="24"/>
                <w:szCs w:val="24"/>
                <w:lang w:val="en-US"/>
              </w:rPr>
              <w:t>Organ function</w:t>
            </w:r>
          </w:p>
        </w:tc>
        <w:tc>
          <w:tcPr>
            <w:tcW w:w="2551" w:type="dxa"/>
            <w:tcBorders>
              <w:top w:val="single" w:sz="4" w:space="0" w:color="auto"/>
              <w:bottom w:val="single" w:sz="4" w:space="0" w:color="auto"/>
            </w:tcBorders>
          </w:tcPr>
          <w:p w14:paraId="4529B91F" w14:textId="73A2868F" w:rsidR="00512EAB" w:rsidRPr="003F0A32" w:rsidRDefault="00512EAB" w:rsidP="00512EAB">
            <w:pPr>
              <w:widowControl w:val="0"/>
              <w:adjustRightInd w:val="0"/>
              <w:spacing w:line="360" w:lineRule="auto"/>
              <w:jc w:val="center"/>
              <w:rPr>
                <w:rFonts w:asciiTheme="majorHAnsi" w:hAnsiTheme="majorHAnsi" w:cstheme="majorHAnsi"/>
                <w:b/>
                <w:bCs/>
                <w:sz w:val="24"/>
                <w:szCs w:val="24"/>
                <w:lang w:val="en-US"/>
              </w:rPr>
            </w:pPr>
            <w:r w:rsidRPr="003F0A32">
              <w:rPr>
                <w:rFonts w:asciiTheme="majorHAnsi" w:hAnsiTheme="majorHAnsi" w:cstheme="majorHAnsi"/>
                <w:b/>
                <w:bCs/>
                <w:sz w:val="24"/>
                <w:szCs w:val="24"/>
                <w:lang w:val="en-US"/>
              </w:rPr>
              <w:t>AD-2</w:t>
            </w:r>
          </w:p>
          <w:p w14:paraId="4F7226DD" w14:textId="69FA5F5F" w:rsidR="00512EAB" w:rsidRPr="003F0A32" w:rsidRDefault="00512EAB" w:rsidP="00512EAB">
            <w:pPr>
              <w:widowControl w:val="0"/>
              <w:adjustRightInd w:val="0"/>
              <w:spacing w:line="360" w:lineRule="auto"/>
              <w:jc w:val="center"/>
              <w:rPr>
                <w:rFonts w:asciiTheme="majorHAnsi" w:hAnsiTheme="majorHAnsi" w:cstheme="majorHAnsi"/>
                <w:b/>
                <w:bCs/>
                <w:sz w:val="24"/>
                <w:szCs w:val="24"/>
                <w:lang w:val="en-US"/>
              </w:rPr>
            </w:pPr>
            <w:r w:rsidRPr="003F0A32">
              <w:rPr>
                <w:rFonts w:asciiTheme="majorHAnsi" w:hAnsiTheme="majorHAnsi" w:cstheme="majorHAnsi"/>
                <w:b/>
                <w:bCs/>
                <w:sz w:val="24"/>
                <w:szCs w:val="24"/>
                <w:lang w:val="en-US"/>
              </w:rPr>
              <w:t>(N=121)</w:t>
            </w:r>
          </w:p>
        </w:tc>
        <w:tc>
          <w:tcPr>
            <w:tcW w:w="2552" w:type="dxa"/>
            <w:tcBorders>
              <w:top w:val="single" w:sz="4" w:space="0" w:color="auto"/>
              <w:bottom w:val="single" w:sz="4" w:space="0" w:color="auto"/>
            </w:tcBorders>
          </w:tcPr>
          <w:p w14:paraId="1685CD23" w14:textId="3D110C58" w:rsidR="00512EAB" w:rsidRPr="003F0A32" w:rsidRDefault="00512EAB" w:rsidP="00512EAB">
            <w:pPr>
              <w:widowControl w:val="0"/>
              <w:adjustRightInd w:val="0"/>
              <w:spacing w:line="360" w:lineRule="auto"/>
              <w:jc w:val="center"/>
              <w:rPr>
                <w:rFonts w:asciiTheme="majorHAnsi" w:hAnsiTheme="majorHAnsi" w:cstheme="majorHAnsi"/>
                <w:b/>
                <w:bCs/>
                <w:sz w:val="24"/>
                <w:szCs w:val="24"/>
                <w:lang w:val="en-US"/>
              </w:rPr>
            </w:pPr>
            <w:r w:rsidRPr="003F0A32">
              <w:rPr>
                <w:rFonts w:asciiTheme="majorHAnsi" w:hAnsiTheme="majorHAnsi" w:cstheme="majorHAnsi"/>
                <w:b/>
                <w:bCs/>
                <w:sz w:val="24"/>
                <w:szCs w:val="24"/>
                <w:lang w:val="en-US"/>
              </w:rPr>
              <w:t>AD-3</w:t>
            </w:r>
          </w:p>
          <w:p w14:paraId="6949C1B4" w14:textId="12EC83B7" w:rsidR="00512EAB" w:rsidRPr="003F0A32" w:rsidRDefault="00512EAB" w:rsidP="00512EAB">
            <w:pPr>
              <w:widowControl w:val="0"/>
              <w:adjustRightInd w:val="0"/>
              <w:spacing w:line="360" w:lineRule="auto"/>
              <w:jc w:val="center"/>
              <w:rPr>
                <w:rFonts w:asciiTheme="majorHAnsi" w:hAnsiTheme="majorHAnsi" w:cstheme="majorHAnsi"/>
                <w:b/>
                <w:bCs/>
                <w:sz w:val="24"/>
                <w:szCs w:val="24"/>
                <w:lang w:val="en-US"/>
              </w:rPr>
            </w:pPr>
            <w:r w:rsidRPr="003F0A32">
              <w:rPr>
                <w:rFonts w:asciiTheme="majorHAnsi" w:hAnsiTheme="majorHAnsi" w:cstheme="majorHAnsi"/>
                <w:b/>
                <w:bCs/>
                <w:sz w:val="24"/>
                <w:szCs w:val="24"/>
                <w:lang w:val="en-US"/>
              </w:rPr>
              <w:t>(N=66)</w:t>
            </w:r>
          </w:p>
        </w:tc>
      </w:tr>
      <w:tr w:rsidR="003F0A32" w:rsidRPr="003F0A32" w14:paraId="6A10508B" w14:textId="003056DE" w:rsidTr="00512EAB">
        <w:trPr>
          <w:jc w:val="center"/>
        </w:trPr>
        <w:tc>
          <w:tcPr>
            <w:tcW w:w="2647" w:type="dxa"/>
          </w:tcPr>
          <w:p w14:paraId="7C886051" w14:textId="1F31AAE9" w:rsidR="00512EAB" w:rsidRPr="003F0A32" w:rsidRDefault="00512EAB" w:rsidP="00512EAB">
            <w:pPr>
              <w:adjustRightInd w:val="0"/>
              <w:spacing w:line="360" w:lineRule="auto"/>
              <w:rPr>
                <w:rFonts w:asciiTheme="majorHAnsi" w:hAnsiTheme="majorHAnsi" w:cstheme="majorHAnsi"/>
                <w:sz w:val="24"/>
                <w:szCs w:val="24"/>
                <w:lang w:val="en-US"/>
              </w:rPr>
            </w:pPr>
            <w:r w:rsidRPr="003F0A32">
              <w:rPr>
                <w:rFonts w:asciiTheme="majorHAnsi" w:hAnsiTheme="majorHAnsi" w:cstheme="majorHAnsi"/>
                <w:sz w:val="24"/>
                <w:szCs w:val="24"/>
                <w:lang w:val="en-US"/>
              </w:rPr>
              <w:t xml:space="preserve">   Renal dysfunction</w:t>
            </w:r>
          </w:p>
        </w:tc>
        <w:tc>
          <w:tcPr>
            <w:tcW w:w="2551" w:type="dxa"/>
            <w:vAlign w:val="center"/>
          </w:tcPr>
          <w:p w14:paraId="41F6857C" w14:textId="1DB4F17D"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61(50.4)</w:t>
            </w:r>
          </w:p>
        </w:tc>
        <w:tc>
          <w:tcPr>
            <w:tcW w:w="2552" w:type="dxa"/>
            <w:vAlign w:val="center"/>
          </w:tcPr>
          <w:p w14:paraId="296BAD3B" w14:textId="42AA07BA"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0(0.0)</w:t>
            </w:r>
          </w:p>
        </w:tc>
      </w:tr>
      <w:tr w:rsidR="003F0A32" w:rsidRPr="003F0A32" w14:paraId="33CFE56A" w14:textId="4BFDC732" w:rsidTr="00512EAB">
        <w:trPr>
          <w:jc w:val="center"/>
        </w:trPr>
        <w:tc>
          <w:tcPr>
            <w:tcW w:w="2647" w:type="dxa"/>
          </w:tcPr>
          <w:p w14:paraId="0EEED125" w14:textId="1717E2FC" w:rsidR="00512EAB" w:rsidRPr="003F0A32" w:rsidRDefault="00512EAB" w:rsidP="00512EAB">
            <w:pPr>
              <w:adjustRightInd w:val="0"/>
              <w:spacing w:line="360" w:lineRule="auto"/>
              <w:rPr>
                <w:rFonts w:asciiTheme="majorHAnsi" w:hAnsiTheme="majorHAnsi" w:cstheme="majorHAnsi"/>
                <w:sz w:val="24"/>
                <w:szCs w:val="24"/>
                <w:lang w:val="en-US"/>
              </w:rPr>
            </w:pPr>
            <w:r w:rsidRPr="003F0A32">
              <w:rPr>
                <w:rFonts w:asciiTheme="majorHAnsi" w:hAnsiTheme="majorHAnsi" w:cstheme="majorHAnsi"/>
                <w:sz w:val="24"/>
                <w:szCs w:val="24"/>
                <w:lang w:val="en-US"/>
              </w:rPr>
              <w:t xml:space="preserve">   Cerebral dysfunction</w:t>
            </w:r>
          </w:p>
        </w:tc>
        <w:tc>
          <w:tcPr>
            <w:tcW w:w="2551" w:type="dxa"/>
            <w:vAlign w:val="center"/>
          </w:tcPr>
          <w:p w14:paraId="21014EF5" w14:textId="717587FD"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81(66.9)</w:t>
            </w:r>
          </w:p>
        </w:tc>
        <w:tc>
          <w:tcPr>
            <w:tcW w:w="2552" w:type="dxa"/>
            <w:vAlign w:val="center"/>
          </w:tcPr>
          <w:p w14:paraId="4A3EC62D" w14:textId="3021B3C6"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0(0.0)</w:t>
            </w:r>
          </w:p>
        </w:tc>
      </w:tr>
      <w:tr w:rsidR="003F0A32" w:rsidRPr="003F0A32" w14:paraId="3A5B6AC1" w14:textId="77175EBD" w:rsidTr="00512EAB">
        <w:trPr>
          <w:jc w:val="center"/>
        </w:trPr>
        <w:tc>
          <w:tcPr>
            <w:tcW w:w="2647" w:type="dxa"/>
          </w:tcPr>
          <w:p w14:paraId="49A0E029" w14:textId="625E83EF" w:rsidR="00512EAB" w:rsidRPr="003F0A32" w:rsidRDefault="00512EAB" w:rsidP="00512EAB">
            <w:pPr>
              <w:adjustRightInd w:val="0"/>
              <w:spacing w:line="360" w:lineRule="auto"/>
              <w:rPr>
                <w:rFonts w:asciiTheme="majorHAnsi" w:hAnsiTheme="majorHAnsi" w:cstheme="majorHAnsi"/>
                <w:sz w:val="24"/>
                <w:szCs w:val="24"/>
                <w:lang w:val="en-US"/>
              </w:rPr>
            </w:pPr>
            <w:r w:rsidRPr="003F0A32">
              <w:rPr>
                <w:rFonts w:asciiTheme="majorHAnsi" w:hAnsiTheme="majorHAnsi" w:cstheme="majorHAnsi"/>
                <w:sz w:val="24"/>
                <w:szCs w:val="24"/>
                <w:lang w:val="en-US"/>
              </w:rPr>
              <w:t xml:space="preserve">   Liver failure</w:t>
            </w:r>
          </w:p>
        </w:tc>
        <w:tc>
          <w:tcPr>
            <w:tcW w:w="2551" w:type="dxa"/>
            <w:vAlign w:val="center"/>
          </w:tcPr>
          <w:p w14:paraId="7667CFFE" w14:textId="3CAFBB3B"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0(0.0)</w:t>
            </w:r>
          </w:p>
        </w:tc>
        <w:tc>
          <w:tcPr>
            <w:tcW w:w="2552" w:type="dxa"/>
            <w:vAlign w:val="center"/>
          </w:tcPr>
          <w:p w14:paraId="07A342A8" w14:textId="0F172D27"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38(57.6)</w:t>
            </w:r>
          </w:p>
        </w:tc>
      </w:tr>
      <w:tr w:rsidR="003F0A32" w:rsidRPr="003F0A32" w14:paraId="0EE1F2D0" w14:textId="7BF6AC3D" w:rsidTr="00512EAB">
        <w:trPr>
          <w:jc w:val="center"/>
        </w:trPr>
        <w:tc>
          <w:tcPr>
            <w:tcW w:w="2647" w:type="dxa"/>
          </w:tcPr>
          <w:p w14:paraId="601B3A3D" w14:textId="6ADCE896" w:rsidR="00512EAB" w:rsidRPr="003F0A32" w:rsidRDefault="00512EAB" w:rsidP="00512EAB">
            <w:pPr>
              <w:adjustRightInd w:val="0"/>
              <w:spacing w:line="360" w:lineRule="auto"/>
              <w:rPr>
                <w:rFonts w:asciiTheme="majorHAnsi" w:hAnsiTheme="majorHAnsi" w:cstheme="majorHAnsi"/>
                <w:sz w:val="24"/>
                <w:szCs w:val="24"/>
                <w:lang w:val="en-US"/>
              </w:rPr>
            </w:pPr>
            <w:r w:rsidRPr="003F0A32">
              <w:rPr>
                <w:rFonts w:asciiTheme="majorHAnsi" w:hAnsiTheme="majorHAnsi" w:cstheme="majorHAnsi"/>
                <w:sz w:val="24"/>
                <w:szCs w:val="24"/>
                <w:lang w:val="en-US"/>
              </w:rPr>
              <w:t xml:space="preserve">   Coagulation failure</w:t>
            </w:r>
          </w:p>
        </w:tc>
        <w:tc>
          <w:tcPr>
            <w:tcW w:w="2551" w:type="dxa"/>
            <w:vAlign w:val="center"/>
          </w:tcPr>
          <w:p w14:paraId="0E157D77" w14:textId="505C478D"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0(0.0)</w:t>
            </w:r>
          </w:p>
        </w:tc>
        <w:tc>
          <w:tcPr>
            <w:tcW w:w="2552" w:type="dxa"/>
            <w:vAlign w:val="center"/>
          </w:tcPr>
          <w:p w14:paraId="697AEE42" w14:textId="5B8B1DC9"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12(18.2)</w:t>
            </w:r>
          </w:p>
        </w:tc>
      </w:tr>
      <w:tr w:rsidR="003F0A32" w:rsidRPr="003F0A32" w14:paraId="24E6BF1A" w14:textId="0293F130" w:rsidTr="00D4645D">
        <w:trPr>
          <w:jc w:val="center"/>
        </w:trPr>
        <w:tc>
          <w:tcPr>
            <w:tcW w:w="2647" w:type="dxa"/>
          </w:tcPr>
          <w:p w14:paraId="0D2CC3A6" w14:textId="55C36CBF" w:rsidR="00512EAB" w:rsidRPr="003F0A32" w:rsidRDefault="00512EAB" w:rsidP="00512EAB">
            <w:pPr>
              <w:adjustRightInd w:val="0"/>
              <w:spacing w:line="360" w:lineRule="auto"/>
              <w:rPr>
                <w:rFonts w:asciiTheme="majorHAnsi" w:hAnsiTheme="majorHAnsi" w:cstheme="majorHAnsi"/>
                <w:sz w:val="24"/>
                <w:szCs w:val="24"/>
                <w:lang w:val="en-US"/>
              </w:rPr>
            </w:pPr>
            <w:r w:rsidRPr="003F0A32">
              <w:rPr>
                <w:rFonts w:asciiTheme="majorHAnsi" w:hAnsiTheme="majorHAnsi" w:cstheme="majorHAnsi"/>
                <w:sz w:val="24"/>
                <w:szCs w:val="24"/>
                <w:lang w:val="en-US"/>
              </w:rPr>
              <w:t xml:space="preserve">   Respiratory failure</w:t>
            </w:r>
          </w:p>
        </w:tc>
        <w:tc>
          <w:tcPr>
            <w:tcW w:w="2551" w:type="dxa"/>
            <w:vAlign w:val="center"/>
          </w:tcPr>
          <w:p w14:paraId="6B12FF98" w14:textId="2B2972A4"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0(0.0)</w:t>
            </w:r>
          </w:p>
        </w:tc>
        <w:tc>
          <w:tcPr>
            <w:tcW w:w="2552" w:type="dxa"/>
            <w:vAlign w:val="center"/>
          </w:tcPr>
          <w:p w14:paraId="52E46A32" w14:textId="6CBA0CBB"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3(4.6)</w:t>
            </w:r>
          </w:p>
        </w:tc>
      </w:tr>
      <w:tr w:rsidR="00512EAB" w:rsidRPr="003F0A32" w14:paraId="1BDD6A1E" w14:textId="71AAA2F3" w:rsidTr="00D4645D">
        <w:trPr>
          <w:jc w:val="center"/>
        </w:trPr>
        <w:tc>
          <w:tcPr>
            <w:tcW w:w="2647" w:type="dxa"/>
            <w:tcBorders>
              <w:bottom w:val="single" w:sz="4" w:space="0" w:color="auto"/>
            </w:tcBorders>
          </w:tcPr>
          <w:p w14:paraId="433E1EC3" w14:textId="1F8486E1" w:rsidR="00512EAB" w:rsidRPr="003F0A32" w:rsidRDefault="00512EAB" w:rsidP="00512EAB">
            <w:pPr>
              <w:adjustRightInd w:val="0"/>
              <w:spacing w:line="360" w:lineRule="auto"/>
              <w:rPr>
                <w:rFonts w:asciiTheme="majorHAnsi" w:hAnsiTheme="majorHAnsi" w:cstheme="majorHAnsi"/>
                <w:sz w:val="24"/>
                <w:szCs w:val="24"/>
                <w:lang w:val="en-US"/>
              </w:rPr>
            </w:pPr>
            <w:r w:rsidRPr="003F0A32">
              <w:rPr>
                <w:rFonts w:asciiTheme="majorHAnsi" w:hAnsiTheme="majorHAnsi" w:cstheme="majorHAnsi"/>
                <w:sz w:val="24"/>
                <w:szCs w:val="24"/>
                <w:lang w:val="en-US"/>
              </w:rPr>
              <w:t xml:space="preserve">   Circulatory failure</w:t>
            </w:r>
          </w:p>
        </w:tc>
        <w:tc>
          <w:tcPr>
            <w:tcW w:w="2551" w:type="dxa"/>
            <w:tcBorders>
              <w:bottom w:val="single" w:sz="4" w:space="0" w:color="auto"/>
            </w:tcBorders>
            <w:vAlign w:val="center"/>
          </w:tcPr>
          <w:p w14:paraId="4376EC54" w14:textId="09105C40"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0(0.0)</w:t>
            </w:r>
          </w:p>
        </w:tc>
        <w:tc>
          <w:tcPr>
            <w:tcW w:w="2552" w:type="dxa"/>
            <w:tcBorders>
              <w:bottom w:val="single" w:sz="4" w:space="0" w:color="auto"/>
            </w:tcBorders>
            <w:vAlign w:val="center"/>
          </w:tcPr>
          <w:p w14:paraId="4455357F" w14:textId="0A37800D" w:rsidR="00512EAB" w:rsidRPr="003F0A32" w:rsidRDefault="00512EAB" w:rsidP="00512EAB">
            <w:pPr>
              <w:adjustRightInd w:val="0"/>
              <w:spacing w:line="360" w:lineRule="auto"/>
              <w:jc w:val="center"/>
              <w:rPr>
                <w:rFonts w:asciiTheme="majorHAnsi" w:hAnsiTheme="majorHAnsi" w:cstheme="majorHAnsi"/>
                <w:sz w:val="24"/>
                <w:szCs w:val="24"/>
                <w:lang w:val="en-US"/>
              </w:rPr>
            </w:pPr>
            <w:r w:rsidRPr="003F0A32">
              <w:rPr>
                <w:rFonts w:asciiTheme="majorHAnsi" w:hAnsiTheme="majorHAnsi" w:cstheme="majorHAnsi"/>
                <w:sz w:val="24"/>
                <w:szCs w:val="24"/>
                <w:lang w:val="en-US"/>
              </w:rPr>
              <w:t>5(7.6)</w:t>
            </w:r>
          </w:p>
        </w:tc>
      </w:tr>
      <w:bookmarkEnd w:id="0"/>
    </w:tbl>
    <w:p w14:paraId="1520C70B" w14:textId="6133B2D9" w:rsidR="00B5081B" w:rsidRPr="003F0A32" w:rsidRDefault="00B5081B" w:rsidP="0094218C">
      <w:pPr>
        <w:spacing w:line="360" w:lineRule="auto"/>
        <w:jc w:val="both"/>
        <w:rPr>
          <w:rFonts w:asciiTheme="majorHAnsi" w:hAnsiTheme="majorHAnsi" w:cstheme="majorHAnsi"/>
          <w:sz w:val="20"/>
          <w:szCs w:val="20"/>
          <w:lang w:val="en-US"/>
        </w:rPr>
      </w:pPr>
    </w:p>
    <w:p w14:paraId="41AEBEB4" w14:textId="77777777" w:rsidR="00B5081B" w:rsidRPr="003F0A32" w:rsidRDefault="00B5081B">
      <w:pPr>
        <w:rPr>
          <w:rFonts w:asciiTheme="majorHAnsi" w:hAnsiTheme="majorHAnsi" w:cstheme="majorHAnsi"/>
          <w:b/>
          <w:lang w:val="en-US"/>
        </w:rPr>
      </w:pPr>
      <w:r w:rsidRPr="003F0A32">
        <w:rPr>
          <w:rFonts w:asciiTheme="majorHAnsi" w:hAnsiTheme="majorHAnsi" w:cstheme="majorHAnsi"/>
          <w:b/>
          <w:lang w:val="en-US"/>
        </w:rPr>
        <w:br w:type="page"/>
      </w:r>
    </w:p>
    <w:p w14:paraId="1B4D7AA1" w14:textId="2A8D12CF" w:rsidR="009853F3" w:rsidRPr="00A25A60" w:rsidRDefault="00B5081B" w:rsidP="009853F3">
      <w:pPr>
        <w:spacing w:after="160" w:line="259" w:lineRule="auto"/>
        <w:rPr>
          <w:rFonts w:asciiTheme="majorHAnsi" w:hAnsiTheme="majorHAnsi" w:cstheme="majorHAnsi"/>
          <w:b/>
          <w:lang w:val="en-US"/>
        </w:rPr>
      </w:pPr>
      <w:r w:rsidRPr="00A25A60">
        <w:rPr>
          <w:rFonts w:asciiTheme="majorHAnsi" w:hAnsiTheme="majorHAnsi" w:cstheme="majorHAnsi"/>
          <w:b/>
          <w:lang w:val="en-US"/>
        </w:rPr>
        <w:lastRenderedPageBreak/>
        <w:t>Supplementary Table 4</w:t>
      </w:r>
      <w:r w:rsidR="009853F3" w:rsidRPr="00A25A60">
        <w:rPr>
          <w:rFonts w:asciiTheme="majorHAnsi" w:hAnsiTheme="majorHAnsi" w:cstheme="majorHAnsi"/>
          <w:b/>
          <w:lang w:val="en-US"/>
        </w:rPr>
        <w:t xml:space="preserve">. </w:t>
      </w:r>
      <w:r w:rsidR="00246477" w:rsidRPr="00A25A60">
        <w:rPr>
          <w:rFonts w:asciiTheme="majorHAnsi" w:hAnsiTheme="majorHAnsi" w:cstheme="majorHAnsi"/>
          <w:b/>
          <w:lang w:val="en-US"/>
        </w:rPr>
        <w:t xml:space="preserve">Clinical </w:t>
      </w:r>
      <w:r w:rsidR="00FF4EBE" w:rsidRPr="00A25A60">
        <w:rPr>
          <w:rFonts w:asciiTheme="majorHAnsi" w:hAnsiTheme="majorHAnsi" w:cstheme="majorHAnsi"/>
          <w:b/>
          <w:lang w:val="en-US"/>
        </w:rPr>
        <w:t xml:space="preserve">characteristics, routine laboratory tests, </w:t>
      </w:r>
      <w:r w:rsidR="00246477" w:rsidRPr="00A25A60">
        <w:rPr>
          <w:rFonts w:asciiTheme="majorHAnsi" w:hAnsiTheme="majorHAnsi" w:cstheme="majorHAnsi"/>
          <w:b/>
          <w:lang w:val="en-US"/>
        </w:rPr>
        <w:t xml:space="preserve">and inflammatory mediators </w:t>
      </w:r>
      <w:r w:rsidR="00FF4EBE" w:rsidRPr="00A25A60">
        <w:rPr>
          <w:rFonts w:asciiTheme="majorHAnsi" w:hAnsiTheme="majorHAnsi" w:cstheme="majorHAnsi"/>
          <w:b/>
          <w:lang w:val="en-US"/>
        </w:rPr>
        <w:t xml:space="preserve">at enrollment of 342 patients with acutely decompensated cirrhosis who were free of ACLF, according to their outcome (alive or dead) at 90 days </w:t>
      </w:r>
    </w:p>
    <w:tbl>
      <w:tblPr>
        <w:tblStyle w:val="TableGrid"/>
        <w:tblW w:w="12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753"/>
        <w:gridCol w:w="3031"/>
        <w:gridCol w:w="2977"/>
        <w:gridCol w:w="1134"/>
      </w:tblGrid>
      <w:tr w:rsidR="009853F3" w:rsidRPr="00A25A60" w14:paraId="6BE0A807" w14:textId="77777777" w:rsidTr="00C63709">
        <w:trPr>
          <w:jc w:val="center"/>
        </w:trPr>
        <w:tc>
          <w:tcPr>
            <w:tcW w:w="5753" w:type="dxa"/>
            <w:tcBorders>
              <w:top w:val="single" w:sz="4" w:space="0" w:color="auto"/>
              <w:bottom w:val="single" w:sz="4" w:space="0" w:color="auto"/>
            </w:tcBorders>
          </w:tcPr>
          <w:p w14:paraId="0EDA3DA5" w14:textId="77777777" w:rsidR="0002575A" w:rsidRPr="00A25A60" w:rsidRDefault="0002575A" w:rsidP="0002575A">
            <w:pPr>
              <w:widowControl w:val="0"/>
              <w:adjustRightInd w:val="0"/>
              <w:spacing w:before="60" w:after="60"/>
              <w:ind w:left="287"/>
              <w:rPr>
                <w:rFonts w:asciiTheme="majorHAnsi" w:hAnsiTheme="majorHAnsi" w:cstheme="majorHAnsi"/>
                <w:b/>
                <w:bCs/>
                <w:sz w:val="24"/>
                <w:szCs w:val="24"/>
                <w:lang w:val="en-US"/>
              </w:rPr>
            </w:pPr>
          </w:p>
          <w:p w14:paraId="623091AF" w14:textId="09369AB8" w:rsidR="009853F3" w:rsidRPr="00A25A60" w:rsidRDefault="009853F3" w:rsidP="0002575A">
            <w:pPr>
              <w:widowControl w:val="0"/>
              <w:adjustRightInd w:val="0"/>
              <w:spacing w:before="60" w:after="60"/>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Variable</w:t>
            </w:r>
          </w:p>
        </w:tc>
        <w:tc>
          <w:tcPr>
            <w:tcW w:w="3031" w:type="dxa"/>
            <w:tcBorders>
              <w:top w:val="single" w:sz="4" w:space="0" w:color="auto"/>
              <w:bottom w:val="single" w:sz="4" w:space="0" w:color="auto"/>
            </w:tcBorders>
          </w:tcPr>
          <w:p w14:paraId="02A4AF1A" w14:textId="232A8F26" w:rsidR="0002575A" w:rsidRPr="00A25A60" w:rsidRDefault="0002575A" w:rsidP="0002575A">
            <w:pPr>
              <w:widowControl w:val="0"/>
              <w:adjustRightInd w:val="0"/>
              <w:spacing w:before="60" w:after="60"/>
              <w:jc w:val="center"/>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A</w:t>
            </w:r>
            <w:r w:rsidR="00246477" w:rsidRPr="00A25A60">
              <w:rPr>
                <w:rFonts w:asciiTheme="majorHAnsi" w:hAnsiTheme="majorHAnsi" w:cstheme="majorHAnsi"/>
                <w:b/>
                <w:bCs/>
                <w:sz w:val="24"/>
                <w:szCs w:val="24"/>
                <w:lang w:val="en-US"/>
              </w:rPr>
              <w:t>live</w:t>
            </w:r>
            <w:r w:rsidR="009853F3" w:rsidRPr="00A25A60">
              <w:rPr>
                <w:rFonts w:asciiTheme="majorHAnsi" w:hAnsiTheme="majorHAnsi" w:cstheme="majorHAnsi"/>
                <w:b/>
                <w:bCs/>
                <w:sz w:val="24"/>
                <w:szCs w:val="24"/>
                <w:lang w:val="en-US"/>
              </w:rPr>
              <w:t xml:space="preserve"> </w:t>
            </w:r>
            <w:r w:rsidRPr="00A25A60">
              <w:rPr>
                <w:rFonts w:asciiTheme="majorHAnsi" w:hAnsiTheme="majorHAnsi" w:cstheme="majorHAnsi"/>
                <w:b/>
                <w:bCs/>
                <w:sz w:val="24"/>
                <w:szCs w:val="24"/>
                <w:lang w:val="en-US"/>
              </w:rPr>
              <w:t>at 90 Days</w:t>
            </w:r>
          </w:p>
          <w:p w14:paraId="7C51DBE9" w14:textId="6D4A6804" w:rsidR="009853F3" w:rsidRPr="00A25A60" w:rsidRDefault="0002575A" w:rsidP="0002575A">
            <w:pPr>
              <w:widowControl w:val="0"/>
              <w:adjustRightInd w:val="0"/>
              <w:spacing w:before="60" w:after="60"/>
              <w:jc w:val="center"/>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(N</w:t>
            </w:r>
            <w:r w:rsidR="009853F3" w:rsidRPr="00A25A60">
              <w:rPr>
                <w:rFonts w:asciiTheme="majorHAnsi" w:hAnsiTheme="majorHAnsi" w:cstheme="majorHAnsi"/>
                <w:b/>
                <w:bCs/>
                <w:sz w:val="24"/>
                <w:szCs w:val="24"/>
                <w:lang w:val="en-US"/>
              </w:rPr>
              <w:t>=259)</w:t>
            </w:r>
          </w:p>
        </w:tc>
        <w:tc>
          <w:tcPr>
            <w:tcW w:w="2977" w:type="dxa"/>
            <w:tcBorders>
              <w:top w:val="single" w:sz="4" w:space="0" w:color="auto"/>
              <w:bottom w:val="single" w:sz="4" w:space="0" w:color="auto"/>
            </w:tcBorders>
          </w:tcPr>
          <w:p w14:paraId="5A778A08" w14:textId="49C60526" w:rsidR="0002575A" w:rsidRPr="00A25A60" w:rsidRDefault="009853F3" w:rsidP="0002575A">
            <w:pPr>
              <w:widowControl w:val="0"/>
              <w:adjustRightInd w:val="0"/>
              <w:spacing w:before="60" w:after="60"/>
              <w:jc w:val="center"/>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 xml:space="preserve">Dead </w:t>
            </w:r>
            <w:r w:rsidR="0002575A" w:rsidRPr="00A25A60">
              <w:rPr>
                <w:rFonts w:asciiTheme="majorHAnsi" w:hAnsiTheme="majorHAnsi" w:cstheme="majorHAnsi"/>
                <w:b/>
                <w:bCs/>
                <w:sz w:val="24"/>
                <w:szCs w:val="24"/>
                <w:lang w:val="en-US"/>
              </w:rPr>
              <w:t>at 90 days</w:t>
            </w:r>
          </w:p>
          <w:p w14:paraId="6B6E64B7" w14:textId="45A7F671" w:rsidR="009853F3" w:rsidRPr="00A25A60" w:rsidRDefault="0002575A" w:rsidP="0002575A">
            <w:pPr>
              <w:widowControl w:val="0"/>
              <w:adjustRightInd w:val="0"/>
              <w:spacing w:before="60" w:after="60"/>
              <w:jc w:val="center"/>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(N</w:t>
            </w:r>
            <w:r w:rsidR="009853F3" w:rsidRPr="00A25A60">
              <w:rPr>
                <w:rFonts w:asciiTheme="majorHAnsi" w:hAnsiTheme="majorHAnsi" w:cstheme="majorHAnsi"/>
                <w:b/>
                <w:bCs/>
                <w:sz w:val="24"/>
                <w:szCs w:val="24"/>
                <w:lang w:val="en-US"/>
              </w:rPr>
              <w:t>=55)</w:t>
            </w:r>
          </w:p>
        </w:tc>
        <w:tc>
          <w:tcPr>
            <w:tcW w:w="1134" w:type="dxa"/>
            <w:tcBorders>
              <w:top w:val="single" w:sz="4" w:space="0" w:color="auto"/>
              <w:bottom w:val="single" w:sz="4" w:space="0" w:color="auto"/>
            </w:tcBorders>
          </w:tcPr>
          <w:p w14:paraId="365F4907" w14:textId="77777777" w:rsidR="0002575A" w:rsidRPr="00A25A60" w:rsidRDefault="0002575A" w:rsidP="0002575A">
            <w:pPr>
              <w:widowControl w:val="0"/>
              <w:adjustRightInd w:val="0"/>
              <w:spacing w:before="60" w:after="60"/>
              <w:jc w:val="center"/>
              <w:rPr>
                <w:rFonts w:asciiTheme="majorHAnsi" w:hAnsiTheme="majorHAnsi" w:cstheme="majorHAnsi"/>
                <w:b/>
                <w:bCs/>
                <w:sz w:val="24"/>
                <w:szCs w:val="24"/>
                <w:lang w:val="en-US"/>
              </w:rPr>
            </w:pPr>
          </w:p>
          <w:p w14:paraId="051AB00D" w14:textId="4E65E717" w:rsidR="009853F3" w:rsidRPr="00A25A60" w:rsidRDefault="0002575A" w:rsidP="0002575A">
            <w:pPr>
              <w:widowControl w:val="0"/>
              <w:adjustRightInd w:val="0"/>
              <w:spacing w:before="60" w:after="60"/>
              <w:jc w:val="center"/>
              <w:rPr>
                <w:rFonts w:asciiTheme="majorHAnsi" w:hAnsiTheme="majorHAnsi" w:cstheme="majorHAnsi"/>
                <w:b/>
                <w:bCs/>
                <w:sz w:val="24"/>
                <w:szCs w:val="24"/>
                <w:lang w:val="en-US"/>
              </w:rPr>
            </w:pPr>
            <w:r w:rsidRPr="00A25A60">
              <w:rPr>
                <w:rFonts w:asciiTheme="majorHAnsi" w:hAnsiTheme="majorHAnsi" w:cstheme="majorHAnsi"/>
                <w:b/>
                <w:bCs/>
                <w:sz w:val="24"/>
                <w:szCs w:val="24"/>
                <w:lang w:val="en-US"/>
              </w:rPr>
              <w:t xml:space="preserve">P </w:t>
            </w:r>
            <w:r w:rsidR="009853F3" w:rsidRPr="00A25A60">
              <w:rPr>
                <w:rFonts w:asciiTheme="majorHAnsi" w:hAnsiTheme="majorHAnsi" w:cstheme="majorHAnsi"/>
                <w:b/>
                <w:bCs/>
                <w:sz w:val="24"/>
                <w:szCs w:val="24"/>
                <w:lang w:val="en-US"/>
              </w:rPr>
              <w:t>value</w:t>
            </w:r>
          </w:p>
        </w:tc>
      </w:tr>
      <w:tr w:rsidR="00902C9E" w:rsidRPr="00A25A60" w14:paraId="6142DEF0" w14:textId="77777777" w:rsidTr="00C63709">
        <w:trPr>
          <w:jc w:val="center"/>
        </w:trPr>
        <w:tc>
          <w:tcPr>
            <w:tcW w:w="5753" w:type="dxa"/>
            <w:tcBorders>
              <w:top w:val="single" w:sz="4" w:space="0" w:color="auto"/>
            </w:tcBorders>
          </w:tcPr>
          <w:p w14:paraId="7F1223CF" w14:textId="390172AA" w:rsidR="00902C9E" w:rsidRPr="00A25A60" w:rsidRDefault="00902C9E" w:rsidP="00902C9E">
            <w:pPr>
              <w:adjustRightInd w:val="0"/>
              <w:spacing w:before="60" w:after="60"/>
              <w:rPr>
                <w:rFonts w:asciiTheme="majorHAnsi" w:hAnsiTheme="majorHAnsi" w:cstheme="majorHAnsi"/>
                <w:b/>
                <w:lang w:val="en-US"/>
              </w:rPr>
            </w:pPr>
            <w:r w:rsidRPr="00A25A60">
              <w:rPr>
                <w:rFonts w:asciiTheme="majorHAnsi" w:hAnsiTheme="majorHAnsi" w:cstheme="majorHAnsi"/>
                <w:b/>
                <w:sz w:val="24"/>
                <w:szCs w:val="24"/>
                <w:lang w:val="en-US"/>
              </w:rPr>
              <w:t>Clinical characteristics</w:t>
            </w:r>
          </w:p>
        </w:tc>
        <w:tc>
          <w:tcPr>
            <w:tcW w:w="3031" w:type="dxa"/>
            <w:tcBorders>
              <w:top w:val="single" w:sz="4" w:space="0" w:color="auto"/>
            </w:tcBorders>
          </w:tcPr>
          <w:p w14:paraId="75F4AE3D" w14:textId="77777777" w:rsidR="00902C9E" w:rsidRPr="00A25A60" w:rsidRDefault="00902C9E" w:rsidP="00902C9E">
            <w:pPr>
              <w:adjustRightInd w:val="0"/>
              <w:spacing w:before="60" w:after="60"/>
              <w:jc w:val="center"/>
              <w:rPr>
                <w:rFonts w:asciiTheme="majorHAnsi" w:hAnsiTheme="majorHAnsi" w:cstheme="majorHAnsi"/>
                <w:lang w:val="en-US"/>
              </w:rPr>
            </w:pPr>
          </w:p>
        </w:tc>
        <w:tc>
          <w:tcPr>
            <w:tcW w:w="2977" w:type="dxa"/>
            <w:tcBorders>
              <w:top w:val="single" w:sz="4" w:space="0" w:color="auto"/>
            </w:tcBorders>
          </w:tcPr>
          <w:p w14:paraId="46CD45AF" w14:textId="77777777" w:rsidR="00902C9E" w:rsidRPr="00A25A60" w:rsidRDefault="00902C9E" w:rsidP="00902C9E">
            <w:pPr>
              <w:adjustRightInd w:val="0"/>
              <w:spacing w:before="60" w:after="60"/>
              <w:jc w:val="center"/>
              <w:rPr>
                <w:rFonts w:asciiTheme="majorHAnsi" w:hAnsiTheme="majorHAnsi" w:cstheme="majorHAnsi"/>
                <w:lang w:val="en-US"/>
              </w:rPr>
            </w:pPr>
          </w:p>
        </w:tc>
        <w:tc>
          <w:tcPr>
            <w:tcW w:w="1134" w:type="dxa"/>
            <w:tcBorders>
              <w:top w:val="single" w:sz="4" w:space="0" w:color="auto"/>
            </w:tcBorders>
          </w:tcPr>
          <w:p w14:paraId="4BF7173A" w14:textId="77777777" w:rsidR="00902C9E" w:rsidRPr="00A25A60" w:rsidRDefault="00902C9E" w:rsidP="00902C9E">
            <w:pPr>
              <w:adjustRightInd w:val="0"/>
              <w:spacing w:before="60" w:after="60"/>
              <w:jc w:val="center"/>
              <w:rPr>
                <w:rFonts w:asciiTheme="majorHAnsi" w:hAnsiTheme="majorHAnsi" w:cstheme="majorHAnsi"/>
                <w:lang w:val="en-US"/>
              </w:rPr>
            </w:pPr>
          </w:p>
        </w:tc>
      </w:tr>
      <w:tr w:rsidR="00902C9E" w:rsidRPr="00A25A60" w14:paraId="1561A0B2" w14:textId="77777777" w:rsidTr="00C63709">
        <w:trPr>
          <w:jc w:val="center"/>
        </w:trPr>
        <w:tc>
          <w:tcPr>
            <w:tcW w:w="5753" w:type="dxa"/>
          </w:tcPr>
          <w:p w14:paraId="27E392DB" w14:textId="09696B5D" w:rsidR="00902C9E" w:rsidRPr="00A25A60" w:rsidRDefault="00902C9E" w:rsidP="00902C9E">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Age— year</w:t>
            </w:r>
          </w:p>
        </w:tc>
        <w:tc>
          <w:tcPr>
            <w:tcW w:w="3031" w:type="dxa"/>
          </w:tcPr>
          <w:p w14:paraId="6085AD4E" w14:textId="1B5B8999" w:rsidR="00902C9E" w:rsidRPr="00A25A60" w:rsidRDefault="00902C9E" w:rsidP="00D045B1">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 xml:space="preserve">57.7 </w:t>
            </w:r>
            <w:r w:rsidR="00D045B1" w:rsidRPr="00A25A60">
              <w:rPr>
                <w:rFonts w:asciiTheme="majorHAnsi" w:hAnsiTheme="majorHAnsi" w:cstheme="majorHAnsi"/>
                <w:sz w:val="24"/>
                <w:szCs w:val="24"/>
                <w:lang w:val="en-US"/>
              </w:rPr>
              <w:t>±</w:t>
            </w:r>
            <w:r w:rsidRPr="00A25A60">
              <w:rPr>
                <w:rFonts w:asciiTheme="majorHAnsi" w:hAnsiTheme="majorHAnsi" w:cstheme="majorHAnsi"/>
                <w:sz w:val="24"/>
                <w:szCs w:val="24"/>
                <w:lang w:val="en-US"/>
              </w:rPr>
              <w:t xml:space="preserve"> 11.50</w:t>
            </w:r>
          </w:p>
        </w:tc>
        <w:tc>
          <w:tcPr>
            <w:tcW w:w="2977" w:type="dxa"/>
          </w:tcPr>
          <w:p w14:paraId="035669B3" w14:textId="5869F319" w:rsidR="00902C9E" w:rsidRPr="00A25A60" w:rsidRDefault="00902C9E"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 xml:space="preserve">56.6 </w:t>
            </w:r>
            <w:r w:rsidR="00D045B1" w:rsidRPr="00A25A60">
              <w:rPr>
                <w:rFonts w:asciiTheme="majorHAnsi" w:hAnsiTheme="majorHAnsi" w:cstheme="majorHAnsi"/>
                <w:sz w:val="24"/>
                <w:szCs w:val="24"/>
                <w:lang w:val="en-US"/>
              </w:rPr>
              <w:t>±</w:t>
            </w:r>
            <w:r w:rsidRPr="00A25A60">
              <w:rPr>
                <w:rFonts w:asciiTheme="majorHAnsi" w:hAnsiTheme="majorHAnsi" w:cstheme="majorHAnsi"/>
                <w:sz w:val="24"/>
                <w:szCs w:val="24"/>
                <w:lang w:val="en-US"/>
              </w:rPr>
              <w:t xml:space="preserve"> 11.54</w:t>
            </w:r>
          </w:p>
        </w:tc>
        <w:tc>
          <w:tcPr>
            <w:tcW w:w="1134" w:type="dxa"/>
          </w:tcPr>
          <w:p w14:paraId="25219BC5" w14:textId="77777777" w:rsidR="00902C9E" w:rsidRPr="00A25A60" w:rsidRDefault="00902C9E"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0.5403</w:t>
            </w:r>
          </w:p>
        </w:tc>
      </w:tr>
      <w:tr w:rsidR="00902C9E" w:rsidRPr="00A25A60" w14:paraId="1674F769" w14:textId="77777777" w:rsidTr="00C63709">
        <w:trPr>
          <w:jc w:val="center"/>
        </w:trPr>
        <w:tc>
          <w:tcPr>
            <w:tcW w:w="5753" w:type="dxa"/>
          </w:tcPr>
          <w:p w14:paraId="5D5E951E" w14:textId="723BF2B8" w:rsidR="00902C9E" w:rsidRPr="00A25A60" w:rsidRDefault="00902C9E" w:rsidP="00902C9E">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Male gender — no./total no. (%)</w:t>
            </w:r>
          </w:p>
        </w:tc>
        <w:tc>
          <w:tcPr>
            <w:tcW w:w="3031" w:type="dxa"/>
          </w:tcPr>
          <w:p w14:paraId="108B928B" w14:textId="00BEA19A" w:rsidR="00902C9E" w:rsidRPr="00A25A60" w:rsidRDefault="00D045B1"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168/259 (64.9</w:t>
            </w:r>
            <w:r w:rsidR="00902C9E" w:rsidRPr="00A25A60">
              <w:rPr>
                <w:rFonts w:asciiTheme="majorHAnsi" w:hAnsiTheme="majorHAnsi" w:cstheme="majorHAnsi"/>
                <w:sz w:val="24"/>
                <w:szCs w:val="24"/>
                <w:lang w:val="en-US"/>
              </w:rPr>
              <w:t>)</w:t>
            </w:r>
          </w:p>
        </w:tc>
        <w:tc>
          <w:tcPr>
            <w:tcW w:w="2977" w:type="dxa"/>
          </w:tcPr>
          <w:p w14:paraId="55818E86" w14:textId="2C53CBBD" w:rsidR="00902C9E" w:rsidRPr="00A25A60" w:rsidRDefault="00D045B1"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36/55 (65.5</w:t>
            </w:r>
            <w:r w:rsidR="00902C9E" w:rsidRPr="00A25A60">
              <w:rPr>
                <w:rFonts w:asciiTheme="majorHAnsi" w:hAnsiTheme="majorHAnsi" w:cstheme="majorHAnsi"/>
                <w:sz w:val="24"/>
                <w:szCs w:val="24"/>
                <w:lang w:val="en-US"/>
              </w:rPr>
              <w:t>)</w:t>
            </w:r>
          </w:p>
        </w:tc>
        <w:tc>
          <w:tcPr>
            <w:tcW w:w="1134" w:type="dxa"/>
          </w:tcPr>
          <w:p w14:paraId="66459513" w14:textId="77777777" w:rsidR="00902C9E" w:rsidRPr="00A25A60" w:rsidRDefault="00902C9E"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0.9337</w:t>
            </w:r>
          </w:p>
        </w:tc>
      </w:tr>
      <w:tr w:rsidR="00902C9E" w:rsidRPr="00A25A60" w14:paraId="3A4BEB5F" w14:textId="77777777" w:rsidTr="00C63709">
        <w:trPr>
          <w:jc w:val="center"/>
        </w:trPr>
        <w:tc>
          <w:tcPr>
            <w:tcW w:w="5753" w:type="dxa"/>
          </w:tcPr>
          <w:p w14:paraId="20443423" w14:textId="7E6791F7" w:rsidR="00902C9E" w:rsidRPr="00A25A60" w:rsidRDefault="00902C9E" w:rsidP="00902C9E">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Mean arterial pressure — mm Hg</w:t>
            </w:r>
          </w:p>
        </w:tc>
        <w:tc>
          <w:tcPr>
            <w:tcW w:w="3031" w:type="dxa"/>
          </w:tcPr>
          <w:p w14:paraId="7390F702" w14:textId="0F459D0E" w:rsidR="00902C9E" w:rsidRPr="00A25A60" w:rsidRDefault="00902C9E"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 xml:space="preserve">84.0 </w:t>
            </w:r>
            <w:r w:rsidR="00D045B1" w:rsidRPr="00A25A60">
              <w:rPr>
                <w:rFonts w:asciiTheme="majorHAnsi" w:hAnsiTheme="majorHAnsi" w:cstheme="majorHAnsi"/>
                <w:sz w:val="24"/>
                <w:szCs w:val="24"/>
                <w:lang w:val="en-US"/>
              </w:rPr>
              <w:t>±</w:t>
            </w:r>
            <w:r w:rsidRPr="00A25A60">
              <w:rPr>
                <w:rFonts w:asciiTheme="majorHAnsi" w:hAnsiTheme="majorHAnsi" w:cstheme="majorHAnsi"/>
                <w:sz w:val="24"/>
                <w:szCs w:val="24"/>
                <w:lang w:val="en-US"/>
              </w:rPr>
              <w:t xml:space="preserve"> 11.86</w:t>
            </w:r>
          </w:p>
        </w:tc>
        <w:tc>
          <w:tcPr>
            <w:tcW w:w="2977" w:type="dxa"/>
          </w:tcPr>
          <w:p w14:paraId="1B60EED5" w14:textId="128480B1" w:rsidR="00902C9E" w:rsidRPr="00A25A60" w:rsidRDefault="00902C9E"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 xml:space="preserve">85.4 </w:t>
            </w:r>
            <w:r w:rsidR="00D045B1" w:rsidRPr="00A25A60">
              <w:rPr>
                <w:rFonts w:asciiTheme="majorHAnsi" w:hAnsiTheme="majorHAnsi" w:cstheme="majorHAnsi"/>
                <w:sz w:val="24"/>
                <w:szCs w:val="24"/>
                <w:lang w:val="en-US"/>
              </w:rPr>
              <w:t>±</w:t>
            </w:r>
            <w:r w:rsidRPr="00A25A60">
              <w:rPr>
                <w:rFonts w:asciiTheme="majorHAnsi" w:hAnsiTheme="majorHAnsi" w:cstheme="majorHAnsi"/>
                <w:sz w:val="24"/>
                <w:szCs w:val="24"/>
                <w:lang w:val="en-US"/>
              </w:rPr>
              <w:t xml:space="preserve"> 11.44</w:t>
            </w:r>
          </w:p>
        </w:tc>
        <w:tc>
          <w:tcPr>
            <w:tcW w:w="1134" w:type="dxa"/>
          </w:tcPr>
          <w:p w14:paraId="70B71274" w14:textId="77777777" w:rsidR="00902C9E" w:rsidRPr="00A25A60" w:rsidRDefault="00902C9E"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0.4238</w:t>
            </w:r>
          </w:p>
        </w:tc>
      </w:tr>
      <w:tr w:rsidR="00902C9E" w:rsidRPr="00A25A60" w14:paraId="7A7A50E0" w14:textId="77777777" w:rsidTr="00C63709">
        <w:trPr>
          <w:jc w:val="center"/>
        </w:trPr>
        <w:tc>
          <w:tcPr>
            <w:tcW w:w="5753" w:type="dxa"/>
          </w:tcPr>
          <w:p w14:paraId="68825A76" w14:textId="4E48313B" w:rsidR="00902C9E" w:rsidRPr="00A25A60" w:rsidRDefault="00902C9E" w:rsidP="00902C9E">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Precipitating events — no./total no. (%)</w:t>
            </w:r>
          </w:p>
        </w:tc>
        <w:tc>
          <w:tcPr>
            <w:tcW w:w="3031" w:type="dxa"/>
          </w:tcPr>
          <w:p w14:paraId="6BD55B26" w14:textId="340C49C3" w:rsidR="00902C9E" w:rsidRPr="00A25A60" w:rsidRDefault="00D045B1"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31/236 (13.1</w:t>
            </w:r>
            <w:r w:rsidR="00902C9E" w:rsidRPr="00A25A60">
              <w:rPr>
                <w:rFonts w:asciiTheme="majorHAnsi" w:hAnsiTheme="majorHAnsi" w:cstheme="majorHAnsi"/>
                <w:sz w:val="24"/>
                <w:szCs w:val="24"/>
                <w:lang w:val="en-US"/>
              </w:rPr>
              <w:t>)</w:t>
            </w:r>
          </w:p>
        </w:tc>
        <w:tc>
          <w:tcPr>
            <w:tcW w:w="2977" w:type="dxa"/>
          </w:tcPr>
          <w:p w14:paraId="7316AB6D" w14:textId="0F966EAD" w:rsidR="00902C9E" w:rsidRPr="00A25A60" w:rsidRDefault="00D045B1"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9/52 (17.3</w:t>
            </w:r>
            <w:r w:rsidR="00902C9E" w:rsidRPr="00A25A60">
              <w:rPr>
                <w:rFonts w:asciiTheme="majorHAnsi" w:hAnsiTheme="majorHAnsi" w:cstheme="majorHAnsi"/>
                <w:sz w:val="24"/>
                <w:szCs w:val="24"/>
                <w:lang w:val="en-US"/>
              </w:rPr>
              <w:t>)</w:t>
            </w:r>
          </w:p>
        </w:tc>
        <w:tc>
          <w:tcPr>
            <w:tcW w:w="1134" w:type="dxa"/>
          </w:tcPr>
          <w:p w14:paraId="47BB60B8" w14:textId="77777777" w:rsidR="00902C9E" w:rsidRPr="00A25A60" w:rsidRDefault="00902C9E" w:rsidP="00902C9E">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0.4310</w:t>
            </w:r>
          </w:p>
        </w:tc>
      </w:tr>
      <w:tr w:rsidR="00ED5A49" w:rsidRPr="00A25A60" w14:paraId="299D193A" w14:textId="77777777" w:rsidTr="00C63709">
        <w:trPr>
          <w:jc w:val="center"/>
        </w:trPr>
        <w:tc>
          <w:tcPr>
            <w:tcW w:w="5753" w:type="dxa"/>
          </w:tcPr>
          <w:p w14:paraId="5D802B3A" w14:textId="22EE797F" w:rsidR="00ED5A49" w:rsidRPr="00A25A60" w:rsidRDefault="00ED5A49" w:rsidP="00ED5A49">
            <w:pPr>
              <w:adjustRightInd w:val="0"/>
              <w:spacing w:before="60" w:after="60"/>
              <w:rPr>
                <w:rFonts w:asciiTheme="majorHAnsi" w:hAnsiTheme="majorHAnsi" w:cstheme="majorHAnsi"/>
                <w:b/>
                <w:lang w:val="en-US"/>
              </w:rPr>
            </w:pPr>
            <w:r w:rsidRPr="00A25A60">
              <w:rPr>
                <w:rFonts w:asciiTheme="majorHAnsi" w:hAnsiTheme="majorHAnsi" w:cstheme="majorHAnsi"/>
                <w:sz w:val="24"/>
                <w:szCs w:val="24"/>
                <w:lang w:val="en-US"/>
              </w:rPr>
              <w:t xml:space="preserve">   Etiology of cirrhosis — no./total no. (%)</w:t>
            </w:r>
          </w:p>
        </w:tc>
        <w:tc>
          <w:tcPr>
            <w:tcW w:w="3031" w:type="dxa"/>
          </w:tcPr>
          <w:p w14:paraId="19073154" w14:textId="77777777" w:rsidR="00ED5A49" w:rsidRPr="00A25A60" w:rsidRDefault="00ED5A49" w:rsidP="00ED5A49">
            <w:pPr>
              <w:adjustRightInd w:val="0"/>
              <w:spacing w:before="60" w:after="60"/>
              <w:jc w:val="center"/>
              <w:rPr>
                <w:rFonts w:asciiTheme="majorHAnsi" w:hAnsiTheme="majorHAnsi" w:cstheme="majorHAnsi"/>
                <w:lang w:val="en-US"/>
              </w:rPr>
            </w:pPr>
          </w:p>
        </w:tc>
        <w:tc>
          <w:tcPr>
            <w:tcW w:w="2977" w:type="dxa"/>
          </w:tcPr>
          <w:p w14:paraId="43FC3483" w14:textId="77777777" w:rsidR="00ED5A49" w:rsidRPr="00A25A60" w:rsidRDefault="00ED5A49" w:rsidP="00ED5A49">
            <w:pPr>
              <w:adjustRightInd w:val="0"/>
              <w:spacing w:before="60" w:after="60"/>
              <w:jc w:val="center"/>
              <w:rPr>
                <w:rFonts w:asciiTheme="majorHAnsi" w:hAnsiTheme="majorHAnsi" w:cstheme="majorHAnsi"/>
                <w:lang w:val="en-US"/>
              </w:rPr>
            </w:pPr>
          </w:p>
        </w:tc>
        <w:tc>
          <w:tcPr>
            <w:tcW w:w="1134" w:type="dxa"/>
          </w:tcPr>
          <w:p w14:paraId="3D776CFE" w14:textId="77777777" w:rsidR="00ED5A49" w:rsidRPr="00A25A60" w:rsidRDefault="00ED5A49" w:rsidP="00ED5A49">
            <w:pPr>
              <w:adjustRightInd w:val="0"/>
              <w:spacing w:before="60" w:after="60"/>
              <w:jc w:val="center"/>
              <w:rPr>
                <w:rFonts w:asciiTheme="majorHAnsi" w:hAnsiTheme="majorHAnsi" w:cstheme="majorHAnsi"/>
                <w:lang w:val="en-US"/>
              </w:rPr>
            </w:pPr>
          </w:p>
        </w:tc>
      </w:tr>
      <w:tr w:rsidR="00ED5A49" w:rsidRPr="00A25A60" w14:paraId="7E5CD257" w14:textId="77777777" w:rsidTr="00C63709">
        <w:trPr>
          <w:jc w:val="center"/>
        </w:trPr>
        <w:tc>
          <w:tcPr>
            <w:tcW w:w="5753" w:type="dxa"/>
          </w:tcPr>
          <w:p w14:paraId="676DBE1D" w14:textId="01461E89" w:rsidR="00ED5A49" w:rsidRPr="00A25A60" w:rsidRDefault="00ED5A49" w:rsidP="00ED5A49">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Alcoholic</w:t>
            </w:r>
          </w:p>
        </w:tc>
        <w:tc>
          <w:tcPr>
            <w:tcW w:w="3031" w:type="dxa"/>
          </w:tcPr>
          <w:p w14:paraId="78234303" w14:textId="4E45D32B" w:rsidR="00ED5A49" w:rsidRPr="00A25A60" w:rsidRDefault="00ED5A49"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 xml:space="preserve">125/246 </w:t>
            </w:r>
            <w:r w:rsidR="00D045B1" w:rsidRPr="00A25A60">
              <w:rPr>
                <w:rFonts w:asciiTheme="majorHAnsi" w:hAnsiTheme="majorHAnsi" w:cstheme="majorHAnsi"/>
                <w:sz w:val="24"/>
                <w:szCs w:val="24"/>
                <w:lang w:val="en-US"/>
              </w:rPr>
              <w:t>(50.8</w:t>
            </w:r>
            <w:r w:rsidRPr="00A25A60">
              <w:rPr>
                <w:rFonts w:asciiTheme="majorHAnsi" w:hAnsiTheme="majorHAnsi" w:cstheme="majorHAnsi"/>
                <w:sz w:val="24"/>
                <w:szCs w:val="24"/>
                <w:lang w:val="en-US"/>
              </w:rPr>
              <w:t>)</w:t>
            </w:r>
          </w:p>
        </w:tc>
        <w:tc>
          <w:tcPr>
            <w:tcW w:w="2977" w:type="dxa"/>
          </w:tcPr>
          <w:p w14:paraId="7BCEBA2E" w14:textId="005ED6BA" w:rsidR="00ED5A49" w:rsidRPr="00A25A60" w:rsidRDefault="00D045B1"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23/50 (46.0</w:t>
            </w:r>
            <w:r w:rsidR="00ED5A49" w:rsidRPr="00A25A60">
              <w:rPr>
                <w:rFonts w:asciiTheme="majorHAnsi" w:hAnsiTheme="majorHAnsi" w:cstheme="majorHAnsi"/>
                <w:sz w:val="24"/>
                <w:szCs w:val="24"/>
                <w:lang w:val="en-US"/>
              </w:rPr>
              <w:t>)</w:t>
            </w:r>
          </w:p>
        </w:tc>
        <w:tc>
          <w:tcPr>
            <w:tcW w:w="1134" w:type="dxa"/>
          </w:tcPr>
          <w:p w14:paraId="44C96CB9" w14:textId="77777777" w:rsidR="00ED5A49" w:rsidRPr="00A25A60" w:rsidRDefault="00ED5A49"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0.5349</w:t>
            </w:r>
          </w:p>
        </w:tc>
      </w:tr>
      <w:tr w:rsidR="00ED5A49" w:rsidRPr="00A25A60" w14:paraId="3FA89367" w14:textId="77777777" w:rsidTr="00C63709">
        <w:trPr>
          <w:jc w:val="center"/>
        </w:trPr>
        <w:tc>
          <w:tcPr>
            <w:tcW w:w="5753" w:type="dxa"/>
          </w:tcPr>
          <w:p w14:paraId="49FE4B57" w14:textId="73AF7525" w:rsidR="00ED5A49" w:rsidRPr="00A25A60" w:rsidRDefault="00ED5A49" w:rsidP="00ED5A49">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HCV</w:t>
            </w:r>
          </w:p>
        </w:tc>
        <w:tc>
          <w:tcPr>
            <w:tcW w:w="3031" w:type="dxa"/>
          </w:tcPr>
          <w:p w14:paraId="3B9D2CA3" w14:textId="4C710668" w:rsidR="00ED5A49" w:rsidRPr="00A25A60" w:rsidRDefault="00D045B1"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58/246 (23.6</w:t>
            </w:r>
            <w:r w:rsidR="00ED5A49" w:rsidRPr="00A25A60">
              <w:rPr>
                <w:rFonts w:asciiTheme="majorHAnsi" w:hAnsiTheme="majorHAnsi" w:cstheme="majorHAnsi"/>
                <w:sz w:val="24"/>
                <w:szCs w:val="24"/>
                <w:lang w:val="en-US"/>
              </w:rPr>
              <w:t>)</w:t>
            </w:r>
          </w:p>
        </w:tc>
        <w:tc>
          <w:tcPr>
            <w:tcW w:w="2977" w:type="dxa"/>
          </w:tcPr>
          <w:p w14:paraId="17C62F80" w14:textId="4BF1313D" w:rsidR="00ED5A49" w:rsidRPr="00A25A60" w:rsidRDefault="00D045B1"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13/50 (26.0</w:t>
            </w:r>
            <w:r w:rsidR="00ED5A49" w:rsidRPr="00A25A60">
              <w:rPr>
                <w:rFonts w:asciiTheme="majorHAnsi" w:hAnsiTheme="majorHAnsi" w:cstheme="majorHAnsi"/>
                <w:sz w:val="24"/>
                <w:szCs w:val="24"/>
                <w:lang w:val="en-US"/>
              </w:rPr>
              <w:t>)</w:t>
            </w:r>
          </w:p>
        </w:tc>
        <w:tc>
          <w:tcPr>
            <w:tcW w:w="1134" w:type="dxa"/>
          </w:tcPr>
          <w:p w14:paraId="29190383" w14:textId="77777777" w:rsidR="00ED5A49" w:rsidRPr="00A25A60" w:rsidRDefault="00ED5A49"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0.7145</w:t>
            </w:r>
          </w:p>
        </w:tc>
      </w:tr>
      <w:tr w:rsidR="00ED5A49" w:rsidRPr="00A25A60" w14:paraId="39E9B2A0" w14:textId="77777777" w:rsidTr="00C63709">
        <w:trPr>
          <w:jc w:val="center"/>
        </w:trPr>
        <w:tc>
          <w:tcPr>
            <w:tcW w:w="5753" w:type="dxa"/>
          </w:tcPr>
          <w:p w14:paraId="412BB5F4" w14:textId="78331770" w:rsidR="00ED5A49" w:rsidRPr="00A25A60" w:rsidRDefault="00ED5A49" w:rsidP="00ED5A49">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Alcohol + HCV</w:t>
            </w:r>
          </w:p>
        </w:tc>
        <w:tc>
          <w:tcPr>
            <w:tcW w:w="3031" w:type="dxa"/>
          </w:tcPr>
          <w:p w14:paraId="44F01BD2" w14:textId="7B26CA87" w:rsidR="00ED5A49" w:rsidRPr="00A25A60" w:rsidRDefault="00D045B1"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19/246 (7.7</w:t>
            </w:r>
            <w:r w:rsidR="00ED5A49" w:rsidRPr="00A25A60">
              <w:rPr>
                <w:rFonts w:asciiTheme="majorHAnsi" w:hAnsiTheme="majorHAnsi" w:cstheme="majorHAnsi"/>
                <w:sz w:val="24"/>
                <w:szCs w:val="24"/>
                <w:lang w:val="en-US"/>
              </w:rPr>
              <w:t>)</w:t>
            </w:r>
          </w:p>
        </w:tc>
        <w:tc>
          <w:tcPr>
            <w:tcW w:w="2977" w:type="dxa"/>
          </w:tcPr>
          <w:p w14:paraId="4A681A62" w14:textId="5713288D" w:rsidR="00ED5A49" w:rsidRPr="00A25A60" w:rsidRDefault="00D045B1"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6/50 (12.0</w:t>
            </w:r>
            <w:r w:rsidR="00ED5A49" w:rsidRPr="00A25A60">
              <w:rPr>
                <w:rFonts w:asciiTheme="majorHAnsi" w:hAnsiTheme="majorHAnsi" w:cstheme="majorHAnsi"/>
                <w:sz w:val="24"/>
                <w:szCs w:val="24"/>
                <w:lang w:val="en-US"/>
              </w:rPr>
              <w:t>)</w:t>
            </w:r>
          </w:p>
        </w:tc>
        <w:tc>
          <w:tcPr>
            <w:tcW w:w="1134" w:type="dxa"/>
          </w:tcPr>
          <w:p w14:paraId="16C90C4D" w14:textId="77777777" w:rsidR="00ED5A49" w:rsidRPr="00A25A60" w:rsidRDefault="00ED5A49"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0.3992</w:t>
            </w:r>
          </w:p>
        </w:tc>
      </w:tr>
      <w:tr w:rsidR="00ED5A49" w:rsidRPr="00A25A60" w14:paraId="0CB14909" w14:textId="77777777" w:rsidTr="00C63709">
        <w:trPr>
          <w:jc w:val="center"/>
        </w:trPr>
        <w:tc>
          <w:tcPr>
            <w:tcW w:w="5753" w:type="dxa"/>
          </w:tcPr>
          <w:p w14:paraId="557676FF" w14:textId="7FD620EA" w:rsidR="00ED5A49" w:rsidRPr="00A25A60" w:rsidRDefault="00ED5A49" w:rsidP="00ED5A49">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Others</w:t>
            </w:r>
          </w:p>
        </w:tc>
        <w:tc>
          <w:tcPr>
            <w:tcW w:w="3031" w:type="dxa"/>
          </w:tcPr>
          <w:p w14:paraId="3CBFEA6E" w14:textId="4882CB85" w:rsidR="00ED5A49" w:rsidRPr="00A25A60" w:rsidRDefault="00D045B1"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44/246 (17.9</w:t>
            </w:r>
            <w:r w:rsidR="00ED5A49" w:rsidRPr="00A25A60">
              <w:rPr>
                <w:rFonts w:asciiTheme="majorHAnsi" w:hAnsiTheme="majorHAnsi" w:cstheme="majorHAnsi"/>
                <w:sz w:val="24"/>
                <w:szCs w:val="24"/>
                <w:lang w:val="en-US"/>
              </w:rPr>
              <w:t>)</w:t>
            </w:r>
          </w:p>
        </w:tc>
        <w:tc>
          <w:tcPr>
            <w:tcW w:w="2977" w:type="dxa"/>
          </w:tcPr>
          <w:p w14:paraId="299156FA" w14:textId="58F01667" w:rsidR="00ED5A49" w:rsidRPr="00A25A60" w:rsidRDefault="00D045B1"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8/50 (16.0</w:t>
            </w:r>
            <w:r w:rsidR="00ED5A49" w:rsidRPr="00A25A60">
              <w:rPr>
                <w:rFonts w:asciiTheme="majorHAnsi" w:hAnsiTheme="majorHAnsi" w:cstheme="majorHAnsi"/>
                <w:sz w:val="24"/>
                <w:szCs w:val="24"/>
                <w:lang w:val="en-US"/>
              </w:rPr>
              <w:t>)</w:t>
            </w:r>
          </w:p>
        </w:tc>
        <w:tc>
          <w:tcPr>
            <w:tcW w:w="1134" w:type="dxa"/>
          </w:tcPr>
          <w:p w14:paraId="47C28691" w14:textId="77777777" w:rsidR="00ED5A49" w:rsidRPr="00A25A60" w:rsidRDefault="00ED5A49" w:rsidP="00ED5A49">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0.7493</w:t>
            </w:r>
          </w:p>
        </w:tc>
      </w:tr>
      <w:tr w:rsidR="00977EF7" w:rsidRPr="003F0A32" w14:paraId="2D552EAE" w14:textId="77777777" w:rsidTr="00C63709">
        <w:trPr>
          <w:jc w:val="center"/>
        </w:trPr>
        <w:tc>
          <w:tcPr>
            <w:tcW w:w="5753" w:type="dxa"/>
          </w:tcPr>
          <w:p w14:paraId="0FE0176B" w14:textId="2A3DA64A" w:rsidR="00977EF7" w:rsidRPr="00A25A60" w:rsidRDefault="00977EF7" w:rsidP="00977EF7">
            <w:pPr>
              <w:adjustRightInd w:val="0"/>
              <w:spacing w:before="60" w:after="60"/>
              <w:rPr>
                <w:rFonts w:asciiTheme="majorHAnsi" w:hAnsiTheme="majorHAnsi" w:cstheme="majorHAnsi"/>
                <w:b/>
                <w:lang w:val="en-US"/>
              </w:rPr>
            </w:pPr>
            <w:r w:rsidRPr="00A25A60">
              <w:rPr>
                <w:rFonts w:asciiTheme="majorHAnsi" w:hAnsiTheme="majorHAnsi" w:cstheme="majorHAnsi"/>
                <w:b/>
                <w:sz w:val="24"/>
                <w:szCs w:val="24"/>
                <w:lang w:val="en-US"/>
              </w:rPr>
              <w:t>Median values for routine laboratory tests (IQR)</w:t>
            </w:r>
          </w:p>
        </w:tc>
        <w:tc>
          <w:tcPr>
            <w:tcW w:w="3031" w:type="dxa"/>
          </w:tcPr>
          <w:p w14:paraId="22EF2B6E" w14:textId="77777777" w:rsidR="00977EF7" w:rsidRPr="00A25A60" w:rsidRDefault="00977EF7" w:rsidP="00977EF7">
            <w:pPr>
              <w:adjustRightInd w:val="0"/>
              <w:spacing w:before="60" w:after="60"/>
              <w:jc w:val="center"/>
              <w:rPr>
                <w:rFonts w:asciiTheme="majorHAnsi" w:hAnsiTheme="majorHAnsi" w:cstheme="majorHAnsi"/>
                <w:lang w:val="en-US"/>
              </w:rPr>
            </w:pPr>
          </w:p>
        </w:tc>
        <w:tc>
          <w:tcPr>
            <w:tcW w:w="2977" w:type="dxa"/>
          </w:tcPr>
          <w:p w14:paraId="4C61E058" w14:textId="77777777" w:rsidR="00977EF7" w:rsidRPr="00A25A60" w:rsidRDefault="00977EF7" w:rsidP="00977EF7">
            <w:pPr>
              <w:adjustRightInd w:val="0"/>
              <w:spacing w:before="60" w:after="60"/>
              <w:jc w:val="center"/>
              <w:rPr>
                <w:rFonts w:asciiTheme="majorHAnsi" w:hAnsiTheme="majorHAnsi" w:cstheme="majorHAnsi"/>
                <w:lang w:val="en-US"/>
              </w:rPr>
            </w:pPr>
          </w:p>
        </w:tc>
        <w:tc>
          <w:tcPr>
            <w:tcW w:w="1134" w:type="dxa"/>
          </w:tcPr>
          <w:p w14:paraId="61E87173" w14:textId="77777777" w:rsidR="00977EF7" w:rsidRPr="00A25A60" w:rsidRDefault="00977EF7" w:rsidP="00977EF7">
            <w:pPr>
              <w:adjustRightInd w:val="0"/>
              <w:spacing w:before="60" w:after="60"/>
              <w:jc w:val="center"/>
              <w:rPr>
                <w:rFonts w:asciiTheme="majorHAnsi" w:hAnsiTheme="majorHAnsi" w:cstheme="majorHAnsi"/>
                <w:lang w:val="en-US"/>
              </w:rPr>
            </w:pPr>
          </w:p>
        </w:tc>
      </w:tr>
      <w:tr w:rsidR="00977EF7" w:rsidRPr="00A25A60" w14:paraId="0055398D" w14:textId="77777777" w:rsidTr="00C63709">
        <w:trPr>
          <w:jc w:val="center"/>
        </w:trPr>
        <w:tc>
          <w:tcPr>
            <w:tcW w:w="5753" w:type="dxa"/>
          </w:tcPr>
          <w:p w14:paraId="3355E9D2" w14:textId="05DAEEA1" w:rsidR="00977EF7" w:rsidRPr="00A25A60" w:rsidRDefault="00977EF7" w:rsidP="00977EF7">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Serum albumin — g/dl</w:t>
            </w:r>
          </w:p>
        </w:tc>
        <w:tc>
          <w:tcPr>
            <w:tcW w:w="3031" w:type="dxa"/>
          </w:tcPr>
          <w:p w14:paraId="01F7E992" w14:textId="4E1D3559"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2.9 (2.59- 3.20)</w:t>
            </w:r>
          </w:p>
        </w:tc>
        <w:tc>
          <w:tcPr>
            <w:tcW w:w="2977" w:type="dxa"/>
          </w:tcPr>
          <w:p w14:paraId="1EC83612" w14:textId="6C488B3E"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2.8 (2.30- 3.20)</w:t>
            </w:r>
          </w:p>
        </w:tc>
        <w:tc>
          <w:tcPr>
            <w:tcW w:w="1134" w:type="dxa"/>
          </w:tcPr>
          <w:p w14:paraId="01CF1495" w14:textId="77777777"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0.1675</w:t>
            </w:r>
          </w:p>
        </w:tc>
      </w:tr>
      <w:tr w:rsidR="00977EF7" w:rsidRPr="00A25A60" w14:paraId="53EE6F01" w14:textId="77777777" w:rsidTr="00C63709">
        <w:trPr>
          <w:jc w:val="center"/>
        </w:trPr>
        <w:tc>
          <w:tcPr>
            <w:tcW w:w="5753" w:type="dxa"/>
          </w:tcPr>
          <w:p w14:paraId="608D8A26" w14:textId="39BEEE94" w:rsidR="00977EF7" w:rsidRPr="00A25A60" w:rsidRDefault="00977EF7" w:rsidP="00977EF7">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Serum bilirubin — mg/d</w:t>
            </w:r>
          </w:p>
        </w:tc>
        <w:tc>
          <w:tcPr>
            <w:tcW w:w="3031" w:type="dxa"/>
          </w:tcPr>
          <w:p w14:paraId="30F9BFEC" w14:textId="51946A21"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2.6 (1.49- 5.67)</w:t>
            </w:r>
          </w:p>
        </w:tc>
        <w:tc>
          <w:tcPr>
            <w:tcW w:w="2977" w:type="dxa"/>
          </w:tcPr>
          <w:p w14:paraId="78448E6F" w14:textId="0625D363"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5.2 (2.91- 10.60)</w:t>
            </w:r>
          </w:p>
        </w:tc>
        <w:tc>
          <w:tcPr>
            <w:tcW w:w="1134" w:type="dxa"/>
          </w:tcPr>
          <w:p w14:paraId="79192006" w14:textId="77777777"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&lt;.0001</w:t>
            </w:r>
          </w:p>
        </w:tc>
      </w:tr>
      <w:tr w:rsidR="00977EF7" w:rsidRPr="00A25A60" w14:paraId="1B067613" w14:textId="77777777" w:rsidTr="00C63709">
        <w:trPr>
          <w:jc w:val="center"/>
        </w:trPr>
        <w:tc>
          <w:tcPr>
            <w:tcW w:w="5753" w:type="dxa"/>
          </w:tcPr>
          <w:p w14:paraId="7D2557B2" w14:textId="0710C5CC" w:rsidR="00977EF7" w:rsidRPr="00A25A60" w:rsidRDefault="00977EF7" w:rsidP="00977EF7">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Serum creatinine — mg/dl</w:t>
            </w:r>
          </w:p>
        </w:tc>
        <w:tc>
          <w:tcPr>
            <w:tcW w:w="3031" w:type="dxa"/>
          </w:tcPr>
          <w:p w14:paraId="1CA23BCE" w14:textId="45B842D0"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0.9 (0.70- 1.28)</w:t>
            </w:r>
          </w:p>
        </w:tc>
        <w:tc>
          <w:tcPr>
            <w:tcW w:w="2977" w:type="dxa"/>
          </w:tcPr>
          <w:p w14:paraId="16DD164B" w14:textId="742B37C8"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1.0 (0.70- 1.45)</w:t>
            </w:r>
          </w:p>
        </w:tc>
        <w:tc>
          <w:tcPr>
            <w:tcW w:w="1134" w:type="dxa"/>
          </w:tcPr>
          <w:p w14:paraId="3AAD0786" w14:textId="77777777"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0.2967</w:t>
            </w:r>
          </w:p>
        </w:tc>
      </w:tr>
      <w:tr w:rsidR="00977EF7" w:rsidRPr="00A25A60" w14:paraId="7E9E1B6F" w14:textId="77777777" w:rsidTr="00C63709">
        <w:trPr>
          <w:jc w:val="center"/>
        </w:trPr>
        <w:tc>
          <w:tcPr>
            <w:tcW w:w="5753" w:type="dxa"/>
          </w:tcPr>
          <w:p w14:paraId="61EC7AEF" w14:textId="4E700D44" w:rsidR="00977EF7" w:rsidRPr="00A25A60" w:rsidRDefault="00977EF7" w:rsidP="00977EF7">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C-reactive protein — mg/L</w:t>
            </w:r>
          </w:p>
        </w:tc>
        <w:tc>
          <w:tcPr>
            <w:tcW w:w="3031" w:type="dxa"/>
          </w:tcPr>
          <w:p w14:paraId="48352054" w14:textId="48E802B3"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15.0 (5.35- 36.30)</w:t>
            </w:r>
          </w:p>
        </w:tc>
        <w:tc>
          <w:tcPr>
            <w:tcW w:w="2977" w:type="dxa"/>
          </w:tcPr>
          <w:p w14:paraId="392619DF" w14:textId="3907E40D"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36.5 (18.00- 61.00)</w:t>
            </w:r>
          </w:p>
        </w:tc>
        <w:tc>
          <w:tcPr>
            <w:tcW w:w="1134" w:type="dxa"/>
          </w:tcPr>
          <w:p w14:paraId="05BB544F" w14:textId="77777777"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&lt;.0001</w:t>
            </w:r>
          </w:p>
        </w:tc>
      </w:tr>
      <w:tr w:rsidR="00977EF7" w:rsidRPr="00A25A60" w14:paraId="49AEB34F" w14:textId="77777777" w:rsidTr="00C63709">
        <w:trPr>
          <w:jc w:val="center"/>
        </w:trPr>
        <w:tc>
          <w:tcPr>
            <w:tcW w:w="5753" w:type="dxa"/>
          </w:tcPr>
          <w:p w14:paraId="128F6F22" w14:textId="2FBB85AF" w:rsidR="00977EF7" w:rsidRPr="00A25A60" w:rsidRDefault="00977EF7" w:rsidP="00977EF7">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International Normalized Ratio</w:t>
            </w:r>
          </w:p>
        </w:tc>
        <w:tc>
          <w:tcPr>
            <w:tcW w:w="3031" w:type="dxa"/>
          </w:tcPr>
          <w:p w14:paraId="23A71DEE" w14:textId="07BC5E67"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1.4 (1.24- 1.67)</w:t>
            </w:r>
          </w:p>
        </w:tc>
        <w:tc>
          <w:tcPr>
            <w:tcW w:w="2977" w:type="dxa"/>
          </w:tcPr>
          <w:p w14:paraId="5D33FE3D" w14:textId="7EC48BE1"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1.7 (1.47- 2.03)</w:t>
            </w:r>
          </w:p>
        </w:tc>
        <w:tc>
          <w:tcPr>
            <w:tcW w:w="1134" w:type="dxa"/>
          </w:tcPr>
          <w:p w14:paraId="2EAD4EA4" w14:textId="77777777"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&lt;.0001</w:t>
            </w:r>
          </w:p>
        </w:tc>
      </w:tr>
      <w:tr w:rsidR="00977EF7" w:rsidRPr="00A25A60" w14:paraId="1B84220D" w14:textId="77777777" w:rsidTr="00C63709">
        <w:trPr>
          <w:jc w:val="center"/>
        </w:trPr>
        <w:tc>
          <w:tcPr>
            <w:tcW w:w="5753" w:type="dxa"/>
          </w:tcPr>
          <w:p w14:paraId="4E21AD59" w14:textId="6BCF2534" w:rsidR="00977EF7" w:rsidRPr="00A25A60" w:rsidRDefault="00977EF7" w:rsidP="00977EF7">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Platelets — x10</w:t>
            </w:r>
            <w:r w:rsidRPr="00A25A60">
              <w:rPr>
                <w:rFonts w:asciiTheme="majorHAnsi" w:hAnsiTheme="majorHAnsi" w:cstheme="majorHAnsi"/>
                <w:sz w:val="24"/>
                <w:szCs w:val="24"/>
                <w:vertAlign w:val="superscript"/>
                <w:lang w:val="en-US"/>
              </w:rPr>
              <w:t>9</w:t>
            </w:r>
            <w:r w:rsidRPr="00A25A60">
              <w:rPr>
                <w:rFonts w:asciiTheme="majorHAnsi" w:hAnsiTheme="majorHAnsi" w:cstheme="majorHAnsi"/>
                <w:sz w:val="24"/>
                <w:szCs w:val="24"/>
                <w:lang w:val="en-US"/>
              </w:rPr>
              <w:t>/L</w:t>
            </w:r>
          </w:p>
        </w:tc>
        <w:tc>
          <w:tcPr>
            <w:tcW w:w="3031" w:type="dxa"/>
          </w:tcPr>
          <w:p w14:paraId="7D040C64" w14:textId="607E52EF"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92.0 (58.00- 141.00)</w:t>
            </w:r>
          </w:p>
        </w:tc>
        <w:tc>
          <w:tcPr>
            <w:tcW w:w="2977" w:type="dxa"/>
          </w:tcPr>
          <w:p w14:paraId="1F5C4919" w14:textId="553729AD"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88.8 (55.00- 122.00)</w:t>
            </w:r>
          </w:p>
        </w:tc>
        <w:tc>
          <w:tcPr>
            <w:tcW w:w="1134" w:type="dxa"/>
          </w:tcPr>
          <w:p w14:paraId="326D05CC" w14:textId="77777777"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0.4115</w:t>
            </w:r>
          </w:p>
        </w:tc>
      </w:tr>
      <w:tr w:rsidR="00977EF7" w:rsidRPr="00A25A60" w14:paraId="0C4D0290" w14:textId="77777777" w:rsidTr="00C63709">
        <w:trPr>
          <w:jc w:val="center"/>
        </w:trPr>
        <w:tc>
          <w:tcPr>
            <w:tcW w:w="5753" w:type="dxa"/>
          </w:tcPr>
          <w:p w14:paraId="371B1661" w14:textId="33EF3656" w:rsidR="00977EF7" w:rsidRPr="00A25A60" w:rsidRDefault="00977EF7" w:rsidP="00977EF7">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White-cell count — x10</w:t>
            </w:r>
            <w:r w:rsidRPr="00A25A60">
              <w:rPr>
                <w:rFonts w:asciiTheme="majorHAnsi" w:hAnsiTheme="majorHAnsi" w:cstheme="majorHAnsi"/>
                <w:sz w:val="24"/>
                <w:szCs w:val="24"/>
                <w:vertAlign w:val="superscript"/>
                <w:lang w:val="en-US"/>
              </w:rPr>
              <w:t>9</w:t>
            </w:r>
            <w:r w:rsidRPr="00A25A60">
              <w:rPr>
                <w:rFonts w:asciiTheme="majorHAnsi" w:hAnsiTheme="majorHAnsi" w:cstheme="majorHAnsi"/>
                <w:sz w:val="24"/>
                <w:szCs w:val="24"/>
                <w:lang w:val="en-US"/>
              </w:rPr>
              <w:t>/L</w:t>
            </w:r>
          </w:p>
        </w:tc>
        <w:tc>
          <w:tcPr>
            <w:tcW w:w="3031" w:type="dxa"/>
          </w:tcPr>
          <w:p w14:paraId="25364FEC" w14:textId="69407988"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6.1 (4.10- 8.90)</w:t>
            </w:r>
          </w:p>
        </w:tc>
        <w:tc>
          <w:tcPr>
            <w:tcW w:w="2977" w:type="dxa"/>
          </w:tcPr>
          <w:p w14:paraId="2FA4CB8E" w14:textId="4046C443"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8.0 (5.67- 12.56)</w:t>
            </w:r>
          </w:p>
        </w:tc>
        <w:tc>
          <w:tcPr>
            <w:tcW w:w="1134" w:type="dxa"/>
          </w:tcPr>
          <w:p w14:paraId="6021D09D" w14:textId="77777777" w:rsidR="00977EF7" w:rsidRPr="00A25A60" w:rsidRDefault="00977EF7" w:rsidP="00977EF7">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0.0002</w:t>
            </w:r>
          </w:p>
        </w:tc>
      </w:tr>
      <w:tr w:rsidR="00C63709" w:rsidRPr="00A25A60" w14:paraId="53F8D991" w14:textId="77777777" w:rsidTr="00C63709">
        <w:trPr>
          <w:jc w:val="center"/>
        </w:trPr>
        <w:tc>
          <w:tcPr>
            <w:tcW w:w="5753" w:type="dxa"/>
          </w:tcPr>
          <w:p w14:paraId="6F92C402" w14:textId="77777777" w:rsidR="00C63709" w:rsidRPr="00A25A60" w:rsidRDefault="00C63709" w:rsidP="00BB394B">
            <w:pPr>
              <w:adjustRightInd w:val="0"/>
              <w:spacing w:before="60" w:after="60"/>
              <w:rPr>
                <w:rFonts w:asciiTheme="majorHAnsi" w:hAnsiTheme="majorHAnsi" w:cstheme="majorHAnsi"/>
                <w:b/>
                <w:lang w:val="en-US"/>
              </w:rPr>
            </w:pPr>
          </w:p>
        </w:tc>
        <w:tc>
          <w:tcPr>
            <w:tcW w:w="3031" w:type="dxa"/>
            <w:vAlign w:val="center"/>
          </w:tcPr>
          <w:p w14:paraId="6C7674F0" w14:textId="77777777" w:rsidR="00C63709" w:rsidRPr="00A25A60" w:rsidRDefault="00C63709" w:rsidP="00BB394B">
            <w:pPr>
              <w:adjustRightInd w:val="0"/>
              <w:spacing w:before="60" w:after="60"/>
              <w:jc w:val="center"/>
              <w:rPr>
                <w:rFonts w:asciiTheme="majorHAnsi" w:hAnsiTheme="majorHAnsi" w:cstheme="majorHAnsi"/>
                <w:lang w:val="en-US"/>
              </w:rPr>
            </w:pPr>
          </w:p>
        </w:tc>
        <w:tc>
          <w:tcPr>
            <w:tcW w:w="2977" w:type="dxa"/>
            <w:vAlign w:val="center"/>
          </w:tcPr>
          <w:p w14:paraId="177110E7" w14:textId="77777777" w:rsidR="00C63709" w:rsidRPr="00A25A60" w:rsidRDefault="00C63709" w:rsidP="00BB394B">
            <w:pPr>
              <w:adjustRightInd w:val="0"/>
              <w:spacing w:before="60" w:after="60"/>
              <w:jc w:val="center"/>
              <w:rPr>
                <w:rFonts w:asciiTheme="majorHAnsi" w:hAnsiTheme="majorHAnsi" w:cstheme="majorHAnsi"/>
                <w:lang w:val="en-US"/>
              </w:rPr>
            </w:pPr>
          </w:p>
        </w:tc>
        <w:tc>
          <w:tcPr>
            <w:tcW w:w="1134" w:type="dxa"/>
            <w:vAlign w:val="center"/>
          </w:tcPr>
          <w:p w14:paraId="67A22F2E" w14:textId="77777777" w:rsidR="00C63709" w:rsidRPr="00A25A60" w:rsidRDefault="00C63709" w:rsidP="00BB394B">
            <w:pPr>
              <w:adjustRightInd w:val="0"/>
              <w:spacing w:before="60" w:after="60"/>
              <w:jc w:val="center"/>
              <w:rPr>
                <w:rFonts w:asciiTheme="majorHAnsi" w:hAnsiTheme="majorHAnsi" w:cstheme="majorHAnsi"/>
                <w:lang w:val="en-US"/>
              </w:rPr>
            </w:pPr>
          </w:p>
        </w:tc>
      </w:tr>
      <w:tr w:rsidR="00C63709" w:rsidRPr="00A25A60" w14:paraId="6974D795" w14:textId="77777777" w:rsidTr="00C63709">
        <w:trPr>
          <w:jc w:val="center"/>
        </w:trPr>
        <w:tc>
          <w:tcPr>
            <w:tcW w:w="5753" w:type="dxa"/>
          </w:tcPr>
          <w:p w14:paraId="1DA2420F" w14:textId="5921D212" w:rsidR="00C63709" w:rsidRPr="00A25A60" w:rsidRDefault="00C63709" w:rsidP="00BB394B">
            <w:pPr>
              <w:adjustRightInd w:val="0"/>
              <w:spacing w:before="60" w:after="60"/>
              <w:rPr>
                <w:rFonts w:asciiTheme="majorHAnsi" w:hAnsiTheme="majorHAnsi" w:cstheme="majorHAnsi"/>
                <w:b/>
                <w:lang w:val="en-US"/>
              </w:rPr>
            </w:pPr>
            <w:r w:rsidRPr="00A25A60">
              <w:rPr>
                <w:rFonts w:asciiTheme="majorHAnsi" w:hAnsiTheme="majorHAnsi" w:cstheme="majorHAnsi"/>
                <w:b/>
                <w:lang w:val="en-US"/>
              </w:rPr>
              <w:lastRenderedPageBreak/>
              <w:t>Supplementary Table 4. (Continued)</w:t>
            </w:r>
          </w:p>
        </w:tc>
        <w:tc>
          <w:tcPr>
            <w:tcW w:w="3031" w:type="dxa"/>
            <w:vAlign w:val="center"/>
          </w:tcPr>
          <w:p w14:paraId="74CD0BCB" w14:textId="77777777" w:rsidR="00C63709" w:rsidRPr="00A25A60" w:rsidRDefault="00C63709" w:rsidP="00BB394B">
            <w:pPr>
              <w:adjustRightInd w:val="0"/>
              <w:spacing w:before="60" w:after="60"/>
              <w:jc w:val="center"/>
              <w:rPr>
                <w:rFonts w:asciiTheme="majorHAnsi" w:hAnsiTheme="majorHAnsi" w:cstheme="majorHAnsi"/>
                <w:lang w:val="en-US"/>
              </w:rPr>
            </w:pPr>
          </w:p>
        </w:tc>
        <w:tc>
          <w:tcPr>
            <w:tcW w:w="2977" w:type="dxa"/>
            <w:vAlign w:val="center"/>
          </w:tcPr>
          <w:p w14:paraId="794A5C7C" w14:textId="77777777" w:rsidR="00C63709" w:rsidRPr="00A25A60" w:rsidRDefault="00C63709" w:rsidP="00BB394B">
            <w:pPr>
              <w:adjustRightInd w:val="0"/>
              <w:spacing w:before="60" w:after="60"/>
              <w:jc w:val="center"/>
              <w:rPr>
                <w:rFonts w:asciiTheme="majorHAnsi" w:hAnsiTheme="majorHAnsi" w:cstheme="majorHAnsi"/>
                <w:lang w:val="en-US"/>
              </w:rPr>
            </w:pPr>
          </w:p>
        </w:tc>
        <w:tc>
          <w:tcPr>
            <w:tcW w:w="1134" w:type="dxa"/>
            <w:vAlign w:val="center"/>
          </w:tcPr>
          <w:p w14:paraId="34CAF70F" w14:textId="77777777" w:rsidR="00C63709" w:rsidRPr="00A25A60" w:rsidRDefault="00C63709" w:rsidP="00BB394B">
            <w:pPr>
              <w:adjustRightInd w:val="0"/>
              <w:spacing w:before="60" w:after="60"/>
              <w:jc w:val="center"/>
              <w:rPr>
                <w:rFonts w:asciiTheme="majorHAnsi" w:hAnsiTheme="majorHAnsi" w:cstheme="majorHAnsi"/>
                <w:lang w:val="en-US"/>
              </w:rPr>
            </w:pPr>
          </w:p>
        </w:tc>
      </w:tr>
      <w:tr w:rsidR="00BB394B" w:rsidRPr="003F0A32" w14:paraId="5D44C2A2" w14:textId="77777777" w:rsidTr="00C63709">
        <w:trPr>
          <w:jc w:val="center"/>
        </w:trPr>
        <w:tc>
          <w:tcPr>
            <w:tcW w:w="5753" w:type="dxa"/>
          </w:tcPr>
          <w:p w14:paraId="0DFB6F61" w14:textId="57383D4B" w:rsidR="00BB394B" w:rsidRPr="00A25A60" w:rsidRDefault="00BB394B" w:rsidP="00BB394B">
            <w:pPr>
              <w:adjustRightInd w:val="0"/>
              <w:spacing w:before="60" w:after="60"/>
              <w:rPr>
                <w:rFonts w:asciiTheme="majorHAnsi" w:hAnsiTheme="majorHAnsi" w:cstheme="majorHAnsi"/>
                <w:b/>
                <w:lang w:val="en-US"/>
              </w:rPr>
            </w:pPr>
            <w:r w:rsidRPr="00A25A60">
              <w:rPr>
                <w:rFonts w:asciiTheme="majorHAnsi" w:hAnsiTheme="majorHAnsi" w:cstheme="majorHAnsi"/>
                <w:b/>
                <w:sz w:val="24"/>
                <w:szCs w:val="24"/>
                <w:lang w:val="en-US"/>
              </w:rPr>
              <w:t>Median values for inflammatory mediators (IQR)</w:t>
            </w:r>
          </w:p>
        </w:tc>
        <w:tc>
          <w:tcPr>
            <w:tcW w:w="3031" w:type="dxa"/>
            <w:vAlign w:val="center"/>
          </w:tcPr>
          <w:p w14:paraId="01ECA4EC" w14:textId="77777777" w:rsidR="00BB394B" w:rsidRPr="00A25A60" w:rsidRDefault="00BB394B" w:rsidP="00BB394B">
            <w:pPr>
              <w:adjustRightInd w:val="0"/>
              <w:spacing w:before="60" w:after="60"/>
              <w:jc w:val="center"/>
              <w:rPr>
                <w:rFonts w:asciiTheme="majorHAnsi" w:hAnsiTheme="majorHAnsi" w:cstheme="majorHAnsi"/>
                <w:lang w:val="en-US"/>
              </w:rPr>
            </w:pPr>
          </w:p>
        </w:tc>
        <w:tc>
          <w:tcPr>
            <w:tcW w:w="2977" w:type="dxa"/>
            <w:vAlign w:val="center"/>
          </w:tcPr>
          <w:p w14:paraId="6E7FAC8D" w14:textId="77777777" w:rsidR="00BB394B" w:rsidRPr="00A25A60" w:rsidRDefault="00BB394B" w:rsidP="00BB394B">
            <w:pPr>
              <w:adjustRightInd w:val="0"/>
              <w:spacing w:before="60" w:after="60"/>
              <w:jc w:val="center"/>
              <w:rPr>
                <w:rFonts w:asciiTheme="majorHAnsi" w:hAnsiTheme="majorHAnsi" w:cstheme="majorHAnsi"/>
                <w:lang w:val="en-US"/>
              </w:rPr>
            </w:pPr>
          </w:p>
        </w:tc>
        <w:tc>
          <w:tcPr>
            <w:tcW w:w="1134" w:type="dxa"/>
            <w:vAlign w:val="center"/>
          </w:tcPr>
          <w:p w14:paraId="330B8D9E" w14:textId="77777777" w:rsidR="00BB394B" w:rsidRPr="00A25A60" w:rsidRDefault="00BB394B" w:rsidP="00BB394B">
            <w:pPr>
              <w:adjustRightInd w:val="0"/>
              <w:spacing w:before="60" w:after="60"/>
              <w:jc w:val="center"/>
              <w:rPr>
                <w:rFonts w:asciiTheme="majorHAnsi" w:hAnsiTheme="majorHAnsi" w:cstheme="majorHAnsi"/>
                <w:lang w:val="en-US"/>
              </w:rPr>
            </w:pPr>
          </w:p>
        </w:tc>
      </w:tr>
      <w:tr w:rsidR="00BB394B" w:rsidRPr="00A25A60" w14:paraId="72069AD1" w14:textId="77777777" w:rsidTr="00C63709">
        <w:trPr>
          <w:jc w:val="center"/>
        </w:trPr>
        <w:tc>
          <w:tcPr>
            <w:tcW w:w="5753" w:type="dxa"/>
          </w:tcPr>
          <w:p w14:paraId="244664D5" w14:textId="0D3CB1B2"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TNF-α — pg/ml</w:t>
            </w:r>
          </w:p>
        </w:tc>
        <w:tc>
          <w:tcPr>
            <w:tcW w:w="3031" w:type="dxa"/>
            <w:vAlign w:val="center"/>
          </w:tcPr>
          <w:p w14:paraId="3B96FC12" w14:textId="296DF8FE"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19.40 (14.14 - 27.33)</w:t>
            </w:r>
          </w:p>
        </w:tc>
        <w:tc>
          <w:tcPr>
            <w:tcW w:w="2977" w:type="dxa"/>
            <w:vAlign w:val="center"/>
          </w:tcPr>
          <w:p w14:paraId="2A511D53" w14:textId="3826EF0B"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25.35 (17.22 - 32.06)</w:t>
            </w:r>
          </w:p>
        </w:tc>
        <w:tc>
          <w:tcPr>
            <w:tcW w:w="1134" w:type="dxa"/>
            <w:vAlign w:val="center"/>
          </w:tcPr>
          <w:p w14:paraId="04DECA61"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0.006</w:t>
            </w:r>
          </w:p>
        </w:tc>
      </w:tr>
      <w:tr w:rsidR="00BB394B" w:rsidRPr="00A25A60" w14:paraId="76B2C9FD" w14:textId="77777777" w:rsidTr="00C63709">
        <w:trPr>
          <w:jc w:val="center"/>
        </w:trPr>
        <w:tc>
          <w:tcPr>
            <w:tcW w:w="5753" w:type="dxa"/>
          </w:tcPr>
          <w:p w14:paraId="026E2AE2" w14:textId="15A030F9"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IL-6 — pg/ml</w:t>
            </w:r>
          </w:p>
        </w:tc>
        <w:tc>
          <w:tcPr>
            <w:tcW w:w="3031" w:type="dxa"/>
            <w:vAlign w:val="center"/>
          </w:tcPr>
          <w:p w14:paraId="576FC364" w14:textId="13F17D0A"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21.13 (11.72 - 40.71)</w:t>
            </w:r>
          </w:p>
        </w:tc>
        <w:tc>
          <w:tcPr>
            <w:tcW w:w="2977" w:type="dxa"/>
            <w:vAlign w:val="center"/>
          </w:tcPr>
          <w:p w14:paraId="75A7C25F" w14:textId="6D63103D"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34.14 (17.69 - 80.24)</w:t>
            </w:r>
          </w:p>
        </w:tc>
        <w:tc>
          <w:tcPr>
            <w:tcW w:w="1134" w:type="dxa"/>
            <w:vAlign w:val="center"/>
          </w:tcPr>
          <w:p w14:paraId="3FD8AEB2"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0.002</w:t>
            </w:r>
          </w:p>
        </w:tc>
      </w:tr>
      <w:tr w:rsidR="00BB394B" w:rsidRPr="00A25A60" w14:paraId="5270DFFF" w14:textId="77777777" w:rsidTr="00C63709">
        <w:trPr>
          <w:jc w:val="center"/>
        </w:trPr>
        <w:tc>
          <w:tcPr>
            <w:tcW w:w="5753" w:type="dxa"/>
          </w:tcPr>
          <w:p w14:paraId="43FBDB42" w14:textId="79704D8F"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IL-8 — pg/ml)</w:t>
            </w:r>
          </w:p>
        </w:tc>
        <w:tc>
          <w:tcPr>
            <w:tcW w:w="3031" w:type="dxa"/>
            <w:vAlign w:val="center"/>
          </w:tcPr>
          <w:p w14:paraId="30173FA1" w14:textId="6D35D549"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37.33 (19.94 - 79.81)</w:t>
            </w:r>
          </w:p>
        </w:tc>
        <w:tc>
          <w:tcPr>
            <w:tcW w:w="2977" w:type="dxa"/>
            <w:vAlign w:val="center"/>
          </w:tcPr>
          <w:p w14:paraId="06F0D65D" w14:textId="44861E4D"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58.73 (41.69 - 117.82)</w:t>
            </w:r>
          </w:p>
        </w:tc>
        <w:tc>
          <w:tcPr>
            <w:tcW w:w="1134" w:type="dxa"/>
            <w:vAlign w:val="center"/>
          </w:tcPr>
          <w:p w14:paraId="605C5D37"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&lt;.001</w:t>
            </w:r>
          </w:p>
        </w:tc>
      </w:tr>
      <w:tr w:rsidR="00BB394B" w:rsidRPr="00A25A60" w14:paraId="194D7D16" w14:textId="77777777" w:rsidTr="00C63709">
        <w:trPr>
          <w:jc w:val="center"/>
        </w:trPr>
        <w:tc>
          <w:tcPr>
            <w:tcW w:w="5753" w:type="dxa"/>
          </w:tcPr>
          <w:p w14:paraId="4F4E0B62" w14:textId="46B1E324"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MCP-1 — pg/ml</w:t>
            </w:r>
          </w:p>
        </w:tc>
        <w:tc>
          <w:tcPr>
            <w:tcW w:w="3031" w:type="dxa"/>
            <w:vAlign w:val="center"/>
          </w:tcPr>
          <w:p w14:paraId="00178EF7" w14:textId="68BAB30C"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323.06 (235.91 - 436.79)</w:t>
            </w:r>
          </w:p>
        </w:tc>
        <w:tc>
          <w:tcPr>
            <w:tcW w:w="2977" w:type="dxa"/>
            <w:vAlign w:val="center"/>
          </w:tcPr>
          <w:p w14:paraId="22D43D79" w14:textId="36C57E89"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349.46 (245.99 - 546.44)</w:t>
            </w:r>
          </w:p>
        </w:tc>
        <w:tc>
          <w:tcPr>
            <w:tcW w:w="1134" w:type="dxa"/>
            <w:vAlign w:val="center"/>
          </w:tcPr>
          <w:p w14:paraId="43471716"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0.196</w:t>
            </w:r>
          </w:p>
        </w:tc>
      </w:tr>
      <w:tr w:rsidR="00BB394B" w:rsidRPr="00A25A60" w14:paraId="368594E0" w14:textId="77777777" w:rsidTr="00C63709">
        <w:trPr>
          <w:jc w:val="center"/>
        </w:trPr>
        <w:tc>
          <w:tcPr>
            <w:tcW w:w="5753" w:type="dxa"/>
          </w:tcPr>
          <w:p w14:paraId="4CC48384" w14:textId="5932AAF2"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IP-10 — pg/ml</w:t>
            </w:r>
          </w:p>
        </w:tc>
        <w:tc>
          <w:tcPr>
            <w:tcW w:w="3031" w:type="dxa"/>
            <w:vAlign w:val="center"/>
          </w:tcPr>
          <w:p w14:paraId="29F64695" w14:textId="638C1736"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972.14 (577.41 - 1722.00)</w:t>
            </w:r>
          </w:p>
        </w:tc>
        <w:tc>
          <w:tcPr>
            <w:tcW w:w="2977" w:type="dxa"/>
            <w:vAlign w:val="center"/>
          </w:tcPr>
          <w:p w14:paraId="67FE7D9F" w14:textId="289D1008"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1120.00 (580.44 - 1996.00)</w:t>
            </w:r>
          </w:p>
        </w:tc>
        <w:tc>
          <w:tcPr>
            <w:tcW w:w="1134" w:type="dxa"/>
            <w:vAlign w:val="center"/>
          </w:tcPr>
          <w:p w14:paraId="29261F25"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0.565</w:t>
            </w:r>
          </w:p>
        </w:tc>
      </w:tr>
      <w:tr w:rsidR="00BB394B" w:rsidRPr="00A25A60" w14:paraId="6827EEE4" w14:textId="77777777" w:rsidTr="00C63709">
        <w:trPr>
          <w:jc w:val="center"/>
        </w:trPr>
        <w:tc>
          <w:tcPr>
            <w:tcW w:w="5753" w:type="dxa"/>
          </w:tcPr>
          <w:p w14:paraId="3DAD2553" w14:textId="10DA2FC6"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MIP-1ß — pg/ml</w:t>
            </w:r>
          </w:p>
        </w:tc>
        <w:tc>
          <w:tcPr>
            <w:tcW w:w="3031" w:type="dxa"/>
            <w:vAlign w:val="center"/>
          </w:tcPr>
          <w:p w14:paraId="367DB3B9" w14:textId="3748001D"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22.58 (13.92 - 37.50)</w:t>
            </w:r>
          </w:p>
        </w:tc>
        <w:tc>
          <w:tcPr>
            <w:tcW w:w="2977" w:type="dxa"/>
            <w:vAlign w:val="center"/>
          </w:tcPr>
          <w:p w14:paraId="0F64A07E" w14:textId="6E7F97F8"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26.25 (15.44 - 45.50)</w:t>
            </w:r>
          </w:p>
        </w:tc>
        <w:tc>
          <w:tcPr>
            <w:tcW w:w="1134" w:type="dxa"/>
            <w:vAlign w:val="center"/>
          </w:tcPr>
          <w:p w14:paraId="226DC4E9"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0.239</w:t>
            </w:r>
          </w:p>
        </w:tc>
      </w:tr>
      <w:tr w:rsidR="00BB394B" w:rsidRPr="00A25A60" w14:paraId="51FE9BC7" w14:textId="77777777" w:rsidTr="00C63709">
        <w:trPr>
          <w:jc w:val="center"/>
        </w:trPr>
        <w:tc>
          <w:tcPr>
            <w:tcW w:w="5753" w:type="dxa"/>
          </w:tcPr>
          <w:p w14:paraId="5F048F45" w14:textId="26321F38"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G-CSF — pg/ml</w:t>
            </w:r>
          </w:p>
        </w:tc>
        <w:tc>
          <w:tcPr>
            <w:tcW w:w="3031" w:type="dxa"/>
            <w:vAlign w:val="center"/>
          </w:tcPr>
          <w:p w14:paraId="4CF9403A" w14:textId="7957F0FD"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23.51 (11.70 - 52.24)</w:t>
            </w:r>
          </w:p>
        </w:tc>
        <w:tc>
          <w:tcPr>
            <w:tcW w:w="2977" w:type="dxa"/>
            <w:vAlign w:val="center"/>
          </w:tcPr>
          <w:p w14:paraId="1121DC12" w14:textId="72406894"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23.79 (15.57 - 46.06)</w:t>
            </w:r>
          </w:p>
        </w:tc>
        <w:tc>
          <w:tcPr>
            <w:tcW w:w="1134" w:type="dxa"/>
            <w:vAlign w:val="center"/>
          </w:tcPr>
          <w:p w14:paraId="5B0460B3"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0.841</w:t>
            </w:r>
          </w:p>
        </w:tc>
      </w:tr>
      <w:tr w:rsidR="00BB394B" w:rsidRPr="00A25A60" w14:paraId="19D968EA" w14:textId="77777777" w:rsidTr="00C63709">
        <w:trPr>
          <w:jc w:val="center"/>
        </w:trPr>
        <w:tc>
          <w:tcPr>
            <w:tcW w:w="5753" w:type="dxa"/>
          </w:tcPr>
          <w:p w14:paraId="2FAAF896" w14:textId="3753E439"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GM-CSF — pg/ml</w:t>
            </w:r>
          </w:p>
        </w:tc>
        <w:tc>
          <w:tcPr>
            <w:tcW w:w="3031" w:type="dxa"/>
            <w:vAlign w:val="center"/>
          </w:tcPr>
          <w:p w14:paraId="4D0F5D6C" w14:textId="3D77BB5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4.71 (2.03 - 10.37)</w:t>
            </w:r>
          </w:p>
        </w:tc>
        <w:tc>
          <w:tcPr>
            <w:tcW w:w="2977" w:type="dxa"/>
            <w:vAlign w:val="center"/>
          </w:tcPr>
          <w:p w14:paraId="617FC449" w14:textId="58FB03ED"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5.54 (2.57 - 11.91)</w:t>
            </w:r>
          </w:p>
        </w:tc>
        <w:tc>
          <w:tcPr>
            <w:tcW w:w="1134" w:type="dxa"/>
            <w:vAlign w:val="center"/>
          </w:tcPr>
          <w:p w14:paraId="7D9A0C5E"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0.121</w:t>
            </w:r>
          </w:p>
        </w:tc>
      </w:tr>
      <w:tr w:rsidR="00BB394B" w:rsidRPr="00A25A60" w14:paraId="731FB36D" w14:textId="77777777" w:rsidTr="00C63709">
        <w:trPr>
          <w:jc w:val="center"/>
        </w:trPr>
        <w:tc>
          <w:tcPr>
            <w:tcW w:w="5753" w:type="dxa"/>
          </w:tcPr>
          <w:p w14:paraId="449A88BD" w14:textId="192AF8F8"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IL-10 — pg/ml</w:t>
            </w:r>
          </w:p>
        </w:tc>
        <w:tc>
          <w:tcPr>
            <w:tcW w:w="3031" w:type="dxa"/>
            <w:vAlign w:val="center"/>
          </w:tcPr>
          <w:p w14:paraId="777C892F" w14:textId="0C69BCDB"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3.03 (0.91- 9.75)</w:t>
            </w:r>
          </w:p>
        </w:tc>
        <w:tc>
          <w:tcPr>
            <w:tcW w:w="2977" w:type="dxa"/>
            <w:vAlign w:val="center"/>
          </w:tcPr>
          <w:p w14:paraId="7FA7B7B2" w14:textId="3D901D9F"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5.93 (1.84 - 16.99)</w:t>
            </w:r>
          </w:p>
        </w:tc>
        <w:tc>
          <w:tcPr>
            <w:tcW w:w="1134" w:type="dxa"/>
            <w:vAlign w:val="center"/>
          </w:tcPr>
          <w:p w14:paraId="603F2FF5"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0.043</w:t>
            </w:r>
          </w:p>
        </w:tc>
      </w:tr>
      <w:tr w:rsidR="00BB394B" w:rsidRPr="00A25A60" w14:paraId="3C7840EB" w14:textId="77777777" w:rsidTr="00C63709">
        <w:trPr>
          <w:jc w:val="center"/>
        </w:trPr>
        <w:tc>
          <w:tcPr>
            <w:tcW w:w="5753" w:type="dxa"/>
          </w:tcPr>
          <w:p w14:paraId="22334C3E" w14:textId="66A9364C"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IL1-ra — pg/ml</w:t>
            </w:r>
          </w:p>
        </w:tc>
        <w:tc>
          <w:tcPr>
            <w:tcW w:w="3031" w:type="dxa"/>
            <w:vAlign w:val="center"/>
          </w:tcPr>
          <w:p w14:paraId="2500B2E1" w14:textId="54569320"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10.44 (4.98 - 28.88)</w:t>
            </w:r>
          </w:p>
        </w:tc>
        <w:tc>
          <w:tcPr>
            <w:tcW w:w="2977" w:type="dxa"/>
            <w:vAlign w:val="center"/>
          </w:tcPr>
          <w:p w14:paraId="26DB18BD" w14:textId="0AD69A4E"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15.49 (6.35 - 31.87)</w:t>
            </w:r>
          </w:p>
        </w:tc>
        <w:tc>
          <w:tcPr>
            <w:tcW w:w="1134" w:type="dxa"/>
            <w:vAlign w:val="center"/>
          </w:tcPr>
          <w:p w14:paraId="3E50CA93"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0.116</w:t>
            </w:r>
          </w:p>
        </w:tc>
      </w:tr>
      <w:tr w:rsidR="00BB394B" w:rsidRPr="00A25A60" w14:paraId="34627716" w14:textId="77777777" w:rsidTr="00C63709">
        <w:trPr>
          <w:jc w:val="center"/>
        </w:trPr>
        <w:tc>
          <w:tcPr>
            <w:tcW w:w="5753" w:type="dxa"/>
          </w:tcPr>
          <w:p w14:paraId="6C5F5734" w14:textId="5E7CD365"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w:t>
            </w:r>
            <w:proofErr w:type="spellStart"/>
            <w:r w:rsidRPr="00A25A60">
              <w:rPr>
                <w:rFonts w:asciiTheme="majorHAnsi" w:hAnsiTheme="majorHAnsi" w:cstheme="majorHAnsi"/>
                <w:sz w:val="24"/>
                <w:szCs w:val="24"/>
                <w:lang w:val="en-US"/>
              </w:rPr>
              <w:t>IFNγ</w:t>
            </w:r>
            <w:proofErr w:type="spellEnd"/>
            <w:r w:rsidRPr="00A25A60">
              <w:rPr>
                <w:rFonts w:asciiTheme="majorHAnsi" w:hAnsiTheme="majorHAnsi" w:cstheme="majorHAnsi"/>
                <w:sz w:val="24"/>
                <w:szCs w:val="24"/>
                <w:lang w:val="en-US"/>
              </w:rPr>
              <w:t xml:space="preserve"> — </w:t>
            </w:r>
            <w:proofErr w:type="spellStart"/>
            <w:r w:rsidRPr="00A25A60">
              <w:rPr>
                <w:rFonts w:asciiTheme="majorHAnsi" w:hAnsiTheme="majorHAnsi" w:cstheme="majorHAnsi"/>
                <w:sz w:val="24"/>
                <w:szCs w:val="24"/>
                <w:lang w:val="en-US"/>
              </w:rPr>
              <w:t>pg</w:t>
            </w:r>
            <w:proofErr w:type="spellEnd"/>
            <w:r w:rsidRPr="00A25A60">
              <w:rPr>
                <w:rFonts w:asciiTheme="majorHAnsi" w:hAnsiTheme="majorHAnsi" w:cstheme="majorHAnsi"/>
                <w:sz w:val="24"/>
                <w:szCs w:val="24"/>
                <w:lang w:val="en-US"/>
              </w:rPr>
              <w:t>/ml</w:t>
            </w:r>
          </w:p>
        </w:tc>
        <w:tc>
          <w:tcPr>
            <w:tcW w:w="3031" w:type="dxa"/>
            <w:vAlign w:val="center"/>
          </w:tcPr>
          <w:p w14:paraId="20A14BF2" w14:textId="32D62232"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6.02 (2.01 - 19.38)</w:t>
            </w:r>
          </w:p>
        </w:tc>
        <w:tc>
          <w:tcPr>
            <w:tcW w:w="2977" w:type="dxa"/>
            <w:vAlign w:val="center"/>
          </w:tcPr>
          <w:p w14:paraId="66EB45AC" w14:textId="30EC96BA"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7.83 (2.78 - 26.79)</w:t>
            </w:r>
          </w:p>
        </w:tc>
        <w:tc>
          <w:tcPr>
            <w:tcW w:w="1134" w:type="dxa"/>
            <w:vAlign w:val="center"/>
          </w:tcPr>
          <w:p w14:paraId="6ADCD19D"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0.370</w:t>
            </w:r>
          </w:p>
        </w:tc>
      </w:tr>
      <w:tr w:rsidR="00BB394B" w:rsidRPr="00A25A60" w14:paraId="6E260329" w14:textId="77777777" w:rsidTr="00C63709">
        <w:trPr>
          <w:jc w:val="center"/>
        </w:trPr>
        <w:tc>
          <w:tcPr>
            <w:tcW w:w="5753" w:type="dxa"/>
          </w:tcPr>
          <w:p w14:paraId="407F54FE" w14:textId="632E4B0A"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Eotaxin — pg/ml</w:t>
            </w:r>
          </w:p>
        </w:tc>
        <w:tc>
          <w:tcPr>
            <w:tcW w:w="3031" w:type="dxa"/>
            <w:vAlign w:val="center"/>
          </w:tcPr>
          <w:p w14:paraId="6FEC717B" w14:textId="31D16C11"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106.75 (77.61 - 152.18)</w:t>
            </w:r>
          </w:p>
        </w:tc>
        <w:tc>
          <w:tcPr>
            <w:tcW w:w="2977" w:type="dxa"/>
            <w:vAlign w:val="center"/>
          </w:tcPr>
          <w:p w14:paraId="5CCA7A63" w14:textId="50A3CFF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137.18 (99.03 - 187.88)</w:t>
            </w:r>
          </w:p>
        </w:tc>
        <w:tc>
          <w:tcPr>
            <w:tcW w:w="1134" w:type="dxa"/>
            <w:vAlign w:val="center"/>
          </w:tcPr>
          <w:p w14:paraId="5EC607CC"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&lt;.001</w:t>
            </w:r>
          </w:p>
        </w:tc>
      </w:tr>
      <w:tr w:rsidR="00BB394B" w:rsidRPr="00A25A60" w14:paraId="606EF1EC" w14:textId="77777777" w:rsidTr="00C63709">
        <w:trPr>
          <w:jc w:val="center"/>
        </w:trPr>
        <w:tc>
          <w:tcPr>
            <w:tcW w:w="5753" w:type="dxa"/>
          </w:tcPr>
          <w:p w14:paraId="435424DF" w14:textId="13799DAA"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IL-17A — pg/ml</w:t>
            </w:r>
          </w:p>
        </w:tc>
        <w:tc>
          <w:tcPr>
            <w:tcW w:w="3031" w:type="dxa"/>
            <w:vAlign w:val="center"/>
          </w:tcPr>
          <w:p w14:paraId="0E1744EC" w14:textId="6ED07600"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3.48 (1.49 - 10.25)</w:t>
            </w:r>
          </w:p>
        </w:tc>
        <w:tc>
          <w:tcPr>
            <w:tcW w:w="2977" w:type="dxa"/>
            <w:vAlign w:val="center"/>
          </w:tcPr>
          <w:p w14:paraId="2DBBD745" w14:textId="1E64D2EC"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5.13 (2.21 - 17.41)</w:t>
            </w:r>
          </w:p>
        </w:tc>
        <w:tc>
          <w:tcPr>
            <w:tcW w:w="1134" w:type="dxa"/>
            <w:vAlign w:val="center"/>
          </w:tcPr>
          <w:p w14:paraId="1A3E3B20"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0.030</w:t>
            </w:r>
          </w:p>
        </w:tc>
      </w:tr>
      <w:tr w:rsidR="00BB394B" w:rsidRPr="00A25A60" w14:paraId="76F4CF4E" w14:textId="77777777" w:rsidTr="00C63709">
        <w:trPr>
          <w:jc w:val="center"/>
        </w:trPr>
        <w:tc>
          <w:tcPr>
            <w:tcW w:w="5753" w:type="dxa"/>
          </w:tcPr>
          <w:p w14:paraId="1B43C686" w14:textId="5B40AADD" w:rsidR="00BB394B" w:rsidRPr="00A25A60" w:rsidRDefault="00BB394B" w:rsidP="00BB394B">
            <w:pPr>
              <w:keepNext/>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IL-7 — pg/ml</w:t>
            </w:r>
          </w:p>
        </w:tc>
        <w:tc>
          <w:tcPr>
            <w:tcW w:w="3031" w:type="dxa"/>
            <w:vAlign w:val="center"/>
          </w:tcPr>
          <w:p w14:paraId="1223C9B7" w14:textId="436F226F" w:rsidR="00BB394B" w:rsidRPr="00A25A60" w:rsidRDefault="00BB394B" w:rsidP="00BB394B">
            <w:pPr>
              <w:keepNext/>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2.75 (1.00 - 8.17)</w:t>
            </w:r>
          </w:p>
        </w:tc>
        <w:tc>
          <w:tcPr>
            <w:tcW w:w="2977" w:type="dxa"/>
            <w:vAlign w:val="center"/>
          </w:tcPr>
          <w:p w14:paraId="01FE2C74" w14:textId="4ED6B594" w:rsidR="00BB394B" w:rsidRPr="00A25A60" w:rsidRDefault="00BB394B" w:rsidP="00BB394B">
            <w:pPr>
              <w:keepNext/>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4.49 (1.63 - 16.41)</w:t>
            </w:r>
          </w:p>
        </w:tc>
        <w:tc>
          <w:tcPr>
            <w:tcW w:w="1134" w:type="dxa"/>
            <w:vAlign w:val="center"/>
          </w:tcPr>
          <w:p w14:paraId="0EFC0FBF" w14:textId="77777777" w:rsidR="00BB394B" w:rsidRPr="00A25A60" w:rsidRDefault="00BB394B" w:rsidP="00BB394B">
            <w:pPr>
              <w:keepNext/>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0.041</w:t>
            </w:r>
          </w:p>
        </w:tc>
      </w:tr>
      <w:tr w:rsidR="00BB394B" w:rsidRPr="00A25A60" w14:paraId="70FEF34C" w14:textId="77777777" w:rsidTr="00C63709">
        <w:trPr>
          <w:jc w:val="center"/>
        </w:trPr>
        <w:tc>
          <w:tcPr>
            <w:tcW w:w="5753" w:type="dxa"/>
            <w:tcBorders>
              <w:bottom w:val="single" w:sz="4" w:space="0" w:color="auto"/>
            </w:tcBorders>
          </w:tcPr>
          <w:p w14:paraId="28C1C7AB" w14:textId="09A22F5B" w:rsidR="00BB394B" w:rsidRPr="00A25A60" w:rsidRDefault="00BB394B" w:rsidP="00BB394B">
            <w:pPr>
              <w:adjustRightInd w:val="0"/>
              <w:spacing w:before="60" w:after="60"/>
              <w:rPr>
                <w:rFonts w:asciiTheme="majorHAnsi" w:hAnsiTheme="majorHAnsi" w:cstheme="majorHAnsi"/>
                <w:b/>
                <w:sz w:val="24"/>
                <w:szCs w:val="24"/>
                <w:lang w:val="en-US"/>
              </w:rPr>
            </w:pPr>
            <w:r w:rsidRPr="00A25A60">
              <w:rPr>
                <w:rFonts w:asciiTheme="majorHAnsi" w:hAnsiTheme="majorHAnsi" w:cstheme="majorHAnsi"/>
                <w:sz w:val="24"/>
                <w:szCs w:val="24"/>
                <w:lang w:val="en-US"/>
              </w:rPr>
              <w:t xml:space="preserve">   HNA2 — %</w:t>
            </w:r>
          </w:p>
        </w:tc>
        <w:tc>
          <w:tcPr>
            <w:tcW w:w="3031" w:type="dxa"/>
            <w:tcBorders>
              <w:bottom w:val="single" w:sz="4" w:space="0" w:color="auto"/>
            </w:tcBorders>
            <w:vAlign w:val="center"/>
          </w:tcPr>
          <w:p w14:paraId="2D15A6FE" w14:textId="76293F30"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4.37 (2.38 - 8.17)</w:t>
            </w:r>
          </w:p>
        </w:tc>
        <w:tc>
          <w:tcPr>
            <w:tcW w:w="2977" w:type="dxa"/>
            <w:tcBorders>
              <w:bottom w:val="single" w:sz="4" w:space="0" w:color="auto"/>
            </w:tcBorders>
            <w:vAlign w:val="center"/>
          </w:tcPr>
          <w:p w14:paraId="32B416C5" w14:textId="4A1C3306"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8.35 (5.34 - 11.13)</w:t>
            </w:r>
          </w:p>
        </w:tc>
        <w:tc>
          <w:tcPr>
            <w:tcW w:w="1134" w:type="dxa"/>
            <w:tcBorders>
              <w:bottom w:val="single" w:sz="4" w:space="0" w:color="auto"/>
            </w:tcBorders>
            <w:vAlign w:val="center"/>
          </w:tcPr>
          <w:p w14:paraId="41DA5BC2" w14:textId="77777777" w:rsidR="00BB394B" w:rsidRPr="00A25A60" w:rsidRDefault="00BB394B" w:rsidP="00BB394B">
            <w:pPr>
              <w:adjustRightInd w:val="0"/>
              <w:spacing w:before="60" w:after="60"/>
              <w:jc w:val="center"/>
              <w:rPr>
                <w:rFonts w:asciiTheme="majorHAnsi" w:hAnsiTheme="majorHAnsi" w:cstheme="majorHAnsi"/>
                <w:sz w:val="24"/>
                <w:szCs w:val="24"/>
                <w:lang w:val="en-US"/>
              </w:rPr>
            </w:pPr>
            <w:r w:rsidRPr="00A25A60">
              <w:rPr>
                <w:rFonts w:asciiTheme="majorHAnsi" w:hAnsiTheme="majorHAnsi" w:cstheme="majorHAnsi"/>
                <w:sz w:val="24"/>
                <w:szCs w:val="24"/>
                <w:lang w:val="en-US"/>
              </w:rPr>
              <w:t>&lt;.001</w:t>
            </w:r>
          </w:p>
        </w:tc>
      </w:tr>
    </w:tbl>
    <w:p w14:paraId="468D833A" w14:textId="77777777" w:rsidR="00096572" w:rsidRDefault="00096572" w:rsidP="0094218C">
      <w:pPr>
        <w:spacing w:line="276" w:lineRule="auto"/>
        <w:jc w:val="both"/>
        <w:rPr>
          <w:rFonts w:asciiTheme="majorHAnsi" w:hAnsiTheme="majorHAnsi" w:cstheme="majorHAnsi"/>
          <w:sz w:val="20"/>
          <w:szCs w:val="20"/>
          <w:lang w:val="en-US"/>
        </w:rPr>
      </w:pPr>
    </w:p>
    <w:p w14:paraId="5BFC3109" w14:textId="77777777" w:rsidR="0094218C" w:rsidRPr="0094218C" w:rsidRDefault="002B1F52" w:rsidP="0094218C">
      <w:pPr>
        <w:spacing w:line="276" w:lineRule="auto"/>
        <w:jc w:val="both"/>
        <w:rPr>
          <w:rFonts w:asciiTheme="majorHAnsi" w:hAnsiTheme="majorHAnsi" w:cstheme="majorHAnsi"/>
          <w:sz w:val="20"/>
          <w:szCs w:val="20"/>
          <w:lang w:val="en-US"/>
        </w:rPr>
      </w:pPr>
      <w:r w:rsidRPr="0094218C">
        <w:rPr>
          <w:rFonts w:asciiTheme="majorHAnsi" w:hAnsiTheme="majorHAnsi" w:cstheme="majorHAnsi"/>
          <w:sz w:val="20"/>
          <w:szCs w:val="20"/>
          <w:lang w:val="en-US"/>
        </w:rPr>
        <w:t xml:space="preserve">NOTE: </w:t>
      </w:r>
      <w:r w:rsidR="0094218C" w:rsidRPr="0094218C">
        <w:rPr>
          <w:rFonts w:asciiTheme="majorHAnsi" w:hAnsiTheme="majorHAnsi" w:cstheme="majorHAnsi"/>
          <w:sz w:val="20"/>
          <w:szCs w:val="20"/>
          <w:lang w:val="en-US"/>
        </w:rPr>
        <w:t xml:space="preserve">Data are shown as means ± SD or median (range). P values were calculated by unpaired Students’ t-test or </w:t>
      </w:r>
      <w:r w:rsidR="0094218C" w:rsidRPr="0094218C">
        <w:rPr>
          <w:rFonts w:asciiTheme="majorHAnsi" w:hAnsiTheme="majorHAnsi" w:cstheme="majorHAnsi"/>
          <w:sz w:val="20"/>
          <w:szCs w:val="20"/>
          <w:shd w:val="clear" w:color="auto" w:fill="FFFFFF"/>
          <w:lang w:val="en-US"/>
        </w:rPr>
        <w:t xml:space="preserve">Man-Whitney </w:t>
      </w:r>
      <w:r w:rsidR="0094218C" w:rsidRPr="0094218C">
        <w:rPr>
          <w:rFonts w:asciiTheme="majorHAnsi" w:hAnsiTheme="majorHAnsi" w:cstheme="majorHAnsi"/>
          <w:i/>
          <w:sz w:val="20"/>
          <w:szCs w:val="20"/>
          <w:shd w:val="clear" w:color="auto" w:fill="FFFFFF"/>
          <w:lang w:val="en-US"/>
        </w:rPr>
        <w:t>U</w:t>
      </w:r>
      <w:r w:rsidR="0094218C" w:rsidRPr="0094218C">
        <w:rPr>
          <w:rFonts w:asciiTheme="majorHAnsi" w:hAnsiTheme="majorHAnsi" w:cstheme="majorHAnsi"/>
          <w:sz w:val="20"/>
          <w:szCs w:val="20"/>
          <w:shd w:val="clear" w:color="auto" w:fill="FFFFFF"/>
          <w:lang w:val="en-US"/>
        </w:rPr>
        <w:t xml:space="preserve"> test where</w:t>
      </w:r>
      <w:r w:rsidR="0094218C" w:rsidRPr="003F0A32">
        <w:rPr>
          <w:rFonts w:asciiTheme="majorHAnsi" w:hAnsiTheme="majorHAnsi" w:cstheme="majorHAnsi"/>
          <w:sz w:val="20"/>
          <w:szCs w:val="20"/>
          <w:shd w:val="clear" w:color="auto" w:fill="FFFFFF"/>
          <w:lang w:val="en-US"/>
        </w:rPr>
        <w:t xml:space="preserve"> </w:t>
      </w:r>
      <w:proofErr w:type="gramStart"/>
      <w:r w:rsidR="0094218C" w:rsidRPr="0094218C">
        <w:rPr>
          <w:rFonts w:asciiTheme="majorHAnsi" w:hAnsiTheme="majorHAnsi" w:cstheme="majorHAnsi"/>
          <w:sz w:val="20"/>
          <w:szCs w:val="20"/>
          <w:shd w:val="clear" w:color="auto" w:fill="FFFFFF"/>
          <w:lang w:val="en-US"/>
        </w:rPr>
        <w:t>appropriate</w:t>
      </w:r>
      <w:proofErr w:type="gramEnd"/>
      <w:r w:rsidR="0094218C" w:rsidRPr="0094218C">
        <w:rPr>
          <w:rFonts w:asciiTheme="majorHAnsi" w:hAnsiTheme="majorHAnsi" w:cstheme="majorHAnsi"/>
          <w:sz w:val="20"/>
          <w:szCs w:val="20"/>
          <w:lang w:val="en-US"/>
        </w:rPr>
        <w:t xml:space="preserve">. </w:t>
      </w:r>
    </w:p>
    <w:p w14:paraId="6AD31119" w14:textId="38061263" w:rsidR="002B1F52" w:rsidRPr="0094218C" w:rsidRDefault="001F0B86" w:rsidP="0094218C">
      <w:pPr>
        <w:spacing w:line="259" w:lineRule="auto"/>
        <w:jc w:val="both"/>
        <w:rPr>
          <w:rFonts w:asciiTheme="majorHAnsi" w:hAnsiTheme="majorHAnsi" w:cstheme="majorHAnsi"/>
          <w:sz w:val="20"/>
          <w:szCs w:val="20"/>
          <w:lang w:val="en-US"/>
        </w:rPr>
      </w:pPr>
      <w:r w:rsidRPr="0094218C">
        <w:rPr>
          <w:rFonts w:asciiTheme="majorHAnsi" w:hAnsiTheme="majorHAnsi" w:cstheme="majorHAnsi"/>
          <w:sz w:val="20"/>
          <w:szCs w:val="20"/>
          <w:lang w:val="en-US"/>
        </w:rPr>
        <w:t xml:space="preserve">Data obtained in 28 patients who received a liver transplant during the 90 days </w:t>
      </w:r>
      <w:r w:rsidR="002B1F52" w:rsidRPr="0094218C">
        <w:rPr>
          <w:rFonts w:asciiTheme="majorHAnsi" w:hAnsiTheme="majorHAnsi" w:cstheme="majorHAnsi"/>
          <w:sz w:val="20"/>
          <w:szCs w:val="20"/>
          <w:lang w:val="en-US"/>
        </w:rPr>
        <w:t>were excluded from this analysis.</w:t>
      </w:r>
    </w:p>
    <w:p w14:paraId="17695840" w14:textId="77777777" w:rsidR="002B1F52" w:rsidRDefault="002B1F52" w:rsidP="0094218C">
      <w:pPr>
        <w:spacing w:line="360" w:lineRule="auto"/>
        <w:jc w:val="both"/>
        <w:rPr>
          <w:rFonts w:asciiTheme="majorHAnsi" w:hAnsiTheme="majorHAnsi" w:cstheme="majorHAnsi"/>
          <w:sz w:val="20"/>
          <w:szCs w:val="20"/>
          <w:lang w:val="en-US"/>
        </w:rPr>
      </w:pPr>
      <w:r w:rsidRPr="0094218C">
        <w:rPr>
          <w:rFonts w:asciiTheme="majorHAnsi" w:hAnsiTheme="majorHAnsi" w:cstheme="majorHAnsi"/>
          <w:sz w:val="20"/>
          <w:szCs w:val="20"/>
          <w:lang w:val="en-US"/>
        </w:rPr>
        <w:t xml:space="preserve">HCV denotes hepatitis C virus; IQR interquartile range; TNF, umor necrosis factor; IL, interleukin; MCP-1, </w:t>
      </w:r>
      <w:r w:rsidRPr="0094218C">
        <w:rPr>
          <w:rFonts w:asciiTheme="majorHAnsi" w:hAnsiTheme="majorHAnsi" w:cstheme="majorHAnsi"/>
          <w:sz w:val="20"/>
          <w:szCs w:val="20"/>
          <w:shd w:val="clear" w:color="auto" w:fill="FFFFFF"/>
          <w:lang w:val="en-US"/>
        </w:rPr>
        <w:t>monocyte chemotactic protein 1</w:t>
      </w:r>
      <w:r w:rsidRPr="0094218C">
        <w:rPr>
          <w:rFonts w:asciiTheme="majorHAnsi" w:hAnsiTheme="majorHAnsi" w:cstheme="majorHAnsi"/>
          <w:sz w:val="20"/>
          <w:szCs w:val="20"/>
          <w:lang w:val="en-US"/>
        </w:rPr>
        <w:t xml:space="preserve">; IP-10, </w:t>
      </w:r>
      <w:r w:rsidRPr="0094218C">
        <w:rPr>
          <w:rFonts w:asciiTheme="majorHAnsi" w:hAnsiTheme="majorHAnsi" w:cstheme="majorHAnsi"/>
          <w:sz w:val="20"/>
          <w:szCs w:val="20"/>
          <w:shd w:val="clear" w:color="auto" w:fill="FFFFFF"/>
          <w:lang w:val="en-US"/>
        </w:rPr>
        <w:t>10 kDa interferon gamma-induced protein</w:t>
      </w:r>
      <w:r w:rsidRPr="0094218C">
        <w:rPr>
          <w:rFonts w:asciiTheme="majorHAnsi" w:hAnsiTheme="majorHAnsi" w:cstheme="majorHAnsi"/>
          <w:sz w:val="20"/>
          <w:szCs w:val="20"/>
          <w:lang w:val="en-US"/>
        </w:rPr>
        <w:t xml:space="preserve">; MIP-1ß, </w:t>
      </w:r>
      <w:r w:rsidRPr="0094218C">
        <w:rPr>
          <w:rFonts w:asciiTheme="majorHAnsi" w:hAnsiTheme="majorHAnsi" w:cstheme="majorHAnsi"/>
          <w:sz w:val="20"/>
          <w:szCs w:val="20"/>
          <w:shd w:val="clear" w:color="auto" w:fill="FFFFFF"/>
          <w:lang w:val="en-US"/>
        </w:rPr>
        <w:t>macrophage inflammatory protein 1-beta</w:t>
      </w:r>
      <w:r w:rsidRPr="0094218C">
        <w:rPr>
          <w:rFonts w:asciiTheme="majorHAnsi" w:hAnsiTheme="majorHAnsi" w:cstheme="majorHAnsi"/>
          <w:sz w:val="20"/>
          <w:szCs w:val="20"/>
          <w:lang w:val="en-US"/>
        </w:rPr>
        <w:t xml:space="preserve">; G-CSF, </w:t>
      </w:r>
      <w:r w:rsidRPr="0094218C">
        <w:rPr>
          <w:rStyle w:val="Strong"/>
          <w:rFonts w:asciiTheme="majorHAnsi" w:hAnsiTheme="majorHAnsi" w:cstheme="majorHAnsi"/>
          <w:b w:val="0"/>
          <w:sz w:val="20"/>
          <w:szCs w:val="20"/>
          <w:shd w:val="clear" w:color="auto" w:fill="FFFFFF"/>
          <w:lang w:val="en-US"/>
        </w:rPr>
        <w:t xml:space="preserve">granulocyte colony-stimulating factor; </w:t>
      </w:r>
      <w:r w:rsidRPr="0094218C">
        <w:rPr>
          <w:rFonts w:asciiTheme="majorHAnsi" w:hAnsiTheme="majorHAnsi" w:cstheme="majorHAnsi"/>
          <w:sz w:val="20"/>
          <w:szCs w:val="20"/>
          <w:lang w:val="en-US"/>
        </w:rPr>
        <w:t xml:space="preserve">GM-CSF, </w:t>
      </w:r>
      <w:r w:rsidRPr="0094218C">
        <w:rPr>
          <w:rStyle w:val="Strong"/>
          <w:rFonts w:asciiTheme="majorHAnsi" w:hAnsiTheme="majorHAnsi" w:cstheme="majorHAnsi"/>
          <w:b w:val="0"/>
          <w:sz w:val="20"/>
          <w:szCs w:val="20"/>
          <w:shd w:val="clear" w:color="auto" w:fill="FFFFFF"/>
          <w:lang w:val="en-US"/>
        </w:rPr>
        <w:t>granulocyte-macrophage colony-stimulating factor</w:t>
      </w:r>
      <w:r w:rsidRPr="0094218C">
        <w:rPr>
          <w:rFonts w:asciiTheme="majorHAnsi" w:hAnsiTheme="majorHAnsi" w:cstheme="majorHAnsi"/>
          <w:sz w:val="20"/>
          <w:szCs w:val="20"/>
          <w:lang w:val="en-US"/>
        </w:rPr>
        <w:t xml:space="preserve">; IL-1ra, </w:t>
      </w:r>
      <w:r w:rsidRPr="0094218C">
        <w:rPr>
          <w:rStyle w:val="Strong"/>
          <w:rFonts w:asciiTheme="majorHAnsi" w:hAnsiTheme="majorHAnsi" w:cstheme="majorHAnsi"/>
          <w:b w:val="0"/>
          <w:sz w:val="20"/>
          <w:szCs w:val="20"/>
          <w:shd w:val="clear" w:color="auto" w:fill="FFFFFF"/>
          <w:lang w:val="en-US"/>
        </w:rPr>
        <w:t>interleukin-1 receptor antagonist protein</w:t>
      </w:r>
      <w:r w:rsidRPr="0094218C">
        <w:rPr>
          <w:rFonts w:asciiTheme="majorHAnsi" w:hAnsiTheme="majorHAnsi" w:cstheme="majorHAnsi"/>
          <w:sz w:val="20"/>
          <w:szCs w:val="20"/>
          <w:lang w:val="en-US"/>
        </w:rPr>
        <w:t>; IFN, interferon; HNA2, human nonmercaptalbumin 2.</w:t>
      </w:r>
    </w:p>
    <w:p w14:paraId="3696FE91" w14:textId="77777777" w:rsidR="00096572" w:rsidRPr="0094218C" w:rsidRDefault="00096572" w:rsidP="0094218C">
      <w:pPr>
        <w:spacing w:line="360" w:lineRule="auto"/>
        <w:jc w:val="both"/>
        <w:rPr>
          <w:rFonts w:asciiTheme="majorHAnsi" w:hAnsiTheme="majorHAnsi" w:cstheme="majorHAnsi"/>
          <w:sz w:val="20"/>
          <w:szCs w:val="20"/>
          <w:lang w:val="en-US"/>
        </w:rPr>
      </w:pPr>
    </w:p>
    <w:p w14:paraId="009B409D" w14:textId="77777777" w:rsidR="000834FA" w:rsidRPr="00A25A60" w:rsidRDefault="000834FA" w:rsidP="000834FA">
      <w:pPr>
        <w:widowControl w:val="0"/>
        <w:jc w:val="both"/>
        <w:rPr>
          <w:rFonts w:asciiTheme="majorHAnsi" w:hAnsiTheme="majorHAnsi" w:cstheme="majorHAnsi"/>
          <w:lang w:val="en-US"/>
        </w:rPr>
        <w:sectPr w:rsidR="000834FA" w:rsidRPr="00A25A60" w:rsidSect="003F0A32">
          <w:pgSz w:w="16838" w:h="11906" w:orient="landscape"/>
          <w:pgMar w:top="720" w:right="720" w:bottom="720" w:left="720" w:header="720" w:footer="720" w:gutter="0"/>
          <w:cols w:space="720"/>
          <w:docGrid w:linePitch="326"/>
        </w:sectPr>
      </w:pPr>
    </w:p>
    <w:p w14:paraId="0C349F04" w14:textId="7F5DCDA2" w:rsidR="0005616D" w:rsidRPr="00A25A60" w:rsidRDefault="000834FA" w:rsidP="000834FA">
      <w:pPr>
        <w:widowControl w:val="0"/>
        <w:spacing w:line="360" w:lineRule="auto"/>
        <w:jc w:val="both"/>
        <w:rPr>
          <w:rFonts w:asciiTheme="majorHAnsi" w:hAnsiTheme="majorHAnsi" w:cstheme="majorHAnsi"/>
          <w:b/>
          <w:lang w:val="en-US"/>
        </w:rPr>
      </w:pPr>
      <w:r w:rsidRPr="00A25A60">
        <w:rPr>
          <w:rFonts w:asciiTheme="majorHAnsi" w:hAnsiTheme="majorHAnsi" w:cstheme="majorHAnsi"/>
          <w:b/>
          <w:lang w:val="en-US"/>
        </w:rPr>
        <w:lastRenderedPageBreak/>
        <w:t>References</w:t>
      </w:r>
    </w:p>
    <w:p w14:paraId="3187EB07" w14:textId="77777777" w:rsidR="00D8682C" w:rsidRDefault="00D8682C" w:rsidP="000834FA">
      <w:pPr>
        <w:widowControl w:val="0"/>
        <w:spacing w:line="360" w:lineRule="auto"/>
        <w:jc w:val="both"/>
        <w:rPr>
          <w:rFonts w:asciiTheme="majorHAnsi" w:hAnsiTheme="majorHAnsi" w:cstheme="majorHAnsi"/>
          <w:lang w:val="en-US"/>
        </w:rPr>
      </w:pPr>
    </w:p>
    <w:p w14:paraId="11238B09" w14:textId="77777777" w:rsidR="00D8682C" w:rsidRDefault="00D8682C" w:rsidP="000834FA">
      <w:pPr>
        <w:widowControl w:val="0"/>
        <w:spacing w:line="360" w:lineRule="auto"/>
        <w:jc w:val="both"/>
        <w:rPr>
          <w:rFonts w:asciiTheme="majorHAnsi" w:hAnsiTheme="majorHAnsi" w:cstheme="majorHAnsi"/>
          <w:lang w:val="en-US"/>
        </w:rPr>
      </w:pPr>
    </w:p>
    <w:p w14:paraId="2F958A70" w14:textId="77777777" w:rsidR="00D8682C" w:rsidRPr="003F0A32" w:rsidRDefault="00D8682C" w:rsidP="00D8682C">
      <w:pPr>
        <w:pStyle w:val="EndNoteBibliography"/>
        <w:ind w:left="720" w:hanging="720"/>
        <w:rPr>
          <w:noProof/>
          <w:lang w:val="en-US"/>
        </w:rPr>
      </w:pPr>
      <w:r>
        <w:rPr>
          <w:rFonts w:asciiTheme="majorHAnsi" w:hAnsiTheme="majorHAnsi" w:cstheme="majorHAnsi"/>
          <w:lang w:val="en-US"/>
        </w:rPr>
        <w:fldChar w:fldCharType="begin"/>
      </w:r>
      <w:r>
        <w:rPr>
          <w:rFonts w:asciiTheme="majorHAnsi" w:hAnsiTheme="majorHAnsi" w:cstheme="majorHAnsi"/>
          <w:lang w:val="en-US"/>
        </w:rPr>
        <w:instrText xml:space="preserve"> ADDIN EN.REFLIST </w:instrText>
      </w:r>
      <w:r>
        <w:rPr>
          <w:rFonts w:asciiTheme="majorHAnsi" w:hAnsiTheme="majorHAnsi" w:cstheme="majorHAnsi"/>
          <w:lang w:val="en-US"/>
        </w:rPr>
        <w:fldChar w:fldCharType="separate"/>
      </w:r>
      <w:r w:rsidRPr="003F0A32">
        <w:rPr>
          <w:noProof/>
          <w:lang w:val="en-US"/>
        </w:rPr>
        <w:t xml:space="preserve">1. Moreau R, Jalan R, Gines P, et al. Acute-on-chronic liver failure is a distinct syndrome that develops in patients with acute decompensation of cirrhosis. </w:t>
      </w:r>
      <w:r w:rsidRPr="003F0A32">
        <w:rPr>
          <w:i/>
          <w:noProof/>
          <w:lang w:val="en-US"/>
        </w:rPr>
        <w:t>Gastroenterology</w:t>
      </w:r>
      <w:r w:rsidRPr="003F0A32">
        <w:rPr>
          <w:noProof/>
          <w:lang w:val="en-US"/>
        </w:rPr>
        <w:t xml:space="preserve"> 2013;144(7):1426-37, 37 e1-9. doi: 10.1053/j.gastro.2013.02.042</w:t>
      </w:r>
    </w:p>
    <w:p w14:paraId="7855AE46" w14:textId="77777777" w:rsidR="00D8682C" w:rsidRPr="00D8682C" w:rsidRDefault="00D8682C" w:rsidP="00D8682C">
      <w:pPr>
        <w:pStyle w:val="EndNoteBibliography"/>
        <w:ind w:left="720" w:hanging="720"/>
        <w:rPr>
          <w:noProof/>
        </w:rPr>
      </w:pPr>
      <w:r w:rsidRPr="003F0A32">
        <w:rPr>
          <w:noProof/>
          <w:lang w:val="en-US"/>
        </w:rPr>
        <w:t xml:space="preserve">2. European Association for the Study of the Liver. , Collaborators:, Angeli P, et al. EASL Clinical Practice Guidelines for the management of patients with decompensated cirrhosis. </w:t>
      </w:r>
      <w:r w:rsidRPr="00D8682C">
        <w:rPr>
          <w:i/>
          <w:noProof/>
        </w:rPr>
        <w:t>Journal of hepatology</w:t>
      </w:r>
      <w:r w:rsidRPr="00D8682C">
        <w:rPr>
          <w:noProof/>
        </w:rPr>
        <w:t xml:space="preserve"> 2018;69(2):406-60. doi: 10.1016/j.jhep.2018.03.024</w:t>
      </w:r>
    </w:p>
    <w:p w14:paraId="4CA6C67F" w14:textId="125C41D1" w:rsidR="000834FA" w:rsidRPr="00A25A60" w:rsidRDefault="00D8682C" w:rsidP="000834FA">
      <w:pPr>
        <w:widowControl w:val="0"/>
        <w:spacing w:line="360" w:lineRule="auto"/>
        <w:jc w:val="both"/>
        <w:rPr>
          <w:rFonts w:asciiTheme="majorHAnsi" w:hAnsiTheme="majorHAnsi" w:cstheme="majorHAnsi"/>
          <w:lang w:val="en-US"/>
        </w:rPr>
      </w:pPr>
      <w:r>
        <w:rPr>
          <w:rFonts w:asciiTheme="majorHAnsi" w:hAnsiTheme="majorHAnsi" w:cstheme="majorHAnsi"/>
          <w:lang w:val="en-US"/>
        </w:rPr>
        <w:fldChar w:fldCharType="end"/>
      </w:r>
      <w:bookmarkStart w:id="1" w:name="_GoBack"/>
      <w:bookmarkEnd w:id="1"/>
    </w:p>
    <w:sectPr w:rsidR="000834FA" w:rsidRPr="00A25A60" w:rsidSect="003F0A3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0B99" w14:textId="77777777" w:rsidR="004C61E4" w:rsidRDefault="004C61E4">
      <w:r>
        <w:separator/>
      </w:r>
    </w:p>
  </w:endnote>
  <w:endnote w:type="continuationSeparator" w:id="0">
    <w:p w14:paraId="26302B37" w14:textId="77777777" w:rsidR="004C61E4" w:rsidRDefault="004C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9BD4" w14:textId="77777777" w:rsidR="00EF01F1" w:rsidRDefault="00EF01F1" w:rsidP="0020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51424" w14:textId="77777777" w:rsidR="00EF01F1" w:rsidRDefault="00EF01F1" w:rsidP="00207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1AB1" w14:textId="5D6F1937" w:rsidR="00EF01F1" w:rsidRDefault="00EF01F1" w:rsidP="0020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7EF">
      <w:rPr>
        <w:rStyle w:val="PageNumber"/>
        <w:noProof/>
      </w:rPr>
      <w:t>1</w:t>
    </w:r>
    <w:r>
      <w:rPr>
        <w:rStyle w:val="PageNumber"/>
      </w:rPr>
      <w:fldChar w:fldCharType="end"/>
    </w:r>
  </w:p>
  <w:p w14:paraId="6A2AE445" w14:textId="77777777" w:rsidR="00EF01F1" w:rsidRDefault="00EF01F1" w:rsidP="002079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787E" w14:textId="77777777" w:rsidR="004C61E4" w:rsidRDefault="004C61E4">
      <w:r>
        <w:separator/>
      </w:r>
    </w:p>
  </w:footnote>
  <w:footnote w:type="continuationSeparator" w:id="0">
    <w:p w14:paraId="59B7A60B" w14:textId="77777777" w:rsidR="004C61E4" w:rsidRDefault="004C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06ED" w14:textId="1989849B" w:rsidR="00EF01F1" w:rsidRPr="005C7296" w:rsidRDefault="00EF01F1">
    <w:pPr>
      <w:spacing w:line="480" w:lineRule="auto"/>
      <w:jc w:val="both"/>
      <w:rPr>
        <w:rFonts w:ascii="Calibri Light" w:hAnsi="Calibri Light" w:cs="Arial"/>
        <w:sz w:val="20"/>
        <w:szCs w:val="20"/>
        <w:lang w:val="en-US"/>
      </w:rPr>
    </w:pPr>
    <w:r w:rsidRPr="005C7296">
      <w:rPr>
        <w:rStyle w:val="PageNumber"/>
        <w:rFonts w:ascii="Calibri Light" w:hAnsi="Calibri Light"/>
        <w:sz w:val="20"/>
        <w:lang w:val="en-GB"/>
      </w:rPr>
      <w:t xml:space="preserve">Trebicka et al.  </w:t>
    </w:r>
    <w:r w:rsidRPr="005C7296">
      <w:rPr>
        <w:rStyle w:val="PageNumber"/>
        <w:rFonts w:ascii="Calibri Light" w:hAnsi="Calibri Light"/>
        <w:sz w:val="20"/>
        <w:lang w:val="en-GB"/>
      </w:rPr>
      <w:tab/>
    </w:r>
    <w:r w:rsidRPr="005C7296">
      <w:rPr>
        <w:rStyle w:val="PageNumber"/>
        <w:rFonts w:ascii="Calibri Light" w:hAnsi="Calibri Light"/>
        <w:sz w:val="20"/>
        <w:lang w:val="en-GB"/>
      </w:rPr>
      <w:tab/>
    </w:r>
    <w:r w:rsidRPr="005C7296">
      <w:rPr>
        <w:rStyle w:val="PageNumber"/>
        <w:rFonts w:ascii="Calibri Light" w:hAnsi="Calibri Light"/>
        <w:sz w:val="20"/>
        <w:szCs w:val="20"/>
        <w:lang w:val="en-GB"/>
      </w:rPr>
      <w:tab/>
    </w:r>
    <w:r w:rsidRPr="003F0A32">
      <w:rPr>
        <w:rFonts w:ascii="Calibri Light" w:hAnsi="Calibri Light" w:cs="Arial"/>
        <w:b/>
        <w:sz w:val="20"/>
        <w:szCs w:val="20"/>
        <w:lang w:val="en-US"/>
      </w:rPr>
      <w:t>Inflammatory signatures in acutely decompensated cirrhosis.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7B9C"/>
    <w:multiLevelType w:val="hybridMultilevel"/>
    <w:tmpl w:val="6E30953E"/>
    <w:lvl w:ilvl="0" w:tplc="563CB976">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754057"/>
    <w:multiLevelType w:val="hybridMultilevel"/>
    <w:tmpl w:val="FEE2BE5E"/>
    <w:lvl w:ilvl="0" w:tplc="5712A59C">
      <w:start w:val="4"/>
      <w:numFmt w:val="bullet"/>
      <w:lvlText w:val=""/>
      <w:lvlJc w:val="left"/>
      <w:pPr>
        <w:ind w:left="-207" w:hanging="360"/>
      </w:pPr>
      <w:rPr>
        <w:rFonts w:ascii="Symbol" w:eastAsia="Calibri" w:hAnsi="Symbol"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 w15:restartNumberingAfterBreak="0">
    <w:nsid w:val="4171443E"/>
    <w:multiLevelType w:val="hybridMultilevel"/>
    <w:tmpl w:val="C2A4A14A"/>
    <w:lvl w:ilvl="0" w:tplc="5C14F95C">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381CC4"/>
    <w:multiLevelType w:val="hybridMultilevel"/>
    <w:tmpl w:val="0E821570"/>
    <w:lvl w:ilvl="0" w:tplc="BEC416E8">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TQxMzY1NTEzMDZW0lEKTi0uzszPAykwqgUAwD0ueCwAAAA="/>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x59rrf3a299bezet3xas9sxfaa5terdetr&quot;&gt;Bibliografi Copy&lt;record-ids&gt;&lt;item&gt;4343&lt;/item&gt;&lt;item&gt;4460&lt;/item&gt;&lt;/record-ids&gt;&lt;/item&gt;&lt;/Libraries&gt;"/>
  </w:docVars>
  <w:rsids>
    <w:rsidRoot w:val="00867168"/>
    <w:rsid w:val="00000068"/>
    <w:rsid w:val="00006B3B"/>
    <w:rsid w:val="00007531"/>
    <w:rsid w:val="00007646"/>
    <w:rsid w:val="000126A4"/>
    <w:rsid w:val="00015510"/>
    <w:rsid w:val="00017F59"/>
    <w:rsid w:val="00020303"/>
    <w:rsid w:val="00021583"/>
    <w:rsid w:val="0002575A"/>
    <w:rsid w:val="00027310"/>
    <w:rsid w:val="00027352"/>
    <w:rsid w:val="00034790"/>
    <w:rsid w:val="000349C1"/>
    <w:rsid w:val="000354CC"/>
    <w:rsid w:val="00036ACF"/>
    <w:rsid w:val="000376CA"/>
    <w:rsid w:val="000449A3"/>
    <w:rsid w:val="000472AB"/>
    <w:rsid w:val="00047D35"/>
    <w:rsid w:val="000509E6"/>
    <w:rsid w:val="00053A65"/>
    <w:rsid w:val="0005616D"/>
    <w:rsid w:val="00063A2C"/>
    <w:rsid w:val="00072C39"/>
    <w:rsid w:val="00074894"/>
    <w:rsid w:val="000757D7"/>
    <w:rsid w:val="00080CE4"/>
    <w:rsid w:val="00081F6A"/>
    <w:rsid w:val="000834FA"/>
    <w:rsid w:val="00087084"/>
    <w:rsid w:val="00087A4B"/>
    <w:rsid w:val="000932C4"/>
    <w:rsid w:val="00093A24"/>
    <w:rsid w:val="0009524B"/>
    <w:rsid w:val="00096572"/>
    <w:rsid w:val="000A4A22"/>
    <w:rsid w:val="000A4B9A"/>
    <w:rsid w:val="000A5D25"/>
    <w:rsid w:val="000A6DFA"/>
    <w:rsid w:val="000B12C8"/>
    <w:rsid w:val="000B1A23"/>
    <w:rsid w:val="000B1E34"/>
    <w:rsid w:val="000B2D7A"/>
    <w:rsid w:val="000B4ED5"/>
    <w:rsid w:val="000B5222"/>
    <w:rsid w:val="000B7C77"/>
    <w:rsid w:val="000C221A"/>
    <w:rsid w:val="000C34EB"/>
    <w:rsid w:val="000C3704"/>
    <w:rsid w:val="000C450F"/>
    <w:rsid w:val="000C4527"/>
    <w:rsid w:val="000C4598"/>
    <w:rsid w:val="000C5E69"/>
    <w:rsid w:val="000C6E2A"/>
    <w:rsid w:val="000C78C0"/>
    <w:rsid w:val="000D3552"/>
    <w:rsid w:val="000D42BD"/>
    <w:rsid w:val="000D49D8"/>
    <w:rsid w:val="000E5346"/>
    <w:rsid w:val="000E5570"/>
    <w:rsid w:val="000E6E54"/>
    <w:rsid w:val="000F0B5F"/>
    <w:rsid w:val="000F0FC0"/>
    <w:rsid w:val="000F1427"/>
    <w:rsid w:val="000F14A4"/>
    <w:rsid w:val="000F2F40"/>
    <w:rsid w:val="000F3848"/>
    <w:rsid w:val="000F7199"/>
    <w:rsid w:val="000F7A28"/>
    <w:rsid w:val="00103C8B"/>
    <w:rsid w:val="00106E4D"/>
    <w:rsid w:val="00107BCC"/>
    <w:rsid w:val="00115149"/>
    <w:rsid w:val="00115D8B"/>
    <w:rsid w:val="0012062E"/>
    <w:rsid w:val="001231B5"/>
    <w:rsid w:val="001237C8"/>
    <w:rsid w:val="001272A9"/>
    <w:rsid w:val="00131AC4"/>
    <w:rsid w:val="00132A18"/>
    <w:rsid w:val="00133275"/>
    <w:rsid w:val="00137008"/>
    <w:rsid w:val="00144197"/>
    <w:rsid w:val="0014492A"/>
    <w:rsid w:val="001468E1"/>
    <w:rsid w:val="001505E5"/>
    <w:rsid w:val="00154657"/>
    <w:rsid w:val="0015680D"/>
    <w:rsid w:val="00156F10"/>
    <w:rsid w:val="00160BC7"/>
    <w:rsid w:val="00160F84"/>
    <w:rsid w:val="0017045F"/>
    <w:rsid w:val="001730A1"/>
    <w:rsid w:val="00173277"/>
    <w:rsid w:val="00174936"/>
    <w:rsid w:val="00175144"/>
    <w:rsid w:val="00175ADD"/>
    <w:rsid w:val="00175FDF"/>
    <w:rsid w:val="00177F63"/>
    <w:rsid w:val="00180B37"/>
    <w:rsid w:val="00184129"/>
    <w:rsid w:val="00184BE3"/>
    <w:rsid w:val="00190BC5"/>
    <w:rsid w:val="001916E0"/>
    <w:rsid w:val="00191825"/>
    <w:rsid w:val="00192440"/>
    <w:rsid w:val="001933A6"/>
    <w:rsid w:val="0019481C"/>
    <w:rsid w:val="00195DDF"/>
    <w:rsid w:val="0019699D"/>
    <w:rsid w:val="00197340"/>
    <w:rsid w:val="001A43F2"/>
    <w:rsid w:val="001B00AC"/>
    <w:rsid w:val="001B1ACD"/>
    <w:rsid w:val="001B6BE8"/>
    <w:rsid w:val="001B6EEE"/>
    <w:rsid w:val="001C069C"/>
    <w:rsid w:val="001C1AE7"/>
    <w:rsid w:val="001C5E59"/>
    <w:rsid w:val="001C6803"/>
    <w:rsid w:val="001C75AE"/>
    <w:rsid w:val="001D1E0A"/>
    <w:rsid w:val="001D4528"/>
    <w:rsid w:val="001E2157"/>
    <w:rsid w:val="001E2CD4"/>
    <w:rsid w:val="001F0B86"/>
    <w:rsid w:val="001F1720"/>
    <w:rsid w:val="001F7534"/>
    <w:rsid w:val="00200463"/>
    <w:rsid w:val="0020435E"/>
    <w:rsid w:val="00206BA2"/>
    <w:rsid w:val="00206C81"/>
    <w:rsid w:val="00207103"/>
    <w:rsid w:val="0020790A"/>
    <w:rsid w:val="002143B5"/>
    <w:rsid w:val="00217AE2"/>
    <w:rsid w:val="00217EFE"/>
    <w:rsid w:val="00220D1F"/>
    <w:rsid w:val="00220E8F"/>
    <w:rsid w:val="0022143B"/>
    <w:rsid w:val="00222C5F"/>
    <w:rsid w:val="002277B8"/>
    <w:rsid w:val="00232DEA"/>
    <w:rsid w:val="002362CA"/>
    <w:rsid w:val="002415E9"/>
    <w:rsid w:val="0024502F"/>
    <w:rsid w:val="002450EA"/>
    <w:rsid w:val="00246477"/>
    <w:rsid w:val="0024782D"/>
    <w:rsid w:val="00250B62"/>
    <w:rsid w:val="00253AA9"/>
    <w:rsid w:val="00255102"/>
    <w:rsid w:val="00255BA1"/>
    <w:rsid w:val="00256514"/>
    <w:rsid w:val="0026449E"/>
    <w:rsid w:val="00266A93"/>
    <w:rsid w:val="0026751D"/>
    <w:rsid w:val="00267C51"/>
    <w:rsid w:val="00271CBA"/>
    <w:rsid w:val="002737B9"/>
    <w:rsid w:val="002751D8"/>
    <w:rsid w:val="00276A3E"/>
    <w:rsid w:val="002777B6"/>
    <w:rsid w:val="00280C9D"/>
    <w:rsid w:val="002856E5"/>
    <w:rsid w:val="00287390"/>
    <w:rsid w:val="002944B0"/>
    <w:rsid w:val="00296252"/>
    <w:rsid w:val="002963B5"/>
    <w:rsid w:val="0029774A"/>
    <w:rsid w:val="00297C5C"/>
    <w:rsid w:val="002A0792"/>
    <w:rsid w:val="002A28B2"/>
    <w:rsid w:val="002A3A76"/>
    <w:rsid w:val="002A405C"/>
    <w:rsid w:val="002A5497"/>
    <w:rsid w:val="002A5BD7"/>
    <w:rsid w:val="002A6BAB"/>
    <w:rsid w:val="002A6F78"/>
    <w:rsid w:val="002B1F52"/>
    <w:rsid w:val="002C06A5"/>
    <w:rsid w:val="002C3C25"/>
    <w:rsid w:val="002C3E92"/>
    <w:rsid w:val="002C543E"/>
    <w:rsid w:val="002D2B0B"/>
    <w:rsid w:val="002D40A6"/>
    <w:rsid w:val="002D55C6"/>
    <w:rsid w:val="002D70AB"/>
    <w:rsid w:val="002E3BD7"/>
    <w:rsid w:val="002E49A9"/>
    <w:rsid w:val="002E6DDA"/>
    <w:rsid w:val="002F02B8"/>
    <w:rsid w:val="002F29C4"/>
    <w:rsid w:val="002F3214"/>
    <w:rsid w:val="002F4324"/>
    <w:rsid w:val="002F4510"/>
    <w:rsid w:val="002F7B0B"/>
    <w:rsid w:val="00301D8D"/>
    <w:rsid w:val="003023B4"/>
    <w:rsid w:val="003039AF"/>
    <w:rsid w:val="00304A7D"/>
    <w:rsid w:val="00307C1C"/>
    <w:rsid w:val="003110DD"/>
    <w:rsid w:val="003115D8"/>
    <w:rsid w:val="00311B57"/>
    <w:rsid w:val="00315301"/>
    <w:rsid w:val="00316307"/>
    <w:rsid w:val="00316B91"/>
    <w:rsid w:val="00321190"/>
    <w:rsid w:val="00322043"/>
    <w:rsid w:val="003253D0"/>
    <w:rsid w:val="00325D50"/>
    <w:rsid w:val="0032713C"/>
    <w:rsid w:val="0033103C"/>
    <w:rsid w:val="00331BB2"/>
    <w:rsid w:val="00334703"/>
    <w:rsid w:val="00334E0A"/>
    <w:rsid w:val="00335997"/>
    <w:rsid w:val="00337AEF"/>
    <w:rsid w:val="0034033C"/>
    <w:rsid w:val="00342A9F"/>
    <w:rsid w:val="003456D4"/>
    <w:rsid w:val="003463E2"/>
    <w:rsid w:val="00347B14"/>
    <w:rsid w:val="00347CF0"/>
    <w:rsid w:val="00351649"/>
    <w:rsid w:val="003530B6"/>
    <w:rsid w:val="00354140"/>
    <w:rsid w:val="003565EA"/>
    <w:rsid w:val="0036016E"/>
    <w:rsid w:val="003602F5"/>
    <w:rsid w:val="0036624D"/>
    <w:rsid w:val="00366CD2"/>
    <w:rsid w:val="003718CE"/>
    <w:rsid w:val="0037196B"/>
    <w:rsid w:val="00372EC5"/>
    <w:rsid w:val="003730FF"/>
    <w:rsid w:val="00375C5F"/>
    <w:rsid w:val="00377385"/>
    <w:rsid w:val="00380441"/>
    <w:rsid w:val="003805F7"/>
    <w:rsid w:val="00382E2B"/>
    <w:rsid w:val="00384C36"/>
    <w:rsid w:val="00384FD4"/>
    <w:rsid w:val="003924DD"/>
    <w:rsid w:val="00393B4C"/>
    <w:rsid w:val="003956BB"/>
    <w:rsid w:val="00395754"/>
    <w:rsid w:val="00395F94"/>
    <w:rsid w:val="00397A89"/>
    <w:rsid w:val="003A0666"/>
    <w:rsid w:val="003A4924"/>
    <w:rsid w:val="003A664E"/>
    <w:rsid w:val="003A718A"/>
    <w:rsid w:val="003B1AE1"/>
    <w:rsid w:val="003B4E6E"/>
    <w:rsid w:val="003C0ABB"/>
    <w:rsid w:val="003C3DC8"/>
    <w:rsid w:val="003C7411"/>
    <w:rsid w:val="003D09C5"/>
    <w:rsid w:val="003D43BF"/>
    <w:rsid w:val="003D4E0E"/>
    <w:rsid w:val="003D4FF6"/>
    <w:rsid w:val="003D5B00"/>
    <w:rsid w:val="003E69ED"/>
    <w:rsid w:val="003E6A05"/>
    <w:rsid w:val="003E7731"/>
    <w:rsid w:val="003F0A32"/>
    <w:rsid w:val="003F0CE4"/>
    <w:rsid w:val="003F0DAA"/>
    <w:rsid w:val="003F1584"/>
    <w:rsid w:val="003F1A9F"/>
    <w:rsid w:val="003F529C"/>
    <w:rsid w:val="003F5522"/>
    <w:rsid w:val="00400444"/>
    <w:rsid w:val="00402106"/>
    <w:rsid w:val="004026FA"/>
    <w:rsid w:val="004031BD"/>
    <w:rsid w:val="004040C1"/>
    <w:rsid w:val="0040459F"/>
    <w:rsid w:val="004051F6"/>
    <w:rsid w:val="004056A9"/>
    <w:rsid w:val="0041264E"/>
    <w:rsid w:val="00415D0B"/>
    <w:rsid w:val="00420AC3"/>
    <w:rsid w:val="004238C5"/>
    <w:rsid w:val="00424A7E"/>
    <w:rsid w:val="004306EF"/>
    <w:rsid w:val="00430FAC"/>
    <w:rsid w:val="00432321"/>
    <w:rsid w:val="00433133"/>
    <w:rsid w:val="004351C4"/>
    <w:rsid w:val="00436987"/>
    <w:rsid w:val="00436DCB"/>
    <w:rsid w:val="00440900"/>
    <w:rsid w:val="00443230"/>
    <w:rsid w:val="0044522E"/>
    <w:rsid w:val="004534A2"/>
    <w:rsid w:val="00453A13"/>
    <w:rsid w:val="0045454F"/>
    <w:rsid w:val="00470B8C"/>
    <w:rsid w:val="004710C4"/>
    <w:rsid w:val="00472374"/>
    <w:rsid w:val="00473E72"/>
    <w:rsid w:val="00476C9A"/>
    <w:rsid w:val="00477FA6"/>
    <w:rsid w:val="004837D0"/>
    <w:rsid w:val="00485D2B"/>
    <w:rsid w:val="00485EE8"/>
    <w:rsid w:val="00486BC5"/>
    <w:rsid w:val="00490226"/>
    <w:rsid w:val="00493CB8"/>
    <w:rsid w:val="004942F8"/>
    <w:rsid w:val="004948B2"/>
    <w:rsid w:val="004956A3"/>
    <w:rsid w:val="004A37F3"/>
    <w:rsid w:val="004A5A6B"/>
    <w:rsid w:val="004A7006"/>
    <w:rsid w:val="004A713E"/>
    <w:rsid w:val="004B0CD4"/>
    <w:rsid w:val="004B265B"/>
    <w:rsid w:val="004B3931"/>
    <w:rsid w:val="004B49C0"/>
    <w:rsid w:val="004B4F24"/>
    <w:rsid w:val="004B69D4"/>
    <w:rsid w:val="004B6B17"/>
    <w:rsid w:val="004B6EE4"/>
    <w:rsid w:val="004B7273"/>
    <w:rsid w:val="004C237E"/>
    <w:rsid w:val="004C5569"/>
    <w:rsid w:val="004C5B2E"/>
    <w:rsid w:val="004C61E4"/>
    <w:rsid w:val="004C711F"/>
    <w:rsid w:val="004D0138"/>
    <w:rsid w:val="004D28CC"/>
    <w:rsid w:val="004D3755"/>
    <w:rsid w:val="004D51D7"/>
    <w:rsid w:val="004D5B8A"/>
    <w:rsid w:val="004E017E"/>
    <w:rsid w:val="004E182F"/>
    <w:rsid w:val="004E1A21"/>
    <w:rsid w:val="004E4026"/>
    <w:rsid w:val="004E4821"/>
    <w:rsid w:val="004F1C7D"/>
    <w:rsid w:val="004F437E"/>
    <w:rsid w:val="004F44C6"/>
    <w:rsid w:val="004F7413"/>
    <w:rsid w:val="005017AF"/>
    <w:rsid w:val="00503C3E"/>
    <w:rsid w:val="00503EC0"/>
    <w:rsid w:val="00505358"/>
    <w:rsid w:val="00506764"/>
    <w:rsid w:val="005077D7"/>
    <w:rsid w:val="00512EAB"/>
    <w:rsid w:val="00513B06"/>
    <w:rsid w:val="00516885"/>
    <w:rsid w:val="00520F6C"/>
    <w:rsid w:val="00521FDC"/>
    <w:rsid w:val="0052211C"/>
    <w:rsid w:val="0052316F"/>
    <w:rsid w:val="0052361B"/>
    <w:rsid w:val="005253E1"/>
    <w:rsid w:val="0052659C"/>
    <w:rsid w:val="005339D6"/>
    <w:rsid w:val="005345C9"/>
    <w:rsid w:val="0053532C"/>
    <w:rsid w:val="00536FC5"/>
    <w:rsid w:val="005405E8"/>
    <w:rsid w:val="00541A6B"/>
    <w:rsid w:val="0054209D"/>
    <w:rsid w:val="00545D78"/>
    <w:rsid w:val="0054665D"/>
    <w:rsid w:val="00556CA3"/>
    <w:rsid w:val="00560790"/>
    <w:rsid w:val="00562BD1"/>
    <w:rsid w:val="005638B2"/>
    <w:rsid w:val="00565412"/>
    <w:rsid w:val="0056662E"/>
    <w:rsid w:val="00566E54"/>
    <w:rsid w:val="00572E81"/>
    <w:rsid w:val="005736F0"/>
    <w:rsid w:val="00574B49"/>
    <w:rsid w:val="00581043"/>
    <w:rsid w:val="00581A29"/>
    <w:rsid w:val="0058341D"/>
    <w:rsid w:val="00587294"/>
    <w:rsid w:val="0058737F"/>
    <w:rsid w:val="005878B1"/>
    <w:rsid w:val="0059192C"/>
    <w:rsid w:val="00593B1E"/>
    <w:rsid w:val="00596546"/>
    <w:rsid w:val="005A0C1F"/>
    <w:rsid w:val="005A7601"/>
    <w:rsid w:val="005B1ABD"/>
    <w:rsid w:val="005B2465"/>
    <w:rsid w:val="005B4160"/>
    <w:rsid w:val="005B5C58"/>
    <w:rsid w:val="005B6EB3"/>
    <w:rsid w:val="005B75DB"/>
    <w:rsid w:val="005C611F"/>
    <w:rsid w:val="005C717A"/>
    <w:rsid w:val="005C7296"/>
    <w:rsid w:val="005C7E85"/>
    <w:rsid w:val="005D06F8"/>
    <w:rsid w:val="005D145C"/>
    <w:rsid w:val="005D19B8"/>
    <w:rsid w:val="005D57E3"/>
    <w:rsid w:val="005D6B6C"/>
    <w:rsid w:val="005E0786"/>
    <w:rsid w:val="005E3C2E"/>
    <w:rsid w:val="005F6077"/>
    <w:rsid w:val="005F6D4C"/>
    <w:rsid w:val="00600A50"/>
    <w:rsid w:val="00600D8A"/>
    <w:rsid w:val="00602108"/>
    <w:rsid w:val="00602A38"/>
    <w:rsid w:val="0060320D"/>
    <w:rsid w:val="006032D7"/>
    <w:rsid w:val="00605C6A"/>
    <w:rsid w:val="00612519"/>
    <w:rsid w:val="00612E95"/>
    <w:rsid w:val="00613316"/>
    <w:rsid w:val="00616B5B"/>
    <w:rsid w:val="006179C0"/>
    <w:rsid w:val="0062019F"/>
    <w:rsid w:val="006202AA"/>
    <w:rsid w:val="00621684"/>
    <w:rsid w:val="00621858"/>
    <w:rsid w:val="00624FDF"/>
    <w:rsid w:val="006262A9"/>
    <w:rsid w:val="00626BBD"/>
    <w:rsid w:val="00630795"/>
    <w:rsid w:val="00634559"/>
    <w:rsid w:val="00636B0D"/>
    <w:rsid w:val="00636FB2"/>
    <w:rsid w:val="006433C6"/>
    <w:rsid w:val="00643C20"/>
    <w:rsid w:val="00646E2C"/>
    <w:rsid w:val="00646F3F"/>
    <w:rsid w:val="00647D3C"/>
    <w:rsid w:val="006523BD"/>
    <w:rsid w:val="006566A1"/>
    <w:rsid w:val="00656A7C"/>
    <w:rsid w:val="00662D48"/>
    <w:rsid w:val="0066336C"/>
    <w:rsid w:val="00675791"/>
    <w:rsid w:val="00681F5D"/>
    <w:rsid w:val="006820C8"/>
    <w:rsid w:val="006826EB"/>
    <w:rsid w:val="00684FF2"/>
    <w:rsid w:val="0069350C"/>
    <w:rsid w:val="0069432B"/>
    <w:rsid w:val="00696D80"/>
    <w:rsid w:val="006A1B53"/>
    <w:rsid w:val="006A4C83"/>
    <w:rsid w:val="006A50DE"/>
    <w:rsid w:val="006B1323"/>
    <w:rsid w:val="006B1CEA"/>
    <w:rsid w:val="006B2836"/>
    <w:rsid w:val="006B3869"/>
    <w:rsid w:val="006C1924"/>
    <w:rsid w:val="006C4793"/>
    <w:rsid w:val="006C4F49"/>
    <w:rsid w:val="006C6443"/>
    <w:rsid w:val="006D3252"/>
    <w:rsid w:val="006D46A8"/>
    <w:rsid w:val="006D6FE2"/>
    <w:rsid w:val="006E2F48"/>
    <w:rsid w:val="006E2F7E"/>
    <w:rsid w:val="006E33DD"/>
    <w:rsid w:val="006E3D39"/>
    <w:rsid w:val="006E66F8"/>
    <w:rsid w:val="006F4D91"/>
    <w:rsid w:val="006F6245"/>
    <w:rsid w:val="00700310"/>
    <w:rsid w:val="00706337"/>
    <w:rsid w:val="00707739"/>
    <w:rsid w:val="007108D7"/>
    <w:rsid w:val="00711D78"/>
    <w:rsid w:val="007139E1"/>
    <w:rsid w:val="007151E0"/>
    <w:rsid w:val="0071562B"/>
    <w:rsid w:val="007208C9"/>
    <w:rsid w:val="00723D2D"/>
    <w:rsid w:val="0072489B"/>
    <w:rsid w:val="00726DBB"/>
    <w:rsid w:val="00727E58"/>
    <w:rsid w:val="00731496"/>
    <w:rsid w:val="00731B58"/>
    <w:rsid w:val="00731B9F"/>
    <w:rsid w:val="00732BEA"/>
    <w:rsid w:val="007362AD"/>
    <w:rsid w:val="00737A54"/>
    <w:rsid w:val="007408CC"/>
    <w:rsid w:val="00740FB3"/>
    <w:rsid w:val="00741913"/>
    <w:rsid w:val="00741960"/>
    <w:rsid w:val="00741983"/>
    <w:rsid w:val="007446D6"/>
    <w:rsid w:val="00744816"/>
    <w:rsid w:val="007453FF"/>
    <w:rsid w:val="007469F1"/>
    <w:rsid w:val="00750551"/>
    <w:rsid w:val="00751E74"/>
    <w:rsid w:val="00755EA2"/>
    <w:rsid w:val="00757B10"/>
    <w:rsid w:val="007616B1"/>
    <w:rsid w:val="00762813"/>
    <w:rsid w:val="00763397"/>
    <w:rsid w:val="00766479"/>
    <w:rsid w:val="0076672E"/>
    <w:rsid w:val="00767D71"/>
    <w:rsid w:val="00770B4A"/>
    <w:rsid w:val="00773497"/>
    <w:rsid w:val="00774165"/>
    <w:rsid w:val="00776587"/>
    <w:rsid w:val="0077747C"/>
    <w:rsid w:val="00777768"/>
    <w:rsid w:val="00777F32"/>
    <w:rsid w:val="00783020"/>
    <w:rsid w:val="00784894"/>
    <w:rsid w:val="00785965"/>
    <w:rsid w:val="00790868"/>
    <w:rsid w:val="0079345C"/>
    <w:rsid w:val="00797531"/>
    <w:rsid w:val="007A1B1A"/>
    <w:rsid w:val="007A70AE"/>
    <w:rsid w:val="007A725C"/>
    <w:rsid w:val="007B1E7A"/>
    <w:rsid w:val="007B73EC"/>
    <w:rsid w:val="007C6AE6"/>
    <w:rsid w:val="007C7973"/>
    <w:rsid w:val="007D0EF2"/>
    <w:rsid w:val="007D109F"/>
    <w:rsid w:val="007D4A63"/>
    <w:rsid w:val="007E21F1"/>
    <w:rsid w:val="007E22DA"/>
    <w:rsid w:val="007E2DB1"/>
    <w:rsid w:val="007E56E9"/>
    <w:rsid w:val="007E6354"/>
    <w:rsid w:val="007E72B2"/>
    <w:rsid w:val="007F1934"/>
    <w:rsid w:val="007F57D4"/>
    <w:rsid w:val="007F776C"/>
    <w:rsid w:val="008008F9"/>
    <w:rsid w:val="00801D3B"/>
    <w:rsid w:val="00805B50"/>
    <w:rsid w:val="00805D9F"/>
    <w:rsid w:val="00806B34"/>
    <w:rsid w:val="00812A44"/>
    <w:rsid w:val="00813307"/>
    <w:rsid w:val="00815770"/>
    <w:rsid w:val="00817297"/>
    <w:rsid w:val="00817E5F"/>
    <w:rsid w:val="0082014E"/>
    <w:rsid w:val="00825D87"/>
    <w:rsid w:val="008275B7"/>
    <w:rsid w:val="00827EF5"/>
    <w:rsid w:val="00830C7F"/>
    <w:rsid w:val="0083198E"/>
    <w:rsid w:val="00831BAF"/>
    <w:rsid w:val="00833396"/>
    <w:rsid w:val="00840923"/>
    <w:rsid w:val="0084321A"/>
    <w:rsid w:val="00844469"/>
    <w:rsid w:val="008449FC"/>
    <w:rsid w:val="00845681"/>
    <w:rsid w:val="00847FE9"/>
    <w:rsid w:val="00851965"/>
    <w:rsid w:val="00852250"/>
    <w:rsid w:val="0085771D"/>
    <w:rsid w:val="008579FD"/>
    <w:rsid w:val="008607D6"/>
    <w:rsid w:val="00861BE4"/>
    <w:rsid w:val="008627B1"/>
    <w:rsid w:val="00862934"/>
    <w:rsid w:val="008642B8"/>
    <w:rsid w:val="00866387"/>
    <w:rsid w:val="00867168"/>
    <w:rsid w:val="008702A5"/>
    <w:rsid w:val="00873388"/>
    <w:rsid w:val="00874E8F"/>
    <w:rsid w:val="0087773B"/>
    <w:rsid w:val="0088166B"/>
    <w:rsid w:val="00881C29"/>
    <w:rsid w:val="0088415A"/>
    <w:rsid w:val="008842A2"/>
    <w:rsid w:val="008868BE"/>
    <w:rsid w:val="00887747"/>
    <w:rsid w:val="00890950"/>
    <w:rsid w:val="00892197"/>
    <w:rsid w:val="00897908"/>
    <w:rsid w:val="008A0979"/>
    <w:rsid w:val="008A1A06"/>
    <w:rsid w:val="008A264B"/>
    <w:rsid w:val="008A352D"/>
    <w:rsid w:val="008A4140"/>
    <w:rsid w:val="008A4931"/>
    <w:rsid w:val="008A56B6"/>
    <w:rsid w:val="008A5BC0"/>
    <w:rsid w:val="008A6FA9"/>
    <w:rsid w:val="008A729F"/>
    <w:rsid w:val="008B4831"/>
    <w:rsid w:val="008B602E"/>
    <w:rsid w:val="008B74F8"/>
    <w:rsid w:val="008C34C3"/>
    <w:rsid w:val="008C682F"/>
    <w:rsid w:val="008D2571"/>
    <w:rsid w:val="008D3BE2"/>
    <w:rsid w:val="008D5EE3"/>
    <w:rsid w:val="008D79C7"/>
    <w:rsid w:val="008E51B2"/>
    <w:rsid w:val="008E5E6A"/>
    <w:rsid w:val="008E6D4A"/>
    <w:rsid w:val="008F1DCC"/>
    <w:rsid w:val="008F3432"/>
    <w:rsid w:val="008F36C4"/>
    <w:rsid w:val="008F634D"/>
    <w:rsid w:val="008F7008"/>
    <w:rsid w:val="008F7BDB"/>
    <w:rsid w:val="0090031A"/>
    <w:rsid w:val="00902C9E"/>
    <w:rsid w:val="00904B0D"/>
    <w:rsid w:val="00917613"/>
    <w:rsid w:val="0092164F"/>
    <w:rsid w:val="00923AAF"/>
    <w:rsid w:val="00924F78"/>
    <w:rsid w:val="00926475"/>
    <w:rsid w:val="009322FD"/>
    <w:rsid w:val="009325E2"/>
    <w:rsid w:val="00933753"/>
    <w:rsid w:val="00933F68"/>
    <w:rsid w:val="009351A0"/>
    <w:rsid w:val="00935423"/>
    <w:rsid w:val="00940F37"/>
    <w:rsid w:val="00941810"/>
    <w:rsid w:val="0094218C"/>
    <w:rsid w:val="0094289C"/>
    <w:rsid w:val="00942EA6"/>
    <w:rsid w:val="00943626"/>
    <w:rsid w:val="009437DE"/>
    <w:rsid w:val="009509CB"/>
    <w:rsid w:val="00952E7E"/>
    <w:rsid w:val="00955480"/>
    <w:rsid w:val="009566C5"/>
    <w:rsid w:val="0096169A"/>
    <w:rsid w:val="00963D89"/>
    <w:rsid w:val="009711B3"/>
    <w:rsid w:val="00972FBD"/>
    <w:rsid w:val="009739BE"/>
    <w:rsid w:val="00974F2D"/>
    <w:rsid w:val="00975790"/>
    <w:rsid w:val="009758BB"/>
    <w:rsid w:val="00977EF7"/>
    <w:rsid w:val="00981680"/>
    <w:rsid w:val="00984FF4"/>
    <w:rsid w:val="009853F3"/>
    <w:rsid w:val="00986053"/>
    <w:rsid w:val="009A2D49"/>
    <w:rsid w:val="009A70BD"/>
    <w:rsid w:val="009A785E"/>
    <w:rsid w:val="009B0AD2"/>
    <w:rsid w:val="009B0ADE"/>
    <w:rsid w:val="009B10BC"/>
    <w:rsid w:val="009B3F00"/>
    <w:rsid w:val="009C0CB1"/>
    <w:rsid w:val="009C13CE"/>
    <w:rsid w:val="009C690D"/>
    <w:rsid w:val="009C6B58"/>
    <w:rsid w:val="009D179B"/>
    <w:rsid w:val="009D3896"/>
    <w:rsid w:val="009D4C55"/>
    <w:rsid w:val="009D4D61"/>
    <w:rsid w:val="009E28B2"/>
    <w:rsid w:val="009E2A7C"/>
    <w:rsid w:val="009F2EBF"/>
    <w:rsid w:val="009F3D1E"/>
    <w:rsid w:val="009F56F9"/>
    <w:rsid w:val="009F6773"/>
    <w:rsid w:val="00A02E92"/>
    <w:rsid w:val="00A037F4"/>
    <w:rsid w:val="00A04C43"/>
    <w:rsid w:val="00A10DDD"/>
    <w:rsid w:val="00A11215"/>
    <w:rsid w:val="00A11419"/>
    <w:rsid w:val="00A11667"/>
    <w:rsid w:val="00A11BC0"/>
    <w:rsid w:val="00A1461F"/>
    <w:rsid w:val="00A17897"/>
    <w:rsid w:val="00A20F2A"/>
    <w:rsid w:val="00A21496"/>
    <w:rsid w:val="00A22414"/>
    <w:rsid w:val="00A24808"/>
    <w:rsid w:val="00A25A60"/>
    <w:rsid w:val="00A26FC9"/>
    <w:rsid w:val="00A276B2"/>
    <w:rsid w:val="00A30E20"/>
    <w:rsid w:val="00A3413E"/>
    <w:rsid w:val="00A34AE3"/>
    <w:rsid w:val="00A407F3"/>
    <w:rsid w:val="00A40D4A"/>
    <w:rsid w:val="00A436B1"/>
    <w:rsid w:val="00A43A10"/>
    <w:rsid w:val="00A4569D"/>
    <w:rsid w:val="00A46C62"/>
    <w:rsid w:val="00A50DC1"/>
    <w:rsid w:val="00A57350"/>
    <w:rsid w:val="00A57BFF"/>
    <w:rsid w:val="00A600B6"/>
    <w:rsid w:val="00A60549"/>
    <w:rsid w:val="00A62745"/>
    <w:rsid w:val="00A628A2"/>
    <w:rsid w:val="00A63378"/>
    <w:rsid w:val="00A651D9"/>
    <w:rsid w:val="00A705BF"/>
    <w:rsid w:val="00A70A5E"/>
    <w:rsid w:val="00A71BCA"/>
    <w:rsid w:val="00A725A7"/>
    <w:rsid w:val="00A73C2F"/>
    <w:rsid w:val="00A82CE0"/>
    <w:rsid w:val="00A83F40"/>
    <w:rsid w:val="00A84318"/>
    <w:rsid w:val="00A848A5"/>
    <w:rsid w:val="00A8572D"/>
    <w:rsid w:val="00A8579B"/>
    <w:rsid w:val="00A85B68"/>
    <w:rsid w:val="00A86E2D"/>
    <w:rsid w:val="00A8772A"/>
    <w:rsid w:val="00A87BA2"/>
    <w:rsid w:val="00A90361"/>
    <w:rsid w:val="00A9039F"/>
    <w:rsid w:val="00A906A1"/>
    <w:rsid w:val="00A930DA"/>
    <w:rsid w:val="00A9329C"/>
    <w:rsid w:val="00A9460C"/>
    <w:rsid w:val="00A963F3"/>
    <w:rsid w:val="00A9781D"/>
    <w:rsid w:val="00AA39F3"/>
    <w:rsid w:val="00AA6026"/>
    <w:rsid w:val="00AB2DCB"/>
    <w:rsid w:val="00AB3E07"/>
    <w:rsid w:val="00AB6307"/>
    <w:rsid w:val="00AB6954"/>
    <w:rsid w:val="00AC16DC"/>
    <w:rsid w:val="00AC2570"/>
    <w:rsid w:val="00AC7A20"/>
    <w:rsid w:val="00AC7B55"/>
    <w:rsid w:val="00AD0756"/>
    <w:rsid w:val="00AD105F"/>
    <w:rsid w:val="00AD139E"/>
    <w:rsid w:val="00AD19C9"/>
    <w:rsid w:val="00AD2EA1"/>
    <w:rsid w:val="00AD3E57"/>
    <w:rsid w:val="00AD51C6"/>
    <w:rsid w:val="00AD5EEF"/>
    <w:rsid w:val="00AE108A"/>
    <w:rsid w:val="00AE2BFD"/>
    <w:rsid w:val="00AE4151"/>
    <w:rsid w:val="00AE6544"/>
    <w:rsid w:val="00AF2CF9"/>
    <w:rsid w:val="00AF5341"/>
    <w:rsid w:val="00AF760E"/>
    <w:rsid w:val="00AF7E61"/>
    <w:rsid w:val="00B075C0"/>
    <w:rsid w:val="00B12219"/>
    <w:rsid w:val="00B13ECA"/>
    <w:rsid w:val="00B143B1"/>
    <w:rsid w:val="00B2136C"/>
    <w:rsid w:val="00B228AC"/>
    <w:rsid w:val="00B269B8"/>
    <w:rsid w:val="00B276A9"/>
    <w:rsid w:val="00B3126B"/>
    <w:rsid w:val="00B335E0"/>
    <w:rsid w:val="00B33E95"/>
    <w:rsid w:val="00B35D3E"/>
    <w:rsid w:val="00B378D3"/>
    <w:rsid w:val="00B379D8"/>
    <w:rsid w:val="00B400E3"/>
    <w:rsid w:val="00B42A08"/>
    <w:rsid w:val="00B43122"/>
    <w:rsid w:val="00B43488"/>
    <w:rsid w:val="00B446EB"/>
    <w:rsid w:val="00B47C75"/>
    <w:rsid w:val="00B5081B"/>
    <w:rsid w:val="00B55421"/>
    <w:rsid w:val="00B579F6"/>
    <w:rsid w:val="00B57CCC"/>
    <w:rsid w:val="00B605CE"/>
    <w:rsid w:val="00B61791"/>
    <w:rsid w:val="00B617FE"/>
    <w:rsid w:val="00B64BCE"/>
    <w:rsid w:val="00B67A35"/>
    <w:rsid w:val="00B718C3"/>
    <w:rsid w:val="00B72433"/>
    <w:rsid w:val="00B7514F"/>
    <w:rsid w:val="00B77D6E"/>
    <w:rsid w:val="00B80FC9"/>
    <w:rsid w:val="00B81250"/>
    <w:rsid w:val="00B86A78"/>
    <w:rsid w:val="00B86CBF"/>
    <w:rsid w:val="00B933FB"/>
    <w:rsid w:val="00B93845"/>
    <w:rsid w:val="00B93FA9"/>
    <w:rsid w:val="00B94B51"/>
    <w:rsid w:val="00B954D3"/>
    <w:rsid w:val="00B95D8E"/>
    <w:rsid w:val="00B97DB7"/>
    <w:rsid w:val="00BA32C8"/>
    <w:rsid w:val="00BA3759"/>
    <w:rsid w:val="00BA57F4"/>
    <w:rsid w:val="00BB0912"/>
    <w:rsid w:val="00BB35CE"/>
    <w:rsid w:val="00BB394B"/>
    <w:rsid w:val="00BB5871"/>
    <w:rsid w:val="00BB5E1E"/>
    <w:rsid w:val="00BB7C65"/>
    <w:rsid w:val="00BB7F35"/>
    <w:rsid w:val="00BC0521"/>
    <w:rsid w:val="00BC0647"/>
    <w:rsid w:val="00BC0B85"/>
    <w:rsid w:val="00BC1154"/>
    <w:rsid w:val="00BC1C9C"/>
    <w:rsid w:val="00BC21A3"/>
    <w:rsid w:val="00BC2A32"/>
    <w:rsid w:val="00BC46CD"/>
    <w:rsid w:val="00BC48D7"/>
    <w:rsid w:val="00BC526A"/>
    <w:rsid w:val="00BC5E41"/>
    <w:rsid w:val="00BC7306"/>
    <w:rsid w:val="00BE305B"/>
    <w:rsid w:val="00BE3258"/>
    <w:rsid w:val="00BE3670"/>
    <w:rsid w:val="00BE50B4"/>
    <w:rsid w:val="00BE5F2E"/>
    <w:rsid w:val="00BE77FF"/>
    <w:rsid w:val="00C00042"/>
    <w:rsid w:val="00C00A40"/>
    <w:rsid w:val="00C109A4"/>
    <w:rsid w:val="00C110FD"/>
    <w:rsid w:val="00C1366A"/>
    <w:rsid w:val="00C1754D"/>
    <w:rsid w:val="00C17A6F"/>
    <w:rsid w:val="00C22406"/>
    <w:rsid w:val="00C26202"/>
    <w:rsid w:val="00C27174"/>
    <w:rsid w:val="00C303A1"/>
    <w:rsid w:val="00C31D14"/>
    <w:rsid w:val="00C32066"/>
    <w:rsid w:val="00C343E5"/>
    <w:rsid w:val="00C356E8"/>
    <w:rsid w:val="00C406D3"/>
    <w:rsid w:val="00C427DB"/>
    <w:rsid w:val="00C4531A"/>
    <w:rsid w:val="00C46CF3"/>
    <w:rsid w:val="00C50705"/>
    <w:rsid w:val="00C51666"/>
    <w:rsid w:val="00C52A59"/>
    <w:rsid w:val="00C53A6A"/>
    <w:rsid w:val="00C547E3"/>
    <w:rsid w:val="00C54DB8"/>
    <w:rsid w:val="00C57076"/>
    <w:rsid w:val="00C62351"/>
    <w:rsid w:val="00C63709"/>
    <w:rsid w:val="00C65E70"/>
    <w:rsid w:val="00C663DA"/>
    <w:rsid w:val="00C679A5"/>
    <w:rsid w:val="00C7053F"/>
    <w:rsid w:val="00C70BD6"/>
    <w:rsid w:val="00C72670"/>
    <w:rsid w:val="00C7558B"/>
    <w:rsid w:val="00C76936"/>
    <w:rsid w:val="00C76FD3"/>
    <w:rsid w:val="00C77A67"/>
    <w:rsid w:val="00C82FCF"/>
    <w:rsid w:val="00C8528B"/>
    <w:rsid w:val="00C90632"/>
    <w:rsid w:val="00CA0F08"/>
    <w:rsid w:val="00CA34B4"/>
    <w:rsid w:val="00CA6808"/>
    <w:rsid w:val="00CA6ED2"/>
    <w:rsid w:val="00CA7174"/>
    <w:rsid w:val="00CB00D4"/>
    <w:rsid w:val="00CB087D"/>
    <w:rsid w:val="00CB4001"/>
    <w:rsid w:val="00CB45E0"/>
    <w:rsid w:val="00CB56F8"/>
    <w:rsid w:val="00CB6EE9"/>
    <w:rsid w:val="00CB751C"/>
    <w:rsid w:val="00CD2DC7"/>
    <w:rsid w:val="00CD3496"/>
    <w:rsid w:val="00CD445B"/>
    <w:rsid w:val="00CD683B"/>
    <w:rsid w:val="00CE324B"/>
    <w:rsid w:val="00CE3BD7"/>
    <w:rsid w:val="00CE4FF8"/>
    <w:rsid w:val="00CF4EA4"/>
    <w:rsid w:val="00CF568D"/>
    <w:rsid w:val="00CF6930"/>
    <w:rsid w:val="00CF74A3"/>
    <w:rsid w:val="00CF78F0"/>
    <w:rsid w:val="00D0019D"/>
    <w:rsid w:val="00D02933"/>
    <w:rsid w:val="00D03E59"/>
    <w:rsid w:val="00D045B1"/>
    <w:rsid w:val="00D05386"/>
    <w:rsid w:val="00D061E0"/>
    <w:rsid w:val="00D06A14"/>
    <w:rsid w:val="00D11DFD"/>
    <w:rsid w:val="00D21D14"/>
    <w:rsid w:val="00D23260"/>
    <w:rsid w:val="00D23738"/>
    <w:rsid w:val="00D26D1F"/>
    <w:rsid w:val="00D304BB"/>
    <w:rsid w:val="00D32E1A"/>
    <w:rsid w:val="00D333E8"/>
    <w:rsid w:val="00D33ECA"/>
    <w:rsid w:val="00D340EC"/>
    <w:rsid w:val="00D37C59"/>
    <w:rsid w:val="00D4645D"/>
    <w:rsid w:val="00D46E56"/>
    <w:rsid w:val="00D55D57"/>
    <w:rsid w:val="00D60255"/>
    <w:rsid w:val="00D661BE"/>
    <w:rsid w:val="00D705DE"/>
    <w:rsid w:val="00D71042"/>
    <w:rsid w:val="00D713B4"/>
    <w:rsid w:val="00D74D7F"/>
    <w:rsid w:val="00D75666"/>
    <w:rsid w:val="00D8682C"/>
    <w:rsid w:val="00D90A23"/>
    <w:rsid w:val="00D92D00"/>
    <w:rsid w:val="00D92D30"/>
    <w:rsid w:val="00D95434"/>
    <w:rsid w:val="00DA0908"/>
    <w:rsid w:val="00DA2E56"/>
    <w:rsid w:val="00DA3E9E"/>
    <w:rsid w:val="00DA5F85"/>
    <w:rsid w:val="00DB085C"/>
    <w:rsid w:val="00DB2B9F"/>
    <w:rsid w:val="00DB378D"/>
    <w:rsid w:val="00DB7726"/>
    <w:rsid w:val="00DC0FCC"/>
    <w:rsid w:val="00DC28D3"/>
    <w:rsid w:val="00DC3101"/>
    <w:rsid w:val="00DC3D47"/>
    <w:rsid w:val="00DD3F10"/>
    <w:rsid w:val="00DD4660"/>
    <w:rsid w:val="00DD4E88"/>
    <w:rsid w:val="00DE0BE2"/>
    <w:rsid w:val="00DE20E5"/>
    <w:rsid w:val="00DE2B53"/>
    <w:rsid w:val="00DE457A"/>
    <w:rsid w:val="00DE4DB7"/>
    <w:rsid w:val="00DE62E9"/>
    <w:rsid w:val="00DE6C41"/>
    <w:rsid w:val="00DF0C34"/>
    <w:rsid w:val="00DF410E"/>
    <w:rsid w:val="00DF7278"/>
    <w:rsid w:val="00E0027D"/>
    <w:rsid w:val="00E03677"/>
    <w:rsid w:val="00E04D01"/>
    <w:rsid w:val="00E0687C"/>
    <w:rsid w:val="00E075CB"/>
    <w:rsid w:val="00E10F73"/>
    <w:rsid w:val="00E1282D"/>
    <w:rsid w:val="00E144C6"/>
    <w:rsid w:val="00E146D3"/>
    <w:rsid w:val="00E16E43"/>
    <w:rsid w:val="00E22309"/>
    <w:rsid w:val="00E22626"/>
    <w:rsid w:val="00E232BE"/>
    <w:rsid w:val="00E2480B"/>
    <w:rsid w:val="00E26767"/>
    <w:rsid w:val="00E2734C"/>
    <w:rsid w:val="00E34AD1"/>
    <w:rsid w:val="00E4265A"/>
    <w:rsid w:val="00E42CB1"/>
    <w:rsid w:val="00E4322A"/>
    <w:rsid w:val="00E4379A"/>
    <w:rsid w:val="00E47F43"/>
    <w:rsid w:val="00E50873"/>
    <w:rsid w:val="00E63497"/>
    <w:rsid w:val="00E63D90"/>
    <w:rsid w:val="00E66052"/>
    <w:rsid w:val="00E704CA"/>
    <w:rsid w:val="00E76DC5"/>
    <w:rsid w:val="00E779F0"/>
    <w:rsid w:val="00E82133"/>
    <w:rsid w:val="00E83E78"/>
    <w:rsid w:val="00E84099"/>
    <w:rsid w:val="00E85980"/>
    <w:rsid w:val="00E87D19"/>
    <w:rsid w:val="00E91026"/>
    <w:rsid w:val="00E929CA"/>
    <w:rsid w:val="00E92D8E"/>
    <w:rsid w:val="00E97B06"/>
    <w:rsid w:val="00EA0786"/>
    <w:rsid w:val="00EA0A84"/>
    <w:rsid w:val="00EA0CB7"/>
    <w:rsid w:val="00EA21DB"/>
    <w:rsid w:val="00EA268D"/>
    <w:rsid w:val="00EA49A2"/>
    <w:rsid w:val="00EA4BD4"/>
    <w:rsid w:val="00EB0716"/>
    <w:rsid w:val="00EB0CC7"/>
    <w:rsid w:val="00EB27C6"/>
    <w:rsid w:val="00EB4439"/>
    <w:rsid w:val="00EC0CA8"/>
    <w:rsid w:val="00EC3325"/>
    <w:rsid w:val="00EC589C"/>
    <w:rsid w:val="00ED1733"/>
    <w:rsid w:val="00ED1971"/>
    <w:rsid w:val="00ED2A07"/>
    <w:rsid w:val="00ED47E0"/>
    <w:rsid w:val="00ED5A49"/>
    <w:rsid w:val="00ED5FE2"/>
    <w:rsid w:val="00ED7501"/>
    <w:rsid w:val="00EE1813"/>
    <w:rsid w:val="00EE4D08"/>
    <w:rsid w:val="00EE4FE3"/>
    <w:rsid w:val="00EE525C"/>
    <w:rsid w:val="00EE5772"/>
    <w:rsid w:val="00EE57BF"/>
    <w:rsid w:val="00EE5B61"/>
    <w:rsid w:val="00EE5E8F"/>
    <w:rsid w:val="00EF01F1"/>
    <w:rsid w:val="00EF135D"/>
    <w:rsid w:val="00EF136E"/>
    <w:rsid w:val="00EF1687"/>
    <w:rsid w:val="00EF4918"/>
    <w:rsid w:val="00F02FFA"/>
    <w:rsid w:val="00F0717F"/>
    <w:rsid w:val="00F1228F"/>
    <w:rsid w:val="00F12BD5"/>
    <w:rsid w:val="00F14330"/>
    <w:rsid w:val="00F147A9"/>
    <w:rsid w:val="00F1710F"/>
    <w:rsid w:val="00F2186D"/>
    <w:rsid w:val="00F22EA0"/>
    <w:rsid w:val="00F25F70"/>
    <w:rsid w:val="00F27D54"/>
    <w:rsid w:val="00F30ACD"/>
    <w:rsid w:val="00F31A6E"/>
    <w:rsid w:val="00F33E4B"/>
    <w:rsid w:val="00F357EF"/>
    <w:rsid w:val="00F36936"/>
    <w:rsid w:val="00F36B93"/>
    <w:rsid w:val="00F419E7"/>
    <w:rsid w:val="00F423F6"/>
    <w:rsid w:val="00F42E0E"/>
    <w:rsid w:val="00F47358"/>
    <w:rsid w:val="00F5178A"/>
    <w:rsid w:val="00F541A3"/>
    <w:rsid w:val="00F54703"/>
    <w:rsid w:val="00F54A15"/>
    <w:rsid w:val="00F5731D"/>
    <w:rsid w:val="00F578E9"/>
    <w:rsid w:val="00F6070F"/>
    <w:rsid w:val="00F62322"/>
    <w:rsid w:val="00F63709"/>
    <w:rsid w:val="00F63CF0"/>
    <w:rsid w:val="00F63EA3"/>
    <w:rsid w:val="00F66AC2"/>
    <w:rsid w:val="00F67B7D"/>
    <w:rsid w:val="00F70958"/>
    <w:rsid w:val="00F71789"/>
    <w:rsid w:val="00F723A0"/>
    <w:rsid w:val="00F74D18"/>
    <w:rsid w:val="00F7666B"/>
    <w:rsid w:val="00F77E73"/>
    <w:rsid w:val="00F80A9B"/>
    <w:rsid w:val="00F8332A"/>
    <w:rsid w:val="00F83850"/>
    <w:rsid w:val="00F84148"/>
    <w:rsid w:val="00F85E15"/>
    <w:rsid w:val="00F903DE"/>
    <w:rsid w:val="00F90800"/>
    <w:rsid w:val="00F9554B"/>
    <w:rsid w:val="00F95CE5"/>
    <w:rsid w:val="00F95F03"/>
    <w:rsid w:val="00F96357"/>
    <w:rsid w:val="00FA2FD8"/>
    <w:rsid w:val="00FA32F0"/>
    <w:rsid w:val="00FA3586"/>
    <w:rsid w:val="00FA3662"/>
    <w:rsid w:val="00FA7537"/>
    <w:rsid w:val="00FB210C"/>
    <w:rsid w:val="00FB386E"/>
    <w:rsid w:val="00FB5DA5"/>
    <w:rsid w:val="00FB60A6"/>
    <w:rsid w:val="00FB7593"/>
    <w:rsid w:val="00FC039E"/>
    <w:rsid w:val="00FC15B6"/>
    <w:rsid w:val="00FC6361"/>
    <w:rsid w:val="00FC6771"/>
    <w:rsid w:val="00FD0A47"/>
    <w:rsid w:val="00FD0CB6"/>
    <w:rsid w:val="00FD36F4"/>
    <w:rsid w:val="00FD3DBF"/>
    <w:rsid w:val="00FD4439"/>
    <w:rsid w:val="00FD6CF8"/>
    <w:rsid w:val="00FE13DE"/>
    <w:rsid w:val="00FE1470"/>
    <w:rsid w:val="00FE40DB"/>
    <w:rsid w:val="00FE632D"/>
    <w:rsid w:val="00FE6926"/>
    <w:rsid w:val="00FE6F35"/>
    <w:rsid w:val="00FF273C"/>
    <w:rsid w:val="00FF2751"/>
    <w:rsid w:val="00FF28F8"/>
    <w:rsid w:val="00FF339C"/>
    <w:rsid w:val="00FF4EBE"/>
    <w:rsid w:val="00FF5C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ED273"/>
  <w14:defaultImageDpi w14:val="300"/>
  <w15:docId w15:val="{F93021D7-00B0-4B75-B197-0818877B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26"/>
  </w:style>
  <w:style w:type="paragraph" w:styleId="Heading1">
    <w:name w:val="heading 1"/>
    <w:basedOn w:val="Normal"/>
    <w:link w:val="Heading1Char"/>
    <w:uiPriority w:val="9"/>
    <w:qFormat/>
    <w:rsid w:val="00E22626"/>
    <w:pPr>
      <w:spacing w:line="480" w:lineRule="auto"/>
      <w:jc w:val="both"/>
      <w:outlineLvl w:val="0"/>
    </w:pPr>
    <w:rPr>
      <w:rFonts w:ascii="Arial" w:hAnsi="Arial"/>
      <w:b/>
      <w:bCs/>
      <w:kern w:val="36"/>
      <w:szCs w:val="48"/>
    </w:rPr>
  </w:style>
  <w:style w:type="paragraph" w:styleId="Heading2">
    <w:name w:val="heading 2"/>
    <w:basedOn w:val="Normal"/>
    <w:next w:val="Normal"/>
    <w:link w:val="Heading2Char"/>
    <w:autoRedefine/>
    <w:uiPriority w:val="9"/>
    <w:unhideWhenUsed/>
    <w:qFormat/>
    <w:rsid w:val="00E22626"/>
    <w:pPr>
      <w:keepNext/>
      <w:keepLines/>
      <w:spacing w:before="200" w:line="360" w:lineRule="auto"/>
      <w:ind w:left="142"/>
      <w:jc w:val="both"/>
      <w:outlineLvl w:val="1"/>
    </w:pPr>
    <w:rPr>
      <w:rFonts w:ascii="Arial" w:eastAsiaTheme="majorEastAsia"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626"/>
    <w:rPr>
      <w:rFonts w:ascii="Arial" w:hAnsi="Arial"/>
      <w:b/>
      <w:bCs/>
      <w:kern w:val="36"/>
      <w:szCs w:val="48"/>
    </w:rPr>
  </w:style>
  <w:style w:type="paragraph" w:customStyle="1" w:styleId="DefinitionTerm">
    <w:name w:val="Definition Term"/>
    <w:basedOn w:val="Normal"/>
    <w:rsid w:val="00867168"/>
  </w:style>
  <w:style w:type="paragraph" w:styleId="BodyText2">
    <w:name w:val="Body Text 2"/>
    <w:basedOn w:val="Normal"/>
    <w:link w:val="BodyText2Char"/>
    <w:rsid w:val="00867168"/>
    <w:pPr>
      <w:spacing w:line="360" w:lineRule="auto"/>
      <w:jc w:val="both"/>
    </w:pPr>
    <w:rPr>
      <w:rFonts w:ascii="Arial" w:hAnsi="Arial"/>
      <w:sz w:val="28"/>
      <w:lang w:val="en-GB"/>
    </w:rPr>
  </w:style>
  <w:style w:type="character" w:customStyle="1" w:styleId="BodyText2Char">
    <w:name w:val="Body Text 2 Char"/>
    <w:basedOn w:val="DefaultParagraphFont"/>
    <w:link w:val="BodyText2"/>
    <w:rsid w:val="00867168"/>
    <w:rPr>
      <w:rFonts w:ascii="Arial" w:eastAsia="Arial Unicode MS" w:hAnsi="Arial" w:cs="Arial Unicode MS"/>
      <w:kern w:val="3"/>
      <w:sz w:val="28"/>
      <w:lang w:val="en-GB" w:eastAsia="zh-CN" w:bidi="hi-IN"/>
    </w:rPr>
  </w:style>
  <w:style w:type="paragraph" w:styleId="Footer">
    <w:name w:val="footer"/>
    <w:basedOn w:val="Normal"/>
    <w:link w:val="FooterChar"/>
    <w:uiPriority w:val="99"/>
    <w:rsid w:val="00867168"/>
    <w:pPr>
      <w:suppressLineNumbers/>
      <w:tabs>
        <w:tab w:val="center" w:pos="4536"/>
        <w:tab w:val="right" w:pos="9072"/>
      </w:tabs>
    </w:pPr>
  </w:style>
  <w:style w:type="character" w:customStyle="1" w:styleId="FooterChar">
    <w:name w:val="Footer Char"/>
    <w:basedOn w:val="DefaultParagraphFont"/>
    <w:link w:val="Footer"/>
    <w:uiPriority w:val="99"/>
    <w:rsid w:val="00867168"/>
    <w:rPr>
      <w:rFonts w:ascii="Times New Roman" w:eastAsia="Arial Unicode MS" w:hAnsi="Times New Roman" w:cs="Arial Unicode MS"/>
      <w:kern w:val="3"/>
      <w:lang w:eastAsia="zh-CN" w:bidi="hi-IN"/>
    </w:rPr>
  </w:style>
  <w:style w:type="paragraph" w:customStyle="1" w:styleId="EndNoteBibliography">
    <w:name w:val="EndNote Bibliography"/>
    <w:basedOn w:val="Normal"/>
    <w:rsid w:val="00867168"/>
    <w:pPr>
      <w:jc w:val="both"/>
    </w:pPr>
    <w:rPr>
      <w:rFonts w:ascii="Cambria" w:hAnsi="Cambria" w:cs="Times New Roman"/>
    </w:rPr>
  </w:style>
  <w:style w:type="paragraph" w:customStyle="1" w:styleId="Default">
    <w:name w:val="Default"/>
    <w:rsid w:val="00867168"/>
    <w:pPr>
      <w:suppressAutoHyphens/>
      <w:autoSpaceDN w:val="0"/>
      <w:textAlignment w:val="baseline"/>
    </w:pPr>
    <w:rPr>
      <w:rFonts w:ascii="Arial" w:eastAsia="Arial Unicode MS" w:hAnsi="Arial" w:cs="Arial"/>
      <w:color w:val="000000"/>
      <w:kern w:val="3"/>
      <w:lang w:eastAsia="zh-CN" w:bidi="hi-IN"/>
    </w:rPr>
  </w:style>
  <w:style w:type="character" w:styleId="PageNumber">
    <w:name w:val="page number"/>
    <w:basedOn w:val="DefaultParagraphFont"/>
    <w:rsid w:val="00867168"/>
  </w:style>
  <w:style w:type="character" w:customStyle="1" w:styleId="Heading3Char">
    <w:name w:val="Heading 3 Char"/>
    <w:rsid w:val="00867168"/>
    <w:rPr>
      <w:rFonts w:ascii="Arial" w:hAnsi="Arial"/>
      <w:b/>
      <w:sz w:val="24"/>
      <w:lang w:val="de-DE" w:eastAsia="de-DE" w:bidi="ar-SA"/>
    </w:rPr>
  </w:style>
  <w:style w:type="character" w:styleId="LineNumber">
    <w:name w:val="line number"/>
    <w:basedOn w:val="DefaultParagraphFont"/>
    <w:uiPriority w:val="99"/>
    <w:semiHidden/>
    <w:unhideWhenUsed/>
    <w:rsid w:val="00867168"/>
  </w:style>
  <w:style w:type="paragraph" w:styleId="Header">
    <w:name w:val="header"/>
    <w:basedOn w:val="Normal"/>
    <w:link w:val="HeaderChar"/>
    <w:uiPriority w:val="99"/>
    <w:unhideWhenUsed/>
    <w:rsid w:val="0020790A"/>
    <w:pPr>
      <w:tabs>
        <w:tab w:val="center" w:pos="4536"/>
        <w:tab w:val="right" w:pos="9072"/>
      </w:tabs>
    </w:pPr>
  </w:style>
  <w:style w:type="character" w:customStyle="1" w:styleId="HeaderChar">
    <w:name w:val="Header Char"/>
    <w:basedOn w:val="DefaultParagraphFont"/>
    <w:link w:val="Header"/>
    <w:uiPriority w:val="99"/>
    <w:rsid w:val="0020790A"/>
    <w:rPr>
      <w:rFonts w:ascii="Times New Roman" w:eastAsia="Arial Unicode MS" w:hAnsi="Times New Roman" w:cs="Arial Unicode MS"/>
      <w:kern w:val="3"/>
      <w:lang w:eastAsia="zh-CN" w:bidi="hi-IN"/>
    </w:rPr>
  </w:style>
  <w:style w:type="character" w:styleId="Hyperlink">
    <w:name w:val="Hyperlink"/>
    <w:basedOn w:val="DefaultParagraphFont"/>
    <w:uiPriority w:val="99"/>
    <w:unhideWhenUsed/>
    <w:rsid w:val="00924F78"/>
    <w:rPr>
      <w:color w:val="0000FF" w:themeColor="hyperlink"/>
      <w:u w:val="single"/>
    </w:rPr>
  </w:style>
  <w:style w:type="character" w:customStyle="1" w:styleId="Heading2Char">
    <w:name w:val="Heading 2 Char"/>
    <w:basedOn w:val="DefaultParagraphFont"/>
    <w:link w:val="Heading2"/>
    <w:uiPriority w:val="9"/>
    <w:rsid w:val="00E22626"/>
    <w:rPr>
      <w:rFonts w:ascii="Arial" w:eastAsiaTheme="majorEastAsia" w:hAnsi="Arial" w:cs="Arial"/>
      <w:b/>
      <w:bCs/>
      <w:lang w:val="en-US"/>
    </w:rPr>
  </w:style>
  <w:style w:type="paragraph" w:styleId="DocumentMap">
    <w:name w:val="Document Map"/>
    <w:basedOn w:val="Normal"/>
    <w:link w:val="DocumentMapChar"/>
    <w:uiPriority w:val="99"/>
    <w:semiHidden/>
    <w:unhideWhenUsed/>
    <w:rsid w:val="0069432B"/>
    <w:rPr>
      <w:rFonts w:ascii="Lucida Grande" w:hAnsi="Lucida Grande" w:cs="Lucida Grande"/>
    </w:rPr>
  </w:style>
  <w:style w:type="character" w:customStyle="1" w:styleId="DocumentMapChar">
    <w:name w:val="Document Map Char"/>
    <w:basedOn w:val="DefaultParagraphFont"/>
    <w:link w:val="DocumentMap"/>
    <w:uiPriority w:val="99"/>
    <w:semiHidden/>
    <w:rsid w:val="0069432B"/>
    <w:rPr>
      <w:rFonts w:ascii="Lucida Grande" w:eastAsia="Arial Unicode MS" w:hAnsi="Lucida Grande" w:cs="Lucida Grande"/>
      <w:kern w:val="3"/>
      <w:lang w:eastAsia="zh-CN" w:bidi="hi-IN"/>
    </w:rPr>
  </w:style>
  <w:style w:type="paragraph" w:styleId="BalloonText">
    <w:name w:val="Balloon Text"/>
    <w:basedOn w:val="Normal"/>
    <w:link w:val="BalloonTextChar"/>
    <w:uiPriority w:val="99"/>
    <w:semiHidden/>
    <w:unhideWhenUsed/>
    <w:rsid w:val="00CF56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68D"/>
    <w:rPr>
      <w:rFonts w:ascii="Lucida Grande" w:eastAsia="Arial Unicode MS" w:hAnsi="Lucida Grande" w:cs="Lucida Grande"/>
      <w:kern w:val="3"/>
      <w:sz w:val="18"/>
      <w:szCs w:val="18"/>
      <w:lang w:eastAsia="zh-CN" w:bidi="hi-IN"/>
    </w:rPr>
  </w:style>
  <w:style w:type="character" w:styleId="FollowedHyperlink">
    <w:name w:val="FollowedHyperlink"/>
    <w:basedOn w:val="DefaultParagraphFont"/>
    <w:uiPriority w:val="99"/>
    <w:semiHidden/>
    <w:unhideWhenUsed/>
    <w:rsid w:val="00EA4BD4"/>
    <w:rPr>
      <w:color w:val="800080" w:themeColor="followedHyperlink"/>
      <w:u w:val="single"/>
    </w:rPr>
  </w:style>
  <w:style w:type="paragraph" w:customStyle="1" w:styleId="EndNoteBibliographyTitle">
    <w:name w:val="EndNote Bibliography Title"/>
    <w:basedOn w:val="Normal"/>
    <w:rsid w:val="0092164F"/>
    <w:pPr>
      <w:jc w:val="center"/>
    </w:pPr>
    <w:rPr>
      <w:rFonts w:ascii="Cambria" w:hAnsi="Cambria"/>
    </w:rPr>
  </w:style>
  <w:style w:type="character" w:styleId="CommentReference">
    <w:name w:val="annotation reference"/>
    <w:basedOn w:val="DefaultParagraphFont"/>
    <w:uiPriority w:val="99"/>
    <w:semiHidden/>
    <w:unhideWhenUsed/>
    <w:rsid w:val="00A276B2"/>
    <w:rPr>
      <w:sz w:val="16"/>
      <w:szCs w:val="16"/>
    </w:rPr>
  </w:style>
  <w:style w:type="paragraph" w:styleId="CommentText">
    <w:name w:val="annotation text"/>
    <w:basedOn w:val="Normal"/>
    <w:link w:val="CommentTextChar"/>
    <w:uiPriority w:val="99"/>
    <w:semiHidden/>
    <w:unhideWhenUsed/>
    <w:rsid w:val="00A276B2"/>
    <w:rPr>
      <w:sz w:val="20"/>
      <w:szCs w:val="20"/>
    </w:rPr>
  </w:style>
  <w:style w:type="character" w:customStyle="1" w:styleId="CommentTextChar">
    <w:name w:val="Comment Text Char"/>
    <w:basedOn w:val="DefaultParagraphFont"/>
    <w:link w:val="CommentText"/>
    <w:uiPriority w:val="99"/>
    <w:semiHidden/>
    <w:rsid w:val="00A276B2"/>
    <w:rPr>
      <w:sz w:val="20"/>
      <w:szCs w:val="20"/>
    </w:rPr>
  </w:style>
  <w:style w:type="paragraph" w:styleId="CommentSubject">
    <w:name w:val="annotation subject"/>
    <w:basedOn w:val="CommentText"/>
    <w:next w:val="CommentText"/>
    <w:link w:val="CommentSubjectChar"/>
    <w:uiPriority w:val="99"/>
    <w:semiHidden/>
    <w:unhideWhenUsed/>
    <w:rsid w:val="00A276B2"/>
    <w:rPr>
      <w:b/>
      <w:bCs/>
    </w:rPr>
  </w:style>
  <w:style w:type="character" w:customStyle="1" w:styleId="CommentSubjectChar">
    <w:name w:val="Comment Subject Char"/>
    <w:basedOn w:val="CommentTextChar"/>
    <w:link w:val="CommentSubject"/>
    <w:uiPriority w:val="99"/>
    <w:semiHidden/>
    <w:rsid w:val="00A276B2"/>
    <w:rPr>
      <w:b/>
      <w:bCs/>
      <w:sz w:val="20"/>
      <w:szCs w:val="20"/>
    </w:rPr>
  </w:style>
  <w:style w:type="paragraph" w:styleId="Revision">
    <w:name w:val="Revision"/>
    <w:hidden/>
    <w:uiPriority w:val="99"/>
    <w:semiHidden/>
    <w:rsid w:val="00C70BD6"/>
  </w:style>
  <w:style w:type="paragraph" w:customStyle="1" w:styleId="Prrafodelista2">
    <w:name w:val="Párrafo de lista2"/>
    <w:basedOn w:val="Normal"/>
    <w:uiPriority w:val="99"/>
    <w:rsid w:val="00C8528B"/>
    <w:pPr>
      <w:spacing w:after="200"/>
      <w:ind w:left="720"/>
      <w:contextualSpacing/>
    </w:pPr>
    <w:rPr>
      <w:rFonts w:ascii="Cambria" w:eastAsia="Times New Roman" w:hAnsi="Cambria" w:cs="Times New Roman"/>
      <w:lang w:val="en-US" w:eastAsia="en-US"/>
    </w:rPr>
  </w:style>
  <w:style w:type="table" w:styleId="TableGrid">
    <w:name w:val="Table Grid"/>
    <w:basedOn w:val="TableNormal"/>
    <w:uiPriority w:val="39"/>
    <w:rsid w:val="00C8528B"/>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528B"/>
    <w:rPr>
      <w:rFonts w:ascii="Calibri" w:eastAsia="Calibri" w:hAnsi="Calibri" w:cs="Times New Roman"/>
      <w:sz w:val="22"/>
      <w:szCs w:val="22"/>
      <w:lang w:val="en-US" w:eastAsia="en-US"/>
    </w:rPr>
  </w:style>
  <w:style w:type="paragraph" w:styleId="ListParagraph">
    <w:name w:val="List Paragraph"/>
    <w:basedOn w:val="Normal"/>
    <w:uiPriority w:val="34"/>
    <w:qFormat/>
    <w:rsid w:val="00C8528B"/>
    <w:pPr>
      <w:spacing w:after="200" w:line="276" w:lineRule="auto"/>
      <w:ind w:left="720"/>
      <w:contextualSpacing/>
    </w:pPr>
    <w:rPr>
      <w:rFonts w:ascii="Calibri" w:eastAsia="Calibri" w:hAnsi="Calibri" w:cs="Times New Roman"/>
      <w:sz w:val="22"/>
      <w:szCs w:val="22"/>
      <w:lang w:val="en-US" w:eastAsia="en-US"/>
    </w:rPr>
  </w:style>
  <w:style w:type="paragraph" w:customStyle="1" w:styleId="p1">
    <w:name w:val="p1"/>
    <w:basedOn w:val="Normal"/>
    <w:rsid w:val="00FB7593"/>
    <w:rPr>
      <w:rFonts w:ascii="Helvetica" w:hAnsi="Helvetica" w:cs="Times New Roman"/>
      <w:sz w:val="18"/>
      <w:szCs w:val="18"/>
      <w:lang w:val="fr-FR" w:eastAsia="fr-FR"/>
    </w:rPr>
  </w:style>
  <w:style w:type="character" w:styleId="Strong">
    <w:name w:val="Strong"/>
    <w:basedOn w:val="DefaultParagraphFont"/>
    <w:uiPriority w:val="22"/>
    <w:qFormat/>
    <w:rsid w:val="006C1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05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el.trebicka@efclif.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D540-99A9-4EA1-8952-4A05E2CB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2082</Words>
  <Characters>11871</Characters>
  <Application>Microsoft Office Word</Application>
  <DocSecurity>0</DocSecurity>
  <Lines>98</Lines>
  <Paragraphs>27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 Trebicka</dc:creator>
  <cp:keywords/>
  <dc:description/>
  <cp:lastModifiedBy>Frontiers Media SA</cp:lastModifiedBy>
  <cp:revision>3</cp:revision>
  <cp:lastPrinted>2018-01-31T21:01:00Z</cp:lastPrinted>
  <dcterms:created xsi:type="dcterms:W3CDTF">2019-03-14T14:43:00Z</dcterms:created>
  <dcterms:modified xsi:type="dcterms:W3CDTF">2019-03-14T14:44:00Z</dcterms:modified>
</cp:coreProperties>
</file>