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C0E89E" w14:textId="061424A2" w:rsidR="006B06BF" w:rsidRDefault="006B06BF" w:rsidP="006B06BF">
      <w:pPr>
        <w:jc w:val="center"/>
        <w:rPr>
          <w:rFonts w:ascii="Times New Roman" w:eastAsia="Times New Roman" w:hAnsi="Times New Roman" w:cs="Times New Roman"/>
          <w:b/>
          <w:bCs/>
          <w:color w:val="000000" w:themeColor="text1"/>
          <w:lang w:eastAsia="en-GB"/>
        </w:rPr>
      </w:pPr>
      <w:bookmarkStart w:id="0" w:name="_Hlk161844724"/>
      <w:r w:rsidRPr="006B06BF">
        <w:rPr>
          <w:rFonts w:ascii="Times New Roman" w:eastAsia="Times New Roman" w:hAnsi="Times New Roman" w:cs="Times New Roman"/>
          <w:b/>
          <w:bCs/>
          <w:color w:val="000000" w:themeColor="text1"/>
          <w:lang w:eastAsia="en-GB"/>
        </w:rPr>
        <w:t xml:space="preserve">Time to transform? </w:t>
      </w:r>
      <w:r w:rsidR="0064403A">
        <w:rPr>
          <w:rFonts w:ascii="Times New Roman" w:eastAsia="Times New Roman" w:hAnsi="Times New Roman" w:cs="Times New Roman"/>
          <w:b/>
          <w:bCs/>
          <w:color w:val="000000" w:themeColor="text1"/>
          <w:lang w:eastAsia="en-GB"/>
        </w:rPr>
        <w:t>S</w:t>
      </w:r>
      <w:r w:rsidRPr="006B06BF">
        <w:rPr>
          <w:rFonts w:ascii="Times New Roman" w:eastAsia="Times New Roman" w:hAnsi="Times New Roman" w:cs="Times New Roman"/>
          <w:b/>
          <w:bCs/>
          <w:color w:val="000000" w:themeColor="text1"/>
          <w:lang w:eastAsia="en-GB"/>
        </w:rPr>
        <w:t>ustainability narratives for European Food Systems</w:t>
      </w:r>
      <w:bookmarkEnd w:id="0"/>
    </w:p>
    <w:p w14:paraId="05371ED1" w14:textId="1107EAA1" w:rsidR="00282C6E" w:rsidRPr="008C1952" w:rsidRDefault="00092586" w:rsidP="00282C6E">
      <w:pPr>
        <w:jc w:val="center"/>
        <w:rPr>
          <w:rFonts w:ascii="Times New Roman" w:eastAsia="Times New Roman" w:hAnsi="Times New Roman" w:cs="Times New Roman"/>
          <w:b/>
          <w:bCs/>
          <w:color w:val="000000" w:themeColor="text1"/>
          <w:lang w:eastAsia="en-GB"/>
        </w:rPr>
      </w:pPr>
      <w:r w:rsidRPr="008C1952">
        <w:rPr>
          <w:rFonts w:ascii="Times New Roman" w:eastAsia="Times New Roman" w:hAnsi="Times New Roman" w:cs="Times New Roman"/>
          <w:b/>
          <w:bCs/>
          <w:color w:val="000000" w:themeColor="text1"/>
          <w:lang w:eastAsia="en-GB"/>
        </w:rPr>
        <w:t>Supplementary Material</w:t>
      </w:r>
      <w:r w:rsidR="009C5AE9" w:rsidRPr="008C1952">
        <w:rPr>
          <w:rFonts w:ascii="Times New Roman" w:eastAsia="Times New Roman" w:hAnsi="Times New Roman" w:cs="Times New Roman"/>
          <w:b/>
          <w:bCs/>
          <w:color w:val="000000" w:themeColor="text1"/>
          <w:lang w:eastAsia="en-GB"/>
        </w:rPr>
        <w:t xml:space="preserve"> I</w:t>
      </w:r>
    </w:p>
    <w:sdt>
      <w:sdtPr>
        <w:rPr>
          <w:rFonts w:ascii="Times New Roman" w:eastAsiaTheme="minorEastAsia" w:hAnsi="Times New Roman" w:cs="Times New Roman"/>
          <w:color w:val="auto"/>
          <w:sz w:val="22"/>
          <w:szCs w:val="22"/>
          <w:lang w:val="it-IT" w:eastAsia="en-US"/>
        </w:rPr>
        <w:id w:val="-2048526294"/>
        <w:docPartObj>
          <w:docPartGallery w:val="Table of Contents"/>
          <w:docPartUnique/>
        </w:docPartObj>
      </w:sdtPr>
      <w:sdtEndPr>
        <w:rPr>
          <w:b/>
          <w:bCs/>
        </w:rPr>
      </w:sdtEndPr>
      <w:sdtContent>
        <w:p w14:paraId="4297E951" w14:textId="008C0C28" w:rsidR="00282C6E" w:rsidRPr="008C1952" w:rsidRDefault="00282C6E">
          <w:pPr>
            <w:pStyle w:val="Titolosommario"/>
            <w:rPr>
              <w:rFonts w:ascii="Times New Roman" w:hAnsi="Times New Roman" w:cs="Times New Roman"/>
              <w:sz w:val="22"/>
              <w:szCs w:val="22"/>
            </w:rPr>
          </w:pPr>
        </w:p>
        <w:p w14:paraId="0C13EF01" w14:textId="7F8087C6" w:rsidR="00AA6B37" w:rsidRPr="00AA6B37" w:rsidRDefault="00282C6E">
          <w:pPr>
            <w:pStyle w:val="Sommario1"/>
            <w:rPr>
              <w:rFonts w:ascii="Times New Roman" w:eastAsiaTheme="minorEastAsia" w:hAnsi="Times New Roman" w:cs="Times New Roman"/>
              <w:noProof/>
              <w:kern w:val="2"/>
              <w:sz w:val="24"/>
              <w:szCs w:val="24"/>
              <w:lang w:eastAsia="en-GB"/>
              <w14:ligatures w14:val="standardContextual"/>
            </w:rPr>
          </w:pPr>
          <w:r w:rsidRPr="008C1952">
            <w:fldChar w:fldCharType="begin"/>
          </w:r>
          <w:r w:rsidRPr="008C1952">
            <w:instrText xml:space="preserve"> TOC \o "1-3" \h \z \u </w:instrText>
          </w:r>
          <w:r w:rsidRPr="008C1952">
            <w:fldChar w:fldCharType="separate"/>
          </w:r>
          <w:hyperlink w:anchor="_Toc161844660" w:history="1">
            <w:r w:rsidR="00AA6B37" w:rsidRPr="00AA6B37">
              <w:rPr>
                <w:rStyle w:val="Collegamentoipertestuale"/>
                <w:rFonts w:ascii="Times New Roman" w:eastAsia="Times New Roman" w:hAnsi="Times New Roman" w:cs="Times New Roman"/>
                <w:b/>
                <w:bCs/>
                <w:noProof/>
                <w:lang w:eastAsia="en-GB"/>
              </w:rPr>
              <w:t>Section 1. Search strategy, data sources, screening process</w:t>
            </w:r>
            <w:r w:rsidR="00AA6B37" w:rsidRPr="00AA6B37">
              <w:rPr>
                <w:rFonts w:ascii="Times New Roman" w:hAnsi="Times New Roman" w:cs="Times New Roman"/>
                <w:noProof/>
                <w:webHidden/>
              </w:rPr>
              <w:tab/>
            </w:r>
            <w:r w:rsidR="00AA6B37" w:rsidRPr="00AA6B37">
              <w:rPr>
                <w:rFonts w:ascii="Times New Roman" w:hAnsi="Times New Roman" w:cs="Times New Roman"/>
                <w:noProof/>
                <w:webHidden/>
              </w:rPr>
              <w:fldChar w:fldCharType="begin"/>
            </w:r>
            <w:r w:rsidR="00AA6B37" w:rsidRPr="00AA6B37">
              <w:rPr>
                <w:rFonts w:ascii="Times New Roman" w:hAnsi="Times New Roman" w:cs="Times New Roman"/>
                <w:noProof/>
                <w:webHidden/>
              </w:rPr>
              <w:instrText xml:space="preserve"> PAGEREF _Toc161844660 \h </w:instrText>
            </w:r>
            <w:r w:rsidR="00AA6B37" w:rsidRPr="00AA6B37">
              <w:rPr>
                <w:rFonts w:ascii="Times New Roman" w:hAnsi="Times New Roman" w:cs="Times New Roman"/>
                <w:noProof/>
                <w:webHidden/>
              </w:rPr>
            </w:r>
            <w:r w:rsidR="00AA6B37" w:rsidRPr="00AA6B37">
              <w:rPr>
                <w:rFonts w:ascii="Times New Roman" w:hAnsi="Times New Roman" w:cs="Times New Roman"/>
                <w:noProof/>
                <w:webHidden/>
              </w:rPr>
              <w:fldChar w:fldCharType="separate"/>
            </w:r>
            <w:r w:rsidR="00AA6B37" w:rsidRPr="00AA6B37">
              <w:rPr>
                <w:rFonts w:ascii="Times New Roman" w:hAnsi="Times New Roman" w:cs="Times New Roman"/>
                <w:noProof/>
                <w:webHidden/>
              </w:rPr>
              <w:t>2</w:t>
            </w:r>
            <w:r w:rsidR="00AA6B37" w:rsidRPr="00AA6B37">
              <w:rPr>
                <w:rFonts w:ascii="Times New Roman" w:hAnsi="Times New Roman" w:cs="Times New Roman"/>
                <w:noProof/>
                <w:webHidden/>
              </w:rPr>
              <w:fldChar w:fldCharType="end"/>
            </w:r>
          </w:hyperlink>
        </w:p>
        <w:p w14:paraId="73C4BEAB" w14:textId="5AEA7BEC" w:rsidR="00AA6B37" w:rsidRPr="00AA6B37" w:rsidRDefault="00000000">
          <w:pPr>
            <w:pStyle w:val="Sommario1"/>
            <w:rPr>
              <w:rFonts w:ascii="Times New Roman" w:eastAsiaTheme="minorEastAsia" w:hAnsi="Times New Roman" w:cs="Times New Roman"/>
              <w:noProof/>
              <w:kern w:val="2"/>
              <w:sz w:val="24"/>
              <w:szCs w:val="24"/>
              <w:lang w:eastAsia="en-GB"/>
              <w14:ligatures w14:val="standardContextual"/>
            </w:rPr>
          </w:pPr>
          <w:hyperlink w:anchor="_Toc161844661" w:history="1">
            <w:r w:rsidR="00AA6B37" w:rsidRPr="00AA6B37">
              <w:rPr>
                <w:rStyle w:val="Collegamentoipertestuale"/>
                <w:rFonts w:ascii="Times New Roman" w:eastAsia="Times New Roman" w:hAnsi="Times New Roman" w:cs="Times New Roman"/>
                <w:b/>
                <w:bCs/>
                <w:noProof/>
                <w:lang w:eastAsia="en-GB"/>
              </w:rPr>
              <w:t>Section 2. Data extraction and Content Analysis</w:t>
            </w:r>
            <w:r w:rsidR="00AA6B37" w:rsidRPr="00AA6B37">
              <w:rPr>
                <w:rFonts w:ascii="Times New Roman" w:hAnsi="Times New Roman" w:cs="Times New Roman"/>
                <w:noProof/>
                <w:webHidden/>
              </w:rPr>
              <w:tab/>
            </w:r>
            <w:r w:rsidR="00AA6B37" w:rsidRPr="00AA6B37">
              <w:rPr>
                <w:rFonts w:ascii="Times New Roman" w:hAnsi="Times New Roman" w:cs="Times New Roman"/>
                <w:noProof/>
                <w:webHidden/>
              </w:rPr>
              <w:fldChar w:fldCharType="begin"/>
            </w:r>
            <w:r w:rsidR="00AA6B37" w:rsidRPr="00AA6B37">
              <w:rPr>
                <w:rFonts w:ascii="Times New Roman" w:hAnsi="Times New Roman" w:cs="Times New Roman"/>
                <w:noProof/>
                <w:webHidden/>
              </w:rPr>
              <w:instrText xml:space="preserve"> PAGEREF _Toc161844661 \h </w:instrText>
            </w:r>
            <w:r w:rsidR="00AA6B37" w:rsidRPr="00AA6B37">
              <w:rPr>
                <w:rFonts w:ascii="Times New Roman" w:hAnsi="Times New Roman" w:cs="Times New Roman"/>
                <w:noProof/>
                <w:webHidden/>
              </w:rPr>
            </w:r>
            <w:r w:rsidR="00AA6B37" w:rsidRPr="00AA6B37">
              <w:rPr>
                <w:rFonts w:ascii="Times New Roman" w:hAnsi="Times New Roman" w:cs="Times New Roman"/>
                <w:noProof/>
                <w:webHidden/>
              </w:rPr>
              <w:fldChar w:fldCharType="separate"/>
            </w:r>
            <w:r w:rsidR="00AA6B37" w:rsidRPr="00AA6B37">
              <w:rPr>
                <w:rFonts w:ascii="Times New Roman" w:hAnsi="Times New Roman" w:cs="Times New Roman"/>
                <w:noProof/>
                <w:webHidden/>
              </w:rPr>
              <w:t>6</w:t>
            </w:r>
            <w:r w:rsidR="00AA6B37" w:rsidRPr="00AA6B37">
              <w:rPr>
                <w:rFonts w:ascii="Times New Roman" w:hAnsi="Times New Roman" w:cs="Times New Roman"/>
                <w:noProof/>
                <w:webHidden/>
              </w:rPr>
              <w:fldChar w:fldCharType="end"/>
            </w:r>
          </w:hyperlink>
        </w:p>
        <w:p w14:paraId="5DD3A6FF" w14:textId="0A0DE87D" w:rsidR="00AA6B37" w:rsidRPr="00AA6B37" w:rsidRDefault="00000000">
          <w:pPr>
            <w:pStyle w:val="Sommario1"/>
            <w:rPr>
              <w:rFonts w:ascii="Times New Roman" w:eastAsiaTheme="minorEastAsia" w:hAnsi="Times New Roman" w:cs="Times New Roman"/>
              <w:noProof/>
              <w:kern w:val="2"/>
              <w:sz w:val="24"/>
              <w:szCs w:val="24"/>
              <w:lang w:eastAsia="en-GB"/>
              <w14:ligatures w14:val="standardContextual"/>
            </w:rPr>
          </w:pPr>
          <w:hyperlink w:anchor="_Toc161844662" w:history="1">
            <w:r w:rsidR="00AA6B37" w:rsidRPr="00AA6B37">
              <w:rPr>
                <w:rStyle w:val="Collegamentoipertestuale"/>
                <w:rFonts w:ascii="Times New Roman" w:hAnsi="Times New Roman" w:cs="Times New Roman"/>
                <w:b/>
                <w:bCs/>
                <w:noProof/>
              </w:rPr>
              <w:t>Section 3. Extent, range and nature of the collected evidence</w:t>
            </w:r>
            <w:r w:rsidR="00AA6B37" w:rsidRPr="00AA6B37">
              <w:rPr>
                <w:rFonts w:ascii="Times New Roman" w:hAnsi="Times New Roman" w:cs="Times New Roman"/>
                <w:noProof/>
                <w:webHidden/>
              </w:rPr>
              <w:tab/>
            </w:r>
            <w:r w:rsidR="00AA6B37" w:rsidRPr="00AA6B37">
              <w:rPr>
                <w:rFonts w:ascii="Times New Roman" w:hAnsi="Times New Roman" w:cs="Times New Roman"/>
                <w:noProof/>
                <w:webHidden/>
              </w:rPr>
              <w:fldChar w:fldCharType="begin"/>
            </w:r>
            <w:r w:rsidR="00AA6B37" w:rsidRPr="00AA6B37">
              <w:rPr>
                <w:rFonts w:ascii="Times New Roman" w:hAnsi="Times New Roman" w:cs="Times New Roman"/>
                <w:noProof/>
                <w:webHidden/>
              </w:rPr>
              <w:instrText xml:space="preserve"> PAGEREF _Toc161844662 \h </w:instrText>
            </w:r>
            <w:r w:rsidR="00AA6B37" w:rsidRPr="00AA6B37">
              <w:rPr>
                <w:rFonts w:ascii="Times New Roman" w:hAnsi="Times New Roman" w:cs="Times New Roman"/>
                <w:noProof/>
                <w:webHidden/>
              </w:rPr>
            </w:r>
            <w:r w:rsidR="00AA6B37" w:rsidRPr="00AA6B37">
              <w:rPr>
                <w:rFonts w:ascii="Times New Roman" w:hAnsi="Times New Roman" w:cs="Times New Roman"/>
                <w:noProof/>
                <w:webHidden/>
              </w:rPr>
              <w:fldChar w:fldCharType="separate"/>
            </w:r>
            <w:r w:rsidR="00AA6B37" w:rsidRPr="00AA6B37">
              <w:rPr>
                <w:rFonts w:ascii="Times New Roman" w:hAnsi="Times New Roman" w:cs="Times New Roman"/>
                <w:noProof/>
                <w:webHidden/>
              </w:rPr>
              <w:t>10</w:t>
            </w:r>
            <w:r w:rsidR="00AA6B37" w:rsidRPr="00AA6B37">
              <w:rPr>
                <w:rFonts w:ascii="Times New Roman" w:hAnsi="Times New Roman" w:cs="Times New Roman"/>
                <w:noProof/>
                <w:webHidden/>
              </w:rPr>
              <w:fldChar w:fldCharType="end"/>
            </w:r>
          </w:hyperlink>
        </w:p>
        <w:p w14:paraId="1BBA6EAA" w14:textId="155A352A" w:rsidR="00AA6B37" w:rsidRPr="00AA6B37" w:rsidRDefault="00000000">
          <w:pPr>
            <w:pStyle w:val="Sommario1"/>
            <w:rPr>
              <w:rFonts w:ascii="Times New Roman" w:eastAsiaTheme="minorEastAsia" w:hAnsi="Times New Roman" w:cs="Times New Roman"/>
              <w:noProof/>
              <w:kern w:val="2"/>
              <w:sz w:val="24"/>
              <w:szCs w:val="24"/>
              <w:lang w:eastAsia="en-GB"/>
              <w14:ligatures w14:val="standardContextual"/>
            </w:rPr>
          </w:pPr>
          <w:hyperlink w:anchor="_Toc161844663" w:history="1">
            <w:r w:rsidR="00AA6B37" w:rsidRPr="00AA6B37">
              <w:rPr>
                <w:rStyle w:val="Collegamentoipertestuale"/>
                <w:rFonts w:ascii="Times New Roman" w:hAnsi="Times New Roman" w:cs="Times New Roman"/>
                <w:b/>
                <w:bCs/>
                <w:noProof/>
              </w:rPr>
              <w:t>Section 4. How the literature envisions the concept of SFS after 2015?</w:t>
            </w:r>
            <w:r w:rsidR="00AA6B37" w:rsidRPr="00AA6B37">
              <w:rPr>
                <w:rFonts w:ascii="Times New Roman" w:hAnsi="Times New Roman" w:cs="Times New Roman"/>
                <w:noProof/>
                <w:webHidden/>
              </w:rPr>
              <w:tab/>
            </w:r>
            <w:r w:rsidR="00AA6B37" w:rsidRPr="00AA6B37">
              <w:rPr>
                <w:rFonts w:ascii="Times New Roman" w:hAnsi="Times New Roman" w:cs="Times New Roman"/>
                <w:noProof/>
                <w:webHidden/>
              </w:rPr>
              <w:fldChar w:fldCharType="begin"/>
            </w:r>
            <w:r w:rsidR="00AA6B37" w:rsidRPr="00AA6B37">
              <w:rPr>
                <w:rFonts w:ascii="Times New Roman" w:hAnsi="Times New Roman" w:cs="Times New Roman"/>
                <w:noProof/>
                <w:webHidden/>
              </w:rPr>
              <w:instrText xml:space="preserve"> PAGEREF _Toc161844663 \h </w:instrText>
            </w:r>
            <w:r w:rsidR="00AA6B37" w:rsidRPr="00AA6B37">
              <w:rPr>
                <w:rFonts w:ascii="Times New Roman" w:hAnsi="Times New Roman" w:cs="Times New Roman"/>
                <w:noProof/>
                <w:webHidden/>
              </w:rPr>
            </w:r>
            <w:r w:rsidR="00AA6B37" w:rsidRPr="00AA6B37">
              <w:rPr>
                <w:rFonts w:ascii="Times New Roman" w:hAnsi="Times New Roman" w:cs="Times New Roman"/>
                <w:noProof/>
                <w:webHidden/>
              </w:rPr>
              <w:fldChar w:fldCharType="separate"/>
            </w:r>
            <w:r w:rsidR="00AA6B37" w:rsidRPr="00AA6B37">
              <w:rPr>
                <w:rFonts w:ascii="Times New Roman" w:hAnsi="Times New Roman" w:cs="Times New Roman"/>
                <w:noProof/>
                <w:webHidden/>
              </w:rPr>
              <w:t>11</w:t>
            </w:r>
            <w:r w:rsidR="00AA6B37" w:rsidRPr="00AA6B37">
              <w:rPr>
                <w:rFonts w:ascii="Times New Roman" w:hAnsi="Times New Roman" w:cs="Times New Roman"/>
                <w:noProof/>
                <w:webHidden/>
              </w:rPr>
              <w:fldChar w:fldCharType="end"/>
            </w:r>
          </w:hyperlink>
        </w:p>
        <w:p w14:paraId="5A34240E" w14:textId="761311C7" w:rsidR="00AA6B37" w:rsidRPr="00AA6B37" w:rsidRDefault="00000000">
          <w:pPr>
            <w:pStyle w:val="Sommario1"/>
            <w:rPr>
              <w:rFonts w:ascii="Times New Roman" w:eastAsiaTheme="minorEastAsia" w:hAnsi="Times New Roman" w:cs="Times New Roman"/>
              <w:noProof/>
              <w:kern w:val="2"/>
              <w:sz w:val="24"/>
              <w:szCs w:val="24"/>
              <w:lang w:eastAsia="en-GB"/>
              <w14:ligatures w14:val="standardContextual"/>
            </w:rPr>
          </w:pPr>
          <w:hyperlink w:anchor="_Toc161844664" w:history="1">
            <w:r w:rsidR="00AA6B37" w:rsidRPr="00AA6B37">
              <w:rPr>
                <w:rStyle w:val="Collegamentoipertestuale"/>
                <w:rFonts w:ascii="Times New Roman" w:eastAsia="Times New Roman" w:hAnsi="Times New Roman" w:cs="Times New Roman"/>
                <w:b/>
                <w:bCs/>
                <w:noProof/>
              </w:rPr>
              <w:t>Section 4.</w:t>
            </w:r>
            <w:r w:rsidR="00AA6B37" w:rsidRPr="00AA6B37">
              <w:rPr>
                <w:rStyle w:val="Collegamentoipertestuale"/>
                <w:rFonts w:ascii="Times New Roman" w:hAnsi="Times New Roman" w:cs="Times New Roman"/>
                <w:noProof/>
              </w:rPr>
              <w:t xml:space="preserve"> </w:t>
            </w:r>
            <w:r w:rsidR="00AA6B37" w:rsidRPr="00AA6B37">
              <w:rPr>
                <w:rStyle w:val="Collegamentoipertestuale"/>
                <w:rFonts w:ascii="Times New Roman" w:eastAsia="Times New Roman" w:hAnsi="Times New Roman" w:cs="Times New Roman"/>
                <w:b/>
                <w:bCs/>
                <w:noProof/>
              </w:rPr>
              <w:t xml:space="preserve">Leveraging a sustainable food system transformation to advance the </w:t>
            </w:r>
            <w:r w:rsidR="00ED3846">
              <w:rPr>
                <w:rStyle w:val="Collegamentoipertestuale"/>
                <w:rFonts w:ascii="Times New Roman" w:eastAsia="Times New Roman" w:hAnsi="Times New Roman" w:cs="Times New Roman"/>
                <w:b/>
                <w:bCs/>
                <w:noProof/>
              </w:rPr>
              <w:t>SDG</w:t>
            </w:r>
            <w:r w:rsidR="00AA6B37" w:rsidRPr="00AA6B37">
              <w:rPr>
                <w:rFonts w:ascii="Times New Roman" w:hAnsi="Times New Roman" w:cs="Times New Roman"/>
                <w:noProof/>
                <w:webHidden/>
              </w:rPr>
              <w:tab/>
            </w:r>
            <w:r w:rsidR="00AA6B37" w:rsidRPr="00AA6B37">
              <w:rPr>
                <w:rFonts w:ascii="Times New Roman" w:hAnsi="Times New Roman" w:cs="Times New Roman"/>
                <w:noProof/>
                <w:webHidden/>
              </w:rPr>
              <w:fldChar w:fldCharType="begin"/>
            </w:r>
            <w:r w:rsidR="00AA6B37" w:rsidRPr="00AA6B37">
              <w:rPr>
                <w:rFonts w:ascii="Times New Roman" w:hAnsi="Times New Roman" w:cs="Times New Roman"/>
                <w:noProof/>
                <w:webHidden/>
              </w:rPr>
              <w:instrText xml:space="preserve"> PAGEREF _Toc161844664 \h </w:instrText>
            </w:r>
            <w:r w:rsidR="00AA6B37" w:rsidRPr="00AA6B37">
              <w:rPr>
                <w:rFonts w:ascii="Times New Roman" w:hAnsi="Times New Roman" w:cs="Times New Roman"/>
                <w:noProof/>
                <w:webHidden/>
              </w:rPr>
            </w:r>
            <w:r w:rsidR="00AA6B37" w:rsidRPr="00AA6B37">
              <w:rPr>
                <w:rFonts w:ascii="Times New Roman" w:hAnsi="Times New Roman" w:cs="Times New Roman"/>
                <w:noProof/>
                <w:webHidden/>
              </w:rPr>
              <w:fldChar w:fldCharType="separate"/>
            </w:r>
            <w:r w:rsidR="00AA6B37" w:rsidRPr="00AA6B37">
              <w:rPr>
                <w:rFonts w:ascii="Times New Roman" w:hAnsi="Times New Roman" w:cs="Times New Roman"/>
                <w:noProof/>
                <w:webHidden/>
              </w:rPr>
              <w:t>16</w:t>
            </w:r>
            <w:r w:rsidR="00AA6B37" w:rsidRPr="00AA6B37">
              <w:rPr>
                <w:rFonts w:ascii="Times New Roman" w:hAnsi="Times New Roman" w:cs="Times New Roman"/>
                <w:noProof/>
                <w:webHidden/>
              </w:rPr>
              <w:fldChar w:fldCharType="end"/>
            </w:r>
          </w:hyperlink>
        </w:p>
        <w:p w14:paraId="1D58250C" w14:textId="563848B9" w:rsidR="00AA6B37" w:rsidRPr="00AA6B37" w:rsidRDefault="00000000">
          <w:pPr>
            <w:pStyle w:val="Sommario1"/>
            <w:rPr>
              <w:rFonts w:ascii="Times New Roman" w:eastAsiaTheme="minorEastAsia" w:hAnsi="Times New Roman" w:cs="Times New Roman"/>
              <w:noProof/>
              <w:kern w:val="2"/>
              <w:sz w:val="24"/>
              <w:szCs w:val="24"/>
              <w:lang w:eastAsia="en-GB"/>
              <w14:ligatures w14:val="standardContextual"/>
            </w:rPr>
          </w:pPr>
          <w:hyperlink w:anchor="_Toc161844665" w:history="1">
            <w:r w:rsidR="00AA6B37" w:rsidRPr="00AA6B37">
              <w:rPr>
                <w:rStyle w:val="Collegamentoipertestuale"/>
                <w:rFonts w:ascii="Times New Roman" w:eastAsia="Times New Roman" w:hAnsi="Times New Roman" w:cs="Times New Roman"/>
                <w:b/>
                <w:bCs/>
                <w:noProof/>
              </w:rPr>
              <w:t>Section 5.</w:t>
            </w:r>
            <w:r w:rsidR="00AA6B37" w:rsidRPr="00AA6B37">
              <w:rPr>
                <w:rStyle w:val="Collegamentoipertestuale"/>
                <w:rFonts w:ascii="Times New Roman" w:hAnsi="Times New Roman" w:cs="Times New Roman"/>
                <w:noProof/>
              </w:rPr>
              <w:t xml:space="preserve"> </w:t>
            </w:r>
            <w:r w:rsidR="00AA6B37" w:rsidRPr="00AA6B37">
              <w:rPr>
                <w:rStyle w:val="Collegamentoipertestuale"/>
                <w:rFonts w:ascii="Times New Roman" w:eastAsia="Times New Roman" w:hAnsi="Times New Roman" w:cs="Times New Roman"/>
                <w:b/>
                <w:bCs/>
                <w:noProof/>
              </w:rPr>
              <w:t>References</w:t>
            </w:r>
            <w:r w:rsidR="00AA6B37" w:rsidRPr="00AA6B37">
              <w:rPr>
                <w:rFonts w:ascii="Times New Roman" w:hAnsi="Times New Roman" w:cs="Times New Roman"/>
                <w:noProof/>
                <w:webHidden/>
              </w:rPr>
              <w:tab/>
            </w:r>
            <w:r w:rsidR="00AA6B37" w:rsidRPr="00AA6B37">
              <w:rPr>
                <w:rFonts w:ascii="Times New Roman" w:hAnsi="Times New Roman" w:cs="Times New Roman"/>
                <w:noProof/>
                <w:webHidden/>
              </w:rPr>
              <w:fldChar w:fldCharType="begin"/>
            </w:r>
            <w:r w:rsidR="00AA6B37" w:rsidRPr="00AA6B37">
              <w:rPr>
                <w:rFonts w:ascii="Times New Roman" w:hAnsi="Times New Roman" w:cs="Times New Roman"/>
                <w:noProof/>
                <w:webHidden/>
              </w:rPr>
              <w:instrText xml:space="preserve"> PAGEREF _Toc161844665 \h </w:instrText>
            </w:r>
            <w:r w:rsidR="00AA6B37" w:rsidRPr="00AA6B37">
              <w:rPr>
                <w:rFonts w:ascii="Times New Roman" w:hAnsi="Times New Roman" w:cs="Times New Roman"/>
                <w:noProof/>
                <w:webHidden/>
              </w:rPr>
            </w:r>
            <w:r w:rsidR="00AA6B37" w:rsidRPr="00AA6B37">
              <w:rPr>
                <w:rFonts w:ascii="Times New Roman" w:hAnsi="Times New Roman" w:cs="Times New Roman"/>
                <w:noProof/>
                <w:webHidden/>
              </w:rPr>
              <w:fldChar w:fldCharType="separate"/>
            </w:r>
            <w:r w:rsidR="00AA6B37" w:rsidRPr="00AA6B37">
              <w:rPr>
                <w:rFonts w:ascii="Times New Roman" w:hAnsi="Times New Roman" w:cs="Times New Roman"/>
                <w:noProof/>
                <w:webHidden/>
              </w:rPr>
              <w:t>19</w:t>
            </w:r>
            <w:r w:rsidR="00AA6B37" w:rsidRPr="00AA6B37">
              <w:rPr>
                <w:rFonts w:ascii="Times New Roman" w:hAnsi="Times New Roman" w:cs="Times New Roman"/>
                <w:noProof/>
                <w:webHidden/>
              </w:rPr>
              <w:fldChar w:fldCharType="end"/>
            </w:r>
          </w:hyperlink>
        </w:p>
        <w:p w14:paraId="58DE8FD5" w14:textId="59920FC7" w:rsidR="00282C6E" w:rsidRPr="008C1952" w:rsidRDefault="00282C6E" w:rsidP="00A53A43">
          <w:pPr>
            <w:spacing w:after="0"/>
            <w:rPr>
              <w:rFonts w:ascii="Times New Roman" w:hAnsi="Times New Roman" w:cs="Times New Roman"/>
            </w:rPr>
          </w:pPr>
          <w:r w:rsidRPr="008C1952">
            <w:rPr>
              <w:rFonts w:ascii="Times New Roman" w:hAnsi="Times New Roman" w:cs="Times New Roman"/>
              <w:b/>
              <w:bCs/>
              <w:lang w:val="it-IT"/>
            </w:rPr>
            <w:fldChar w:fldCharType="end"/>
          </w:r>
        </w:p>
      </w:sdtContent>
    </w:sdt>
    <w:p w14:paraId="0B7A32DD" w14:textId="755A0596" w:rsidR="00282C6E" w:rsidRPr="008C1952" w:rsidRDefault="00282C6E">
      <w:pPr>
        <w:pStyle w:val="Indicedellefigure"/>
        <w:tabs>
          <w:tab w:val="right" w:leader="dot" w:pos="9016"/>
        </w:tabs>
        <w:rPr>
          <w:rFonts w:ascii="Times New Roman" w:eastAsia="Times New Roman" w:hAnsi="Times New Roman" w:cs="Times New Roman"/>
          <w:b/>
          <w:bCs/>
          <w:color w:val="000000" w:themeColor="text1"/>
          <w:lang w:eastAsia="en-GB"/>
        </w:rPr>
      </w:pPr>
      <w:r w:rsidRPr="008C1952">
        <w:rPr>
          <w:rFonts w:ascii="Times New Roman" w:eastAsia="Times New Roman" w:hAnsi="Times New Roman" w:cs="Times New Roman"/>
          <w:b/>
          <w:bCs/>
          <w:color w:val="000000" w:themeColor="text1"/>
          <w:lang w:eastAsia="en-GB"/>
        </w:rPr>
        <w:t xml:space="preserve">List of Tables </w:t>
      </w:r>
    </w:p>
    <w:p w14:paraId="322797EA" w14:textId="5DDE0DBF" w:rsidR="00ED5893" w:rsidRDefault="00282C6E">
      <w:pPr>
        <w:pStyle w:val="Indicedellefigure"/>
        <w:tabs>
          <w:tab w:val="right" w:leader="dot" w:pos="9016"/>
        </w:tabs>
        <w:rPr>
          <w:rFonts w:eastAsiaTheme="minorEastAsia"/>
          <w:noProof/>
          <w:kern w:val="2"/>
          <w:sz w:val="24"/>
          <w:szCs w:val="24"/>
          <w:lang w:eastAsia="en-GB"/>
          <w14:ligatures w14:val="standardContextual"/>
        </w:rPr>
      </w:pPr>
      <w:r w:rsidRPr="4D315CD9">
        <w:rPr>
          <w:rFonts w:ascii="Times New Roman" w:eastAsia="Times New Roman" w:hAnsi="Times New Roman" w:cs="Times New Roman"/>
          <w:b/>
          <w:bCs/>
          <w:color w:val="000000" w:themeColor="text1"/>
          <w:lang w:eastAsia="en-GB"/>
        </w:rPr>
        <w:fldChar w:fldCharType="begin"/>
      </w:r>
      <w:r w:rsidRPr="00CC01B0">
        <w:rPr>
          <w:rFonts w:ascii="Times New Roman" w:eastAsia="Times New Roman" w:hAnsi="Times New Roman" w:cs="Times New Roman"/>
          <w:b/>
          <w:bCs/>
          <w:color w:val="000000" w:themeColor="text1"/>
          <w:lang w:eastAsia="en-GB"/>
        </w:rPr>
        <w:instrText xml:space="preserve"> TOC \h \z \c "Supplementary Table" </w:instrText>
      </w:r>
      <w:r w:rsidRPr="4D315CD9">
        <w:rPr>
          <w:rFonts w:ascii="Times New Roman" w:eastAsia="Times New Roman" w:hAnsi="Times New Roman" w:cs="Times New Roman"/>
          <w:b/>
          <w:bCs/>
          <w:color w:val="000000" w:themeColor="text1"/>
          <w:lang w:eastAsia="en-GB"/>
        </w:rPr>
        <w:fldChar w:fldCharType="separate"/>
      </w:r>
      <w:hyperlink w:anchor="_Toc166589540" w:history="1">
        <w:r w:rsidR="00ED5893" w:rsidRPr="008F3F07">
          <w:rPr>
            <w:rStyle w:val="Collegamentoipertestuale"/>
            <w:rFonts w:ascii="Times New Roman" w:hAnsi="Times New Roman" w:cs="Times New Roman"/>
            <w:b/>
            <w:bCs/>
            <w:noProof/>
          </w:rPr>
          <w:t>Supplementary Table A.</w:t>
        </w:r>
        <w:r w:rsidR="00ED5893" w:rsidRPr="008F3F07">
          <w:rPr>
            <w:rStyle w:val="Collegamentoipertestuale"/>
            <w:rFonts w:ascii="Times New Roman" w:hAnsi="Times New Roman" w:cs="Times New Roman"/>
            <w:noProof/>
          </w:rPr>
          <w:t xml:space="preserve"> Description of databases and search queries</w:t>
        </w:r>
        <w:r w:rsidR="00ED5893">
          <w:rPr>
            <w:noProof/>
            <w:webHidden/>
          </w:rPr>
          <w:tab/>
        </w:r>
        <w:r w:rsidR="00ED5893">
          <w:rPr>
            <w:noProof/>
            <w:webHidden/>
          </w:rPr>
          <w:fldChar w:fldCharType="begin"/>
        </w:r>
        <w:r w:rsidR="00ED5893">
          <w:rPr>
            <w:noProof/>
            <w:webHidden/>
          </w:rPr>
          <w:instrText xml:space="preserve"> PAGEREF _Toc166589540 \h </w:instrText>
        </w:r>
        <w:r w:rsidR="00ED5893">
          <w:rPr>
            <w:noProof/>
            <w:webHidden/>
          </w:rPr>
        </w:r>
        <w:r w:rsidR="00ED5893">
          <w:rPr>
            <w:noProof/>
            <w:webHidden/>
          </w:rPr>
          <w:fldChar w:fldCharType="separate"/>
        </w:r>
        <w:r w:rsidR="00ED5893">
          <w:rPr>
            <w:noProof/>
            <w:webHidden/>
          </w:rPr>
          <w:t>2</w:t>
        </w:r>
        <w:r w:rsidR="00ED5893">
          <w:rPr>
            <w:noProof/>
            <w:webHidden/>
          </w:rPr>
          <w:fldChar w:fldCharType="end"/>
        </w:r>
      </w:hyperlink>
    </w:p>
    <w:p w14:paraId="33FBB909" w14:textId="483BA216"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41" w:history="1">
        <w:r w:rsidR="00ED5893" w:rsidRPr="008F3F07">
          <w:rPr>
            <w:rStyle w:val="Collegamentoipertestuale"/>
            <w:rFonts w:ascii="Times New Roman" w:hAnsi="Times New Roman" w:cs="Times New Roman"/>
            <w:b/>
            <w:bCs/>
            <w:noProof/>
          </w:rPr>
          <w:t xml:space="preserve">Supplementary Table B. </w:t>
        </w:r>
        <w:r w:rsidR="00ED5893" w:rsidRPr="008F3F07">
          <w:rPr>
            <w:rStyle w:val="Collegamentoipertestuale"/>
            <w:rFonts w:ascii="Times New Roman" w:hAnsi="Times New Roman" w:cs="Times New Roman"/>
            <w:noProof/>
          </w:rPr>
          <w:t>Including and excluding criteria</w:t>
        </w:r>
        <w:r w:rsidR="00ED5893">
          <w:rPr>
            <w:noProof/>
            <w:webHidden/>
          </w:rPr>
          <w:tab/>
        </w:r>
        <w:r w:rsidR="00ED5893">
          <w:rPr>
            <w:noProof/>
            <w:webHidden/>
          </w:rPr>
          <w:fldChar w:fldCharType="begin"/>
        </w:r>
        <w:r w:rsidR="00ED5893">
          <w:rPr>
            <w:noProof/>
            <w:webHidden/>
          </w:rPr>
          <w:instrText xml:space="preserve"> PAGEREF _Toc166589541 \h </w:instrText>
        </w:r>
        <w:r w:rsidR="00ED5893">
          <w:rPr>
            <w:noProof/>
            <w:webHidden/>
          </w:rPr>
        </w:r>
        <w:r w:rsidR="00ED5893">
          <w:rPr>
            <w:noProof/>
            <w:webHidden/>
          </w:rPr>
          <w:fldChar w:fldCharType="separate"/>
        </w:r>
        <w:r w:rsidR="00ED5893">
          <w:rPr>
            <w:noProof/>
            <w:webHidden/>
          </w:rPr>
          <w:t>2</w:t>
        </w:r>
        <w:r w:rsidR="00ED5893">
          <w:rPr>
            <w:noProof/>
            <w:webHidden/>
          </w:rPr>
          <w:fldChar w:fldCharType="end"/>
        </w:r>
      </w:hyperlink>
    </w:p>
    <w:p w14:paraId="5AF65D9E" w14:textId="5C48FB3C"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42" w:history="1">
        <w:r w:rsidR="00ED5893" w:rsidRPr="008F3F07">
          <w:rPr>
            <w:rStyle w:val="Collegamentoipertestuale"/>
            <w:rFonts w:ascii="Times New Roman" w:hAnsi="Times New Roman" w:cs="Times New Roman"/>
            <w:b/>
            <w:bCs/>
            <w:noProof/>
          </w:rPr>
          <w:t>Supplementary Table C.</w:t>
        </w:r>
        <w:r w:rsidR="00ED5893" w:rsidRPr="008F3F07">
          <w:rPr>
            <w:rStyle w:val="Collegamentoipertestuale"/>
            <w:rFonts w:ascii="Times New Roman" w:hAnsi="Times New Roman" w:cs="Times New Roman"/>
            <w:noProof/>
          </w:rPr>
          <w:t xml:space="preserve"> Bibliography of the 94 studies resulted from PRISMA methodology.</w:t>
        </w:r>
        <w:r w:rsidR="00ED5893">
          <w:rPr>
            <w:noProof/>
            <w:webHidden/>
          </w:rPr>
          <w:tab/>
        </w:r>
        <w:r w:rsidR="00ED5893">
          <w:rPr>
            <w:noProof/>
            <w:webHidden/>
          </w:rPr>
          <w:fldChar w:fldCharType="begin"/>
        </w:r>
        <w:r w:rsidR="00ED5893">
          <w:rPr>
            <w:noProof/>
            <w:webHidden/>
          </w:rPr>
          <w:instrText xml:space="preserve"> PAGEREF _Toc166589542 \h </w:instrText>
        </w:r>
        <w:r w:rsidR="00ED5893">
          <w:rPr>
            <w:noProof/>
            <w:webHidden/>
          </w:rPr>
        </w:r>
        <w:r w:rsidR="00ED5893">
          <w:rPr>
            <w:noProof/>
            <w:webHidden/>
          </w:rPr>
          <w:fldChar w:fldCharType="separate"/>
        </w:r>
        <w:r w:rsidR="00ED5893">
          <w:rPr>
            <w:noProof/>
            <w:webHidden/>
          </w:rPr>
          <w:t>4</w:t>
        </w:r>
        <w:r w:rsidR="00ED5893">
          <w:rPr>
            <w:noProof/>
            <w:webHidden/>
          </w:rPr>
          <w:fldChar w:fldCharType="end"/>
        </w:r>
      </w:hyperlink>
    </w:p>
    <w:p w14:paraId="38725DF3" w14:textId="6FC8BA56"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43" w:history="1">
        <w:r w:rsidR="00ED5893" w:rsidRPr="008F3F07">
          <w:rPr>
            <w:rStyle w:val="Collegamentoipertestuale"/>
            <w:rFonts w:ascii="Times New Roman" w:hAnsi="Times New Roman" w:cs="Times New Roman"/>
            <w:b/>
            <w:bCs/>
            <w:noProof/>
          </w:rPr>
          <w:t>Supplementary Table D</w:t>
        </w:r>
        <w:r w:rsidR="00ED5893" w:rsidRPr="008F3F07">
          <w:rPr>
            <w:rStyle w:val="Collegamentoipertestuale"/>
            <w:rFonts w:ascii="Times New Roman" w:hAnsi="Times New Roman" w:cs="Times New Roman"/>
            <w:noProof/>
          </w:rPr>
          <w:t>. Glossary of the terms used for content analysis.</w:t>
        </w:r>
        <w:r w:rsidR="00ED5893">
          <w:rPr>
            <w:noProof/>
            <w:webHidden/>
          </w:rPr>
          <w:tab/>
        </w:r>
        <w:r w:rsidR="00ED5893">
          <w:rPr>
            <w:noProof/>
            <w:webHidden/>
          </w:rPr>
          <w:fldChar w:fldCharType="begin"/>
        </w:r>
        <w:r w:rsidR="00ED5893">
          <w:rPr>
            <w:noProof/>
            <w:webHidden/>
          </w:rPr>
          <w:instrText xml:space="preserve"> PAGEREF _Toc166589543 \h </w:instrText>
        </w:r>
        <w:r w:rsidR="00ED5893">
          <w:rPr>
            <w:noProof/>
            <w:webHidden/>
          </w:rPr>
        </w:r>
        <w:r w:rsidR="00ED5893">
          <w:rPr>
            <w:noProof/>
            <w:webHidden/>
          </w:rPr>
          <w:fldChar w:fldCharType="separate"/>
        </w:r>
        <w:r w:rsidR="00ED5893">
          <w:rPr>
            <w:noProof/>
            <w:webHidden/>
          </w:rPr>
          <w:t>7</w:t>
        </w:r>
        <w:r w:rsidR="00ED5893">
          <w:rPr>
            <w:noProof/>
            <w:webHidden/>
          </w:rPr>
          <w:fldChar w:fldCharType="end"/>
        </w:r>
      </w:hyperlink>
    </w:p>
    <w:p w14:paraId="168B0E2B" w14:textId="33CC926A"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44" w:history="1">
        <w:r w:rsidR="00ED5893" w:rsidRPr="008F3F07">
          <w:rPr>
            <w:rStyle w:val="Collegamentoipertestuale"/>
            <w:rFonts w:ascii="Times New Roman" w:hAnsi="Times New Roman" w:cs="Times New Roman"/>
            <w:b/>
            <w:bCs/>
            <w:noProof/>
          </w:rPr>
          <w:t>Supplementary Table E.</w:t>
        </w:r>
        <w:r w:rsidR="00ED5893" w:rsidRPr="008F3F07">
          <w:rPr>
            <w:rStyle w:val="Collegamentoipertestuale"/>
            <w:rFonts w:ascii="Times New Roman" w:hAnsi="Times New Roman" w:cs="Times New Roman"/>
            <w:noProof/>
          </w:rPr>
          <w:t xml:space="preserve"> Examples of data analysis for sustainability categories</w:t>
        </w:r>
        <w:r w:rsidR="00ED5893">
          <w:rPr>
            <w:noProof/>
            <w:webHidden/>
          </w:rPr>
          <w:tab/>
        </w:r>
        <w:r w:rsidR="00ED5893">
          <w:rPr>
            <w:noProof/>
            <w:webHidden/>
          </w:rPr>
          <w:fldChar w:fldCharType="begin"/>
        </w:r>
        <w:r w:rsidR="00ED5893">
          <w:rPr>
            <w:noProof/>
            <w:webHidden/>
          </w:rPr>
          <w:instrText xml:space="preserve"> PAGEREF _Toc166589544 \h </w:instrText>
        </w:r>
        <w:r w:rsidR="00ED5893">
          <w:rPr>
            <w:noProof/>
            <w:webHidden/>
          </w:rPr>
        </w:r>
        <w:r w:rsidR="00ED5893">
          <w:rPr>
            <w:noProof/>
            <w:webHidden/>
          </w:rPr>
          <w:fldChar w:fldCharType="separate"/>
        </w:r>
        <w:r w:rsidR="00ED5893">
          <w:rPr>
            <w:noProof/>
            <w:webHidden/>
          </w:rPr>
          <w:t>7</w:t>
        </w:r>
        <w:r w:rsidR="00ED5893">
          <w:rPr>
            <w:noProof/>
            <w:webHidden/>
          </w:rPr>
          <w:fldChar w:fldCharType="end"/>
        </w:r>
      </w:hyperlink>
    </w:p>
    <w:p w14:paraId="6FAB47C2" w14:textId="2565F65B"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45" w:history="1">
        <w:r w:rsidR="00ED5893" w:rsidRPr="008F3F07">
          <w:rPr>
            <w:rStyle w:val="Collegamentoipertestuale"/>
            <w:rFonts w:ascii="Times New Roman" w:hAnsi="Times New Roman" w:cs="Times New Roman"/>
            <w:b/>
            <w:bCs/>
            <w:noProof/>
          </w:rPr>
          <w:t>Supplementary Table F.</w:t>
        </w:r>
        <w:r w:rsidR="00ED5893" w:rsidRPr="008F3F07">
          <w:rPr>
            <w:rStyle w:val="Collegamentoipertestuale"/>
            <w:rFonts w:ascii="Times New Roman" w:hAnsi="Times New Roman" w:cs="Times New Roman"/>
            <w:noProof/>
          </w:rPr>
          <w:t xml:space="preserve"> Examples of data analysis for lock-ins and leverage points</w:t>
        </w:r>
        <w:r w:rsidR="00ED5893">
          <w:rPr>
            <w:noProof/>
            <w:webHidden/>
          </w:rPr>
          <w:tab/>
        </w:r>
        <w:r w:rsidR="00ED5893">
          <w:rPr>
            <w:noProof/>
            <w:webHidden/>
          </w:rPr>
          <w:fldChar w:fldCharType="begin"/>
        </w:r>
        <w:r w:rsidR="00ED5893">
          <w:rPr>
            <w:noProof/>
            <w:webHidden/>
          </w:rPr>
          <w:instrText xml:space="preserve"> PAGEREF _Toc166589545 \h </w:instrText>
        </w:r>
        <w:r w:rsidR="00ED5893">
          <w:rPr>
            <w:noProof/>
            <w:webHidden/>
          </w:rPr>
        </w:r>
        <w:r w:rsidR="00ED5893">
          <w:rPr>
            <w:noProof/>
            <w:webHidden/>
          </w:rPr>
          <w:fldChar w:fldCharType="separate"/>
        </w:r>
        <w:r w:rsidR="00ED5893">
          <w:rPr>
            <w:noProof/>
            <w:webHidden/>
          </w:rPr>
          <w:t>7</w:t>
        </w:r>
        <w:r w:rsidR="00ED5893">
          <w:rPr>
            <w:noProof/>
            <w:webHidden/>
          </w:rPr>
          <w:fldChar w:fldCharType="end"/>
        </w:r>
      </w:hyperlink>
    </w:p>
    <w:p w14:paraId="18ECC9E7" w14:textId="0CE75EC4"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46" w:history="1">
        <w:r w:rsidR="00ED5893" w:rsidRPr="008F3F07">
          <w:rPr>
            <w:rStyle w:val="Collegamentoipertestuale"/>
            <w:rFonts w:ascii="Times New Roman" w:hAnsi="Times New Roman" w:cs="Times New Roman"/>
            <w:b/>
            <w:bCs/>
            <w:noProof/>
          </w:rPr>
          <w:t>Supplementary Table G.</w:t>
        </w:r>
        <w:r w:rsidR="00ED5893" w:rsidRPr="008F3F07">
          <w:rPr>
            <w:rStyle w:val="Collegamentoipertestuale"/>
            <w:rFonts w:ascii="Times New Roman" w:hAnsi="Times New Roman" w:cs="Times New Roman"/>
            <w:noProof/>
          </w:rPr>
          <w:t xml:space="preserve"> Description of failures based on (Klein Woolthuis et al., 2005; Weber and Rohracher, 2012)</w:t>
        </w:r>
        <w:r w:rsidR="00ED5893">
          <w:rPr>
            <w:noProof/>
            <w:webHidden/>
          </w:rPr>
          <w:tab/>
        </w:r>
        <w:r w:rsidR="00ED5893">
          <w:rPr>
            <w:noProof/>
            <w:webHidden/>
          </w:rPr>
          <w:fldChar w:fldCharType="begin"/>
        </w:r>
        <w:r w:rsidR="00ED5893">
          <w:rPr>
            <w:noProof/>
            <w:webHidden/>
          </w:rPr>
          <w:instrText xml:space="preserve"> PAGEREF _Toc166589546 \h </w:instrText>
        </w:r>
        <w:r w:rsidR="00ED5893">
          <w:rPr>
            <w:noProof/>
            <w:webHidden/>
          </w:rPr>
        </w:r>
        <w:r w:rsidR="00ED5893">
          <w:rPr>
            <w:noProof/>
            <w:webHidden/>
          </w:rPr>
          <w:fldChar w:fldCharType="separate"/>
        </w:r>
        <w:r w:rsidR="00ED5893">
          <w:rPr>
            <w:noProof/>
            <w:webHidden/>
          </w:rPr>
          <w:t>8</w:t>
        </w:r>
        <w:r w:rsidR="00ED5893">
          <w:rPr>
            <w:noProof/>
            <w:webHidden/>
          </w:rPr>
          <w:fldChar w:fldCharType="end"/>
        </w:r>
      </w:hyperlink>
    </w:p>
    <w:p w14:paraId="4F0A5019" w14:textId="34B57902"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47" w:history="1">
        <w:r w:rsidR="00ED5893" w:rsidRPr="008F3F07">
          <w:rPr>
            <w:rStyle w:val="Collegamentoipertestuale"/>
            <w:rFonts w:ascii="Times New Roman" w:hAnsi="Times New Roman" w:cs="Times New Roman"/>
            <w:b/>
            <w:bCs/>
            <w:noProof/>
          </w:rPr>
          <w:t>Supplementary Table H.</w:t>
        </w:r>
        <w:r w:rsidR="00ED5893" w:rsidRPr="008F3F07">
          <w:rPr>
            <w:rStyle w:val="Collegamentoipertestuale"/>
            <w:rFonts w:ascii="Times New Roman" w:hAnsi="Times New Roman" w:cs="Times New Roman"/>
            <w:noProof/>
          </w:rPr>
          <w:t xml:space="preserve"> Description of Leverage Points for systemic interventions from the least to the most effective based on (Meadows, 1999)</w:t>
        </w:r>
        <w:r w:rsidR="00ED5893">
          <w:rPr>
            <w:noProof/>
            <w:webHidden/>
          </w:rPr>
          <w:tab/>
        </w:r>
        <w:r w:rsidR="00ED5893">
          <w:rPr>
            <w:noProof/>
            <w:webHidden/>
          </w:rPr>
          <w:fldChar w:fldCharType="begin"/>
        </w:r>
        <w:r w:rsidR="00ED5893">
          <w:rPr>
            <w:noProof/>
            <w:webHidden/>
          </w:rPr>
          <w:instrText xml:space="preserve"> PAGEREF _Toc166589547 \h </w:instrText>
        </w:r>
        <w:r w:rsidR="00ED5893">
          <w:rPr>
            <w:noProof/>
            <w:webHidden/>
          </w:rPr>
        </w:r>
        <w:r w:rsidR="00ED5893">
          <w:rPr>
            <w:noProof/>
            <w:webHidden/>
          </w:rPr>
          <w:fldChar w:fldCharType="separate"/>
        </w:r>
        <w:r w:rsidR="00ED5893">
          <w:rPr>
            <w:noProof/>
            <w:webHidden/>
          </w:rPr>
          <w:t>8</w:t>
        </w:r>
        <w:r w:rsidR="00ED5893">
          <w:rPr>
            <w:noProof/>
            <w:webHidden/>
          </w:rPr>
          <w:fldChar w:fldCharType="end"/>
        </w:r>
      </w:hyperlink>
    </w:p>
    <w:p w14:paraId="59AFBD3A" w14:textId="76A3ED40"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48" w:history="1">
        <w:r w:rsidR="00ED5893" w:rsidRPr="008F3F07">
          <w:rPr>
            <w:rStyle w:val="Collegamentoipertestuale"/>
            <w:rFonts w:ascii="Times New Roman" w:hAnsi="Times New Roman" w:cs="Times New Roman"/>
            <w:b/>
            <w:bCs/>
            <w:noProof/>
          </w:rPr>
          <w:t>Supplementary Table I.</w:t>
        </w:r>
        <w:r w:rsidR="00ED5893" w:rsidRPr="008F3F07">
          <w:rPr>
            <w:rStyle w:val="Collegamentoipertestuale"/>
            <w:rFonts w:ascii="Times New Roman" w:hAnsi="Times New Roman" w:cs="Times New Roman"/>
            <w:noProof/>
          </w:rPr>
          <w:t xml:space="preserve"> Records information (type of documents, geographical scope, methodology).</w:t>
        </w:r>
        <w:r w:rsidR="00ED5893">
          <w:rPr>
            <w:noProof/>
            <w:webHidden/>
          </w:rPr>
          <w:tab/>
        </w:r>
        <w:r w:rsidR="00ED5893">
          <w:rPr>
            <w:noProof/>
            <w:webHidden/>
          </w:rPr>
          <w:fldChar w:fldCharType="begin"/>
        </w:r>
        <w:r w:rsidR="00ED5893">
          <w:rPr>
            <w:noProof/>
            <w:webHidden/>
          </w:rPr>
          <w:instrText xml:space="preserve"> PAGEREF _Toc166589548 \h </w:instrText>
        </w:r>
        <w:r w:rsidR="00ED5893">
          <w:rPr>
            <w:noProof/>
            <w:webHidden/>
          </w:rPr>
        </w:r>
        <w:r w:rsidR="00ED5893">
          <w:rPr>
            <w:noProof/>
            <w:webHidden/>
          </w:rPr>
          <w:fldChar w:fldCharType="separate"/>
        </w:r>
        <w:r w:rsidR="00ED5893">
          <w:rPr>
            <w:noProof/>
            <w:webHidden/>
          </w:rPr>
          <w:t>10</w:t>
        </w:r>
        <w:r w:rsidR="00ED5893">
          <w:rPr>
            <w:noProof/>
            <w:webHidden/>
          </w:rPr>
          <w:fldChar w:fldCharType="end"/>
        </w:r>
      </w:hyperlink>
    </w:p>
    <w:p w14:paraId="45FB345C" w14:textId="3170C74F"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49" w:history="1">
        <w:r w:rsidR="00ED5893" w:rsidRPr="008F3F07">
          <w:rPr>
            <w:rStyle w:val="Collegamentoipertestuale"/>
            <w:rFonts w:ascii="Times New Roman" w:hAnsi="Times New Roman" w:cs="Times New Roman"/>
            <w:b/>
            <w:bCs/>
            <w:noProof/>
          </w:rPr>
          <w:t>Supplementary Table J.</w:t>
        </w:r>
        <w:r w:rsidR="00ED5893" w:rsidRPr="008F3F07">
          <w:rPr>
            <w:rStyle w:val="Collegamentoipertestuale"/>
            <w:rFonts w:ascii="Times New Roman" w:hAnsi="Times New Roman" w:cs="Times New Roman"/>
            <w:noProof/>
          </w:rPr>
          <w:t xml:space="preserve"> Overview of the sustainability definitions provided in the scientific documents.</w:t>
        </w:r>
        <w:r w:rsidR="00ED5893">
          <w:rPr>
            <w:noProof/>
            <w:webHidden/>
          </w:rPr>
          <w:tab/>
        </w:r>
        <w:r w:rsidR="00ED5893">
          <w:rPr>
            <w:noProof/>
            <w:webHidden/>
          </w:rPr>
          <w:fldChar w:fldCharType="begin"/>
        </w:r>
        <w:r w:rsidR="00ED5893">
          <w:rPr>
            <w:noProof/>
            <w:webHidden/>
          </w:rPr>
          <w:instrText xml:space="preserve"> PAGEREF _Toc166589549 \h </w:instrText>
        </w:r>
        <w:r w:rsidR="00ED5893">
          <w:rPr>
            <w:noProof/>
            <w:webHidden/>
          </w:rPr>
        </w:r>
        <w:r w:rsidR="00ED5893">
          <w:rPr>
            <w:noProof/>
            <w:webHidden/>
          </w:rPr>
          <w:fldChar w:fldCharType="separate"/>
        </w:r>
        <w:r w:rsidR="00ED5893">
          <w:rPr>
            <w:noProof/>
            <w:webHidden/>
          </w:rPr>
          <w:t>11</w:t>
        </w:r>
        <w:r w:rsidR="00ED5893">
          <w:rPr>
            <w:noProof/>
            <w:webHidden/>
          </w:rPr>
          <w:fldChar w:fldCharType="end"/>
        </w:r>
      </w:hyperlink>
    </w:p>
    <w:p w14:paraId="5114828A" w14:textId="401E033F"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50" w:history="1">
        <w:r w:rsidR="00ED5893" w:rsidRPr="008F3F07">
          <w:rPr>
            <w:rStyle w:val="Collegamentoipertestuale"/>
            <w:rFonts w:ascii="Times New Roman" w:hAnsi="Times New Roman" w:cs="Times New Roman"/>
            <w:b/>
            <w:noProof/>
          </w:rPr>
          <w:t>Supplementary Table K</w:t>
        </w:r>
        <w:r w:rsidR="00ED5893" w:rsidRPr="008F3F07">
          <w:rPr>
            <w:rStyle w:val="Collegamentoipertestuale"/>
            <w:rFonts w:ascii="Times New Roman" w:hAnsi="Times New Roman" w:cs="Times New Roman"/>
            <w:noProof/>
          </w:rPr>
          <w:t>. Description of sustainability objectives and associated concepts based on keywords clusters</w:t>
        </w:r>
        <w:r w:rsidR="00ED5893">
          <w:rPr>
            <w:noProof/>
            <w:webHidden/>
          </w:rPr>
          <w:tab/>
        </w:r>
        <w:r w:rsidR="00ED5893">
          <w:rPr>
            <w:noProof/>
            <w:webHidden/>
          </w:rPr>
          <w:fldChar w:fldCharType="begin"/>
        </w:r>
        <w:r w:rsidR="00ED5893">
          <w:rPr>
            <w:noProof/>
            <w:webHidden/>
          </w:rPr>
          <w:instrText xml:space="preserve"> PAGEREF _Toc166589550 \h </w:instrText>
        </w:r>
        <w:r w:rsidR="00ED5893">
          <w:rPr>
            <w:noProof/>
            <w:webHidden/>
          </w:rPr>
        </w:r>
        <w:r w:rsidR="00ED5893">
          <w:rPr>
            <w:noProof/>
            <w:webHidden/>
          </w:rPr>
          <w:fldChar w:fldCharType="separate"/>
        </w:r>
        <w:r w:rsidR="00ED5893">
          <w:rPr>
            <w:noProof/>
            <w:webHidden/>
          </w:rPr>
          <w:t>13</w:t>
        </w:r>
        <w:r w:rsidR="00ED5893">
          <w:rPr>
            <w:noProof/>
            <w:webHidden/>
          </w:rPr>
          <w:fldChar w:fldCharType="end"/>
        </w:r>
      </w:hyperlink>
    </w:p>
    <w:p w14:paraId="1AE0CF29" w14:textId="0CB93E05"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51" w:history="1">
        <w:r w:rsidR="00ED5893" w:rsidRPr="008F3F07">
          <w:rPr>
            <w:rStyle w:val="Collegamentoipertestuale"/>
            <w:rFonts w:ascii="Times New Roman" w:hAnsi="Times New Roman" w:cs="Times New Roman"/>
            <w:b/>
            <w:noProof/>
          </w:rPr>
          <w:t>Supplementary Table L</w:t>
        </w:r>
        <w:r w:rsidR="00ED5893" w:rsidRPr="008F3F07">
          <w:rPr>
            <w:rStyle w:val="Collegamentoipertestuale"/>
            <w:rFonts w:ascii="Times New Roman" w:hAnsi="Times New Roman" w:cs="Times New Roman"/>
            <w:noProof/>
          </w:rPr>
          <w:t>. Qualitative association of sustainability objectives with SDG goals and targets</w:t>
        </w:r>
        <w:r w:rsidR="00ED5893">
          <w:rPr>
            <w:noProof/>
            <w:webHidden/>
          </w:rPr>
          <w:tab/>
        </w:r>
        <w:r w:rsidR="00ED5893">
          <w:rPr>
            <w:noProof/>
            <w:webHidden/>
          </w:rPr>
          <w:fldChar w:fldCharType="begin"/>
        </w:r>
        <w:r w:rsidR="00ED5893">
          <w:rPr>
            <w:noProof/>
            <w:webHidden/>
          </w:rPr>
          <w:instrText xml:space="preserve"> PAGEREF _Toc166589551 \h </w:instrText>
        </w:r>
        <w:r w:rsidR="00ED5893">
          <w:rPr>
            <w:noProof/>
            <w:webHidden/>
          </w:rPr>
        </w:r>
        <w:r w:rsidR="00ED5893">
          <w:rPr>
            <w:noProof/>
            <w:webHidden/>
          </w:rPr>
          <w:fldChar w:fldCharType="separate"/>
        </w:r>
        <w:r w:rsidR="00ED5893">
          <w:rPr>
            <w:noProof/>
            <w:webHidden/>
          </w:rPr>
          <w:t>16</w:t>
        </w:r>
        <w:r w:rsidR="00ED5893">
          <w:rPr>
            <w:noProof/>
            <w:webHidden/>
          </w:rPr>
          <w:fldChar w:fldCharType="end"/>
        </w:r>
      </w:hyperlink>
    </w:p>
    <w:p w14:paraId="474447D6" w14:textId="3D78285E" w:rsidR="00282C6E" w:rsidRPr="00CC01B0" w:rsidRDefault="00282C6E" w:rsidP="00282C6E">
      <w:pPr>
        <w:rPr>
          <w:rFonts w:ascii="Times New Roman" w:eastAsia="Times New Roman" w:hAnsi="Times New Roman" w:cs="Times New Roman"/>
          <w:b/>
          <w:bCs/>
          <w:color w:val="000000" w:themeColor="text1"/>
          <w:lang w:eastAsia="en-GB"/>
        </w:rPr>
      </w:pPr>
      <w:r w:rsidRPr="4D315CD9">
        <w:rPr>
          <w:rFonts w:ascii="Times New Roman" w:eastAsia="Times New Roman" w:hAnsi="Times New Roman" w:cs="Times New Roman"/>
          <w:b/>
          <w:bCs/>
          <w:color w:val="000000" w:themeColor="text1"/>
          <w:lang w:eastAsia="en-GB"/>
        </w:rPr>
        <w:fldChar w:fldCharType="end"/>
      </w:r>
    </w:p>
    <w:p w14:paraId="58132931" w14:textId="77777777" w:rsidR="00ED5893" w:rsidRDefault="00282C6E" w:rsidP="00AA6B37">
      <w:pPr>
        <w:spacing w:after="0"/>
        <w:rPr>
          <w:noProof/>
        </w:rPr>
      </w:pPr>
      <w:r w:rsidRPr="4D315CD9">
        <w:rPr>
          <w:rFonts w:ascii="Times New Roman" w:eastAsia="Times New Roman" w:hAnsi="Times New Roman" w:cs="Times New Roman"/>
          <w:b/>
          <w:bCs/>
          <w:color w:val="000000" w:themeColor="text1"/>
          <w:lang w:eastAsia="en-GB"/>
        </w:rPr>
        <w:t xml:space="preserve">List of Figures </w:t>
      </w:r>
      <w:r w:rsidRPr="4D315CD9">
        <w:rPr>
          <w:rFonts w:ascii="Times New Roman" w:eastAsia="Times New Roman" w:hAnsi="Times New Roman" w:cs="Times New Roman"/>
          <w:b/>
          <w:bCs/>
          <w:color w:val="000000" w:themeColor="text1"/>
          <w:lang w:eastAsia="en-GB"/>
        </w:rPr>
        <w:fldChar w:fldCharType="begin"/>
      </w:r>
      <w:r w:rsidRPr="4D315CD9">
        <w:rPr>
          <w:rFonts w:ascii="Times New Roman" w:eastAsia="Times New Roman" w:hAnsi="Times New Roman" w:cs="Times New Roman"/>
          <w:b/>
          <w:bCs/>
          <w:color w:val="000000" w:themeColor="text1"/>
          <w:lang w:eastAsia="en-GB"/>
        </w:rPr>
        <w:instrText xml:space="preserve"> TOC \h \z \c "Supplementary Figure " </w:instrText>
      </w:r>
      <w:r w:rsidRPr="4D315CD9">
        <w:rPr>
          <w:rFonts w:ascii="Times New Roman" w:eastAsia="Times New Roman" w:hAnsi="Times New Roman" w:cs="Times New Roman"/>
          <w:b/>
          <w:bCs/>
          <w:color w:val="000000" w:themeColor="text1"/>
          <w:lang w:eastAsia="en-GB"/>
        </w:rPr>
        <w:fldChar w:fldCharType="separate"/>
      </w:r>
    </w:p>
    <w:p w14:paraId="72202938" w14:textId="7D77EFA8"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52" w:history="1">
        <w:r w:rsidR="00ED5893" w:rsidRPr="009D1B06">
          <w:rPr>
            <w:rStyle w:val="Collegamentoipertestuale"/>
            <w:rFonts w:ascii="Times New Roman" w:hAnsi="Times New Roman" w:cs="Times New Roman"/>
            <w:b/>
            <w:bCs/>
            <w:noProof/>
          </w:rPr>
          <w:t>Supplementary Figure  A.</w:t>
        </w:r>
        <w:r w:rsidR="00ED5893" w:rsidRPr="009D1B06">
          <w:rPr>
            <w:rStyle w:val="Collegamentoipertestuale"/>
            <w:rFonts w:ascii="Times New Roman" w:hAnsi="Times New Roman" w:cs="Times New Roman"/>
            <w:noProof/>
          </w:rPr>
          <w:t xml:space="preserve"> PRISMA flow chart. Process of selection of eligible documents</w:t>
        </w:r>
        <w:r w:rsidR="00ED5893">
          <w:rPr>
            <w:noProof/>
            <w:webHidden/>
          </w:rPr>
          <w:tab/>
        </w:r>
        <w:r w:rsidR="00ED5893">
          <w:rPr>
            <w:noProof/>
            <w:webHidden/>
          </w:rPr>
          <w:fldChar w:fldCharType="begin"/>
        </w:r>
        <w:r w:rsidR="00ED5893">
          <w:rPr>
            <w:noProof/>
            <w:webHidden/>
          </w:rPr>
          <w:instrText xml:space="preserve"> PAGEREF _Toc166589552 \h </w:instrText>
        </w:r>
        <w:r w:rsidR="00ED5893">
          <w:rPr>
            <w:noProof/>
            <w:webHidden/>
          </w:rPr>
        </w:r>
        <w:r w:rsidR="00ED5893">
          <w:rPr>
            <w:noProof/>
            <w:webHidden/>
          </w:rPr>
          <w:fldChar w:fldCharType="separate"/>
        </w:r>
        <w:r w:rsidR="00ED5893">
          <w:rPr>
            <w:noProof/>
            <w:webHidden/>
          </w:rPr>
          <w:t>3</w:t>
        </w:r>
        <w:r w:rsidR="00ED5893">
          <w:rPr>
            <w:noProof/>
            <w:webHidden/>
          </w:rPr>
          <w:fldChar w:fldCharType="end"/>
        </w:r>
      </w:hyperlink>
    </w:p>
    <w:p w14:paraId="56DA432D" w14:textId="06B26D53"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53" w:history="1">
        <w:r w:rsidR="00ED5893" w:rsidRPr="009D1B06">
          <w:rPr>
            <w:rStyle w:val="Collegamentoipertestuale"/>
            <w:rFonts w:ascii="Times New Roman" w:hAnsi="Times New Roman" w:cs="Times New Roman"/>
            <w:b/>
            <w:bCs/>
            <w:noProof/>
          </w:rPr>
          <w:t>Supplementary Figure  B.</w:t>
        </w:r>
        <w:r w:rsidR="00ED5893" w:rsidRPr="009D1B06">
          <w:rPr>
            <w:rStyle w:val="Collegamentoipertestuale"/>
            <w:rFonts w:ascii="Times New Roman" w:hAnsi="Times New Roman" w:cs="Times New Roman"/>
            <w:noProof/>
          </w:rPr>
          <w:t xml:space="preserve"> Framework for concept coding</w:t>
        </w:r>
        <w:r w:rsidR="00ED5893">
          <w:rPr>
            <w:noProof/>
            <w:webHidden/>
          </w:rPr>
          <w:tab/>
        </w:r>
        <w:r w:rsidR="00ED5893">
          <w:rPr>
            <w:noProof/>
            <w:webHidden/>
          </w:rPr>
          <w:fldChar w:fldCharType="begin"/>
        </w:r>
        <w:r w:rsidR="00ED5893">
          <w:rPr>
            <w:noProof/>
            <w:webHidden/>
          </w:rPr>
          <w:instrText xml:space="preserve"> PAGEREF _Toc166589553 \h </w:instrText>
        </w:r>
        <w:r w:rsidR="00ED5893">
          <w:rPr>
            <w:noProof/>
            <w:webHidden/>
          </w:rPr>
        </w:r>
        <w:r w:rsidR="00ED5893">
          <w:rPr>
            <w:noProof/>
            <w:webHidden/>
          </w:rPr>
          <w:fldChar w:fldCharType="separate"/>
        </w:r>
        <w:r w:rsidR="00ED5893">
          <w:rPr>
            <w:noProof/>
            <w:webHidden/>
          </w:rPr>
          <w:t>6</w:t>
        </w:r>
        <w:r w:rsidR="00ED5893">
          <w:rPr>
            <w:noProof/>
            <w:webHidden/>
          </w:rPr>
          <w:fldChar w:fldCharType="end"/>
        </w:r>
      </w:hyperlink>
    </w:p>
    <w:p w14:paraId="0E4FFCAD" w14:textId="457ADD8A"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54" w:history="1">
        <w:r w:rsidR="00ED5893" w:rsidRPr="009D1B06">
          <w:rPr>
            <w:rStyle w:val="Collegamentoipertestuale"/>
            <w:rFonts w:ascii="Times New Roman" w:hAnsi="Times New Roman" w:cs="Times New Roman"/>
            <w:b/>
            <w:bCs/>
            <w:noProof/>
          </w:rPr>
          <w:t>Supplementary Figure C.</w:t>
        </w:r>
        <w:r w:rsidR="00ED5893" w:rsidRPr="009D1B06">
          <w:rPr>
            <w:rStyle w:val="Collegamentoipertestuale"/>
            <w:rFonts w:ascii="Times New Roman" w:hAnsi="Times New Roman" w:cs="Times New Roman"/>
            <w:noProof/>
          </w:rPr>
          <w:t xml:space="preserve"> Framework for lock-ins classification based on (Geels, 2019; Weber and Rohracher, 2012)</w:t>
        </w:r>
        <w:r w:rsidR="00ED5893">
          <w:rPr>
            <w:noProof/>
            <w:webHidden/>
          </w:rPr>
          <w:tab/>
        </w:r>
        <w:r w:rsidR="00ED5893">
          <w:rPr>
            <w:noProof/>
            <w:webHidden/>
          </w:rPr>
          <w:fldChar w:fldCharType="begin"/>
        </w:r>
        <w:r w:rsidR="00ED5893">
          <w:rPr>
            <w:noProof/>
            <w:webHidden/>
          </w:rPr>
          <w:instrText xml:space="preserve"> PAGEREF _Toc166589554 \h </w:instrText>
        </w:r>
        <w:r w:rsidR="00ED5893">
          <w:rPr>
            <w:noProof/>
            <w:webHidden/>
          </w:rPr>
        </w:r>
        <w:r w:rsidR="00ED5893">
          <w:rPr>
            <w:noProof/>
            <w:webHidden/>
          </w:rPr>
          <w:fldChar w:fldCharType="separate"/>
        </w:r>
        <w:r w:rsidR="00ED5893">
          <w:rPr>
            <w:noProof/>
            <w:webHidden/>
          </w:rPr>
          <w:t>8</w:t>
        </w:r>
        <w:r w:rsidR="00ED5893">
          <w:rPr>
            <w:noProof/>
            <w:webHidden/>
          </w:rPr>
          <w:fldChar w:fldCharType="end"/>
        </w:r>
      </w:hyperlink>
    </w:p>
    <w:p w14:paraId="2D9D3ED5" w14:textId="11D42D3A"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55" w:history="1">
        <w:r w:rsidR="00ED5893" w:rsidRPr="009D1B06">
          <w:rPr>
            <w:rStyle w:val="Collegamentoipertestuale"/>
            <w:rFonts w:ascii="Times New Roman" w:hAnsi="Times New Roman" w:cs="Times New Roman"/>
            <w:b/>
            <w:bCs/>
            <w:noProof/>
          </w:rPr>
          <w:t>Supplementary Figure  D.</w:t>
        </w:r>
        <w:r w:rsidR="00ED5893" w:rsidRPr="009D1B06">
          <w:rPr>
            <w:rStyle w:val="Collegamentoipertestuale"/>
            <w:rFonts w:ascii="Times New Roman" w:hAnsi="Times New Roman" w:cs="Times New Roman"/>
            <w:noProof/>
          </w:rPr>
          <w:t xml:space="preserve"> Scientific production trend after 2015. Source: Authors</w:t>
        </w:r>
        <w:r w:rsidR="00ED5893">
          <w:rPr>
            <w:noProof/>
            <w:webHidden/>
          </w:rPr>
          <w:tab/>
        </w:r>
        <w:r w:rsidR="00ED5893">
          <w:rPr>
            <w:noProof/>
            <w:webHidden/>
          </w:rPr>
          <w:fldChar w:fldCharType="begin"/>
        </w:r>
        <w:r w:rsidR="00ED5893">
          <w:rPr>
            <w:noProof/>
            <w:webHidden/>
          </w:rPr>
          <w:instrText xml:space="preserve"> PAGEREF _Toc166589555 \h </w:instrText>
        </w:r>
        <w:r w:rsidR="00ED5893">
          <w:rPr>
            <w:noProof/>
            <w:webHidden/>
          </w:rPr>
        </w:r>
        <w:r w:rsidR="00ED5893">
          <w:rPr>
            <w:noProof/>
            <w:webHidden/>
          </w:rPr>
          <w:fldChar w:fldCharType="separate"/>
        </w:r>
        <w:r w:rsidR="00ED5893">
          <w:rPr>
            <w:noProof/>
            <w:webHidden/>
          </w:rPr>
          <w:t>11</w:t>
        </w:r>
        <w:r w:rsidR="00ED5893">
          <w:rPr>
            <w:noProof/>
            <w:webHidden/>
          </w:rPr>
          <w:fldChar w:fldCharType="end"/>
        </w:r>
      </w:hyperlink>
    </w:p>
    <w:p w14:paraId="04803DE2" w14:textId="6C3D35F7" w:rsidR="00ED5893" w:rsidRDefault="00000000">
      <w:pPr>
        <w:pStyle w:val="Indicedellefigure"/>
        <w:tabs>
          <w:tab w:val="right" w:leader="dot" w:pos="9016"/>
        </w:tabs>
        <w:rPr>
          <w:rFonts w:eastAsiaTheme="minorEastAsia"/>
          <w:noProof/>
          <w:kern w:val="2"/>
          <w:sz w:val="24"/>
          <w:szCs w:val="24"/>
          <w:lang w:eastAsia="en-GB"/>
          <w14:ligatures w14:val="standardContextual"/>
        </w:rPr>
      </w:pPr>
      <w:hyperlink w:anchor="_Toc166589556" w:history="1">
        <w:r w:rsidR="00ED5893" w:rsidRPr="009D1B06">
          <w:rPr>
            <w:rStyle w:val="Collegamentoipertestuale"/>
            <w:rFonts w:ascii="Times New Roman" w:hAnsi="Times New Roman" w:cs="Times New Roman"/>
            <w:b/>
            <w:noProof/>
          </w:rPr>
          <w:t>Supplementary Figure  F.</w:t>
        </w:r>
        <w:r w:rsidR="00ED5893" w:rsidRPr="009D1B06">
          <w:rPr>
            <w:rStyle w:val="Collegamentoipertestuale"/>
            <w:rFonts w:ascii="Times New Roman" w:hAnsi="Times New Roman" w:cs="Times New Roman"/>
            <w:noProof/>
          </w:rPr>
          <w:t xml:space="preserve"> Interlinkages among SDG targets associated to sustainability objectives. Red: trade-offs; Blu: synergies; Light red: mixed (linkages reported as trade-offs or synergies in different publications</w:t>
        </w:r>
        <w:r w:rsidR="00ED5893" w:rsidRPr="009D1B06">
          <w:rPr>
            <w:rStyle w:val="Collegamentoipertestuale"/>
            <w:rFonts w:ascii="Times New Roman" w:hAnsi="Times New Roman" w:cs="Times New Roman"/>
            <w:i/>
            <w:noProof/>
          </w:rPr>
          <w:t xml:space="preserve">). </w:t>
        </w:r>
        <w:r w:rsidR="00ED5893" w:rsidRPr="009D1B06">
          <w:rPr>
            <w:rStyle w:val="Collegamentoipertestuale"/>
            <w:rFonts w:ascii="Times New Roman" w:hAnsi="Times New Roman" w:cs="Times New Roman"/>
            <w:noProof/>
          </w:rPr>
          <w:t>Based on JRC SDG Interlinkages Tool.</w:t>
        </w:r>
        <w:r w:rsidR="00ED5893">
          <w:rPr>
            <w:noProof/>
            <w:webHidden/>
          </w:rPr>
          <w:tab/>
        </w:r>
        <w:r w:rsidR="00ED5893">
          <w:rPr>
            <w:noProof/>
            <w:webHidden/>
          </w:rPr>
          <w:fldChar w:fldCharType="begin"/>
        </w:r>
        <w:r w:rsidR="00ED5893">
          <w:rPr>
            <w:noProof/>
            <w:webHidden/>
          </w:rPr>
          <w:instrText xml:space="preserve"> PAGEREF _Toc166589556 \h </w:instrText>
        </w:r>
        <w:r w:rsidR="00ED5893">
          <w:rPr>
            <w:noProof/>
            <w:webHidden/>
          </w:rPr>
        </w:r>
        <w:r w:rsidR="00ED5893">
          <w:rPr>
            <w:noProof/>
            <w:webHidden/>
          </w:rPr>
          <w:fldChar w:fldCharType="separate"/>
        </w:r>
        <w:r w:rsidR="00ED5893">
          <w:rPr>
            <w:noProof/>
            <w:webHidden/>
          </w:rPr>
          <w:t>18</w:t>
        </w:r>
        <w:r w:rsidR="00ED5893">
          <w:rPr>
            <w:noProof/>
            <w:webHidden/>
          </w:rPr>
          <w:fldChar w:fldCharType="end"/>
        </w:r>
      </w:hyperlink>
    </w:p>
    <w:p w14:paraId="5AD4C69B" w14:textId="4DA10679" w:rsidR="00F60EFC" w:rsidRDefault="00282C6E" w:rsidP="00282C6E">
      <w:pPr>
        <w:rPr>
          <w:rFonts w:ascii="Times New Roman" w:eastAsia="Times New Roman" w:hAnsi="Times New Roman" w:cs="Times New Roman"/>
          <w:b/>
          <w:bCs/>
          <w:color w:val="000000" w:themeColor="text1"/>
          <w:sz w:val="16"/>
          <w:szCs w:val="16"/>
          <w:lang w:eastAsia="en-GB"/>
        </w:rPr>
        <w:sectPr w:rsidR="00F60EFC" w:rsidSect="00EB48E7">
          <w:headerReference w:type="default" r:id="rId11"/>
          <w:footerReference w:type="default" r:id="rId12"/>
          <w:pgSz w:w="11906" w:h="16838"/>
          <w:pgMar w:top="1440" w:right="1440" w:bottom="1440" w:left="1440" w:header="708" w:footer="708" w:gutter="0"/>
          <w:cols w:space="708"/>
          <w:docGrid w:linePitch="360"/>
        </w:sectPr>
      </w:pPr>
      <w:r w:rsidRPr="4D315CD9">
        <w:rPr>
          <w:rFonts w:ascii="Times New Roman" w:eastAsia="Times New Roman" w:hAnsi="Times New Roman" w:cs="Times New Roman"/>
          <w:b/>
          <w:bCs/>
          <w:color w:val="000000" w:themeColor="text1"/>
          <w:lang w:eastAsia="en-GB"/>
        </w:rPr>
        <w:fldChar w:fldCharType="end"/>
      </w:r>
    </w:p>
    <w:p w14:paraId="7D508B1B" w14:textId="7CC74F38" w:rsidR="00092586" w:rsidRPr="008C1952" w:rsidRDefault="00092586" w:rsidP="00282C6E">
      <w:pPr>
        <w:pStyle w:val="Titolo1"/>
        <w:rPr>
          <w:rFonts w:ascii="Times New Roman" w:eastAsia="Times New Roman" w:hAnsi="Times New Roman" w:cs="Times New Roman"/>
          <w:b/>
          <w:bCs/>
          <w:color w:val="auto"/>
          <w:sz w:val="22"/>
          <w:szCs w:val="22"/>
          <w:lang w:eastAsia="en-GB"/>
        </w:rPr>
      </w:pPr>
      <w:bookmarkStart w:id="1" w:name="_Toc161844660"/>
      <w:r w:rsidRPr="008C1952">
        <w:rPr>
          <w:rFonts w:ascii="Times New Roman" w:eastAsia="Times New Roman" w:hAnsi="Times New Roman" w:cs="Times New Roman"/>
          <w:b/>
          <w:bCs/>
          <w:color w:val="auto"/>
          <w:sz w:val="22"/>
          <w:szCs w:val="22"/>
          <w:lang w:eastAsia="en-GB"/>
        </w:rPr>
        <w:lastRenderedPageBreak/>
        <w:t>Section 1. Search strategy, data sources, screening process</w:t>
      </w:r>
      <w:bookmarkEnd w:id="1"/>
    </w:p>
    <w:p w14:paraId="15F5926F" w14:textId="5DDB0032" w:rsidR="00092586" w:rsidRPr="008C1952" w:rsidRDefault="00092586" w:rsidP="000F1B43">
      <w:pPr>
        <w:pStyle w:val="Didascalia"/>
        <w:keepNext/>
        <w:rPr>
          <w:rFonts w:ascii="Times New Roman" w:hAnsi="Times New Roman" w:cs="Times New Roman"/>
          <w:i w:val="0"/>
          <w:iCs w:val="0"/>
          <w:color w:val="auto"/>
          <w:sz w:val="16"/>
          <w:szCs w:val="16"/>
        </w:rPr>
      </w:pPr>
      <w:bookmarkStart w:id="2" w:name="_Toc166589540"/>
      <w:r w:rsidRPr="008C1952">
        <w:rPr>
          <w:rFonts w:ascii="Times New Roman" w:hAnsi="Times New Roman" w:cs="Times New Roman"/>
          <w:b/>
          <w:bCs/>
          <w:i w:val="0"/>
          <w:iCs w:val="0"/>
          <w:color w:val="auto"/>
          <w:sz w:val="16"/>
          <w:szCs w:val="16"/>
        </w:rPr>
        <w:t xml:space="preserve">Supplementary Table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Supplementary_Table \* ALPHABETIC </w:instrText>
      </w:r>
      <w:r w:rsidR="00F60EFC">
        <w:rPr>
          <w:rFonts w:ascii="Times New Roman" w:hAnsi="Times New Roman" w:cs="Times New Roman"/>
          <w:b/>
          <w:bCs/>
          <w:i w:val="0"/>
          <w:iCs w:val="0"/>
          <w:color w:val="auto"/>
          <w:sz w:val="16"/>
          <w:szCs w:val="16"/>
        </w:rPr>
        <w:fldChar w:fldCharType="separate"/>
      </w:r>
      <w:r w:rsidR="00F60EFC">
        <w:rPr>
          <w:rFonts w:ascii="Times New Roman" w:hAnsi="Times New Roman" w:cs="Times New Roman"/>
          <w:b/>
          <w:bCs/>
          <w:i w:val="0"/>
          <w:iCs w:val="0"/>
          <w:noProof/>
          <w:color w:val="auto"/>
          <w:sz w:val="16"/>
          <w:szCs w:val="16"/>
        </w:rPr>
        <w:t>A</w:t>
      </w:r>
      <w:r w:rsidR="00F60EFC">
        <w:rPr>
          <w:rFonts w:ascii="Times New Roman" w:hAnsi="Times New Roman" w:cs="Times New Roman"/>
          <w:b/>
          <w:bCs/>
          <w:i w:val="0"/>
          <w:iCs w:val="0"/>
          <w:color w:val="auto"/>
          <w:sz w:val="16"/>
          <w:szCs w:val="16"/>
        </w:rPr>
        <w:fldChar w:fldCharType="end"/>
      </w:r>
      <w:r w:rsidRPr="008C1952">
        <w:rPr>
          <w:rFonts w:ascii="Times New Roman" w:hAnsi="Times New Roman" w:cs="Times New Roman"/>
          <w:b/>
          <w:bCs/>
          <w:i w:val="0"/>
          <w:iCs w:val="0"/>
          <w:color w:val="auto"/>
          <w:sz w:val="16"/>
          <w:szCs w:val="16"/>
        </w:rPr>
        <w:t>.</w:t>
      </w:r>
      <w:r w:rsidRPr="008C1952">
        <w:rPr>
          <w:rFonts w:ascii="Times New Roman" w:hAnsi="Times New Roman" w:cs="Times New Roman"/>
          <w:i w:val="0"/>
          <w:iCs w:val="0"/>
          <w:color w:val="auto"/>
          <w:sz w:val="16"/>
          <w:szCs w:val="16"/>
        </w:rPr>
        <w:t xml:space="preserve"> Description of databases and search queries</w:t>
      </w:r>
      <w:bookmarkEnd w:id="2"/>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1"/>
        <w:gridCol w:w="6902"/>
        <w:gridCol w:w="1213"/>
      </w:tblGrid>
      <w:tr w:rsidR="00092586" w:rsidRPr="008C1952" w14:paraId="1964EB16" w14:textId="77777777" w:rsidTr="00311827">
        <w:tc>
          <w:tcPr>
            <w:tcW w:w="911" w:type="dxa"/>
            <w:tcBorders>
              <w:top w:val="single" w:sz="4" w:space="0" w:color="auto"/>
              <w:bottom w:val="single" w:sz="4" w:space="0" w:color="auto"/>
            </w:tcBorders>
          </w:tcPr>
          <w:p w14:paraId="08FF571D" w14:textId="77777777" w:rsidR="00092586" w:rsidRPr="008C1952" w:rsidRDefault="00092586" w:rsidP="004C3787">
            <w:pPr>
              <w:rPr>
                <w:rFonts w:ascii="Times New Roman" w:eastAsia="Times New Roman" w:hAnsi="Times New Roman" w:cs="Times New Roman"/>
                <w:b/>
                <w:bCs/>
                <w:color w:val="000000" w:themeColor="text1"/>
                <w:lang w:eastAsia="en-GB"/>
              </w:rPr>
            </w:pPr>
            <w:r w:rsidRPr="008C1952">
              <w:rPr>
                <w:rFonts w:ascii="Times New Roman" w:eastAsia="Times New Roman" w:hAnsi="Times New Roman" w:cs="Times New Roman"/>
                <w:b/>
                <w:bCs/>
                <w:color w:val="000000" w:themeColor="text1"/>
                <w:lang w:eastAsia="en-GB"/>
              </w:rPr>
              <w:t>Database</w:t>
            </w:r>
          </w:p>
        </w:tc>
        <w:tc>
          <w:tcPr>
            <w:tcW w:w="6902" w:type="dxa"/>
            <w:tcBorders>
              <w:top w:val="single" w:sz="4" w:space="0" w:color="auto"/>
              <w:bottom w:val="single" w:sz="4" w:space="0" w:color="auto"/>
            </w:tcBorders>
          </w:tcPr>
          <w:p w14:paraId="46BD9C25" w14:textId="77777777" w:rsidR="00092586" w:rsidRPr="008C1952" w:rsidRDefault="00092586" w:rsidP="004C3787">
            <w:pPr>
              <w:rPr>
                <w:rFonts w:ascii="Times New Roman" w:eastAsia="Times New Roman" w:hAnsi="Times New Roman" w:cs="Times New Roman"/>
                <w:b/>
                <w:bCs/>
                <w:color w:val="000000" w:themeColor="text1"/>
                <w:lang w:eastAsia="en-GB"/>
              </w:rPr>
            </w:pPr>
            <w:r w:rsidRPr="008C1952">
              <w:rPr>
                <w:rFonts w:ascii="Times New Roman" w:eastAsia="Times New Roman" w:hAnsi="Times New Roman" w:cs="Times New Roman"/>
                <w:b/>
                <w:bCs/>
                <w:color w:val="000000" w:themeColor="text1"/>
                <w:lang w:eastAsia="en-GB"/>
              </w:rPr>
              <w:t>Search Query</w:t>
            </w:r>
          </w:p>
        </w:tc>
        <w:tc>
          <w:tcPr>
            <w:tcW w:w="1213" w:type="dxa"/>
            <w:tcBorders>
              <w:top w:val="single" w:sz="4" w:space="0" w:color="auto"/>
              <w:bottom w:val="single" w:sz="4" w:space="0" w:color="auto"/>
            </w:tcBorders>
          </w:tcPr>
          <w:p w14:paraId="731C2283" w14:textId="77777777" w:rsidR="00092586" w:rsidRPr="008C1952" w:rsidRDefault="00092586" w:rsidP="004C3787">
            <w:pPr>
              <w:rPr>
                <w:rFonts w:ascii="Times New Roman" w:eastAsia="Times New Roman" w:hAnsi="Times New Roman" w:cs="Times New Roman"/>
                <w:b/>
                <w:bCs/>
                <w:color w:val="000000" w:themeColor="text1"/>
                <w:lang w:eastAsia="en-GB"/>
              </w:rPr>
            </w:pPr>
            <w:r w:rsidRPr="008C1952">
              <w:rPr>
                <w:rFonts w:ascii="Times New Roman" w:eastAsia="Times New Roman" w:hAnsi="Times New Roman" w:cs="Times New Roman"/>
                <w:b/>
                <w:bCs/>
                <w:color w:val="000000" w:themeColor="text1"/>
                <w:lang w:eastAsia="en-GB"/>
              </w:rPr>
              <w:t>Observations</w:t>
            </w:r>
          </w:p>
        </w:tc>
      </w:tr>
      <w:tr w:rsidR="00092586" w:rsidRPr="008C1952" w14:paraId="1DD8F125" w14:textId="77777777" w:rsidTr="00311827">
        <w:tc>
          <w:tcPr>
            <w:tcW w:w="911" w:type="dxa"/>
            <w:tcBorders>
              <w:top w:val="single" w:sz="4" w:space="0" w:color="auto"/>
              <w:bottom w:val="single" w:sz="4" w:space="0" w:color="auto"/>
            </w:tcBorders>
            <w:vAlign w:val="center"/>
          </w:tcPr>
          <w:p w14:paraId="4F9B6942" w14:textId="77777777" w:rsidR="00092586" w:rsidRPr="008C1952" w:rsidRDefault="00092586" w:rsidP="004D06EF">
            <w:pPr>
              <w:rPr>
                <w:rFonts w:ascii="Times New Roman" w:eastAsia="Times New Roman" w:hAnsi="Times New Roman" w:cs="Times New Roman"/>
                <w:color w:val="000000" w:themeColor="text1"/>
                <w:lang w:eastAsia="en-GB"/>
              </w:rPr>
            </w:pPr>
            <w:r w:rsidRPr="008C1952">
              <w:rPr>
                <w:rFonts w:ascii="Times New Roman" w:eastAsia="Times New Roman" w:hAnsi="Times New Roman" w:cs="Times New Roman"/>
                <w:color w:val="000000" w:themeColor="text1"/>
                <w:lang w:eastAsia="en-GB"/>
              </w:rPr>
              <w:t>Web of Science</w:t>
            </w:r>
          </w:p>
        </w:tc>
        <w:tc>
          <w:tcPr>
            <w:tcW w:w="6902" w:type="dxa"/>
            <w:tcBorders>
              <w:top w:val="single" w:sz="4" w:space="0" w:color="auto"/>
              <w:bottom w:val="single" w:sz="4" w:space="0" w:color="auto"/>
            </w:tcBorders>
          </w:tcPr>
          <w:p w14:paraId="1821E0A5" w14:textId="77777777" w:rsidR="00092586" w:rsidRPr="008C1952" w:rsidRDefault="00092586" w:rsidP="004C3787">
            <w:pPr>
              <w:rPr>
                <w:rFonts w:ascii="Times New Roman" w:eastAsia="Times New Roman" w:hAnsi="Times New Roman" w:cs="Times New Roman"/>
                <w:b/>
                <w:bCs/>
                <w:color w:val="000000" w:themeColor="text1"/>
                <w:lang w:eastAsia="en-GB"/>
              </w:rPr>
            </w:pPr>
            <w:r w:rsidRPr="008C1952">
              <w:rPr>
                <w:rStyle w:val="normaltextrun"/>
                <w:rFonts w:ascii="Times New Roman" w:hAnsi="Times New Roman" w:cs="Times New Roman"/>
                <w:color w:val="000000"/>
                <w:shd w:val="clear" w:color="auto" w:fill="FFFFFF"/>
                <w:lang w:val="en-US"/>
              </w:rPr>
              <w:t>((((TI=((((food system AND sustainabl*) OR ("sustainable food system") OR (sustainabl* NEAR "agri-food system")) AND (concept OR framework OR conceptual* OR element OR dimension OR defini*)))) OR AK=((((food system AND sustainabl*) OR ("sustainable food system") OR (sustainabl* NEAR "agri-food system")) AND (concept OR framework OR conceptual* OR element OR dimension OR defini*)))) OR AB=((((europ* OR EU) AND (food system AND sustainabl*) OR ("sustainable food system") OR (sustainabl* NEAR "agri-food system")) AND (concept OR framework OR conceptual* OR element OR dimension OR defini*)))) OR KP=((((food system AND sustainabl*) OR ("sustainable food system") OR (sustainabl* NEAR "agri-food system")) AND (concept OR framework OR conceptual* OR element OR dimension OR defini*)))</w:t>
            </w:r>
            <w:r w:rsidRPr="008C1952">
              <w:rPr>
                <w:rStyle w:val="normaltextrun"/>
                <w:rFonts w:ascii="Times New Roman" w:hAnsi="Times New Roman" w:cs="Times New Roman"/>
                <w:b/>
                <w:bCs/>
                <w:color w:val="000000"/>
                <w:shd w:val="clear" w:color="auto" w:fill="FFFFFF"/>
                <w:vertAlign w:val="superscript"/>
                <w:lang w:val="en-US"/>
              </w:rPr>
              <w:t>a</w:t>
            </w:r>
          </w:p>
        </w:tc>
        <w:tc>
          <w:tcPr>
            <w:tcW w:w="1213" w:type="dxa"/>
            <w:tcBorders>
              <w:top w:val="single" w:sz="4" w:space="0" w:color="auto"/>
              <w:bottom w:val="single" w:sz="4" w:space="0" w:color="auto"/>
            </w:tcBorders>
            <w:vAlign w:val="center"/>
          </w:tcPr>
          <w:p w14:paraId="66B3E159" w14:textId="77777777" w:rsidR="00092586" w:rsidRPr="008C1952" w:rsidRDefault="00092586" w:rsidP="004D06EF">
            <w:pPr>
              <w:jc w:val="center"/>
              <w:rPr>
                <w:rFonts w:ascii="Times New Roman" w:eastAsia="Times New Roman" w:hAnsi="Times New Roman" w:cs="Times New Roman"/>
                <w:color w:val="000000" w:themeColor="text1"/>
                <w:lang w:eastAsia="en-GB"/>
              </w:rPr>
            </w:pPr>
            <w:r w:rsidRPr="008C1952">
              <w:rPr>
                <w:rFonts w:ascii="Times New Roman" w:eastAsia="Times New Roman" w:hAnsi="Times New Roman" w:cs="Times New Roman"/>
                <w:color w:val="000000" w:themeColor="text1"/>
                <w:lang w:eastAsia="en-GB"/>
              </w:rPr>
              <w:t>403</w:t>
            </w:r>
          </w:p>
        </w:tc>
      </w:tr>
      <w:tr w:rsidR="00092586" w:rsidRPr="008C1952" w14:paraId="00A73A2E" w14:textId="77777777" w:rsidTr="00311827">
        <w:tc>
          <w:tcPr>
            <w:tcW w:w="911" w:type="dxa"/>
            <w:tcBorders>
              <w:top w:val="single" w:sz="4" w:space="0" w:color="auto"/>
              <w:bottom w:val="single" w:sz="4" w:space="0" w:color="auto"/>
            </w:tcBorders>
            <w:vAlign w:val="center"/>
          </w:tcPr>
          <w:p w14:paraId="26A7DBCE" w14:textId="77777777" w:rsidR="00092586" w:rsidRPr="008C1952" w:rsidRDefault="00092586" w:rsidP="004D06EF">
            <w:pPr>
              <w:rPr>
                <w:rFonts w:ascii="Times New Roman" w:eastAsia="Times New Roman" w:hAnsi="Times New Roman" w:cs="Times New Roman"/>
                <w:color w:val="000000" w:themeColor="text1"/>
                <w:lang w:eastAsia="en-GB"/>
              </w:rPr>
            </w:pPr>
            <w:r w:rsidRPr="008C1952">
              <w:rPr>
                <w:rFonts w:ascii="Times New Roman" w:eastAsia="Times New Roman" w:hAnsi="Times New Roman" w:cs="Times New Roman"/>
                <w:color w:val="000000" w:themeColor="text1"/>
                <w:lang w:eastAsia="en-GB"/>
              </w:rPr>
              <w:t>Scopus</w:t>
            </w:r>
          </w:p>
        </w:tc>
        <w:tc>
          <w:tcPr>
            <w:tcW w:w="6902" w:type="dxa"/>
            <w:tcBorders>
              <w:top w:val="single" w:sz="4" w:space="0" w:color="auto"/>
              <w:bottom w:val="single" w:sz="4" w:space="0" w:color="auto"/>
            </w:tcBorders>
          </w:tcPr>
          <w:p w14:paraId="10A82CA1" w14:textId="77777777" w:rsidR="00092586" w:rsidRPr="008C1952" w:rsidRDefault="00092586" w:rsidP="004C3787">
            <w:pPr>
              <w:rPr>
                <w:rFonts w:ascii="Times New Roman" w:eastAsia="Times New Roman" w:hAnsi="Times New Roman" w:cs="Times New Roman"/>
                <w:color w:val="000000" w:themeColor="text1"/>
                <w:lang w:eastAsia="en-GB"/>
              </w:rPr>
            </w:pPr>
            <w:r w:rsidRPr="008C1952">
              <w:rPr>
                <w:rFonts w:ascii="Times New Roman" w:eastAsia="Times New Roman" w:hAnsi="Times New Roman" w:cs="Times New Roman"/>
                <w:color w:val="000000" w:themeColor="text1"/>
                <w:lang w:val="en-US" w:eastAsia="en-GB"/>
              </w:rPr>
              <w:t>TITLE-ABS-KEY ( ( ( "food system"  W/5  sustainabl*  OR  "sustainable food system"  OR  "agri-food system"  W/5  sustainabl* )  W/10  concept  OR  framework  OR  conceptual*  OR  element  OR  dimension  OR  defini* ) )  AND  ( LIMIT-TO ( PUBYEAR ,  2023 )  OR ( LIMIT-TO ( PUBYEAR ,  2022 )  OR  LIMIT-TO ( PUBYEAR ,  2021 )  OR  LIMIT-TO ( PUBYEAR ,  2020 )  OR  LIMIT-TO ( PUBYEAR ,  2019 )  OR  LIMIT-TO ( PUBYEAR ,  2018 )  OR  LIMIT-TO ( PUBYEAR ,  2017 )  OR  LIMIT-TO ( PUBYEAR ,  2016 )  OR  LIMIT-TO ( PUBYEAR ,  2015 ) )  AND  ( LIMIT-TO ( DOCTYPE ,  "ar" )  OR  LIMIT-TO ( DOCTYPE ,  "re" )  OR  LIMIT-TO ( DOCTYPE ,  "ch" )  OR  LIMIT-TO ( DOCTYPE ,  "bk" ) ) </w:t>
            </w:r>
            <w:r w:rsidRPr="008C1952">
              <w:rPr>
                <w:rFonts w:ascii="Times New Roman" w:eastAsia="Times New Roman" w:hAnsi="Times New Roman" w:cs="Times New Roman"/>
                <w:color w:val="000000" w:themeColor="text1"/>
                <w:lang w:eastAsia="en-GB"/>
              </w:rPr>
              <w:t> </w:t>
            </w:r>
          </w:p>
        </w:tc>
        <w:tc>
          <w:tcPr>
            <w:tcW w:w="1213" w:type="dxa"/>
            <w:tcBorders>
              <w:top w:val="single" w:sz="4" w:space="0" w:color="auto"/>
              <w:bottom w:val="single" w:sz="4" w:space="0" w:color="auto"/>
            </w:tcBorders>
            <w:vAlign w:val="center"/>
          </w:tcPr>
          <w:p w14:paraId="1EC4D835" w14:textId="77777777" w:rsidR="00092586" w:rsidRPr="008C1952" w:rsidRDefault="00092586" w:rsidP="004D06EF">
            <w:pPr>
              <w:keepNext/>
              <w:jc w:val="center"/>
              <w:rPr>
                <w:rFonts w:ascii="Times New Roman" w:eastAsia="Times New Roman" w:hAnsi="Times New Roman" w:cs="Times New Roman"/>
                <w:color w:val="000000" w:themeColor="text1"/>
                <w:lang w:eastAsia="en-GB"/>
              </w:rPr>
            </w:pPr>
            <w:r w:rsidRPr="008C1952">
              <w:rPr>
                <w:rFonts w:ascii="Times New Roman" w:eastAsia="Times New Roman" w:hAnsi="Times New Roman" w:cs="Times New Roman"/>
                <w:color w:val="000000" w:themeColor="text1"/>
                <w:lang w:eastAsia="en-GB"/>
              </w:rPr>
              <w:t>184</w:t>
            </w:r>
          </w:p>
        </w:tc>
      </w:tr>
    </w:tbl>
    <w:p w14:paraId="67CB9DB8" w14:textId="77777777" w:rsidR="00311827"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19DDB9BC" w14:textId="77777777" w:rsidR="00092586" w:rsidRPr="00DA41ED" w:rsidRDefault="00092586" w:rsidP="000F1B43">
      <w:pPr>
        <w:pStyle w:val="Didascalia"/>
        <w:spacing w:after="0"/>
        <w:rPr>
          <w:rStyle w:val="eop"/>
          <w:rFonts w:ascii="Times New Roman" w:eastAsia="Times New Roman" w:hAnsi="Times New Roman" w:cs="Times New Roman"/>
          <w:i w:val="0"/>
          <w:iCs w:val="0"/>
          <w:color w:val="000000" w:themeColor="text1"/>
          <w:sz w:val="16"/>
          <w:szCs w:val="16"/>
          <w:lang w:eastAsia="en-GB"/>
        </w:rPr>
      </w:pPr>
      <w:r w:rsidRPr="00DA41ED">
        <w:rPr>
          <w:rStyle w:val="normaltextrun"/>
          <w:rFonts w:ascii="Times New Roman" w:hAnsi="Times New Roman" w:cs="Times New Roman"/>
          <w:i w:val="0"/>
          <w:iCs w:val="0"/>
          <w:color w:val="000000"/>
          <w:sz w:val="16"/>
          <w:szCs w:val="16"/>
          <w:shd w:val="clear" w:color="auto" w:fill="FFFFFF"/>
          <w:vertAlign w:val="superscript"/>
          <w:lang w:val="en-US"/>
        </w:rPr>
        <w:t>a</w:t>
      </w:r>
      <w:r w:rsidRPr="00DA41ED">
        <w:rPr>
          <w:rStyle w:val="normaltextrun"/>
          <w:rFonts w:ascii="Times New Roman" w:hAnsi="Times New Roman" w:cs="Times New Roman"/>
          <w:i w:val="0"/>
          <w:iCs w:val="0"/>
          <w:color w:val="000000"/>
          <w:sz w:val="16"/>
          <w:szCs w:val="16"/>
          <w:shd w:val="clear" w:color="auto" w:fill="FFFFFF"/>
          <w:lang w:val="en-US"/>
        </w:rPr>
        <w:t xml:space="preserve">Refined by Year (2015-2023) and type of doc (article, book chapters, review), query </w:t>
      </w:r>
      <w:hyperlink r:id="rId13" w:history="1">
        <w:r w:rsidRPr="00DA41ED">
          <w:rPr>
            <w:rStyle w:val="Collegamentoipertestuale"/>
            <w:rFonts w:ascii="Times New Roman" w:hAnsi="Times New Roman" w:cs="Times New Roman"/>
            <w:i w:val="0"/>
            <w:iCs w:val="0"/>
            <w:sz w:val="16"/>
            <w:szCs w:val="16"/>
            <w:shd w:val="clear" w:color="auto" w:fill="FFFFFF"/>
            <w:lang w:val="en-US"/>
          </w:rPr>
          <w:t>link</w:t>
        </w:r>
      </w:hyperlink>
      <w:r w:rsidRPr="00DA41ED">
        <w:rPr>
          <w:rStyle w:val="normaltextrun"/>
          <w:rFonts w:ascii="Times New Roman" w:hAnsi="Times New Roman" w:cs="Times New Roman"/>
          <w:i w:val="0"/>
          <w:iCs w:val="0"/>
          <w:color w:val="000000"/>
          <w:sz w:val="16"/>
          <w:szCs w:val="16"/>
          <w:shd w:val="clear" w:color="auto" w:fill="FFFFFF"/>
          <w:lang w:val="en-US"/>
        </w:rPr>
        <w:t>.</w:t>
      </w:r>
      <w:r w:rsidRPr="00DA41ED">
        <w:rPr>
          <w:rStyle w:val="eop"/>
          <w:rFonts w:ascii="Times New Roman" w:hAnsi="Times New Roman" w:cs="Times New Roman"/>
          <w:i w:val="0"/>
          <w:iCs w:val="0"/>
          <w:color w:val="000000"/>
          <w:sz w:val="16"/>
          <w:szCs w:val="16"/>
          <w:shd w:val="clear" w:color="auto" w:fill="FFFFFF"/>
        </w:rPr>
        <w:t> </w:t>
      </w:r>
    </w:p>
    <w:p w14:paraId="6A2B0E70" w14:textId="77777777" w:rsidR="00092586" w:rsidRPr="008C1952" w:rsidRDefault="00092586" w:rsidP="5A6B135F">
      <w:pPr>
        <w:rPr>
          <w:rFonts w:ascii="Times New Roman" w:eastAsia="Times New Roman" w:hAnsi="Times New Roman" w:cs="Times New Roman"/>
          <w:b/>
          <w:bCs/>
          <w:color w:val="000000" w:themeColor="text1"/>
          <w:lang w:eastAsia="en-GB"/>
        </w:rPr>
      </w:pPr>
    </w:p>
    <w:p w14:paraId="10D5DC88" w14:textId="4A976696" w:rsidR="00092586" w:rsidRPr="008C1952" w:rsidRDefault="00092586" w:rsidP="002D0615">
      <w:pPr>
        <w:pStyle w:val="Didascalia"/>
        <w:keepNext/>
        <w:rPr>
          <w:rFonts w:ascii="Times New Roman" w:hAnsi="Times New Roman" w:cs="Times New Roman"/>
          <w:b/>
          <w:bCs/>
          <w:i w:val="0"/>
          <w:iCs w:val="0"/>
          <w:color w:val="auto"/>
          <w:sz w:val="22"/>
          <w:szCs w:val="22"/>
        </w:rPr>
      </w:pPr>
      <w:bookmarkStart w:id="3" w:name="_Toc166589541"/>
      <w:r w:rsidRPr="008C1952">
        <w:rPr>
          <w:rFonts w:ascii="Times New Roman" w:hAnsi="Times New Roman" w:cs="Times New Roman"/>
          <w:b/>
          <w:bCs/>
          <w:i w:val="0"/>
          <w:iCs w:val="0"/>
          <w:color w:val="auto"/>
          <w:sz w:val="22"/>
          <w:szCs w:val="22"/>
        </w:rPr>
        <w:t xml:space="preserve">Supplementary Table </w:t>
      </w:r>
      <w:r w:rsidR="00F60EFC">
        <w:rPr>
          <w:rFonts w:ascii="Times New Roman" w:hAnsi="Times New Roman" w:cs="Times New Roman"/>
          <w:b/>
          <w:bCs/>
          <w:i w:val="0"/>
          <w:iCs w:val="0"/>
          <w:color w:val="auto"/>
          <w:sz w:val="22"/>
          <w:szCs w:val="22"/>
        </w:rPr>
        <w:fldChar w:fldCharType="begin"/>
      </w:r>
      <w:r w:rsidR="00F60EFC">
        <w:rPr>
          <w:rFonts w:ascii="Times New Roman" w:hAnsi="Times New Roman" w:cs="Times New Roman"/>
          <w:b/>
          <w:bCs/>
          <w:i w:val="0"/>
          <w:iCs w:val="0"/>
          <w:color w:val="auto"/>
          <w:sz w:val="22"/>
          <w:szCs w:val="22"/>
        </w:rPr>
        <w:instrText xml:space="preserve"> SEQ Supplementary_Table \* ALPHABETIC </w:instrText>
      </w:r>
      <w:r w:rsidR="00F60EFC">
        <w:rPr>
          <w:rFonts w:ascii="Times New Roman" w:hAnsi="Times New Roman" w:cs="Times New Roman"/>
          <w:b/>
          <w:bCs/>
          <w:i w:val="0"/>
          <w:iCs w:val="0"/>
          <w:color w:val="auto"/>
          <w:sz w:val="22"/>
          <w:szCs w:val="22"/>
        </w:rPr>
        <w:fldChar w:fldCharType="separate"/>
      </w:r>
      <w:r w:rsidR="00F60EFC">
        <w:rPr>
          <w:rFonts w:ascii="Times New Roman" w:hAnsi="Times New Roman" w:cs="Times New Roman"/>
          <w:b/>
          <w:bCs/>
          <w:i w:val="0"/>
          <w:iCs w:val="0"/>
          <w:noProof/>
          <w:color w:val="auto"/>
          <w:sz w:val="22"/>
          <w:szCs w:val="22"/>
        </w:rPr>
        <w:t>B</w:t>
      </w:r>
      <w:r w:rsidR="00F60EFC">
        <w:rPr>
          <w:rFonts w:ascii="Times New Roman" w:hAnsi="Times New Roman" w:cs="Times New Roman"/>
          <w:b/>
          <w:bCs/>
          <w:i w:val="0"/>
          <w:iCs w:val="0"/>
          <w:color w:val="auto"/>
          <w:sz w:val="22"/>
          <w:szCs w:val="22"/>
        </w:rPr>
        <w:fldChar w:fldCharType="end"/>
      </w:r>
      <w:r w:rsidRPr="008C1952">
        <w:rPr>
          <w:rFonts w:ascii="Times New Roman" w:hAnsi="Times New Roman" w:cs="Times New Roman"/>
          <w:b/>
          <w:bCs/>
          <w:i w:val="0"/>
          <w:iCs w:val="0"/>
          <w:color w:val="auto"/>
          <w:sz w:val="22"/>
          <w:szCs w:val="22"/>
        </w:rPr>
        <w:t xml:space="preserve">. </w:t>
      </w:r>
      <w:r w:rsidRPr="008C1952">
        <w:rPr>
          <w:rFonts w:ascii="Times New Roman" w:hAnsi="Times New Roman" w:cs="Times New Roman"/>
          <w:i w:val="0"/>
          <w:iCs w:val="0"/>
          <w:color w:val="auto"/>
          <w:sz w:val="22"/>
          <w:szCs w:val="22"/>
        </w:rPr>
        <w:t>Including and excluding criteria</w:t>
      </w:r>
      <w:bookmarkEnd w:id="3"/>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6"/>
        <w:gridCol w:w="2256"/>
        <w:gridCol w:w="2257"/>
        <w:gridCol w:w="2257"/>
      </w:tblGrid>
      <w:tr w:rsidR="00092586" w:rsidRPr="008C1952" w14:paraId="686380BC" w14:textId="77777777" w:rsidTr="00BB4F49">
        <w:tc>
          <w:tcPr>
            <w:tcW w:w="1250" w:type="pct"/>
            <w:tcBorders>
              <w:top w:val="single" w:sz="4" w:space="0" w:color="auto"/>
              <w:bottom w:val="single" w:sz="4" w:space="0" w:color="auto"/>
            </w:tcBorders>
          </w:tcPr>
          <w:p w14:paraId="777A1689" w14:textId="77777777" w:rsidR="00092586" w:rsidRPr="008C1952" w:rsidRDefault="00092586" w:rsidP="00BB4F49">
            <w:pPr>
              <w:rPr>
                <w:rFonts w:ascii="Times New Roman" w:eastAsia="Times New Roman" w:hAnsi="Times New Roman" w:cs="Times New Roman"/>
                <w:b/>
                <w:bCs/>
                <w:color w:val="000000" w:themeColor="text1"/>
                <w:lang w:eastAsia="en-GB"/>
              </w:rPr>
            </w:pPr>
            <w:r w:rsidRPr="008C1952">
              <w:rPr>
                <w:rFonts w:ascii="Times New Roman" w:eastAsia="Times New Roman" w:hAnsi="Times New Roman" w:cs="Times New Roman"/>
                <w:b/>
                <w:bCs/>
                <w:color w:val="000000" w:themeColor="text1"/>
                <w:lang w:eastAsia="en-GB"/>
              </w:rPr>
              <w:t xml:space="preserve">Information </w:t>
            </w:r>
          </w:p>
        </w:tc>
        <w:tc>
          <w:tcPr>
            <w:tcW w:w="1250" w:type="pct"/>
            <w:tcBorders>
              <w:top w:val="single" w:sz="4" w:space="0" w:color="auto"/>
              <w:bottom w:val="single" w:sz="4" w:space="0" w:color="auto"/>
            </w:tcBorders>
          </w:tcPr>
          <w:p w14:paraId="21BF6A67" w14:textId="77777777" w:rsidR="00092586" w:rsidRPr="008C1952" w:rsidRDefault="00092586" w:rsidP="00BB4F49">
            <w:pPr>
              <w:rPr>
                <w:rFonts w:ascii="Times New Roman" w:eastAsia="Times New Roman" w:hAnsi="Times New Roman" w:cs="Times New Roman"/>
                <w:b/>
                <w:bCs/>
                <w:color w:val="000000" w:themeColor="text1"/>
                <w:lang w:eastAsia="en-GB"/>
              </w:rPr>
            </w:pPr>
            <w:r w:rsidRPr="008C1952">
              <w:rPr>
                <w:rFonts w:ascii="Times New Roman" w:eastAsia="Times New Roman" w:hAnsi="Times New Roman" w:cs="Times New Roman"/>
                <w:b/>
                <w:bCs/>
                <w:color w:val="000000" w:themeColor="text1"/>
                <w:lang w:eastAsia="en-GB"/>
              </w:rPr>
              <w:t xml:space="preserve">Including </w:t>
            </w:r>
          </w:p>
        </w:tc>
        <w:tc>
          <w:tcPr>
            <w:tcW w:w="1250" w:type="pct"/>
            <w:tcBorders>
              <w:top w:val="single" w:sz="4" w:space="0" w:color="auto"/>
              <w:bottom w:val="single" w:sz="4" w:space="0" w:color="auto"/>
            </w:tcBorders>
          </w:tcPr>
          <w:p w14:paraId="4761A2CC" w14:textId="77777777" w:rsidR="00092586" w:rsidRPr="008C1952" w:rsidRDefault="00092586" w:rsidP="00BB4F49">
            <w:pPr>
              <w:rPr>
                <w:rFonts w:ascii="Times New Roman" w:eastAsia="Times New Roman" w:hAnsi="Times New Roman" w:cs="Times New Roman"/>
                <w:b/>
                <w:bCs/>
                <w:color w:val="000000" w:themeColor="text1"/>
                <w:lang w:eastAsia="en-GB"/>
              </w:rPr>
            </w:pPr>
            <w:r w:rsidRPr="008C1952">
              <w:rPr>
                <w:rFonts w:ascii="Times New Roman" w:eastAsia="Times New Roman" w:hAnsi="Times New Roman" w:cs="Times New Roman"/>
                <w:b/>
                <w:bCs/>
                <w:color w:val="000000" w:themeColor="text1"/>
                <w:lang w:eastAsia="en-GB"/>
              </w:rPr>
              <w:t xml:space="preserve">Excluding </w:t>
            </w:r>
          </w:p>
        </w:tc>
        <w:tc>
          <w:tcPr>
            <w:tcW w:w="1250" w:type="pct"/>
            <w:tcBorders>
              <w:top w:val="single" w:sz="4" w:space="0" w:color="auto"/>
              <w:bottom w:val="single" w:sz="4" w:space="0" w:color="auto"/>
            </w:tcBorders>
          </w:tcPr>
          <w:p w14:paraId="07AF3A7D" w14:textId="77777777" w:rsidR="00092586" w:rsidRPr="008C1952" w:rsidRDefault="00092586" w:rsidP="00BB4F49">
            <w:pPr>
              <w:rPr>
                <w:rFonts w:ascii="Times New Roman" w:eastAsia="Times New Roman" w:hAnsi="Times New Roman" w:cs="Times New Roman"/>
                <w:b/>
                <w:bCs/>
                <w:color w:val="000000" w:themeColor="text1"/>
                <w:lang w:eastAsia="en-GB"/>
              </w:rPr>
            </w:pPr>
            <w:r w:rsidRPr="008C1952">
              <w:rPr>
                <w:rFonts w:ascii="Times New Roman" w:eastAsia="Times New Roman" w:hAnsi="Times New Roman" w:cs="Times New Roman"/>
                <w:b/>
                <w:bCs/>
                <w:color w:val="000000" w:themeColor="text1"/>
                <w:lang w:eastAsia="en-GB"/>
              </w:rPr>
              <w:t xml:space="preserve">Justification </w:t>
            </w:r>
          </w:p>
        </w:tc>
      </w:tr>
      <w:tr w:rsidR="00092586" w:rsidRPr="008C1952" w14:paraId="40A43529" w14:textId="77777777" w:rsidTr="00BB4F49">
        <w:tc>
          <w:tcPr>
            <w:tcW w:w="1250" w:type="pct"/>
            <w:tcBorders>
              <w:top w:val="single" w:sz="4" w:space="0" w:color="auto"/>
            </w:tcBorders>
          </w:tcPr>
          <w:p w14:paraId="4C4E9665"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 xml:space="preserve">Type of Language </w:t>
            </w:r>
          </w:p>
        </w:tc>
        <w:tc>
          <w:tcPr>
            <w:tcW w:w="1250" w:type="pct"/>
            <w:tcBorders>
              <w:top w:val="single" w:sz="4" w:space="0" w:color="auto"/>
            </w:tcBorders>
          </w:tcPr>
          <w:p w14:paraId="7DEC8252"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 xml:space="preserve">English </w:t>
            </w:r>
          </w:p>
        </w:tc>
        <w:tc>
          <w:tcPr>
            <w:tcW w:w="1250" w:type="pct"/>
            <w:tcBorders>
              <w:top w:val="single" w:sz="4" w:space="0" w:color="auto"/>
            </w:tcBorders>
          </w:tcPr>
          <w:p w14:paraId="755077A0"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All other languages</w:t>
            </w:r>
          </w:p>
        </w:tc>
        <w:tc>
          <w:tcPr>
            <w:tcW w:w="1250" w:type="pct"/>
            <w:tcBorders>
              <w:top w:val="single" w:sz="4" w:space="0" w:color="auto"/>
            </w:tcBorders>
          </w:tcPr>
          <w:p w14:paraId="2B0A2E6F" w14:textId="77777777" w:rsidR="00092586" w:rsidRPr="008C1952" w:rsidRDefault="00092586" w:rsidP="00BB4F49">
            <w:pPr>
              <w:rPr>
                <w:rFonts w:ascii="Times New Roman" w:eastAsia="Times New Roman" w:hAnsi="Times New Roman" w:cs="Times New Roman"/>
                <w:color w:val="000000" w:themeColor="text1"/>
                <w:lang w:eastAsia="en-GB"/>
              </w:rPr>
            </w:pPr>
            <w:r w:rsidRPr="008C1952">
              <w:rPr>
                <w:rFonts w:ascii="Times New Roman" w:eastAsia="Times New Roman" w:hAnsi="Times New Roman" w:cs="Times New Roman"/>
                <w:color w:val="000000" w:themeColor="text1"/>
                <w:lang w:eastAsia="en-GB"/>
              </w:rPr>
              <w:t>Academic language</w:t>
            </w:r>
          </w:p>
        </w:tc>
      </w:tr>
      <w:tr w:rsidR="00092586" w:rsidRPr="008C1952" w14:paraId="4B021C09" w14:textId="77777777" w:rsidTr="00BB4F49">
        <w:tc>
          <w:tcPr>
            <w:tcW w:w="1250" w:type="pct"/>
          </w:tcPr>
          <w:p w14:paraId="769841C1"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Type of publications</w:t>
            </w:r>
          </w:p>
        </w:tc>
        <w:tc>
          <w:tcPr>
            <w:tcW w:w="1250" w:type="pct"/>
          </w:tcPr>
          <w:p w14:paraId="4A1F7D7A"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Papers, book chapters, reviews</w:t>
            </w:r>
          </w:p>
        </w:tc>
        <w:tc>
          <w:tcPr>
            <w:tcW w:w="1250" w:type="pct"/>
          </w:tcPr>
          <w:p w14:paraId="351D8E9B"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Full book, grey literature</w:t>
            </w:r>
          </w:p>
        </w:tc>
        <w:tc>
          <w:tcPr>
            <w:tcW w:w="1250" w:type="pct"/>
          </w:tcPr>
          <w:p w14:paraId="49F4AF9E" w14:textId="77777777" w:rsidR="00092586" w:rsidRPr="008C1952" w:rsidRDefault="00092586" w:rsidP="00BB4F49">
            <w:pPr>
              <w:rPr>
                <w:rFonts w:ascii="Times New Roman" w:eastAsia="Times New Roman" w:hAnsi="Times New Roman" w:cs="Times New Roman"/>
                <w:color w:val="000000" w:themeColor="text1"/>
                <w:lang w:eastAsia="en-GB"/>
              </w:rPr>
            </w:pPr>
            <w:r w:rsidRPr="008C1952">
              <w:rPr>
                <w:rFonts w:ascii="Times New Roman" w:eastAsia="Times New Roman" w:hAnsi="Times New Roman" w:cs="Times New Roman"/>
                <w:color w:val="000000" w:themeColor="text1"/>
                <w:lang w:eastAsia="en-GB"/>
              </w:rPr>
              <w:t>Knowledge synthesis of only academic documents</w:t>
            </w:r>
          </w:p>
        </w:tc>
      </w:tr>
      <w:tr w:rsidR="00092586" w:rsidRPr="008C1952" w14:paraId="759F513B" w14:textId="77777777" w:rsidTr="00BB4F49">
        <w:tc>
          <w:tcPr>
            <w:tcW w:w="1250" w:type="pct"/>
          </w:tcPr>
          <w:p w14:paraId="2AFA64BB"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 xml:space="preserve">Type of Databases </w:t>
            </w:r>
          </w:p>
        </w:tc>
        <w:tc>
          <w:tcPr>
            <w:tcW w:w="1250" w:type="pct"/>
          </w:tcPr>
          <w:p w14:paraId="62F71D24"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Web of Science, Scopus</w:t>
            </w:r>
          </w:p>
        </w:tc>
        <w:tc>
          <w:tcPr>
            <w:tcW w:w="1250" w:type="pct"/>
          </w:tcPr>
          <w:p w14:paraId="3D25EBA9"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Other</w:t>
            </w:r>
          </w:p>
        </w:tc>
        <w:tc>
          <w:tcPr>
            <w:tcW w:w="1250" w:type="pct"/>
          </w:tcPr>
          <w:p w14:paraId="72CE765A" w14:textId="77777777" w:rsidR="00092586" w:rsidRPr="008C1952" w:rsidRDefault="00092586" w:rsidP="00BB4F49">
            <w:pPr>
              <w:rPr>
                <w:rFonts w:ascii="Times New Roman" w:eastAsia="Times New Roman" w:hAnsi="Times New Roman" w:cs="Times New Roman"/>
                <w:color w:val="000000" w:themeColor="text1"/>
                <w:lang w:eastAsia="en-GB"/>
              </w:rPr>
            </w:pPr>
            <w:r w:rsidRPr="008C1952">
              <w:rPr>
                <w:rFonts w:ascii="Times New Roman" w:eastAsia="Times New Roman" w:hAnsi="Times New Roman" w:cs="Times New Roman"/>
                <w:color w:val="000000" w:themeColor="text1"/>
                <w:lang w:eastAsia="en-GB"/>
              </w:rPr>
              <w:t>Two of the most widely used scientific databases (Singh)</w:t>
            </w:r>
          </w:p>
        </w:tc>
      </w:tr>
      <w:tr w:rsidR="00092586" w:rsidRPr="008C1952" w14:paraId="7A44B5D5" w14:textId="77777777" w:rsidTr="00BB4F49">
        <w:tc>
          <w:tcPr>
            <w:tcW w:w="1250" w:type="pct"/>
            <w:tcBorders>
              <w:bottom w:val="single" w:sz="4" w:space="0" w:color="auto"/>
            </w:tcBorders>
          </w:tcPr>
          <w:p w14:paraId="7BFC2C0E"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 xml:space="preserve">Year of publication </w:t>
            </w:r>
          </w:p>
        </w:tc>
        <w:tc>
          <w:tcPr>
            <w:tcW w:w="1250" w:type="pct"/>
            <w:tcBorders>
              <w:bottom w:val="single" w:sz="4" w:space="0" w:color="auto"/>
            </w:tcBorders>
          </w:tcPr>
          <w:p w14:paraId="14331D62"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After 2015</w:t>
            </w:r>
          </w:p>
        </w:tc>
        <w:tc>
          <w:tcPr>
            <w:tcW w:w="1250" w:type="pct"/>
            <w:tcBorders>
              <w:bottom w:val="single" w:sz="4" w:space="0" w:color="auto"/>
            </w:tcBorders>
          </w:tcPr>
          <w:p w14:paraId="07FAFBAB"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 xml:space="preserve">Before 2015 </w:t>
            </w:r>
          </w:p>
        </w:tc>
        <w:tc>
          <w:tcPr>
            <w:tcW w:w="1250" w:type="pct"/>
            <w:tcBorders>
              <w:bottom w:val="single" w:sz="4" w:space="0" w:color="auto"/>
            </w:tcBorders>
          </w:tcPr>
          <w:p w14:paraId="4295720A" w14:textId="77777777" w:rsidR="00092586" w:rsidRPr="008C1952" w:rsidRDefault="00092586" w:rsidP="00BB4F49">
            <w:pPr>
              <w:rPr>
                <w:rFonts w:ascii="Times New Roman" w:eastAsia="Times New Roman" w:hAnsi="Times New Roman" w:cs="Times New Roman"/>
                <w:bCs/>
                <w:color w:val="000000" w:themeColor="text1"/>
                <w:lang w:eastAsia="en-GB"/>
              </w:rPr>
            </w:pPr>
            <w:r w:rsidRPr="008C1952">
              <w:rPr>
                <w:rFonts w:ascii="Times New Roman" w:eastAsia="Times New Roman" w:hAnsi="Times New Roman" w:cs="Times New Roman"/>
                <w:bCs/>
                <w:color w:val="000000" w:themeColor="text1"/>
                <w:lang w:eastAsia="en-GB"/>
              </w:rPr>
              <w:t xml:space="preserve">Review the literature after the UN 2030 Agenda </w:t>
            </w:r>
          </w:p>
        </w:tc>
      </w:tr>
    </w:tbl>
    <w:p w14:paraId="7D07E5C9" w14:textId="77777777" w:rsidR="00311827"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685A13C6" w14:textId="77777777" w:rsidR="00092586" w:rsidRPr="008C1952" w:rsidRDefault="00092586" w:rsidP="5A6B135F">
      <w:pPr>
        <w:rPr>
          <w:rFonts w:ascii="Times New Roman" w:eastAsia="Times New Roman" w:hAnsi="Times New Roman" w:cs="Times New Roman"/>
          <w:b/>
          <w:bCs/>
          <w:color w:val="000000" w:themeColor="text1"/>
          <w:sz w:val="16"/>
          <w:szCs w:val="16"/>
          <w:lang w:eastAsia="en-GB"/>
        </w:rPr>
      </w:pPr>
    </w:p>
    <w:p w14:paraId="62B5900F" w14:textId="77777777" w:rsidR="00092586" w:rsidRPr="008C1952" w:rsidRDefault="00092586" w:rsidP="5A6B135F">
      <w:pPr>
        <w:rPr>
          <w:rFonts w:ascii="Times New Roman" w:eastAsia="Times New Roman" w:hAnsi="Times New Roman" w:cs="Times New Roman"/>
          <w:b/>
          <w:bCs/>
          <w:color w:val="000000" w:themeColor="text1"/>
          <w:sz w:val="16"/>
          <w:szCs w:val="16"/>
          <w:lang w:eastAsia="en-GB"/>
        </w:rPr>
      </w:pPr>
    </w:p>
    <w:p w14:paraId="6A647653" w14:textId="77777777" w:rsidR="00092586" w:rsidRPr="008C1952" w:rsidRDefault="00092586" w:rsidP="5A6B135F">
      <w:pPr>
        <w:rPr>
          <w:rFonts w:ascii="Times New Roman" w:eastAsia="Times New Roman" w:hAnsi="Times New Roman" w:cs="Times New Roman"/>
          <w:b/>
          <w:bCs/>
          <w:color w:val="000000" w:themeColor="text1"/>
          <w:sz w:val="16"/>
          <w:szCs w:val="16"/>
          <w:lang w:eastAsia="en-GB"/>
        </w:rPr>
      </w:pPr>
    </w:p>
    <w:p w14:paraId="2B1C370E" w14:textId="77777777" w:rsidR="00092586" w:rsidRPr="008C1952" w:rsidRDefault="00092586" w:rsidP="5A6B135F">
      <w:pPr>
        <w:rPr>
          <w:rFonts w:ascii="Times New Roman" w:eastAsia="Times New Roman" w:hAnsi="Times New Roman" w:cs="Times New Roman"/>
          <w:b/>
          <w:bCs/>
          <w:color w:val="000000" w:themeColor="text1"/>
          <w:sz w:val="16"/>
          <w:szCs w:val="16"/>
          <w:lang w:eastAsia="en-GB"/>
        </w:rPr>
      </w:pPr>
    </w:p>
    <w:p w14:paraId="7478D2F3" w14:textId="77777777" w:rsidR="00092586" w:rsidRPr="008C1952" w:rsidRDefault="00092586" w:rsidP="5A6B135F">
      <w:pPr>
        <w:rPr>
          <w:rFonts w:ascii="Times New Roman" w:eastAsia="Times New Roman" w:hAnsi="Times New Roman" w:cs="Times New Roman"/>
          <w:b/>
          <w:bCs/>
          <w:color w:val="000000" w:themeColor="text1"/>
          <w:sz w:val="16"/>
          <w:szCs w:val="16"/>
          <w:lang w:eastAsia="en-GB"/>
        </w:rPr>
      </w:pPr>
    </w:p>
    <w:p w14:paraId="2FA617E5" w14:textId="77777777" w:rsidR="00A53A43" w:rsidRPr="008C1952" w:rsidRDefault="00A53A43" w:rsidP="5A6B135F">
      <w:pPr>
        <w:rPr>
          <w:rFonts w:ascii="Times New Roman" w:eastAsia="Times New Roman" w:hAnsi="Times New Roman" w:cs="Times New Roman"/>
          <w:b/>
          <w:bCs/>
          <w:color w:val="000000" w:themeColor="text1"/>
          <w:sz w:val="16"/>
          <w:szCs w:val="16"/>
          <w:lang w:eastAsia="en-GB"/>
        </w:rPr>
      </w:pPr>
    </w:p>
    <w:p w14:paraId="1C8BD4C0" w14:textId="77777777" w:rsidR="003375CC" w:rsidRPr="008C1952" w:rsidRDefault="003375CC" w:rsidP="004A367A">
      <w:pPr>
        <w:spacing w:after="0" w:line="240" w:lineRule="auto"/>
        <w:rPr>
          <w:rFonts w:ascii="Times New Roman" w:eastAsia="Calibri" w:hAnsi="Times New Roman" w:cs="Times New Roman"/>
          <w:sz w:val="16"/>
          <w:szCs w:val="16"/>
          <w:lang w:val="en-AU"/>
        </w:rPr>
      </w:pPr>
    </w:p>
    <w:p w14:paraId="223D6C78" w14:textId="0B581F94" w:rsidR="00092586" w:rsidRPr="008C1952" w:rsidRDefault="00AD1804" w:rsidP="004A367A">
      <w:pPr>
        <w:spacing w:after="0" w:line="240" w:lineRule="auto"/>
        <w:rPr>
          <w:rFonts w:ascii="Times New Roman" w:eastAsia="Calibri" w:hAnsi="Times New Roman" w:cs="Times New Roman"/>
          <w:sz w:val="16"/>
          <w:szCs w:val="16"/>
          <w:lang w:val="en-AU"/>
        </w:rPr>
      </w:pPr>
      <w:r w:rsidRPr="008C1952">
        <w:rPr>
          <w:rFonts w:ascii="Times New Roman" w:hAnsi="Times New Roman" w:cs="Times New Roman"/>
          <w:noProof/>
          <w:sz w:val="16"/>
          <w:szCs w:val="16"/>
          <w:lang w:eastAsia="en-GB"/>
        </w:rPr>
        <mc:AlternateContent>
          <mc:Choice Requires="wps">
            <w:drawing>
              <wp:anchor distT="0" distB="0" distL="114300" distR="114300" simplePos="0" relativeHeight="251680768" behindDoc="0" locked="0" layoutInCell="1" allowOverlap="1" wp14:anchorId="05F05D05" wp14:editId="0F7B6180">
                <wp:simplePos x="0" y="0"/>
                <wp:positionH relativeFrom="column">
                  <wp:posOffset>-103505</wp:posOffset>
                </wp:positionH>
                <wp:positionV relativeFrom="paragraph">
                  <wp:posOffset>-192405</wp:posOffset>
                </wp:positionV>
                <wp:extent cx="6021705" cy="144145"/>
                <wp:effectExtent l="1270" t="635" r="0" b="0"/>
                <wp:wrapNone/>
                <wp:docPr id="1371169600"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1705"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8829F1" w14:textId="6730AD02" w:rsidR="00791D05" w:rsidRPr="00CC01B0" w:rsidRDefault="00791D05" w:rsidP="003B5916">
                            <w:pPr>
                              <w:pStyle w:val="Didascalia"/>
                              <w:rPr>
                                <w:rFonts w:ascii="Times New Roman" w:hAnsi="Times New Roman" w:cs="Times New Roman"/>
                                <w:i w:val="0"/>
                                <w:iCs w:val="0"/>
                                <w:color w:val="auto"/>
                              </w:rPr>
                            </w:pPr>
                            <w:bookmarkStart w:id="4" w:name="_Toc158913811"/>
                            <w:bookmarkStart w:id="5" w:name="_Toc166589552"/>
                            <w:r w:rsidRPr="00CC01B0">
                              <w:rPr>
                                <w:rFonts w:ascii="Times New Roman" w:hAnsi="Times New Roman" w:cs="Times New Roman"/>
                                <w:b/>
                                <w:bCs/>
                                <w:i w:val="0"/>
                                <w:iCs w:val="0"/>
                                <w:color w:val="auto"/>
                              </w:rPr>
                              <w:t xml:space="preserve">Supplementary Figure  </w:t>
                            </w:r>
                            <w:r w:rsidR="003631F5" w:rsidRPr="00CC01B0">
                              <w:rPr>
                                <w:rFonts w:ascii="Times New Roman" w:hAnsi="Times New Roman" w:cs="Times New Roman"/>
                                <w:b/>
                                <w:bCs/>
                                <w:i w:val="0"/>
                                <w:iCs w:val="0"/>
                                <w:color w:val="auto"/>
                              </w:rPr>
                              <w:fldChar w:fldCharType="begin"/>
                            </w:r>
                            <w:r w:rsidR="003631F5" w:rsidRPr="00CC01B0">
                              <w:rPr>
                                <w:rFonts w:ascii="Times New Roman" w:hAnsi="Times New Roman" w:cs="Times New Roman"/>
                                <w:b/>
                                <w:bCs/>
                                <w:i w:val="0"/>
                                <w:iCs w:val="0"/>
                                <w:color w:val="auto"/>
                              </w:rPr>
                              <w:instrText xml:space="preserve"> SEQ Supplementary_Figure_ \* ALPHABETIC </w:instrText>
                            </w:r>
                            <w:r w:rsidR="003631F5" w:rsidRPr="00CC01B0">
                              <w:rPr>
                                <w:rFonts w:ascii="Times New Roman" w:hAnsi="Times New Roman" w:cs="Times New Roman"/>
                                <w:b/>
                                <w:bCs/>
                                <w:i w:val="0"/>
                                <w:iCs w:val="0"/>
                                <w:color w:val="auto"/>
                              </w:rPr>
                              <w:fldChar w:fldCharType="separate"/>
                            </w:r>
                            <w:r w:rsidR="002C4F8E">
                              <w:rPr>
                                <w:rFonts w:ascii="Times New Roman" w:hAnsi="Times New Roman" w:cs="Times New Roman"/>
                                <w:b/>
                                <w:bCs/>
                                <w:i w:val="0"/>
                                <w:iCs w:val="0"/>
                                <w:noProof/>
                                <w:color w:val="auto"/>
                              </w:rPr>
                              <w:t>A</w:t>
                            </w:r>
                            <w:r w:rsidR="003631F5" w:rsidRPr="00CC01B0">
                              <w:rPr>
                                <w:rFonts w:ascii="Times New Roman" w:hAnsi="Times New Roman" w:cs="Times New Roman"/>
                                <w:b/>
                                <w:bCs/>
                                <w:i w:val="0"/>
                                <w:iCs w:val="0"/>
                                <w:color w:val="auto"/>
                              </w:rPr>
                              <w:fldChar w:fldCharType="end"/>
                            </w:r>
                            <w:r w:rsidRPr="00CC01B0">
                              <w:rPr>
                                <w:rFonts w:ascii="Times New Roman" w:hAnsi="Times New Roman" w:cs="Times New Roman"/>
                                <w:b/>
                                <w:bCs/>
                                <w:i w:val="0"/>
                                <w:iCs w:val="0"/>
                                <w:color w:val="auto"/>
                              </w:rPr>
                              <w:t>.</w:t>
                            </w:r>
                            <w:r w:rsidRPr="00CC01B0">
                              <w:rPr>
                                <w:rFonts w:ascii="Times New Roman" w:hAnsi="Times New Roman" w:cs="Times New Roman"/>
                                <w:i w:val="0"/>
                                <w:iCs w:val="0"/>
                                <w:color w:val="auto"/>
                              </w:rPr>
                              <w:t xml:space="preserve"> PRISMA flow chart. Process of selection of eligible documents</w:t>
                            </w:r>
                            <w:bookmarkEnd w:id="4"/>
                            <w:bookmarkEnd w:id="5"/>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F05D05" id="_x0000_t202" coordsize="21600,21600" o:spt="202" path="m,l,21600r21600,l21600,xe">
                <v:stroke joinstyle="miter"/>
                <v:path gradientshapeok="t" o:connecttype="rect"/>
              </v:shapetype>
              <v:shape id="Text Box 87" o:spid="_x0000_s1026" type="#_x0000_t202" style="position:absolute;margin-left:-8.15pt;margin-top:-15.15pt;width:474.15pt;height:11.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" stroked="f">
                <v:textbox inset="0,0,0,0">
                  <w:txbxContent>
                    <w:p w14:paraId="308829F1" w14:textId="6730AD02" w:rsidR="00791D05" w:rsidRPr="00CC01B0" w:rsidRDefault="00791D05" w:rsidP="003B5916">
                      <w:pPr>
                        <w:pStyle w:val="Didascalia"/>
                        <w:rPr>
                          <w:rFonts w:ascii="Times New Roman" w:hAnsi="Times New Roman" w:cs="Times New Roman"/>
                          <w:i w:val="0"/>
                          <w:iCs w:val="0"/>
                          <w:color w:val="auto"/>
                        </w:rPr>
                      </w:pPr>
                      <w:bookmarkStart w:id="6" w:name="_Toc158913811"/>
                      <w:bookmarkStart w:id="7" w:name="_Toc166589552"/>
                      <w:r w:rsidRPr="00CC01B0">
                        <w:rPr>
                          <w:rFonts w:ascii="Times New Roman" w:hAnsi="Times New Roman" w:cs="Times New Roman"/>
                          <w:b/>
                          <w:bCs/>
                          <w:i w:val="0"/>
                          <w:iCs w:val="0"/>
                          <w:color w:val="auto"/>
                        </w:rPr>
                        <w:t xml:space="preserve">Supplementary Figure  </w:t>
                      </w:r>
                      <w:r w:rsidR="003631F5" w:rsidRPr="00CC01B0">
                        <w:rPr>
                          <w:rFonts w:ascii="Times New Roman" w:hAnsi="Times New Roman" w:cs="Times New Roman"/>
                          <w:b/>
                          <w:bCs/>
                          <w:i w:val="0"/>
                          <w:iCs w:val="0"/>
                          <w:color w:val="auto"/>
                        </w:rPr>
                        <w:fldChar w:fldCharType="begin"/>
                      </w:r>
                      <w:r w:rsidR="003631F5" w:rsidRPr="00CC01B0">
                        <w:rPr>
                          <w:rFonts w:ascii="Times New Roman" w:hAnsi="Times New Roman" w:cs="Times New Roman"/>
                          <w:b/>
                          <w:bCs/>
                          <w:i w:val="0"/>
                          <w:iCs w:val="0"/>
                          <w:color w:val="auto"/>
                        </w:rPr>
                        <w:instrText xml:space="preserve"> SEQ Supplementary_Figure_ \* ALPHABETIC </w:instrText>
                      </w:r>
                      <w:r w:rsidR="003631F5" w:rsidRPr="00CC01B0">
                        <w:rPr>
                          <w:rFonts w:ascii="Times New Roman" w:hAnsi="Times New Roman" w:cs="Times New Roman"/>
                          <w:b/>
                          <w:bCs/>
                          <w:i w:val="0"/>
                          <w:iCs w:val="0"/>
                          <w:color w:val="auto"/>
                        </w:rPr>
                        <w:fldChar w:fldCharType="separate"/>
                      </w:r>
                      <w:r w:rsidR="002C4F8E">
                        <w:rPr>
                          <w:rFonts w:ascii="Times New Roman" w:hAnsi="Times New Roman" w:cs="Times New Roman"/>
                          <w:b/>
                          <w:bCs/>
                          <w:i w:val="0"/>
                          <w:iCs w:val="0"/>
                          <w:noProof/>
                          <w:color w:val="auto"/>
                        </w:rPr>
                        <w:t>A</w:t>
                      </w:r>
                      <w:r w:rsidR="003631F5" w:rsidRPr="00CC01B0">
                        <w:rPr>
                          <w:rFonts w:ascii="Times New Roman" w:hAnsi="Times New Roman" w:cs="Times New Roman"/>
                          <w:b/>
                          <w:bCs/>
                          <w:i w:val="0"/>
                          <w:iCs w:val="0"/>
                          <w:color w:val="auto"/>
                        </w:rPr>
                        <w:fldChar w:fldCharType="end"/>
                      </w:r>
                      <w:r w:rsidRPr="00CC01B0">
                        <w:rPr>
                          <w:rFonts w:ascii="Times New Roman" w:hAnsi="Times New Roman" w:cs="Times New Roman"/>
                          <w:b/>
                          <w:bCs/>
                          <w:i w:val="0"/>
                          <w:iCs w:val="0"/>
                          <w:color w:val="auto"/>
                        </w:rPr>
                        <w:t>.</w:t>
                      </w:r>
                      <w:r w:rsidRPr="00CC01B0">
                        <w:rPr>
                          <w:rFonts w:ascii="Times New Roman" w:hAnsi="Times New Roman" w:cs="Times New Roman"/>
                          <w:i w:val="0"/>
                          <w:iCs w:val="0"/>
                          <w:color w:val="auto"/>
                        </w:rPr>
                        <w:t xml:space="preserve"> PRISMA flow chart. Process of selection of eligible documents</w:t>
                      </w:r>
                      <w:bookmarkEnd w:id="6"/>
                      <w:bookmarkEnd w:id="7"/>
                    </w:p>
                  </w:txbxContent>
                </v:textbox>
              </v:shape>
            </w:pict>
          </mc:Fallback>
        </mc:AlternateContent>
      </w:r>
      <w:r w:rsidRPr="008C1952">
        <w:rPr>
          <w:rFonts w:ascii="Times New Roman" w:hAnsi="Times New Roman" w:cs="Times New Roman"/>
          <w:noProof/>
          <w:sz w:val="16"/>
          <w:szCs w:val="16"/>
          <w:lang w:eastAsia="en-GB"/>
        </w:rPr>
        <mc:AlternateContent>
          <mc:Choice Requires="wps">
            <w:drawing>
              <wp:anchor distT="0" distB="0" distL="114300" distR="114300" simplePos="0" relativeHeight="251659264" behindDoc="0" locked="0" layoutInCell="1" allowOverlap="1" wp14:anchorId="712D4B20" wp14:editId="5CFD9B0F">
                <wp:simplePos x="0" y="0"/>
                <wp:positionH relativeFrom="column">
                  <wp:posOffset>567055</wp:posOffset>
                </wp:positionH>
                <wp:positionV relativeFrom="paragraph">
                  <wp:posOffset>74295</wp:posOffset>
                </wp:positionV>
                <wp:extent cx="4345305" cy="262890"/>
                <wp:effectExtent l="0" t="0" r="0" b="3810"/>
                <wp:wrapNone/>
                <wp:docPr id="860208638" name="Elaborazione alternativa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45305" cy="262890"/>
                        </a:xfrm>
                        <a:prstGeom prst="flowChartAlternateProcess">
                          <a:avLst/>
                        </a:prstGeom>
                        <a:solidFill>
                          <a:srgbClr val="FFC000"/>
                        </a:solidFill>
                        <a:ln w="12700" cap="flat" cmpd="sng" algn="ctr">
                          <a:solidFill>
                            <a:srgbClr val="FFC000">
                              <a:shade val="50000"/>
                            </a:srgbClr>
                          </a:solidFill>
                          <a:prstDash val="solid"/>
                          <a:miter lim="800000"/>
                        </a:ln>
                        <a:effectLst/>
                      </wps:spPr>
                      <wps:txbx>
                        <w:txbxContent>
                          <w:p w14:paraId="72BDDC16" w14:textId="77777777" w:rsidR="00791D05" w:rsidRPr="004A367A" w:rsidRDefault="00791D05" w:rsidP="004A367A">
                            <w:pPr>
                              <w:spacing w:after="0" w:line="240" w:lineRule="auto"/>
                              <w:jc w:val="center"/>
                              <w:rPr>
                                <w:rFonts w:ascii="Palatino Linotype" w:hAnsi="Palatino Linotype" w:cs="Arial"/>
                                <w:b/>
                                <w:color w:val="000000"/>
                                <w:sz w:val="18"/>
                                <w:szCs w:val="18"/>
                              </w:rPr>
                            </w:pPr>
                            <w:r w:rsidRPr="004A367A">
                              <w:rPr>
                                <w:rFonts w:ascii="Palatino Linotype" w:hAnsi="Palatino Linotype" w:cs="Arial"/>
                                <w:b/>
                                <w:color w:val="000000"/>
                                <w:sz w:val="18"/>
                                <w:szCs w:val="18"/>
                              </w:rPr>
                              <w:t xml:space="preserve">Identification of studies via databases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2D4B20"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Elaborazione alternativa 18" o:spid="_x0000_s1027" type="#_x0000_t176" style="position:absolute;margin-left:44.65pt;margin-top:5.85pt;width:342.15pt;height:20.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" fillcolor="#ffc000" strokecolor="#bc8c00" strokeweight="1pt">
                <v:path arrowok="t"/>
                <v:textbox>
                  <w:txbxContent>
                    <w:p w14:paraId="72BDDC16" w14:textId="77777777" w:rsidR="00791D05" w:rsidRPr="004A367A" w:rsidRDefault="00791D05" w:rsidP="004A367A">
                      <w:pPr>
                        <w:spacing w:after="0" w:line="240" w:lineRule="auto"/>
                        <w:jc w:val="center"/>
                        <w:rPr>
                          <w:rFonts w:ascii="Palatino Linotype" w:hAnsi="Palatino Linotype" w:cs="Arial"/>
                          <w:b/>
                          <w:color w:val="000000"/>
                          <w:sz w:val="18"/>
                          <w:szCs w:val="18"/>
                        </w:rPr>
                      </w:pPr>
                      <w:r w:rsidRPr="004A367A">
                        <w:rPr>
                          <w:rFonts w:ascii="Palatino Linotype" w:hAnsi="Palatino Linotype" w:cs="Arial"/>
                          <w:b/>
                          <w:color w:val="000000"/>
                          <w:sz w:val="18"/>
                          <w:szCs w:val="18"/>
                        </w:rPr>
                        <w:t xml:space="preserve">Identification of studies via databases </w:t>
                      </w:r>
                    </w:p>
                  </w:txbxContent>
                </v:textbox>
              </v:shape>
            </w:pict>
          </mc:Fallback>
        </mc:AlternateContent>
      </w:r>
    </w:p>
    <w:p w14:paraId="2976FFFA" w14:textId="77777777" w:rsidR="00092586" w:rsidRPr="008C1952" w:rsidRDefault="00092586" w:rsidP="004A367A">
      <w:pPr>
        <w:spacing w:after="0" w:line="240" w:lineRule="auto"/>
        <w:rPr>
          <w:rFonts w:ascii="Times New Roman" w:eastAsia="Calibri" w:hAnsi="Times New Roman" w:cs="Times New Roman"/>
          <w:sz w:val="16"/>
          <w:szCs w:val="16"/>
          <w:lang w:val="en-AU"/>
        </w:rPr>
      </w:pPr>
    </w:p>
    <w:p w14:paraId="7577C890" w14:textId="77777777" w:rsidR="003375CC" w:rsidRPr="008C1952" w:rsidRDefault="003375CC" w:rsidP="004A367A">
      <w:pPr>
        <w:spacing w:after="0" w:line="240" w:lineRule="auto"/>
        <w:rPr>
          <w:rFonts w:ascii="Times New Roman" w:eastAsia="Calibri" w:hAnsi="Times New Roman" w:cs="Times New Roman"/>
          <w:sz w:val="16"/>
          <w:szCs w:val="16"/>
          <w:lang w:val="en-AU"/>
        </w:rPr>
      </w:pPr>
    </w:p>
    <w:p w14:paraId="581D2BA7" w14:textId="77777777" w:rsidR="003375CC" w:rsidRPr="008C1952" w:rsidRDefault="003375CC" w:rsidP="004A367A">
      <w:pPr>
        <w:spacing w:after="0" w:line="240" w:lineRule="auto"/>
        <w:rPr>
          <w:rFonts w:ascii="Times New Roman" w:eastAsia="Calibri" w:hAnsi="Times New Roman" w:cs="Times New Roman"/>
          <w:sz w:val="16"/>
          <w:szCs w:val="16"/>
          <w:lang w:val="en-AU"/>
        </w:rPr>
      </w:pPr>
    </w:p>
    <w:p w14:paraId="5546DF21" w14:textId="4AE180A3" w:rsidR="00092586" w:rsidRPr="008C1952" w:rsidRDefault="00AD1804" w:rsidP="004A367A">
      <w:pPr>
        <w:spacing w:after="0" w:line="240" w:lineRule="auto"/>
        <w:rPr>
          <w:rFonts w:ascii="Times New Roman" w:eastAsia="Calibri" w:hAnsi="Times New Roman" w:cs="Times New Roman"/>
          <w:sz w:val="16"/>
          <w:szCs w:val="16"/>
          <w:lang w:val="en-AU"/>
        </w:rPr>
      </w:pPr>
      <w:r w:rsidRPr="008C1952">
        <w:rPr>
          <w:rFonts w:ascii="Times New Roman" w:hAnsi="Times New Roman" w:cs="Times New Roman"/>
          <w:noProof/>
          <w:sz w:val="16"/>
          <w:szCs w:val="16"/>
          <w:lang w:eastAsia="en-GB"/>
        </w:rPr>
        <mc:AlternateContent>
          <mc:Choice Requires="wps">
            <w:drawing>
              <wp:anchor distT="0" distB="0" distL="114300" distR="114300" simplePos="0" relativeHeight="251660288" behindDoc="0" locked="0" layoutInCell="1" allowOverlap="1" wp14:anchorId="71A8014F" wp14:editId="286F24BF">
                <wp:simplePos x="0" y="0"/>
                <wp:positionH relativeFrom="column">
                  <wp:posOffset>3039745</wp:posOffset>
                </wp:positionH>
                <wp:positionV relativeFrom="paragraph">
                  <wp:posOffset>76835</wp:posOffset>
                </wp:positionV>
                <wp:extent cx="1887220" cy="1242695"/>
                <wp:effectExtent l="0" t="0" r="0" b="0"/>
                <wp:wrapNone/>
                <wp:docPr id="1712504775" name="Rettangolo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7220" cy="1242695"/>
                        </a:xfrm>
                        <a:prstGeom prst="rect">
                          <a:avLst/>
                        </a:prstGeom>
                        <a:noFill/>
                        <a:ln w="12700" cap="flat" cmpd="sng" algn="ctr">
                          <a:solidFill>
                            <a:sysClr val="windowText" lastClr="000000"/>
                          </a:solidFill>
                          <a:prstDash val="solid"/>
                          <a:miter lim="800000"/>
                        </a:ln>
                        <a:effectLst/>
                      </wps:spPr>
                      <wps:txbx>
                        <w:txbxContent>
                          <w:p w14:paraId="78B13A84" w14:textId="77777777" w:rsidR="00791D05" w:rsidRPr="00CC01B0" w:rsidRDefault="00791D05" w:rsidP="004A367A">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 xml:space="preserve">Records removed </w:t>
                            </w:r>
                            <w:r w:rsidRPr="00CC01B0">
                              <w:rPr>
                                <w:rFonts w:ascii="Times New Roman" w:hAnsi="Times New Roman" w:cs="Times New Roman"/>
                                <w:i/>
                                <w:iCs/>
                                <w:color w:val="000000"/>
                                <w:sz w:val="18"/>
                                <w:szCs w:val="20"/>
                              </w:rPr>
                              <w:t>before screening</w:t>
                            </w:r>
                            <w:r w:rsidRPr="00CC01B0">
                              <w:rPr>
                                <w:rFonts w:ascii="Times New Roman" w:hAnsi="Times New Roman" w:cs="Times New Roman"/>
                                <w:color w:val="000000"/>
                                <w:sz w:val="18"/>
                                <w:szCs w:val="20"/>
                              </w:rPr>
                              <w:t>:</w:t>
                            </w:r>
                          </w:p>
                          <w:p w14:paraId="421EC3FA" w14:textId="77777777" w:rsidR="00791D05" w:rsidRPr="00CC01B0" w:rsidRDefault="00791D05" w:rsidP="004A367A">
                            <w:pPr>
                              <w:spacing w:after="0" w:line="240" w:lineRule="auto"/>
                              <w:ind w:left="284"/>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Duplicate records removed (n = 58)</w:t>
                            </w:r>
                          </w:p>
                          <w:p w14:paraId="3151288F" w14:textId="77777777" w:rsidR="00791D05" w:rsidRPr="004A367A" w:rsidRDefault="00791D05" w:rsidP="004A367A">
                            <w:pPr>
                              <w:spacing w:after="0" w:line="240" w:lineRule="auto"/>
                              <w:ind w:left="284"/>
                              <w:rPr>
                                <w:rFonts w:ascii="Arial" w:hAnsi="Arial" w:cs="Arial"/>
                                <w:color w:val="000000"/>
                                <w:sz w:val="18"/>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A8014F" id="Rettangolo 17" o:spid="_x0000_s1028" style="position:absolute;margin-left:239.35pt;margin-top:6.05pt;width:148.6pt;height:97.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" filled="f" strokecolor="windowText" strokeweight="1pt">
                <v:path arrowok="t"/>
                <v:textbox>
                  <w:txbxContent>
                    <w:p w14:paraId="78B13A84" w14:textId="77777777" w:rsidR="00791D05" w:rsidRPr="00CC01B0" w:rsidRDefault="00791D05" w:rsidP="004A367A">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 xml:space="preserve">Records removed </w:t>
                      </w:r>
                      <w:r w:rsidRPr="00CC01B0">
                        <w:rPr>
                          <w:rFonts w:ascii="Times New Roman" w:hAnsi="Times New Roman" w:cs="Times New Roman"/>
                          <w:i/>
                          <w:iCs/>
                          <w:color w:val="000000"/>
                          <w:sz w:val="18"/>
                          <w:szCs w:val="20"/>
                        </w:rPr>
                        <w:t>before screening</w:t>
                      </w:r>
                      <w:r w:rsidRPr="00CC01B0">
                        <w:rPr>
                          <w:rFonts w:ascii="Times New Roman" w:hAnsi="Times New Roman" w:cs="Times New Roman"/>
                          <w:color w:val="000000"/>
                          <w:sz w:val="18"/>
                          <w:szCs w:val="20"/>
                        </w:rPr>
                        <w:t>:</w:t>
                      </w:r>
                    </w:p>
                    <w:p w14:paraId="421EC3FA" w14:textId="77777777" w:rsidR="00791D05" w:rsidRPr="00CC01B0" w:rsidRDefault="00791D05" w:rsidP="004A367A">
                      <w:pPr>
                        <w:spacing w:after="0" w:line="240" w:lineRule="auto"/>
                        <w:ind w:left="284"/>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Duplicate records removed (n = 58)</w:t>
                      </w:r>
                    </w:p>
                    <w:p w14:paraId="3151288F" w14:textId="77777777" w:rsidR="00791D05" w:rsidRPr="004A367A" w:rsidRDefault="00791D05" w:rsidP="004A367A">
                      <w:pPr>
                        <w:spacing w:after="0" w:line="240" w:lineRule="auto"/>
                        <w:ind w:left="284"/>
                        <w:rPr>
                          <w:rFonts w:ascii="Arial" w:hAnsi="Arial" w:cs="Arial"/>
                          <w:color w:val="000000"/>
                          <w:sz w:val="18"/>
                          <w:szCs w:val="20"/>
                        </w:rPr>
                      </w:pPr>
                    </w:p>
                  </w:txbxContent>
                </v:textbox>
              </v:rect>
            </w:pict>
          </mc:Fallback>
        </mc:AlternateContent>
      </w:r>
      <w:r w:rsidRPr="008C1952">
        <w:rPr>
          <w:rFonts w:ascii="Times New Roman" w:hAnsi="Times New Roman" w:cs="Times New Roman"/>
          <w:noProof/>
          <w:sz w:val="16"/>
          <w:szCs w:val="16"/>
          <w:lang w:eastAsia="en-GB"/>
        </w:rPr>
        <mc:AlternateContent>
          <mc:Choice Requires="wps">
            <w:drawing>
              <wp:anchor distT="0" distB="0" distL="114300" distR="114300" simplePos="0" relativeHeight="251661312" behindDoc="0" locked="0" layoutInCell="1" allowOverlap="1" wp14:anchorId="5547291C" wp14:editId="244E0B01">
                <wp:simplePos x="0" y="0"/>
                <wp:positionH relativeFrom="column">
                  <wp:posOffset>559435</wp:posOffset>
                </wp:positionH>
                <wp:positionV relativeFrom="paragraph">
                  <wp:posOffset>76835</wp:posOffset>
                </wp:positionV>
                <wp:extent cx="1887220" cy="1243330"/>
                <wp:effectExtent l="0" t="0" r="0" b="0"/>
                <wp:wrapNone/>
                <wp:docPr id="486642860" name="Rettangol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7220" cy="1243330"/>
                        </a:xfrm>
                        <a:prstGeom prst="rect">
                          <a:avLst/>
                        </a:prstGeom>
                        <a:noFill/>
                        <a:ln w="12700" cap="flat" cmpd="sng" algn="ctr">
                          <a:solidFill>
                            <a:sysClr val="windowText" lastClr="000000"/>
                          </a:solidFill>
                          <a:prstDash val="solid"/>
                          <a:miter lim="800000"/>
                        </a:ln>
                        <a:effectLst/>
                      </wps:spPr>
                      <wps:txbx>
                        <w:txbxContent>
                          <w:p w14:paraId="118DCE85" w14:textId="77777777" w:rsidR="00791D05" w:rsidRPr="00CC01B0" w:rsidRDefault="00791D05" w:rsidP="004A367A">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Records identified from:</w:t>
                            </w:r>
                          </w:p>
                          <w:p w14:paraId="08386C42" w14:textId="77777777" w:rsidR="00791D05" w:rsidRPr="00CC01B0" w:rsidRDefault="00791D05" w:rsidP="004A367A">
                            <w:pPr>
                              <w:spacing w:after="0" w:line="240" w:lineRule="auto"/>
                              <w:ind w:left="284"/>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Databases (n = 2)</w:t>
                            </w:r>
                          </w:p>
                          <w:p w14:paraId="779DCC55" w14:textId="77777777" w:rsidR="00791D05" w:rsidRPr="00CC01B0" w:rsidRDefault="00791D05" w:rsidP="004A367A">
                            <w:pPr>
                              <w:spacing w:after="0" w:line="240" w:lineRule="auto"/>
                              <w:ind w:left="284"/>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Web of Science (n = 403)</w:t>
                            </w:r>
                          </w:p>
                          <w:p w14:paraId="7BB4C718" w14:textId="77777777" w:rsidR="00791D05" w:rsidRPr="00CC01B0" w:rsidRDefault="00791D05" w:rsidP="004A367A">
                            <w:pPr>
                              <w:spacing w:after="0" w:line="240" w:lineRule="auto"/>
                              <w:ind w:left="284"/>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Scopus (n= 184)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47291C" id="Rettangolo 16" o:spid="_x0000_s1029" style="position:absolute;margin-left:44.05pt;margin-top:6.05pt;width:148.6pt;height:97.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" filled="f" strokecolor="windowText" strokeweight="1pt">
                <v:path arrowok="t"/>
                <v:textbox>
                  <w:txbxContent>
                    <w:p w14:paraId="118DCE85" w14:textId="77777777" w:rsidR="00791D05" w:rsidRPr="00CC01B0" w:rsidRDefault="00791D05" w:rsidP="004A367A">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Records identified from:</w:t>
                      </w:r>
                    </w:p>
                    <w:p w14:paraId="08386C42" w14:textId="77777777" w:rsidR="00791D05" w:rsidRPr="00CC01B0" w:rsidRDefault="00791D05" w:rsidP="004A367A">
                      <w:pPr>
                        <w:spacing w:after="0" w:line="240" w:lineRule="auto"/>
                        <w:ind w:left="284"/>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Databases (n = 2)</w:t>
                      </w:r>
                    </w:p>
                    <w:p w14:paraId="779DCC55" w14:textId="77777777" w:rsidR="00791D05" w:rsidRPr="00CC01B0" w:rsidRDefault="00791D05" w:rsidP="004A367A">
                      <w:pPr>
                        <w:spacing w:after="0" w:line="240" w:lineRule="auto"/>
                        <w:ind w:left="284"/>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Web of Science (n = 403)</w:t>
                      </w:r>
                    </w:p>
                    <w:p w14:paraId="7BB4C718" w14:textId="77777777" w:rsidR="00791D05" w:rsidRPr="00CC01B0" w:rsidRDefault="00791D05" w:rsidP="004A367A">
                      <w:pPr>
                        <w:spacing w:after="0" w:line="240" w:lineRule="auto"/>
                        <w:ind w:left="284"/>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Scopus (n= 184)</w:t>
                      </w:r>
                    </w:p>
                  </w:txbxContent>
                </v:textbox>
              </v:rect>
            </w:pict>
          </mc:Fallback>
        </mc:AlternateContent>
      </w:r>
    </w:p>
    <w:p w14:paraId="1AEACF81" w14:textId="77777777" w:rsidR="00092586" w:rsidRPr="008C1952" w:rsidRDefault="00092586" w:rsidP="004A367A">
      <w:pPr>
        <w:spacing w:after="0" w:line="240" w:lineRule="auto"/>
        <w:rPr>
          <w:rFonts w:ascii="Times New Roman" w:eastAsia="Calibri" w:hAnsi="Times New Roman" w:cs="Times New Roman"/>
          <w:sz w:val="16"/>
          <w:szCs w:val="16"/>
          <w:lang w:val="en-AU"/>
        </w:rPr>
      </w:pPr>
    </w:p>
    <w:p w14:paraId="3D274B86" w14:textId="1A4E9F43" w:rsidR="00092586" w:rsidRPr="008C1952" w:rsidRDefault="00AD1804" w:rsidP="004A367A">
      <w:pPr>
        <w:spacing w:after="0" w:line="240" w:lineRule="auto"/>
        <w:rPr>
          <w:rFonts w:ascii="Times New Roman" w:eastAsia="Calibri" w:hAnsi="Times New Roman" w:cs="Times New Roman"/>
          <w:sz w:val="16"/>
          <w:szCs w:val="16"/>
          <w:lang w:val="en-AU"/>
        </w:rPr>
      </w:pPr>
      <w:r w:rsidRPr="008C1952">
        <w:rPr>
          <w:rFonts w:ascii="Times New Roman" w:hAnsi="Times New Roman" w:cs="Times New Roman"/>
          <w:noProof/>
          <w:sz w:val="16"/>
          <w:szCs w:val="16"/>
          <w:lang w:eastAsia="en-GB"/>
        </w:rPr>
        <mc:AlternateContent>
          <mc:Choice Requires="wps">
            <w:drawing>
              <wp:anchor distT="0" distB="0" distL="114300" distR="114300" simplePos="0" relativeHeight="251662336" behindDoc="0" locked="0" layoutInCell="1" allowOverlap="1" wp14:anchorId="2601094A" wp14:editId="58AA5A14">
                <wp:simplePos x="0" y="0"/>
                <wp:positionH relativeFrom="column">
                  <wp:posOffset>-403860</wp:posOffset>
                </wp:positionH>
                <wp:positionV relativeFrom="paragraph">
                  <wp:posOffset>222250</wp:posOffset>
                </wp:positionV>
                <wp:extent cx="1276985" cy="262890"/>
                <wp:effectExtent l="8255" t="8890" r="14605" b="9525"/>
                <wp:wrapNone/>
                <wp:docPr id="35201555" name="Flowchart: Alternate Process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276985" cy="262890"/>
                        </a:xfrm>
                        <a:prstGeom prst="flowChartAlternateProcess">
                          <a:avLst/>
                        </a:prstGeom>
                        <a:solidFill>
                          <a:srgbClr val="9DC3E6"/>
                        </a:solidFill>
                        <a:ln w="12700">
                          <a:solidFill>
                            <a:srgbClr val="000000"/>
                          </a:solidFill>
                          <a:miter lim="800000"/>
                          <a:headEnd/>
                          <a:tailEnd/>
                        </a:ln>
                      </wps:spPr>
                      <wps:txbx>
                        <w:txbxContent>
                          <w:p w14:paraId="6146EB6A" w14:textId="77777777" w:rsidR="00791D05" w:rsidRPr="004A367A" w:rsidRDefault="00791D05" w:rsidP="004A367A">
                            <w:pPr>
                              <w:spacing w:after="0" w:line="240" w:lineRule="auto"/>
                              <w:jc w:val="center"/>
                              <w:rPr>
                                <w:rFonts w:ascii="Palatino Linotype" w:hAnsi="Palatino Linotype" w:cs="Arial"/>
                                <w:b/>
                                <w:color w:val="000000"/>
                                <w:sz w:val="18"/>
                                <w:szCs w:val="18"/>
                              </w:rPr>
                            </w:pPr>
                            <w:r w:rsidRPr="004A367A">
                              <w:rPr>
                                <w:rFonts w:ascii="Palatino Linotype" w:hAnsi="Palatino Linotype" w:cs="Arial"/>
                                <w:b/>
                                <w:color w:val="000000"/>
                                <w:sz w:val="18"/>
                                <w:szCs w:val="18"/>
                              </w:rPr>
                              <w:t>Identification</w:t>
                            </w:r>
                          </w:p>
                        </w:txbxContent>
                      </wps:txbx>
                      <wps:bodyPr rot="0" vert="vert270"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601094A" id="Flowchart: Alternate Process 31" o:spid="_x0000_s1030" type="#_x0000_t176" style="position:absolute;margin-left:-31.8pt;margin-top:17.5pt;width:100.55pt;height:20.7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" fillcolor="#9dc3e6" strokeweight="1pt">
                <v:textbox style="layout-flow:vertical;mso-layout-flow-alt:bottom-to-top">
                  <w:txbxContent>
                    <w:p w14:paraId="6146EB6A" w14:textId="77777777" w:rsidR="00791D05" w:rsidRPr="004A367A" w:rsidRDefault="00791D05" w:rsidP="004A367A">
                      <w:pPr>
                        <w:spacing w:after="0" w:line="240" w:lineRule="auto"/>
                        <w:jc w:val="center"/>
                        <w:rPr>
                          <w:rFonts w:ascii="Palatino Linotype" w:hAnsi="Palatino Linotype" w:cs="Arial"/>
                          <w:b/>
                          <w:color w:val="000000"/>
                          <w:sz w:val="18"/>
                          <w:szCs w:val="18"/>
                        </w:rPr>
                      </w:pPr>
                      <w:r w:rsidRPr="004A367A">
                        <w:rPr>
                          <w:rFonts w:ascii="Palatino Linotype" w:hAnsi="Palatino Linotype" w:cs="Arial"/>
                          <w:b/>
                          <w:color w:val="000000"/>
                          <w:sz w:val="18"/>
                          <w:szCs w:val="18"/>
                        </w:rPr>
                        <w:t>Identification</w:t>
                      </w:r>
                    </w:p>
                  </w:txbxContent>
                </v:textbox>
              </v:shape>
            </w:pict>
          </mc:Fallback>
        </mc:AlternateContent>
      </w:r>
    </w:p>
    <w:p w14:paraId="27892E58" w14:textId="77777777" w:rsidR="00092586" w:rsidRPr="008C1952" w:rsidRDefault="00092586" w:rsidP="004A367A">
      <w:pPr>
        <w:spacing w:after="0" w:line="240" w:lineRule="auto"/>
        <w:rPr>
          <w:rFonts w:ascii="Times New Roman" w:eastAsia="Calibri" w:hAnsi="Times New Roman" w:cs="Times New Roman"/>
          <w:sz w:val="16"/>
          <w:szCs w:val="16"/>
          <w:lang w:val="en-AU"/>
        </w:rPr>
      </w:pPr>
    </w:p>
    <w:p w14:paraId="54C3B791" w14:textId="711ACF8F" w:rsidR="00092586" w:rsidRPr="008C1952" w:rsidRDefault="00AD1804" w:rsidP="004A367A">
      <w:pPr>
        <w:spacing w:after="0" w:line="240" w:lineRule="auto"/>
        <w:rPr>
          <w:rFonts w:ascii="Times New Roman" w:eastAsia="Calibri" w:hAnsi="Times New Roman" w:cs="Times New Roman"/>
          <w:sz w:val="16"/>
          <w:szCs w:val="16"/>
          <w:lang w:val="en-AU"/>
        </w:rPr>
      </w:pPr>
      <w:r w:rsidRPr="008C1952">
        <w:rPr>
          <w:rFonts w:ascii="Times New Roman" w:hAnsi="Times New Roman" w:cs="Times New Roman"/>
          <w:noProof/>
          <w:sz w:val="16"/>
          <w:szCs w:val="16"/>
          <w:lang w:eastAsia="en-GB"/>
        </w:rPr>
        <mc:AlternateContent>
          <mc:Choice Requires="wps">
            <w:drawing>
              <wp:anchor distT="4294967295" distB="4294967295" distL="114300" distR="114300" simplePos="0" relativeHeight="251663360" behindDoc="0" locked="0" layoutInCell="1" allowOverlap="1" wp14:anchorId="10CE27DD" wp14:editId="1EE277CE">
                <wp:simplePos x="0" y="0"/>
                <wp:positionH relativeFrom="column">
                  <wp:posOffset>2454275</wp:posOffset>
                </wp:positionH>
                <wp:positionV relativeFrom="paragraph">
                  <wp:posOffset>9524</wp:posOffset>
                </wp:positionV>
                <wp:extent cx="563245" cy="0"/>
                <wp:effectExtent l="0" t="76200" r="8255" b="76200"/>
                <wp:wrapNone/>
                <wp:docPr id="280363020" name="Connettore 2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324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xmlns:a16="http://schemas.microsoft.com/office/drawing/2014/main" xmlns:c="http://schemas.openxmlformats.org/drawingml/2006/chart">
            <w:pict>
              <v:shapetype id="_x0000_t32" coordsize="21600,21600" o:oned="t" filled="f" o:spt="32" path="m,l21600,21600e" w14:anchorId="5900CC8D">
                <v:path fillok="f" arrowok="t" o:connecttype="none"/>
                <o:lock v:ext="edit" shapetype="t"/>
              </v:shapetype>
              <v:shape id="Connettore 2 15" style="position:absolute;margin-left:193.25pt;margin-top:.75pt;width:44.35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">
                <v:stroke joinstyle="miter" endarrow="block"/>
                <o:lock v:ext="edit" shapetype="f"/>
              </v:shape>
            </w:pict>
          </mc:Fallback>
        </mc:AlternateContent>
      </w:r>
    </w:p>
    <w:p w14:paraId="73660818" w14:textId="77777777" w:rsidR="00092586" w:rsidRPr="008C1952" w:rsidRDefault="00092586" w:rsidP="004A367A">
      <w:pPr>
        <w:spacing w:after="0" w:line="240" w:lineRule="auto"/>
        <w:rPr>
          <w:rFonts w:ascii="Times New Roman" w:eastAsia="Calibri" w:hAnsi="Times New Roman" w:cs="Times New Roman"/>
          <w:sz w:val="16"/>
          <w:szCs w:val="16"/>
          <w:lang w:val="en-AU"/>
        </w:rPr>
      </w:pPr>
    </w:p>
    <w:p w14:paraId="2C51796E" w14:textId="77777777" w:rsidR="00092586" w:rsidRPr="008C1952" w:rsidRDefault="00092586" w:rsidP="004A367A">
      <w:pPr>
        <w:spacing w:after="0" w:line="240" w:lineRule="auto"/>
        <w:rPr>
          <w:rFonts w:ascii="Times New Roman" w:eastAsia="Calibri" w:hAnsi="Times New Roman" w:cs="Times New Roman"/>
          <w:sz w:val="16"/>
          <w:szCs w:val="16"/>
          <w:lang w:val="en-AU"/>
        </w:rPr>
      </w:pPr>
    </w:p>
    <w:p w14:paraId="64AB85AE"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2922E908"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6A4C6E2A"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4CAC3C6A" w14:textId="21935A7D" w:rsidR="00092586" w:rsidRPr="00CC01B0" w:rsidRDefault="00AD1804"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0" distB="0" distL="114299" distR="114299" simplePos="0" relativeHeight="251664384" behindDoc="0" locked="0" layoutInCell="1" allowOverlap="1" wp14:anchorId="4FDC03CE" wp14:editId="5DA443BB">
                <wp:simplePos x="0" y="0"/>
                <wp:positionH relativeFrom="column">
                  <wp:posOffset>1400174</wp:posOffset>
                </wp:positionH>
                <wp:positionV relativeFrom="paragraph">
                  <wp:posOffset>128905</wp:posOffset>
                </wp:positionV>
                <wp:extent cx="0" cy="281305"/>
                <wp:effectExtent l="76200" t="0" r="38100" b="42545"/>
                <wp:wrapNone/>
                <wp:docPr id="1660096253" name="Connettore 2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130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c="http://schemas.openxmlformats.org/drawingml/2006/chart" xmlns:a16="http://schemas.microsoft.com/office/drawing/2014/main" xmlns:pic="http://schemas.openxmlformats.org/drawingml/2006/picture" xmlns:a14="http://schemas.microsoft.com/office/drawing/2010/main" xmlns:a="http://schemas.openxmlformats.org/drawingml/2006/main">
            <w:pict>
              <v:shapetype id="_x0000_t32" coordsize="21600,21600" o:oned="t" filled="f" o:spt="32" path="m,l21600,21600e" w14:anchorId="4A852FB5">
                <v:path fillok="f" arrowok="t" o:connecttype="none"/>
                <o:lock v:ext="edit" shapetype="t"/>
              </v:shapetype>
              <v:shape id="Connettore 2 14" style="position:absolute;margin-left:110.25pt;margin-top:10.15pt;width:0;height:22.15pt;z-index:251664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">
                <v:stroke joinstyle="miter" endarrow="block"/>
                <o:lock v:ext="edit" shapetype="f"/>
              </v:shape>
            </w:pict>
          </mc:Fallback>
        </mc:AlternateContent>
      </w:r>
    </w:p>
    <w:p w14:paraId="069684FB" w14:textId="32962C80" w:rsidR="00092586" w:rsidRPr="00CC01B0" w:rsidRDefault="00AD1804"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0" distB="0" distL="114300" distR="114300" simplePos="0" relativeHeight="251666432" behindDoc="0" locked="0" layoutInCell="1" allowOverlap="1" wp14:anchorId="5581DAB3" wp14:editId="680568E6">
                <wp:simplePos x="0" y="0"/>
                <wp:positionH relativeFrom="column">
                  <wp:posOffset>3057525</wp:posOffset>
                </wp:positionH>
                <wp:positionV relativeFrom="paragraph">
                  <wp:posOffset>66040</wp:posOffset>
                </wp:positionV>
                <wp:extent cx="1887220" cy="915035"/>
                <wp:effectExtent l="0" t="0" r="0" b="0"/>
                <wp:wrapNone/>
                <wp:docPr id="725012564" name="Rettangolo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7220" cy="915035"/>
                        </a:xfrm>
                        <a:prstGeom prst="rect">
                          <a:avLst/>
                        </a:prstGeom>
                        <a:noFill/>
                        <a:ln w="12700" cap="flat" cmpd="sng" algn="ctr">
                          <a:solidFill>
                            <a:sysClr val="windowText" lastClr="000000"/>
                          </a:solidFill>
                          <a:prstDash val="solid"/>
                          <a:miter lim="800000"/>
                        </a:ln>
                        <a:effectLst/>
                      </wps:spPr>
                      <wps:txbx>
                        <w:txbxContent>
                          <w:p w14:paraId="495AFA1C"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Records excluded (n = 280)</w:t>
                            </w:r>
                          </w:p>
                          <w:p w14:paraId="4239CD87"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Not on FS concept=181</w:t>
                            </w:r>
                          </w:p>
                          <w:p w14:paraId="3E8E8737"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Out of Europe = 94</w:t>
                            </w:r>
                          </w:p>
                          <w:p w14:paraId="7CE61448"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Not in English=4</w:t>
                            </w:r>
                          </w:p>
                          <w:p w14:paraId="21A4FD0D"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Not peer-reviewed=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81DAB3" id="Rettangolo 13" o:spid="_x0000_s1031" style="position:absolute;margin-left:240.75pt;margin-top:5.2pt;width:148.6pt;height:72.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" filled="f" strokecolor="windowText" strokeweight="1pt">
                <v:path arrowok="t"/>
                <v:textbox>
                  <w:txbxContent>
                    <w:p w14:paraId="495AFA1C"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Records excluded (n = 280)</w:t>
                      </w:r>
                    </w:p>
                    <w:p w14:paraId="4239CD87"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Not on FS concept=181</w:t>
                      </w:r>
                    </w:p>
                    <w:p w14:paraId="3E8E8737"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Out of Europe = 94</w:t>
                      </w:r>
                    </w:p>
                    <w:p w14:paraId="7CE61448"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Not in English=4</w:t>
                      </w:r>
                    </w:p>
                    <w:p w14:paraId="21A4FD0D"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Not peer-reviewed= 1</w:t>
                      </w:r>
                    </w:p>
                  </w:txbxContent>
                </v:textbox>
              </v:rect>
            </w:pict>
          </mc:Fallback>
        </mc:AlternateContent>
      </w:r>
    </w:p>
    <w:p w14:paraId="433060E7" w14:textId="1CBFE0CB" w:rsidR="003375CC" w:rsidRPr="00CC01B0" w:rsidRDefault="003375CC" w:rsidP="004A367A">
      <w:pPr>
        <w:spacing w:after="0" w:line="240" w:lineRule="auto"/>
        <w:rPr>
          <w:rFonts w:ascii="Times New Roman" w:eastAsia="Calibri" w:hAnsi="Times New Roman" w:cs="Times New Roman"/>
          <w:sz w:val="16"/>
          <w:szCs w:val="16"/>
          <w:lang w:val="en-AU"/>
        </w:rPr>
      </w:pPr>
    </w:p>
    <w:p w14:paraId="1DAB8DA3"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577835D3" w14:textId="40A80089" w:rsidR="00092586" w:rsidRPr="00CC01B0" w:rsidRDefault="00AD1804"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4294967295" distB="4294967295" distL="114300" distR="114300" simplePos="0" relativeHeight="251667456" behindDoc="0" locked="0" layoutInCell="1" allowOverlap="1" wp14:anchorId="71AFF677" wp14:editId="578266A1">
                <wp:simplePos x="0" y="0"/>
                <wp:positionH relativeFrom="column">
                  <wp:posOffset>2453640</wp:posOffset>
                </wp:positionH>
                <wp:positionV relativeFrom="paragraph">
                  <wp:posOffset>328294</wp:posOffset>
                </wp:positionV>
                <wp:extent cx="563245" cy="0"/>
                <wp:effectExtent l="0" t="76200" r="8255" b="76200"/>
                <wp:wrapNone/>
                <wp:docPr id="1462766587" name="Connettore 2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324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xmlns:a16="http://schemas.microsoft.com/office/drawing/2014/main" xmlns:c="http://schemas.openxmlformats.org/drawingml/2006/chart">
            <w:pict>
              <v:shape id="Connettore 2 12" style="position:absolute;margin-left:193.2pt;margin-top:25.85pt;width:44.35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" w14:anchorId="1403E4A8">
                <v:stroke joinstyle="miter" endarrow="block"/>
                <o:lock v:ext="edit" shapetype="f"/>
              </v:shape>
            </w:pict>
          </mc:Fallback>
        </mc:AlternateContent>
      </w:r>
      <w:r w:rsidRPr="00CC01B0">
        <w:rPr>
          <w:rFonts w:ascii="Times New Roman" w:hAnsi="Times New Roman" w:cs="Times New Roman"/>
          <w:noProof/>
          <w:sz w:val="16"/>
          <w:szCs w:val="16"/>
          <w:lang w:eastAsia="en-GB"/>
        </w:rPr>
        <mc:AlternateContent>
          <mc:Choice Requires="wps">
            <w:drawing>
              <wp:anchor distT="0" distB="0" distL="114300" distR="114300" simplePos="0" relativeHeight="251668480" behindDoc="0" locked="0" layoutInCell="1" allowOverlap="1" wp14:anchorId="068F3396" wp14:editId="52926FC6">
                <wp:simplePos x="0" y="0"/>
                <wp:positionH relativeFrom="column">
                  <wp:posOffset>559435</wp:posOffset>
                </wp:positionH>
                <wp:positionV relativeFrom="paragraph">
                  <wp:posOffset>74930</wp:posOffset>
                </wp:positionV>
                <wp:extent cx="1887220" cy="526415"/>
                <wp:effectExtent l="0" t="0" r="0" b="6985"/>
                <wp:wrapNone/>
                <wp:docPr id="1120625334" name="Rettangolo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7220" cy="526415"/>
                        </a:xfrm>
                        <a:prstGeom prst="rect">
                          <a:avLst/>
                        </a:prstGeom>
                        <a:noFill/>
                        <a:ln w="12700" cap="flat" cmpd="sng" algn="ctr">
                          <a:solidFill>
                            <a:sysClr val="windowText" lastClr="000000"/>
                          </a:solidFill>
                          <a:prstDash val="solid"/>
                          <a:miter lim="800000"/>
                        </a:ln>
                        <a:effectLst/>
                      </wps:spPr>
                      <wps:txbx>
                        <w:txbxContent>
                          <w:p w14:paraId="518CAEF8" w14:textId="77777777" w:rsidR="00791D05" w:rsidRPr="00CC01B0" w:rsidRDefault="00791D05" w:rsidP="004A367A">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Records screened at abstract level (n = 529)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8F3396" id="Rettangolo 11" o:spid="_x0000_s1032" style="position:absolute;margin-left:44.05pt;margin-top:5.9pt;width:148.6pt;height:41.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" filled="f" strokecolor="windowText" strokeweight="1pt">
                <v:path arrowok="t"/>
                <v:textbox>
                  <w:txbxContent>
                    <w:p w14:paraId="518CAEF8" w14:textId="77777777" w:rsidR="00791D05" w:rsidRPr="00CC01B0" w:rsidRDefault="00791D05" w:rsidP="004A367A">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Records screened at abstract level (n = 529)</w:t>
                      </w:r>
                    </w:p>
                  </w:txbxContent>
                </v:textbox>
              </v:rect>
            </w:pict>
          </mc:Fallback>
        </mc:AlternateContent>
      </w:r>
    </w:p>
    <w:p w14:paraId="39B5B2AC"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0A945438"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204B6BAE"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160AE929"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776F92C0" w14:textId="1AB73697" w:rsidR="00092586" w:rsidRPr="00CC01B0" w:rsidRDefault="00AD1804"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0" distB="0" distL="114299" distR="114299" simplePos="0" relativeHeight="251669504" behindDoc="0" locked="0" layoutInCell="1" allowOverlap="1" wp14:anchorId="3EBABAD0" wp14:editId="7E443BCE">
                <wp:simplePos x="0" y="0"/>
                <wp:positionH relativeFrom="column">
                  <wp:posOffset>1400174</wp:posOffset>
                </wp:positionH>
                <wp:positionV relativeFrom="paragraph">
                  <wp:posOffset>99695</wp:posOffset>
                </wp:positionV>
                <wp:extent cx="0" cy="281305"/>
                <wp:effectExtent l="76200" t="0" r="38100" b="42545"/>
                <wp:wrapNone/>
                <wp:docPr id="940669326" name="Connettore 2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130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xmlns:a16="http://schemas.microsoft.com/office/drawing/2014/main" xmlns:c="http://schemas.openxmlformats.org/drawingml/2006/chart">
            <w:pict>
              <v:shape id="Connettore 2 10" style="position:absolute;margin-left:110.25pt;margin-top:7.85pt;width:0;height:22.15pt;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" w14:anchorId="1F4E8C59">
                <v:stroke joinstyle="miter" endarrow="block"/>
                <o:lock v:ext="edit" shapetype="f"/>
              </v:shape>
            </w:pict>
          </mc:Fallback>
        </mc:AlternateContent>
      </w:r>
    </w:p>
    <w:p w14:paraId="0E5DC89D"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70CD34DA"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1EE78A2F"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3EE5E210" w14:textId="7F411CB5" w:rsidR="00092586" w:rsidRPr="00CC01B0" w:rsidRDefault="00AD1804"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0" distB="0" distL="114300" distR="114300" simplePos="0" relativeHeight="251670528" behindDoc="0" locked="0" layoutInCell="1" allowOverlap="1" wp14:anchorId="1C9D95AE" wp14:editId="4C2FB2ED">
                <wp:simplePos x="0" y="0"/>
                <wp:positionH relativeFrom="column">
                  <wp:posOffset>560705</wp:posOffset>
                </wp:positionH>
                <wp:positionV relativeFrom="paragraph">
                  <wp:posOffset>47625</wp:posOffset>
                </wp:positionV>
                <wp:extent cx="1887220" cy="526415"/>
                <wp:effectExtent l="0" t="0" r="0" b="6985"/>
                <wp:wrapNone/>
                <wp:docPr id="138574760" name="Rettangolo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7220" cy="526415"/>
                        </a:xfrm>
                        <a:prstGeom prst="rect">
                          <a:avLst/>
                        </a:prstGeom>
                        <a:noFill/>
                        <a:ln w="12700" cap="flat" cmpd="sng" algn="ctr">
                          <a:solidFill>
                            <a:sysClr val="windowText" lastClr="000000"/>
                          </a:solidFill>
                          <a:prstDash val="solid"/>
                          <a:miter lim="800000"/>
                        </a:ln>
                        <a:effectLst/>
                      </wps:spPr>
                      <wps:txbx>
                        <w:txbxContent>
                          <w:p w14:paraId="1D21325E"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Reports sought for retrieval (n = 249)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9D95AE" id="Rettangolo 9" o:spid="_x0000_s1033" style="position:absolute;margin-left:44.15pt;margin-top:3.75pt;width:148.6pt;height:41.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" filled="f" strokecolor="windowText" strokeweight="1pt">
                <v:path arrowok="t"/>
                <v:textbox>
                  <w:txbxContent>
                    <w:p w14:paraId="1D21325E"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Reports sought for retrieval (n = 249)</w:t>
                      </w:r>
                    </w:p>
                  </w:txbxContent>
                </v:textbox>
              </v:rect>
            </w:pict>
          </mc:Fallback>
        </mc:AlternateContent>
      </w:r>
      <w:r w:rsidRPr="00CC01B0">
        <w:rPr>
          <w:rFonts w:ascii="Times New Roman" w:hAnsi="Times New Roman" w:cs="Times New Roman"/>
          <w:noProof/>
          <w:sz w:val="16"/>
          <w:szCs w:val="16"/>
          <w:lang w:eastAsia="en-GB"/>
        </w:rPr>
        <mc:AlternateContent>
          <mc:Choice Requires="wps">
            <w:drawing>
              <wp:anchor distT="4294967295" distB="4294967295" distL="114300" distR="114300" simplePos="0" relativeHeight="251671552" behindDoc="0" locked="0" layoutInCell="1" allowOverlap="1" wp14:anchorId="6483FF10" wp14:editId="3D0AD8AC">
                <wp:simplePos x="0" y="0"/>
                <wp:positionH relativeFrom="column">
                  <wp:posOffset>2463165</wp:posOffset>
                </wp:positionH>
                <wp:positionV relativeFrom="paragraph">
                  <wp:posOffset>320674</wp:posOffset>
                </wp:positionV>
                <wp:extent cx="563245" cy="0"/>
                <wp:effectExtent l="0" t="76200" r="8255" b="76200"/>
                <wp:wrapNone/>
                <wp:docPr id="1689195908" name="Connettore 2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324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xmlns:a16="http://schemas.microsoft.com/office/drawing/2014/main" xmlns:c="http://schemas.openxmlformats.org/drawingml/2006/chart">
            <w:pict>
              <v:shape id="Connettore 2 8" style="position:absolute;margin-left:193.95pt;margin-top:25.25pt;width:44.35pt;height:0;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" w14:anchorId="0F331F5B">
                <v:stroke joinstyle="miter" endarrow="block"/>
                <o:lock v:ext="edit" shapetype="f"/>
              </v:shape>
            </w:pict>
          </mc:Fallback>
        </mc:AlternateContent>
      </w:r>
      <w:r w:rsidRPr="00CC01B0">
        <w:rPr>
          <w:rFonts w:ascii="Times New Roman" w:hAnsi="Times New Roman" w:cs="Times New Roman"/>
          <w:noProof/>
          <w:sz w:val="16"/>
          <w:szCs w:val="16"/>
          <w:lang w:eastAsia="en-GB"/>
        </w:rPr>
        <mc:AlternateContent>
          <mc:Choice Requires="wps">
            <w:drawing>
              <wp:anchor distT="0" distB="0" distL="114300" distR="114300" simplePos="0" relativeHeight="251672576" behindDoc="0" locked="0" layoutInCell="1" allowOverlap="1" wp14:anchorId="36DCF443" wp14:editId="47715AA5">
                <wp:simplePos x="0" y="0"/>
                <wp:positionH relativeFrom="column">
                  <wp:posOffset>3049270</wp:posOffset>
                </wp:positionH>
                <wp:positionV relativeFrom="paragraph">
                  <wp:posOffset>66675</wp:posOffset>
                </wp:positionV>
                <wp:extent cx="1887220" cy="526415"/>
                <wp:effectExtent l="0" t="0" r="0" b="6985"/>
                <wp:wrapNone/>
                <wp:docPr id="392759749" name="Rettangol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7220" cy="526415"/>
                        </a:xfrm>
                        <a:prstGeom prst="rect">
                          <a:avLst/>
                        </a:prstGeom>
                        <a:noFill/>
                        <a:ln w="12700" cap="flat" cmpd="sng" algn="ctr">
                          <a:solidFill>
                            <a:sysClr val="windowText" lastClr="000000"/>
                          </a:solidFill>
                          <a:prstDash val="solid"/>
                          <a:miter lim="800000"/>
                        </a:ln>
                        <a:effectLst/>
                      </wps:spPr>
                      <wps:txbx>
                        <w:txbxContent>
                          <w:p w14:paraId="1D96048F"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Reports not retrieved</w:t>
                            </w:r>
                          </w:p>
                          <w:p w14:paraId="1F39B592"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 = 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DCF443" id="Rettangolo 7" o:spid="_x0000_s1034" style="position:absolute;margin-left:240.1pt;margin-top:5.25pt;width:148.6pt;height:41.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" filled="f" strokecolor="windowText" strokeweight="1pt">
                <v:path arrowok="t"/>
                <v:textbox>
                  <w:txbxContent>
                    <w:p w14:paraId="1D96048F"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Reports not retrieved</w:t>
                      </w:r>
                    </w:p>
                    <w:p w14:paraId="1F39B592"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 = 0)</w:t>
                      </w:r>
                    </w:p>
                  </w:txbxContent>
                </v:textbox>
              </v:rect>
            </w:pict>
          </mc:Fallback>
        </mc:AlternateContent>
      </w:r>
    </w:p>
    <w:p w14:paraId="141E4E0A" w14:textId="7FF7456F" w:rsidR="00092586" w:rsidRPr="00CC01B0" w:rsidRDefault="00CC01B0"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0" distB="0" distL="114300" distR="114300" simplePos="0" relativeHeight="251665408" behindDoc="0" locked="0" layoutInCell="1" allowOverlap="1" wp14:anchorId="468ACA5B" wp14:editId="0424268C">
                <wp:simplePos x="0" y="0"/>
                <wp:positionH relativeFrom="column">
                  <wp:posOffset>-1511141</wp:posOffset>
                </wp:positionH>
                <wp:positionV relativeFrom="paragraph">
                  <wp:posOffset>143351</wp:posOffset>
                </wp:positionV>
                <wp:extent cx="3503295" cy="240984"/>
                <wp:effectExtent l="0" t="6985" r="13970" b="13970"/>
                <wp:wrapNone/>
                <wp:docPr id="1749677407" name="Flowchart: Alternate Proces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503295" cy="240984"/>
                        </a:xfrm>
                        <a:prstGeom prst="flowChartAlternateProcess">
                          <a:avLst/>
                        </a:prstGeom>
                        <a:solidFill>
                          <a:srgbClr val="9DC3E6"/>
                        </a:solidFill>
                        <a:ln w="12700">
                          <a:solidFill>
                            <a:srgbClr val="000000"/>
                          </a:solidFill>
                          <a:miter lim="800000"/>
                          <a:headEnd/>
                          <a:tailEnd/>
                        </a:ln>
                      </wps:spPr>
                      <wps:txbx>
                        <w:txbxContent>
                          <w:p w14:paraId="78C2198C" w14:textId="77777777" w:rsidR="00791D05" w:rsidRPr="00CC01B0" w:rsidRDefault="00791D05" w:rsidP="004A367A">
                            <w:pPr>
                              <w:spacing w:after="0" w:line="240" w:lineRule="auto"/>
                              <w:jc w:val="center"/>
                              <w:rPr>
                                <w:rFonts w:ascii="Times New Roman" w:hAnsi="Times New Roman" w:cs="Times New Roman"/>
                                <w:b/>
                                <w:color w:val="000000"/>
                                <w:sz w:val="18"/>
                                <w:szCs w:val="18"/>
                              </w:rPr>
                            </w:pPr>
                            <w:r w:rsidRPr="00CC01B0">
                              <w:rPr>
                                <w:rFonts w:ascii="Times New Roman" w:hAnsi="Times New Roman" w:cs="Times New Roman"/>
                                <w:b/>
                                <w:color w:val="000000"/>
                                <w:sz w:val="18"/>
                                <w:szCs w:val="18"/>
                              </w:rPr>
                              <w:t>Screening</w:t>
                            </w:r>
                          </w:p>
                        </w:txbxContent>
                      </wps:txbx>
                      <wps:bodyPr rot="0" vert="vert270"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68ACA5B" id="Flowchart: Alternate Process 32" o:spid="_x0000_s1035" type="#_x0000_t176" style="position:absolute;margin-left:-119pt;margin-top:11.3pt;width:275.85pt;height:19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" fillcolor="#9dc3e6" strokeweight="1pt">
                <v:textbox style="layout-flow:vertical;mso-layout-flow-alt:bottom-to-top">
                  <w:txbxContent>
                    <w:p w14:paraId="78C2198C" w14:textId="77777777" w:rsidR="00791D05" w:rsidRPr="00CC01B0" w:rsidRDefault="00791D05" w:rsidP="004A367A">
                      <w:pPr>
                        <w:spacing w:after="0" w:line="240" w:lineRule="auto"/>
                        <w:jc w:val="center"/>
                        <w:rPr>
                          <w:rFonts w:ascii="Times New Roman" w:hAnsi="Times New Roman" w:cs="Times New Roman"/>
                          <w:b/>
                          <w:color w:val="000000"/>
                          <w:sz w:val="18"/>
                          <w:szCs w:val="18"/>
                        </w:rPr>
                      </w:pPr>
                      <w:r w:rsidRPr="00CC01B0">
                        <w:rPr>
                          <w:rFonts w:ascii="Times New Roman" w:hAnsi="Times New Roman" w:cs="Times New Roman"/>
                          <w:b/>
                          <w:color w:val="000000"/>
                          <w:sz w:val="18"/>
                          <w:szCs w:val="18"/>
                        </w:rPr>
                        <w:t>Screening</w:t>
                      </w:r>
                    </w:p>
                  </w:txbxContent>
                </v:textbox>
              </v:shape>
            </w:pict>
          </mc:Fallback>
        </mc:AlternateContent>
      </w:r>
    </w:p>
    <w:p w14:paraId="69A4A162"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0B1DE82A"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29F0C72F"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6BD01EF1" w14:textId="60372A4F" w:rsidR="00092586" w:rsidRPr="00CC01B0" w:rsidRDefault="00AD1804"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0" distB="0" distL="114299" distR="114299" simplePos="0" relativeHeight="251673600" behindDoc="0" locked="0" layoutInCell="1" allowOverlap="1" wp14:anchorId="559373F2" wp14:editId="02ED2F2B">
                <wp:simplePos x="0" y="0"/>
                <wp:positionH relativeFrom="column">
                  <wp:posOffset>1409699</wp:posOffset>
                </wp:positionH>
                <wp:positionV relativeFrom="paragraph">
                  <wp:posOffset>56515</wp:posOffset>
                </wp:positionV>
                <wp:extent cx="0" cy="281305"/>
                <wp:effectExtent l="76200" t="0" r="38100" b="42545"/>
                <wp:wrapNone/>
                <wp:docPr id="406341807" name="Connettore 2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130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xmlns:a16="http://schemas.microsoft.com/office/drawing/2014/main" xmlns:c="http://schemas.openxmlformats.org/drawingml/2006/chart">
            <w:pict>
              <v:shape id="Connettore 2 6" style="position:absolute;margin-left:111pt;margin-top:4.45pt;width:0;height:22.15pt;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" w14:anchorId="11C7E6B1">
                <v:stroke joinstyle="miter" endarrow="block"/>
                <o:lock v:ext="edit" shapetype="f"/>
              </v:shape>
            </w:pict>
          </mc:Fallback>
        </mc:AlternateContent>
      </w:r>
    </w:p>
    <w:p w14:paraId="2A3FE46F"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23EDFCFC"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702B4AEA" w14:textId="432E1F6F" w:rsidR="00092586" w:rsidRPr="00CC01B0" w:rsidRDefault="00AD1804"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4294967295" distB="4294967295" distL="114300" distR="114300" simplePos="0" relativeHeight="251674624" behindDoc="0" locked="0" layoutInCell="1" allowOverlap="1" wp14:anchorId="14D4014E" wp14:editId="787BDF30">
                <wp:simplePos x="0" y="0"/>
                <wp:positionH relativeFrom="column">
                  <wp:posOffset>2476500</wp:posOffset>
                </wp:positionH>
                <wp:positionV relativeFrom="paragraph">
                  <wp:posOffset>294639</wp:posOffset>
                </wp:positionV>
                <wp:extent cx="563245" cy="0"/>
                <wp:effectExtent l="0" t="76200" r="8255" b="76200"/>
                <wp:wrapNone/>
                <wp:docPr id="652714659" name="Connettore 2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324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xmlns:a16="http://schemas.microsoft.com/office/drawing/2014/main" xmlns:c="http://schemas.openxmlformats.org/drawingml/2006/chart">
            <w:pict>
              <v:shape id="Connettore 2 5" style="position:absolute;margin-left:195pt;margin-top:23.2pt;width:44.35pt;height:0;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" w14:anchorId="2FB887F0">
                <v:stroke joinstyle="miter" endarrow="block"/>
                <o:lock v:ext="edit" shapetype="f"/>
              </v:shape>
            </w:pict>
          </mc:Fallback>
        </mc:AlternateContent>
      </w:r>
      <w:r w:rsidRPr="00CC01B0">
        <w:rPr>
          <w:rFonts w:ascii="Times New Roman" w:hAnsi="Times New Roman" w:cs="Times New Roman"/>
          <w:noProof/>
          <w:sz w:val="16"/>
          <w:szCs w:val="16"/>
          <w:lang w:eastAsia="en-GB"/>
        </w:rPr>
        <mc:AlternateContent>
          <mc:Choice Requires="wps">
            <w:drawing>
              <wp:anchor distT="0" distB="0" distL="114300" distR="114300" simplePos="0" relativeHeight="251675648" behindDoc="0" locked="0" layoutInCell="1" allowOverlap="1" wp14:anchorId="2442C084" wp14:editId="2203E5C8">
                <wp:simplePos x="0" y="0"/>
                <wp:positionH relativeFrom="column">
                  <wp:posOffset>561975</wp:posOffset>
                </wp:positionH>
                <wp:positionV relativeFrom="paragraph">
                  <wp:posOffset>13335</wp:posOffset>
                </wp:positionV>
                <wp:extent cx="1887220" cy="526415"/>
                <wp:effectExtent l="0" t="0" r="0" b="6985"/>
                <wp:wrapNone/>
                <wp:docPr id="1810803939"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7220" cy="526415"/>
                        </a:xfrm>
                        <a:prstGeom prst="rect">
                          <a:avLst/>
                        </a:prstGeom>
                        <a:noFill/>
                        <a:ln w="12700" cap="flat" cmpd="sng" algn="ctr">
                          <a:solidFill>
                            <a:sysClr val="windowText" lastClr="000000"/>
                          </a:solidFill>
                          <a:prstDash val="solid"/>
                          <a:miter lim="800000"/>
                        </a:ln>
                        <a:effectLst/>
                      </wps:spPr>
                      <wps:txbx>
                        <w:txbxContent>
                          <w:p w14:paraId="03F770CB" w14:textId="77777777" w:rsidR="00791D05" w:rsidRPr="00CC01B0" w:rsidRDefault="00791D05" w:rsidP="003B5916">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Reports assessed for eligibility</w:t>
                            </w:r>
                          </w:p>
                          <w:p w14:paraId="46AECB8D" w14:textId="77777777" w:rsidR="00791D05" w:rsidRPr="00CC01B0" w:rsidRDefault="00791D05" w:rsidP="003B5916">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 = 249)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42C084" id="Rettangolo 4" o:spid="_x0000_s1036" style="position:absolute;margin-left:44.25pt;margin-top:1.05pt;width:148.6pt;height:41.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" filled="f" strokecolor="windowText" strokeweight="1pt">
                <v:path arrowok="t"/>
                <v:textbox>
                  <w:txbxContent>
                    <w:p w14:paraId="03F770CB" w14:textId="77777777" w:rsidR="00791D05" w:rsidRPr="00CC01B0" w:rsidRDefault="00791D05" w:rsidP="003B5916">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Reports assessed for eligibility</w:t>
                      </w:r>
                    </w:p>
                    <w:p w14:paraId="46AECB8D" w14:textId="77777777" w:rsidR="00791D05" w:rsidRPr="00CC01B0" w:rsidRDefault="00791D05" w:rsidP="003B5916">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 = 249)</w:t>
                      </w:r>
                    </w:p>
                  </w:txbxContent>
                </v:textbox>
              </v:rect>
            </w:pict>
          </mc:Fallback>
        </mc:AlternateContent>
      </w:r>
      <w:r w:rsidRPr="00CC01B0">
        <w:rPr>
          <w:rFonts w:ascii="Times New Roman" w:hAnsi="Times New Roman" w:cs="Times New Roman"/>
          <w:noProof/>
          <w:sz w:val="16"/>
          <w:szCs w:val="16"/>
          <w:lang w:eastAsia="en-GB"/>
        </w:rPr>
        <mc:AlternateContent>
          <mc:Choice Requires="wps">
            <w:drawing>
              <wp:anchor distT="0" distB="0" distL="114300" distR="114300" simplePos="0" relativeHeight="251676672" behindDoc="0" locked="0" layoutInCell="1" allowOverlap="1" wp14:anchorId="2FE03DC1" wp14:editId="0FA70D1B">
                <wp:simplePos x="0" y="0"/>
                <wp:positionH relativeFrom="column">
                  <wp:posOffset>3057525</wp:posOffset>
                </wp:positionH>
                <wp:positionV relativeFrom="paragraph">
                  <wp:posOffset>10795</wp:posOffset>
                </wp:positionV>
                <wp:extent cx="1887220" cy="1133475"/>
                <wp:effectExtent l="0" t="0" r="0" b="9525"/>
                <wp:wrapNone/>
                <wp:docPr id="684938743"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7220" cy="1133475"/>
                        </a:xfrm>
                        <a:prstGeom prst="rect">
                          <a:avLst/>
                        </a:prstGeom>
                        <a:noFill/>
                        <a:ln w="12700" cap="flat" cmpd="sng" algn="ctr">
                          <a:solidFill>
                            <a:sysClr val="windowText" lastClr="000000"/>
                          </a:solidFill>
                          <a:prstDash val="solid"/>
                          <a:miter lim="800000"/>
                        </a:ln>
                        <a:effectLst/>
                      </wps:spPr>
                      <wps:txbx>
                        <w:txbxContent>
                          <w:p w14:paraId="3AC3B5B7" w14:textId="77777777" w:rsidR="00791D05" w:rsidRPr="00CC01B0" w:rsidRDefault="00791D05" w:rsidP="004A367A">
                            <w:pPr>
                              <w:spacing w:after="0" w:line="240" w:lineRule="auto"/>
                              <w:rPr>
                                <w:rFonts w:ascii="Times New Roman" w:hAnsi="Times New Roman" w:cs="Times New Roman"/>
                                <w:color w:val="000000"/>
                                <w:sz w:val="18"/>
                                <w:szCs w:val="20"/>
                              </w:rPr>
                            </w:pPr>
                            <w:r w:rsidRPr="00CC01B0">
                              <w:rPr>
                                <w:rFonts w:ascii="Times New Roman" w:hAnsi="Times New Roman" w:cs="Times New Roman"/>
                                <w:color w:val="000000"/>
                                <w:sz w:val="18"/>
                                <w:szCs w:val="20"/>
                              </w:rPr>
                              <w:t>Reports excluded: 155</w:t>
                            </w:r>
                          </w:p>
                          <w:p w14:paraId="011F10FD" w14:textId="77777777" w:rsidR="00791D05" w:rsidRPr="00CC01B0" w:rsidRDefault="00791D05" w:rsidP="003B5916">
                            <w:pPr>
                              <w:spacing w:after="0" w:line="240" w:lineRule="auto"/>
                              <w:rPr>
                                <w:rFonts w:ascii="Times New Roman" w:hAnsi="Times New Roman" w:cs="Times New Roman"/>
                                <w:color w:val="000000"/>
                                <w:sz w:val="18"/>
                                <w:szCs w:val="20"/>
                              </w:rPr>
                            </w:pPr>
                            <w:r w:rsidRPr="00CC01B0">
                              <w:rPr>
                                <w:rFonts w:ascii="Times New Roman" w:hAnsi="Times New Roman" w:cs="Times New Roman"/>
                                <w:color w:val="000000"/>
                                <w:sz w:val="18"/>
                                <w:szCs w:val="20"/>
                              </w:rPr>
                              <w:t>Full text not available (n=8)</w:t>
                            </w:r>
                          </w:p>
                          <w:p w14:paraId="1FDB75C8" w14:textId="77777777" w:rsidR="00791D05" w:rsidRPr="00CC01B0" w:rsidRDefault="00791D05" w:rsidP="003B5916">
                            <w:pPr>
                              <w:spacing w:after="0" w:line="240" w:lineRule="auto"/>
                              <w:rPr>
                                <w:rFonts w:ascii="Times New Roman" w:hAnsi="Times New Roman" w:cs="Times New Roman"/>
                                <w:color w:val="000000"/>
                                <w:sz w:val="18"/>
                                <w:szCs w:val="20"/>
                              </w:rPr>
                            </w:pPr>
                            <w:r w:rsidRPr="00CC01B0">
                              <w:rPr>
                                <w:rFonts w:ascii="Times New Roman" w:hAnsi="Times New Roman" w:cs="Times New Roman"/>
                                <w:color w:val="000000"/>
                                <w:sz w:val="18"/>
                                <w:szCs w:val="20"/>
                              </w:rPr>
                              <w:t>Do not conceptualise food system sustainability frameworks, transition pathways or related aspects* (n=147)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E03DC1" id="Rettangolo 3" o:spid="_x0000_s1037" style="position:absolute;margin-left:240.75pt;margin-top:.85pt;width:148.6pt;height:89.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" filled="f" strokecolor="windowText" strokeweight="1pt">
                <v:path arrowok="t"/>
                <v:textbox>
                  <w:txbxContent>
                    <w:p w14:paraId="3AC3B5B7" w14:textId="77777777" w:rsidR="00791D05" w:rsidRPr="00CC01B0" w:rsidRDefault="00791D05" w:rsidP="004A367A">
                      <w:pPr>
                        <w:spacing w:after="0" w:line="240" w:lineRule="auto"/>
                        <w:rPr>
                          <w:rFonts w:ascii="Times New Roman" w:hAnsi="Times New Roman" w:cs="Times New Roman"/>
                          <w:color w:val="000000"/>
                          <w:sz w:val="18"/>
                          <w:szCs w:val="20"/>
                        </w:rPr>
                      </w:pPr>
                      <w:r w:rsidRPr="00CC01B0">
                        <w:rPr>
                          <w:rFonts w:ascii="Times New Roman" w:hAnsi="Times New Roman" w:cs="Times New Roman"/>
                          <w:color w:val="000000"/>
                          <w:sz w:val="18"/>
                          <w:szCs w:val="20"/>
                        </w:rPr>
                        <w:t>Reports excluded: 155</w:t>
                      </w:r>
                    </w:p>
                    <w:p w14:paraId="011F10FD" w14:textId="77777777" w:rsidR="00791D05" w:rsidRPr="00CC01B0" w:rsidRDefault="00791D05" w:rsidP="003B5916">
                      <w:pPr>
                        <w:spacing w:after="0" w:line="240" w:lineRule="auto"/>
                        <w:rPr>
                          <w:rFonts w:ascii="Times New Roman" w:hAnsi="Times New Roman" w:cs="Times New Roman"/>
                          <w:color w:val="000000"/>
                          <w:sz w:val="18"/>
                          <w:szCs w:val="20"/>
                        </w:rPr>
                      </w:pPr>
                      <w:r w:rsidRPr="00CC01B0">
                        <w:rPr>
                          <w:rFonts w:ascii="Times New Roman" w:hAnsi="Times New Roman" w:cs="Times New Roman"/>
                          <w:color w:val="000000"/>
                          <w:sz w:val="18"/>
                          <w:szCs w:val="20"/>
                        </w:rPr>
                        <w:t>Full text not available (n=8)</w:t>
                      </w:r>
                    </w:p>
                    <w:p w14:paraId="1FDB75C8" w14:textId="77777777" w:rsidR="00791D05" w:rsidRPr="00CC01B0" w:rsidRDefault="00791D05" w:rsidP="003B5916">
                      <w:pPr>
                        <w:spacing w:after="0" w:line="240" w:lineRule="auto"/>
                        <w:rPr>
                          <w:rFonts w:ascii="Times New Roman" w:hAnsi="Times New Roman" w:cs="Times New Roman"/>
                          <w:color w:val="000000"/>
                          <w:sz w:val="18"/>
                          <w:szCs w:val="20"/>
                        </w:rPr>
                      </w:pPr>
                      <w:r w:rsidRPr="00CC01B0">
                        <w:rPr>
                          <w:rFonts w:ascii="Times New Roman" w:hAnsi="Times New Roman" w:cs="Times New Roman"/>
                          <w:color w:val="000000"/>
                          <w:sz w:val="18"/>
                          <w:szCs w:val="20"/>
                        </w:rPr>
                        <w:t>Do not conceptualise food system sustainability frameworks, transition pathways or related aspects* (n=147)</w:t>
                      </w:r>
                    </w:p>
                  </w:txbxContent>
                </v:textbox>
              </v:rect>
            </w:pict>
          </mc:Fallback>
        </mc:AlternateContent>
      </w:r>
    </w:p>
    <w:p w14:paraId="47E5F5FB"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5C1A8B81"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0F4D14C7"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21FF2C98" w14:textId="61DDED04" w:rsidR="003375CC" w:rsidRPr="00CC01B0" w:rsidRDefault="00AD1804"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0" distB="0" distL="114299" distR="114299" simplePos="0" relativeHeight="251677696" behindDoc="0" locked="0" layoutInCell="1" allowOverlap="1" wp14:anchorId="48ADD8A0" wp14:editId="307DB6E3">
                <wp:simplePos x="0" y="0"/>
                <wp:positionH relativeFrom="column">
                  <wp:posOffset>1410334</wp:posOffset>
                </wp:positionH>
                <wp:positionV relativeFrom="paragraph">
                  <wp:posOffset>30480</wp:posOffset>
                </wp:positionV>
                <wp:extent cx="0" cy="746125"/>
                <wp:effectExtent l="76200" t="0" r="38100" b="34925"/>
                <wp:wrapNone/>
                <wp:docPr id="553996835" name="Connettore 2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461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xmlns:a16="http://schemas.microsoft.com/office/drawing/2014/main" xmlns:c="http://schemas.openxmlformats.org/drawingml/2006/chart">
            <w:pict>
              <v:shape id="Connettore 2 2" style="position:absolute;margin-left:111.05pt;margin-top:2.4pt;width:0;height:58.75pt;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" w14:anchorId="10340175">
                <v:stroke joinstyle="miter" endarrow="block"/>
                <o:lock v:ext="edit" shapetype="f"/>
              </v:shape>
            </w:pict>
          </mc:Fallback>
        </mc:AlternateContent>
      </w:r>
    </w:p>
    <w:p w14:paraId="0166AE3B" w14:textId="7C487A08" w:rsidR="00092586" w:rsidRPr="00CC01B0" w:rsidRDefault="00092586" w:rsidP="004A367A">
      <w:pPr>
        <w:spacing w:after="0" w:line="240" w:lineRule="auto"/>
        <w:rPr>
          <w:rFonts w:ascii="Times New Roman" w:eastAsia="Calibri" w:hAnsi="Times New Roman" w:cs="Times New Roman"/>
          <w:sz w:val="16"/>
          <w:szCs w:val="16"/>
          <w:lang w:val="en-AU"/>
        </w:rPr>
      </w:pPr>
    </w:p>
    <w:p w14:paraId="5B36C328"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5EE9B870" w14:textId="1419A775" w:rsidR="00092586" w:rsidRPr="00CC01B0" w:rsidRDefault="00092586" w:rsidP="004A367A">
      <w:pPr>
        <w:spacing w:after="0" w:line="240" w:lineRule="auto"/>
        <w:rPr>
          <w:rFonts w:ascii="Times New Roman" w:eastAsia="Calibri" w:hAnsi="Times New Roman" w:cs="Times New Roman"/>
          <w:sz w:val="16"/>
          <w:szCs w:val="16"/>
          <w:lang w:val="en-AU"/>
        </w:rPr>
      </w:pPr>
    </w:p>
    <w:p w14:paraId="47557D00"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39FA2122" w14:textId="77777777" w:rsidR="003375CC" w:rsidRPr="00CC01B0" w:rsidRDefault="003375CC" w:rsidP="004A367A">
      <w:pPr>
        <w:spacing w:after="0" w:line="240" w:lineRule="auto"/>
        <w:rPr>
          <w:rFonts w:ascii="Times New Roman" w:eastAsia="Calibri" w:hAnsi="Times New Roman" w:cs="Times New Roman"/>
          <w:sz w:val="16"/>
          <w:szCs w:val="16"/>
          <w:lang w:val="en-AU"/>
        </w:rPr>
      </w:pPr>
    </w:p>
    <w:p w14:paraId="35A93A73" w14:textId="6CA4D0B2" w:rsidR="00092586" w:rsidRPr="00CC01B0" w:rsidRDefault="00AD1804" w:rsidP="004A367A">
      <w:pPr>
        <w:spacing w:after="0" w:line="240" w:lineRule="auto"/>
        <w:rPr>
          <w:rFonts w:ascii="Times New Roman" w:eastAsia="Calibri" w:hAnsi="Times New Roman" w:cs="Times New Roman"/>
          <w:sz w:val="16"/>
          <w:szCs w:val="16"/>
          <w:lang w:val="en-AU"/>
        </w:rPr>
      </w:pPr>
      <w:r w:rsidRPr="00CC01B0">
        <w:rPr>
          <w:rFonts w:ascii="Times New Roman" w:hAnsi="Times New Roman" w:cs="Times New Roman"/>
          <w:noProof/>
          <w:sz w:val="16"/>
          <w:szCs w:val="16"/>
          <w:lang w:eastAsia="en-GB"/>
        </w:rPr>
        <mc:AlternateContent>
          <mc:Choice Requires="wps">
            <w:drawing>
              <wp:anchor distT="0" distB="0" distL="114300" distR="114300" simplePos="0" relativeHeight="251679744" behindDoc="0" locked="0" layoutInCell="1" allowOverlap="1" wp14:anchorId="7DE40B08" wp14:editId="58526977">
                <wp:simplePos x="0" y="0"/>
                <wp:positionH relativeFrom="column">
                  <wp:posOffset>540385</wp:posOffset>
                </wp:positionH>
                <wp:positionV relativeFrom="paragraph">
                  <wp:posOffset>110490</wp:posOffset>
                </wp:positionV>
                <wp:extent cx="1887220" cy="1012825"/>
                <wp:effectExtent l="0" t="0" r="0" b="0"/>
                <wp:wrapNone/>
                <wp:docPr id="739720431" name="Rettango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7220" cy="1012825"/>
                        </a:xfrm>
                        <a:prstGeom prst="rect">
                          <a:avLst/>
                        </a:prstGeom>
                        <a:noFill/>
                        <a:ln w="12700" cap="flat" cmpd="sng" algn="ctr">
                          <a:solidFill>
                            <a:sysClr val="windowText" lastClr="000000"/>
                          </a:solidFill>
                          <a:prstDash val="solid"/>
                          <a:miter lim="800000"/>
                        </a:ln>
                        <a:effectLst/>
                      </wps:spPr>
                      <wps:txbx>
                        <w:txbxContent>
                          <w:p w14:paraId="238AE5DD" w14:textId="1BA68F0E"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Studies included in the review</w:t>
                            </w:r>
                          </w:p>
                          <w:p w14:paraId="22A1096E"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 = 94)</w:t>
                            </w:r>
                          </w:p>
                          <w:p w14:paraId="1A417F40" w14:textId="214428C2"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Articles (n=71)</w:t>
                            </w:r>
                          </w:p>
                          <w:p w14:paraId="5DBB8374" w14:textId="4C7A74D1"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Reviews (n=12)</w:t>
                            </w:r>
                          </w:p>
                          <w:p w14:paraId="0B654308" w14:textId="00401CAE" w:rsidR="00791D05" w:rsidRPr="00CC01B0" w:rsidRDefault="00791D05" w:rsidP="00DF4E65">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Book chapters (n=10)</w:t>
                            </w:r>
                          </w:p>
                          <w:p w14:paraId="26C5430A" w14:textId="743E45EF" w:rsidR="00791D05" w:rsidRPr="00CC01B0" w:rsidRDefault="00791D05" w:rsidP="00DF4E65">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Note = (1)</w:t>
                            </w:r>
                          </w:p>
                          <w:p w14:paraId="62EBCEB1" w14:textId="77777777" w:rsidR="00791D05" w:rsidRPr="00142A1C" w:rsidRDefault="00791D05" w:rsidP="00142A1C">
                            <w:pPr>
                              <w:spacing w:after="0" w:line="240" w:lineRule="auto"/>
                              <w:jc w:val="center"/>
                              <w:rPr>
                                <w:rFonts w:ascii="Palatino Linotype" w:hAnsi="Palatino Linotype" w:cs="Arial"/>
                                <w:color w:val="000000"/>
                                <w:sz w:val="18"/>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E40B08" id="Rettangolo 1" o:spid="_x0000_s1038" style="position:absolute;margin-left:42.55pt;margin-top:8.7pt;width:148.6pt;height:79.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" filled="f" strokecolor="windowText" strokeweight="1pt">
                <v:path arrowok="t"/>
                <v:textbox>
                  <w:txbxContent>
                    <w:p w14:paraId="238AE5DD" w14:textId="1BA68F0E"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Studies included in the review</w:t>
                      </w:r>
                    </w:p>
                    <w:p w14:paraId="22A1096E" w14:textId="77777777"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 = 94)</w:t>
                      </w:r>
                    </w:p>
                    <w:p w14:paraId="1A417F40" w14:textId="214428C2"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Articles (n=71)</w:t>
                      </w:r>
                    </w:p>
                    <w:p w14:paraId="5DBB8374" w14:textId="4C7A74D1" w:rsidR="00791D05" w:rsidRPr="00CC01B0" w:rsidRDefault="00791D05" w:rsidP="00142A1C">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Reviews (n=12)</w:t>
                      </w:r>
                    </w:p>
                    <w:p w14:paraId="0B654308" w14:textId="00401CAE" w:rsidR="00791D05" w:rsidRPr="00CC01B0" w:rsidRDefault="00791D05" w:rsidP="00DF4E65">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Book chapters (n=10)</w:t>
                      </w:r>
                    </w:p>
                    <w:p w14:paraId="26C5430A" w14:textId="743E45EF" w:rsidR="00791D05" w:rsidRPr="00CC01B0" w:rsidRDefault="00791D05" w:rsidP="00DF4E65">
                      <w:pPr>
                        <w:spacing w:after="0" w:line="240" w:lineRule="auto"/>
                        <w:jc w:val="center"/>
                        <w:rPr>
                          <w:rFonts w:ascii="Times New Roman" w:hAnsi="Times New Roman" w:cs="Times New Roman"/>
                          <w:color w:val="000000"/>
                          <w:sz w:val="18"/>
                          <w:szCs w:val="20"/>
                        </w:rPr>
                      </w:pPr>
                      <w:r w:rsidRPr="00CC01B0">
                        <w:rPr>
                          <w:rFonts w:ascii="Times New Roman" w:hAnsi="Times New Roman" w:cs="Times New Roman"/>
                          <w:color w:val="000000"/>
                          <w:sz w:val="18"/>
                          <w:szCs w:val="20"/>
                        </w:rPr>
                        <w:t>Note = (1)</w:t>
                      </w:r>
                    </w:p>
                    <w:p w14:paraId="62EBCEB1" w14:textId="77777777" w:rsidR="00791D05" w:rsidRPr="00142A1C" w:rsidRDefault="00791D05" w:rsidP="00142A1C">
                      <w:pPr>
                        <w:spacing w:after="0" w:line="240" w:lineRule="auto"/>
                        <w:jc w:val="center"/>
                        <w:rPr>
                          <w:rFonts w:ascii="Palatino Linotype" w:hAnsi="Palatino Linotype" w:cs="Arial"/>
                          <w:color w:val="000000"/>
                          <w:sz w:val="18"/>
                          <w:szCs w:val="20"/>
                        </w:rPr>
                      </w:pPr>
                    </w:p>
                  </w:txbxContent>
                </v:textbox>
              </v:rect>
            </w:pict>
          </mc:Fallback>
        </mc:AlternateContent>
      </w:r>
    </w:p>
    <w:p w14:paraId="38341243" w14:textId="77777777" w:rsidR="00092586" w:rsidRPr="00CC01B0" w:rsidRDefault="00092586" w:rsidP="004A367A">
      <w:pPr>
        <w:spacing w:after="0" w:line="240" w:lineRule="auto"/>
        <w:rPr>
          <w:rFonts w:ascii="Times New Roman" w:eastAsia="Calibri" w:hAnsi="Times New Roman" w:cs="Times New Roman"/>
          <w:sz w:val="16"/>
          <w:szCs w:val="16"/>
          <w:lang w:val="en-AU"/>
        </w:rPr>
      </w:pPr>
    </w:p>
    <w:p w14:paraId="40AD6EEE" w14:textId="767D9E85" w:rsidR="00092586" w:rsidRPr="00CC01B0" w:rsidRDefault="00092586" w:rsidP="004A367A">
      <w:pPr>
        <w:spacing w:after="0" w:line="240" w:lineRule="auto"/>
        <w:rPr>
          <w:rFonts w:ascii="Times New Roman" w:eastAsia="Calibri" w:hAnsi="Times New Roman" w:cs="Times New Roman"/>
          <w:sz w:val="16"/>
          <w:szCs w:val="16"/>
          <w:lang w:val="en-AU"/>
        </w:rPr>
      </w:pPr>
    </w:p>
    <w:p w14:paraId="58856B17" w14:textId="3739EF73" w:rsidR="00092586" w:rsidRPr="00CC01B0" w:rsidRDefault="00CC01B0" w:rsidP="5A6B135F">
      <w:pPr>
        <w:rPr>
          <w:rFonts w:ascii="Times New Roman" w:eastAsia="Times New Roman" w:hAnsi="Times New Roman" w:cs="Times New Roman"/>
          <w:b/>
          <w:bCs/>
          <w:color w:val="000000" w:themeColor="text1"/>
          <w:sz w:val="16"/>
          <w:szCs w:val="16"/>
          <w:lang w:eastAsia="en-GB"/>
        </w:rPr>
      </w:pPr>
      <w:r w:rsidRPr="00CC01B0">
        <w:rPr>
          <w:rFonts w:ascii="Times New Roman" w:hAnsi="Times New Roman" w:cs="Times New Roman"/>
          <w:noProof/>
          <w:sz w:val="16"/>
          <w:szCs w:val="16"/>
          <w:lang w:eastAsia="en-GB"/>
        </w:rPr>
        <mc:AlternateContent>
          <mc:Choice Requires="wps">
            <w:drawing>
              <wp:anchor distT="0" distB="0" distL="114300" distR="114300" simplePos="0" relativeHeight="251678720" behindDoc="0" locked="0" layoutInCell="1" allowOverlap="1" wp14:anchorId="505C3EDA" wp14:editId="0568118A">
                <wp:simplePos x="0" y="0"/>
                <wp:positionH relativeFrom="column">
                  <wp:posOffset>-314006</wp:posOffset>
                </wp:positionH>
                <wp:positionV relativeFrom="paragraph">
                  <wp:posOffset>156843</wp:posOffset>
                </wp:positionV>
                <wp:extent cx="1107758" cy="247970"/>
                <wp:effectExtent l="0" t="8255" r="27305" b="27305"/>
                <wp:wrapNone/>
                <wp:docPr id="1774283041" name="Flowchart: Alternate Process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107758" cy="247970"/>
                        </a:xfrm>
                        <a:prstGeom prst="flowChartAlternateProcess">
                          <a:avLst/>
                        </a:prstGeom>
                        <a:solidFill>
                          <a:srgbClr val="9DC3E6"/>
                        </a:solidFill>
                        <a:ln w="12700">
                          <a:solidFill>
                            <a:srgbClr val="000000"/>
                          </a:solidFill>
                          <a:miter lim="800000"/>
                          <a:headEnd/>
                          <a:tailEnd/>
                        </a:ln>
                      </wps:spPr>
                      <wps:txbx>
                        <w:txbxContent>
                          <w:p w14:paraId="41423227" w14:textId="77777777" w:rsidR="00791D05" w:rsidRPr="00CC01B0" w:rsidRDefault="00791D05" w:rsidP="004A367A">
                            <w:pPr>
                              <w:spacing w:after="0" w:line="240" w:lineRule="auto"/>
                              <w:jc w:val="center"/>
                              <w:rPr>
                                <w:rFonts w:ascii="Times New Roman" w:hAnsi="Times New Roman" w:cs="Times New Roman"/>
                                <w:b/>
                                <w:color w:val="000000"/>
                                <w:sz w:val="18"/>
                                <w:szCs w:val="18"/>
                              </w:rPr>
                            </w:pPr>
                            <w:r w:rsidRPr="00CC01B0">
                              <w:rPr>
                                <w:rFonts w:ascii="Times New Roman" w:hAnsi="Times New Roman" w:cs="Times New Roman"/>
                                <w:b/>
                                <w:color w:val="000000"/>
                                <w:sz w:val="18"/>
                                <w:szCs w:val="18"/>
                              </w:rPr>
                              <w:t>Included</w:t>
                            </w:r>
                          </w:p>
                        </w:txbxContent>
                      </wps:txbx>
                      <wps:bodyPr rot="0" vert="vert270"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05C3EDA" id="Flowchart: Alternate Process 33" o:spid="_x0000_s1039" type="#_x0000_t176" style="position:absolute;margin-left:-24.7pt;margin-top:12.35pt;width:87.25pt;height:19.55pt;rotation:-9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" fillcolor="#9dc3e6" strokeweight="1pt">
                <v:textbox style="layout-flow:vertical;mso-layout-flow-alt:bottom-to-top">
                  <w:txbxContent>
                    <w:p w14:paraId="41423227" w14:textId="77777777" w:rsidR="00791D05" w:rsidRPr="00CC01B0" w:rsidRDefault="00791D05" w:rsidP="004A367A">
                      <w:pPr>
                        <w:spacing w:after="0" w:line="240" w:lineRule="auto"/>
                        <w:jc w:val="center"/>
                        <w:rPr>
                          <w:rFonts w:ascii="Times New Roman" w:hAnsi="Times New Roman" w:cs="Times New Roman"/>
                          <w:b/>
                          <w:color w:val="000000"/>
                          <w:sz w:val="18"/>
                          <w:szCs w:val="18"/>
                        </w:rPr>
                      </w:pPr>
                      <w:r w:rsidRPr="00CC01B0">
                        <w:rPr>
                          <w:rFonts w:ascii="Times New Roman" w:hAnsi="Times New Roman" w:cs="Times New Roman"/>
                          <w:b/>
                          <w:color w:val="000000"/>
                          <w:sz w:val="18"/>
                          <w:szCs w:val="18"/>
                        </w:rPr>
                        <w:t>Included</w:t>
                      </w:r>
                    </w:p>
                  </w:txbxContent>
                </v:textbox>
              </v:shape>
            </w:pict>
          </mc:Fallback>
        </mc:AlternateContent>
      </w:r>
    </w:p>
    <w:p w14:paraId="116A27E7" w14:textId="77777777" w:rsidR="00092586" w:rsidRPr="008C1952" w:rsidRDefault="00092586" w:rsidP="5A6B135F">
      <w:pPr>
        <w:rPr>
          <w:rFonts w:ascii="Times New Roman" w:eastAsia="Times New Roman" w:hAnsi="Times New Roman" w:cs="Times New Roman"/>
          <w:b/>
          <w:bCs/>
          <w:color w:val="000000" w:themeColor="text1"/>
          <w:sz w:val="16"/>
          <w:szCs w:val="16"/>
          <w:lang w:eastAsia="en-GB"/>
        </w:rPr>
      </w:pPr>
    </w:p>
    <w:p w14:paraId="1F986B9E" w14:textId="77777777" w:rsidR="003375CC" w:rsidRPr="008C1952" w:rsidRDefault="003375CC" w:rsidP="003B5916">
      <w:pPr>
        <w:jc w:val="center"/>
        <w:rPr>
          <w:rFonts w:ascii="Times New Roman" w:eastAsia="Times New Roman" w:hAnsi="Times New Roman" w:cs="Times New Roman"/>
          <w:i/>
          <w:iCs/>
          <w:color w:val="000000" w:themeColor="text1"/>
          <w:sz w:val="16"/>
          <w:szCs w:val="16"/>
          <w:lang w:eastAsia="en-GB"/>
        </w:rPr>
      </w:pPr>
    </w:p>
    <w:p w14:paraId="63761F71" w14:textId="77777777" w:rsidR="00DA41ED" w:rsidRDefault="00DA41ED" w:rsidP="003B5916">
      <w:pPr>
        <w:jc w:val="center"/>
        <w:rPr>
          <w:rFonts w:ascii="Times New Roman" w:eastAsia="Times New Roman" w:hAnsi="Times New Roman" w:cs="Times New Roman"/>
          <w:i/>
          <w:iCs/>
          <w:color w:val="000000" w:themeColor="text1"/>
          <w:sz w:val="16"/>
          <w:szCs w:val="16"/>
          <w:lang w:eastAsia="en-GB"/>
        </w:rPr>
      </w:pPr>
    </w:p>
    <w:p w14:paraId="07728A7F" w14:textId="77777777" w:rsidR="00311827"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24482DF2" w14:textId="1A1830AE" w:rsidR="00092586" w:rsidRPr="008C1952" w:rsidRDefault="00092586" w:rsidP="003B5916">
      <w:pP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w:t>
      </w:r>
      <w:r w:rsidR="00DA41ED" w:rsidRPr="00DA41ED">
        <w:rPr>
          <w:rFonts w:ascii="Times New Roman" w:eastAsia="Times New Roman" w:hAnsi="Times New Roman" w:cs="Times New Roman"/>
          <w:i/>
          <w:color w:val="000000" w:themeColor="text1"/>
          <w:sz w:val="16"/>
          <w:szCs w:val="16"/>
          <w:lang w:eastAsia="en-GB"/>
        </w:rPr>
        <w:t>Further explaination on eligibility criteria are available in Table 1 of the main manuscript</w:t>
      </w:r>
    </w:p>
    <w:p w14:paraId="00175AA9" w14:textId="77777777" w:rsidR="00092586" w:rsidRPr="008C1952" w:rsidRDefault="00092586" w:rsidP="5A6B135F">
      <w:pPr>
        <w:rPr>
          <w:rFonts w:ascii="Times New Roman" w:eastAsia="Times New Roman" w:hAnsi="Times New Roman" w:cs="Times New Roman"/>
          <w:b/>
          <w:bCs/>
          <w:color w:val="000000" w:themeColor="text1"/>
          <w:sz w:val="16"/>
          <w:szCs w:val="16"/>
          <w:lang w:eastAsia="en-GB"/>
        </w:rPr>
      </w:pPr>
    </w:p>
    <w:p w14:paraId="1AFDAC49" w14:textId="77777777" w:rsidR="00092586" w:rsidRPr="008C1952" w:rsidRDefault="00092586" w:rsidP="5A6B135F">
      <w:pPr>
        <w:rPr>
          <w:rFonts w:ascii="Times New Roman" w:eastAsia="Times New Roman" w:hAnsi="Times New Roman" w:cs="Times New Roman"/>
          <w:b/>
          <w:bCs/>
          <w:color w:val="000000" w:themeColor="text1"/>
          <w:sz w:val="16"/>
          <w:szCs w:val="16"/>
          <w:lang w:eastAsia="en-GB"/>
        </w:rPr>
      </w:pPr>
    </w:p>
    <w:p w14:paraId="3EBBE7DE" w14:textId="77777777" w:rsidR="00092586" w:rsidRPr="008C1952" w:rsidRDefault="00092586" w:rsidP="5A6B135F">
      <w:pPr>
        <w:rPr>
          <w:rFonts w:ascii="Times New Roman" w:eastAsia="Times New Roman" w:hAnsi="Times New Roman" w:cs="Times New Roman"/>
          <w:b/>
          <w:bCs/>
          <w:color w:val="000000" w:themeColor="text1"/>
          <w:sz w:val="16"/>
          <w:szCs w:val="16"/>
          <w:lang w:eastAsia="en-GB"/>
        </w:rPr>
      </w:pPr>
    </w:p>
    <w:p w14:paraId="0FB73C94" w14:textId="51238B43" w:rsidR="006E167B" w:rsidRPr="008C1952" w:rsidRDefault="006E167B" w:rsidP="006E167B">
      <w:pPr>
        <w:pStyle w:val="Didascalia"/>
        <w:keepNext/>
        <w:rPr>
          <w:rFonts w:ascii="Times New Roman" w:hAnsi="Times New Roman" w:cs="Times New Roman"/>
          <w:i w:val="0"/>
          <w:iCs w:val="0"/>
          <w:color w:val="auto"/>
          <w:sz w:val="16"/>
          <w:szCs w:val="16"/>
        </w:rPr>
      </w:pPr>
      <w:bookmarkStart w:id="8" w:name="_Toc166589542"/>
      <w:r w:rsidRPr="008C1952">
        <w:rPr>
          <w:rFonts w:ascii="Times New Roman" w:hAnsi="Times New Roman" w:cs="Times New Roman"/>
          <w:b/>
          <w:bCs/>
          <w:i w:val="0"/>
          <w:iCs w:val="0"/>
          <w:color w:val="auto"/>
          <w:sz w:val="16"/>
          <w:szCs w:val="16"/>
        </w:rPr>
        <w:lastRenderedPageBreak/>
        <w:t xml:space="preserve">Supplementary Table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Supplementary_Table \* ALPHABETIC </w:instrText>
      </w:r>
      <w:r w:rsidR="00F60EFC">
        <w:rPr>
          <w:rFonts w:ascii="Times New Roman" w:hAnsi="Times New Roman" w:cs="Times New Roman"/>
          <w:b/>
          <w:bCs/>
          <w:i w:val="0"/>
          <w:iCs w:val="0"/>
          <w:color w:val="auto"/>
          <w:sz w:val="16"/>
          <w:szCs w:val="16"/>
        </w:rPr>
        <w:fldChar w:fldCharType="separate"/>
      </w:r>
      <w:r w:rsidR="00F60EFC">
        <w:rPr>
          <w:rFonts w:ascii="Times New Roman" w:hAnsi="Times New Roman" w:cs="Times New Roman"/>
          <w:b/>
          <w:bCs/>
          <w:i w:val="0"/>
          <w:iCs w:val="0"/>
          <w:noProof/>
          <w:color w:val="auto"/>
          <w:sz w:val="16"/>
          <w:szCs w:val="16"/>
        </w:rPr>
        <w:t>C</w:t>
      </w:r>
      <w:r w:rsidR="00F60EFC">
        <w:rPr>
          <w:rFonts w:ascii="Times New Roman" w:hAnsi="Times New Roman" w:cs="Times New Roman"/>
          <w:b/>
          <w:bCs/>
          <w:i w:val="0"/>
          <w:iCs w:val="0"/>
          <w:color w:val="auto"/>
          <w:sz w:val="16"/>
          <w:szCs w:val="16"/>
        </w:rPr>
        <w:fldChar w:fldCharType="end"/>
      </w:r>
      <w:r w:rsidRPr="008C1952">
        <w:rPr>
          <w:rFonts w:ascii="Times New Roman" w:hAnsi="Times New Roman" w:cs="Times New Roman"/>
          <w:b/>
          <w:bCs/>
          <w:i w:val="0"/>
          <w:iCs w:val="0"/>
          <w:color w:val="auto"/>
          <w:sz w:val="16"/>
          <w:szCs w:val="16"/>
        </w:rPr>
        <w:t>.</w:t>
      </w:r>
      <w:r w:rsidRPr="008C1952">
        <w:rPr>
          <w:rFonts w:ascii="Times New Roman" w:hAnsi="Times New Roman" w:cs="Times New Roman"/>
          <w:i w:val="0"/>
          <w:iCs w:val="0"/>
          <w:color w:val="auto"/>
          <w:sz w:val="16"/>
          <w:szCs w:val="16"/>
        </w:rPr>
        <w:t xml:space="preserve"> Bibliography of the 94 studies resulted from PRISMA methodology.</w:t>
      </w:r>
      <w:bookmarkEnd w:id="8"/>
    </w:p>
    <w:tbl>
      <w:tblPr>
        <w:tblStyle w:val="Grigliatabella"/>
        <w:tblW w:w="9674" w:type="dxa"/>
        <w:tblLook w:val="04A0" w:firstRow="1" w:lastRow="0" w:firstColumn="1" w:lastColumn="0" w:noHBand="0" w:noVBand="1"/>
      </w:tblPr>
      <w:tblGrid>
        <w:gridCol w:w="9674"/>
      </w:tblGrid>
      <w:tr w:rsidR="00092586" w:rsidRPr="008C1952" w14:paraId="2565493C" w14:textId="77777777" w:rsidTr="006A3BCB">
        <w:trPr>
          <w:trHeight w:val="2251"/>
        </w:trPr>
        <w:tc>
          <w:tcPr>
            <w:tcW w:w="9674" w:type="dxa"/>
          </w:tcPr>
          <w:p w14:paraId="23558E23"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t>Adamczak-Retecka, M., Śniadach, O., 2021. Towards a redefinition of the food security concept in the light of climate change. The European union law perspective. Int. Community Law Rev.</w:t>
            </w:r>
          </w:p>
          <w:p w14:paraId="243AA2DE"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fr-BE"/>
              </w:rPr>
              <w:t xml:space="preserve">Agyemang, P., Miezah Kwofie, E., 2022. </w:t>
            </w:r>
            <w:r w:rsidRPr="008C1952">
              <w:rPr>
                <w:color w:val="000000" w:themeColor="text1"/>
                <w:sz w:val="16"/>
                <w:szCs w:val="16"/>
              </w:rPr>
              <w:t xml:space="preserve">Integrating framework analysis, scenario design, and decision support system for sustainable healthy food system analysis. </w:t>
            </w:r>
            <w:r w:rsidRPr="008C1952">
              <w:rPr>
                <w:color w:val="000000" w:themeColor="text1"/>
                <w:sz w:val="16"/>
                <w:szCs w:val="16"/>
                <w:lang w:val="it-IT"/>
              </w:rPr>
              <w:t>J. Clean. Prod. 372, 133661.</w:t>
            </w:r>
          </w:p>
          <w:p w14:paraId="7886E36E"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lang w:val="it-IT"/>
              </w:rPr>
              <w:t xml:space="preserve">Allievi, F., Antonelli, M., Dembska, K., Principato, L., 2019. </w:t>
            </w:r>
            <w:r w:rsidRPr="008C1952">
              <w:rPr>
                <w:color w:val="000000" w:themeColor="text1"/>
                <w:sz w:val="16"/>
                <w:szCs w:val="16"/>
              </w:rPr>
              <w:t>Understanding the global food system. In: Achieving the Sustainable Development Goals Through Sustainable Food Systems.</w:t>
            </w:r>
          </w:p>
          <w:p w14:paraId="69CFE96C"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Alonso, M.A.S., Abella, V.M., Martínez, I.B., 2023. Sustainable Food, Key for the Future of the Planet: Getting to Know the European Consumer of Sustainable Products. </w:t>
            </w:r>
            <w:r w:rsidRPr="008C1952">
              <w:rPr>
                <w:color w:val="000000" w:themeColor="text1"/>
                <w:sz w:val="16"/>
                <w:szCs w:val="16"/>
                <w:lang w:val="it-IT"/>
              </w:rPr>
              <w:t>In: Springer Proceedings in Earth and Environmental Sciences.</w:t>
            </w:r>
          </w:p>
          <w:p w14:paraId="683AB4D1"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Anderson, C.R., Bruil, J., Chappell, M.J., Kiss, C., Pimbert, M.P., 2019. From transition to domains of transformation: Getting to sustainable and just food systems through agroecology. </w:t>
            </w:r>
            <w:r w:rsidRPr="008C1952">
              <w:rPr>
                <w:color w:val="000000" w:themeColor="text1"/>
                <w:sz w:val="16"/>
                <w:szCs w:val="16"/>
                <w:lang w:val="it-IT"/>
              </w:rPr>
              <w:t>Sustain.</w:t>
            </w:r>
          </w:p>
          <w:p w14:paraId="2F3794F0"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t>Arthur, H., Sanderson, D., Tranter, P., Thornton, A., 2022. A review of theoretical frameworks of food system governance, and the search for food system sustainability. https://doi-org.ezproxy.unibo.it/10.1080/21683565.2022.2104422 46, 1277–1300.</w:t>
            </w:r>
          </w:p>
          <w:p w14:paraId="02597AF5"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Aubert, P.M., Gardin, B., Huber, É., Schiavo, M., Alliot, C., 2021. Designing Just Transition Pathways: A Methodological Framework to Estimate the Impact of Future Scenarios on Employment in the French Dairy Sector. </w:t>
            </w:r>
            <w:r w:rsidRPr="008C1952">
              <w:rPr>
                <w:color w:val="000000" w:themeColor="text1"/>
                <w:sz w:val="16"/>
                <w:szCs w:val="16"/>
                <w:lang w:val="it-IT"/>
              </w:rPr>
              <w:t>Agric. 2021, Vol. 11, Page 1119 11, 1119.</w:t>
            </w:r>
          </w:p>
          <w:p w14:paraId="3DCEAC38"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Bach-Faig, A., Wickramasinghe, K., Panadero, N., Fàbregues, S., Rippin, H., Halloran, A., Fresán, U., Pattison, M., Breda, J., 2022. Consensus-building around the conceptualisation and implementation of sustainable healthy diets: a foundation for policymakers. </w:t>
            </w:r>
            <w:r w:rsidRPr="008C1952">
              <w:rPr>
                <w:color w:val="000000" w:themeColor="text1"/>
                <w:sz w:val="16"/>
                <w:szCs w:val="16"/>
                <w:lang w:val="it-IT"/>
              </w:rPr>
              <w:t>BMC Public Health.</w:t>
            </w:r>
          </w:p>
          <w:p w14:paraId="3CB1C86C"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Báldi, A., Öllerer, K., Wijkman, A., Brunori, G., Máté, A., Batáry, P., 2023. </w:t>
            </w:r>
            <w:r w:rsidRPr="008C1952">
              <w:rPr>
                <w:color w:val="000000" w:themeColor="text1"/>
                <w:sz w:val="16"/>
                <w:szCs w:val="16"/>
              </w:rPr>
              <w:t xml:space="preserve">Roadmap for transformative agriculture: From research through policy towards a liveable future in Europe, Advances in Ecological Research. </w:t>
            </w:r>
            <w:r w:rsidRPr="008C1952">
              <w:rPr>
                <w:color w:val="000000" w:themeColor="text1"/>
                <w:sz w:val="16"/>
                <w:szCs w:val="16"/>
                <w:lang w:val="it-IT"/>
              </w:rPr>
              <w:t>Elsevier.</w:t>
            </w:r>
          </w:p>
          <w:p w14:paraId="0B62AD2E"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Baldy, J., Kruse, S., 2019. Food democracy from the top down? State-driven participation processes for local food system transformations towards sustainability. </w:t>
            </w:r>
            <w:r w:rsidRPr="008C1952">
              <w:rPr>
                <w:color w:val="000000" w:themeColor="text1"/>
                <w:sz w:val="16"/>
                <w:szCs w:val="16"/>
                <w:lang w:val="it-IT"/>
              </w:rPr>
              <w:t>Polit. Gov.</w:t>
            </w:r>
          </w:p>
          <w:p w14:paraId="639A7E4C"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Béné, C., Oosterveer, P., Lamotte, L., Brouwer, I.D., de Haan, S., Prager, S.D., Talsma, E.F., Khoury, C.K., 2019. </w:t>
            </w:r>
            <w:r w:rsidRPr="008C1952">
              <w:rPr>
                <w:color w:val="000000" w:themeColor="text1"/>
                <w:sz w:val="16"/>
                <w:szCs w:val="16"/>
              </w:rPr>
              <w:t xml:space="preserve">When food systems meet sustainability – Current narratives and implications for actions. </w:t>
            </w:r>
            <w:r w:rsidRPr="008C1952">
              <w:rPr>
                <w:color w:val="000000" w:themeColor="text1"/>
                <w:sz w:val="16"/>
                <w:szCs w:val="16"/>
                <w:lang w:val="it-IT"/>
              </w:rPr>
              <w:t>World Dev. 113, 116–130.</w:t>
            </w:r>
          </w:p>
          <w:p w14:paraId="38EC197A"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t>Bernaschi, D., Crisci, G., 2018. Towards a More Democratic and Sustainable Food System: The Reflexive Nature of Solidarity Purchase Groups and the Migrants’ Social Cooperative “Barikamà” in Rome.</w:t>
            </w:r>
          </w:p>
          <w:p w14:paraId="549A3E6D"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Biesbroek, S., Kok, F.J., Tufford, A.R., Bloem, M.W., Darmon, N., Drewnowski, A., Fan, S., Fanzo, J., Gordon, L.J., Hu, F.B., Lähteenmäki, L., Nnam, N., Ridoutt, B.G., Rivera, J., Swinburn, B., Van’T Veer, P., 2023. Toward healthy and sustainable diets for the 21st century: Importance of sociocultural and economic considerations. </w:t>
            </w:r>
            <w:r w:rsidRPr="008C1952">
              <w:rPr>
                <w:color w:val="000000" w:themeColor="text1"/>
                <w:sz w:val="16"/>
                <w:szCs w:val="16"/>
                <w:lang w:val="it-IT"/>
              </w:rPr>
              <w:t>Proc. Natl. Acad. Sci. U. S. A. 120.</w:t>
            </w:r>
          </w:p>
          <w:p w14:paraId="3C59C506"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Bignet, V., Willett, W., Cornell, S., Rockström, J., 2020. Delineating the Plate Boundaries: A Review of Integrated Metrics for Healthy and Environmentally Sustainable Diets. </w:t>
            </w:r>
            <w:r w:rsidRPr="008C1952">
              <w:rPr>
                <w:color w:val="000000" w:themeColor="text1"/>
                <w:sz w:val="16"/>
                <w:szCs w:val="16"/>
                <w:lang w:val="it-IT"/>
              </w:rPr>
              <w:t>Encycl. World’s Biomes Vol. 1-5 1–5, 339–350.</w:t>
            </w:r>
          </w:p>
          <w:p w14:paraId="5AE84075"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lang w:val="fr-BE"/>
              </w:rPr>
              <w:t xml:space="preserve">Blumberg, R., Leitner, H., Cadieux, K.V., Cadieux, V., 2020. </w:t>
            </w:r>
            <w:r w:rsidRPr="008C1952">
              <w:rPr>
                <w:color w:val="000000" w:themeColor="text1"/>
                <w:sz w:val="16"/>
                <w:szCs w:val="16"/>
              </w:rPr>
              <w:t>Geographical political ecology of food systems, Journal of Political Ecology.</w:t>
            </w:r>
          </w:p>
          <w:p w14:paraId="1AFDBB12"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Boylan, S.M., Thow, A.M., Tyedmers, E.K., Malik, A., Salem, J., Alders, R., Raubenheimer, D., Lenzen, M., 2020. Using Input-Output Analysis to Measure Healthy, Sustainable Food Systems. </w:t>
            </w:r>
            <w:r w:rsidRPr="008C1952">
              <w:rPr>
                <w:color w:val="000000" w:themeColor="text1"/>
                <w:sz w:val="16"/>
                <w:szCs w:val="16"/>
                <w:lang w:val="it-IT"/>
              </w:rPr>
              <w:t>Front. Sustain. Food Syst. 4, 93.</w:t>
            </w:r>
          </w:p>
          <w:p w14:paraId="12FE70F7"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Brouwer, I.D., McDermott, J., Ruben, R., 2020. Food systems everywhere: Improving relevance in practice. </w:t>
            </w:r>
            <w:r w:rsidRPr="008C1952">
              <w:rPr>
                <w:color w:val="000000" w:themeColor="text1"/>
                <w:sz w:val="16"/>
                <w:szCs w:val="16"/>
                <w:lang w:val="it-IT"/>
              </w:rPr>
              <w:t>Glob. Food Sec.</w:t>
            </w:r>
          </w:p>
          <w:p w14:paraId="46407BE3"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Bui, S., Ionara Costa, ·, De Schutter, · Olivier, Dedeurwaerdere, · Tom, Hudon, M., Feyereisen, · Marlene, 2019. Systemic ethics and inclusive governance: two key prerequisites for sustainability transitions of agri-food systems. </w:t>
            </w:r>
            <w:r w:rsidRPr="008C1952">
              <w:rPr>
                <w:color w:val="000000" w:themeColor="text1"/>
                <w:sz w:val="16"/>
                <w:szCs w:val="16"/>
                <w:lang w:val="it-IT"/>
              </w:rPr>
              <w:t>Agric. Human Values 36, 277–288.</w:t>
            </w:r>
          </w:p>
          <w:p w14:paraId="32DD8A3C"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Byaruhanga, R., Isgren, E., 2023. Rethinking the Alternatives: Food Sovereignty as a Prerequisite for Sustainable Food Security. </w:t>
            </w:r>
            <w:r w:rsidRPr="008C1952">
              <w:rPr>
                <w:color w:val="000000" w:themeColor="text1"/>
                <w:sz w:val="16"/>
                <w:szCs w:val="16"/>
                <w:lang w:val="it-IT"/>
              </w:rPr>
              <w:t>Food Ethics.</w:t>
            </w:r>
          </w:p>
          <w:p w14:paraId="780CE04F"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Cerrada-Serra, P., Moragues-Faus, A., Zwart, T.A., Adlerova, B., Ortiz-Miranda, D., Avermaete, T., 2018. </w:t>
            </w:r>
            <w:r w:rsidRPr="008C1952">
              <w:rPr>
                <w:color w:val="000000" w:themeColor="text1"/>
                <w:sz w:val="16"/>
                <w:szCs w:val="16"/>
              </w:rPr>
              <w:t xml:space="preserve">Exploring the contribution of alternative food networks to food security. </w:t>
            </w:r>
            <w:r w:rsidRPr="008C1952">
              <w:rPr>
                <w:color w:val="000000" w:themeColor="text1"/>
                <w:sz w:val="16"/>
                <w:szCs w:val="16"/>
                <w:lang w:val="it-IT"/>
              </w:rPr>
              <w:t>A comparative analysis. Food Secur.</w:t>
            </w:r>
          </w:p>
          <w:p w14:paraId="21061F9A"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Cifuentes, M.L., Gugerell, C., 2021. Food democracy: possibilities under the frame of the current food system. </w:t>
            </w:r>
            <w:r w:rsidRPr="008C1952">
              <w:rPr>
                <w:color w:val="000000" w:themeColor="text1"/>
                <w:sz w:val="16"/>
                <w:szCs w:val="16"/>
                <w:lang w:val="it-IT"/>
              </w:rPr>
              <w:t>Agric. Human Values 38, 1061–1078.</w:t>
            </w:r>
          </w:p>
          <w:p w14:paraId="02F715D0"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t>Clancy, K., 2022. The origins, definitions and differences among concepts that underlie food systems modeling. In: Food Systems Modelling: Tools for Assessing Sustainability in Food and Agriculture.</w:t>
            </w:r>
          </w:p>
          <w:p w14:paraId="5C0C8F3F"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Connolly, R., Bogue, J., Repar, L., 2022. Farmers’ Markets as Resilient Alternative Market Structures in a Sustainable Global Food System: A Small Firm Growth Perspective. </w:t>
            </w:r>
            <w:r w:rsidRPr="008C1952">
              <w:rPr>
                <w:color w:val="000000" w:themeColor="text1"/>
                <w:sz w:val="16"/>
                <w:szCs w:val="16"/>
                <w:lang w:val="it-IT"/>
              </w:rPr>
              <w:t>Sustain. 14.</w:t>
            </w:r>
          </w:p>
          <w:p w14:paraId="68E0570D"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Coppo, G., Stempfle, S., Reho, M., 2017. </w:t>
            </w:r>
            <w:r w:rsidRPr="008C1952">
              <w:rPr>
                <w:color w:val="000000" w:themeColor="text1"/>
                <w:sz w:val="16"/>
                <w:szCs w:val="16"/>
              </w:rPr>
              <w:t xml:space="preserve">Urban food strategies and plans: considerations on the assessment construction. </w:t>
            </w:r>
            <w:r w:rsidRPr="008C1952">
              <w:rPr>
                <w:color w:val="000000" w:themeColor="text1"/>
                <w:sz w:val="16"/>
                <w:szCs w:val="16"/>
                <w:lang w:val="it-IT"/>
              </w:rPr>
              <w:t>City, Territ. Archit.</w:t>
            </w:r>
          </w:p>
          <w:p w14:paraId="0178858A"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Cué Rio, M., Bovenkerk, B., Castella, J.C., Fischer, D., Fuchs, R., Kanerva, M., Rounsevell, M.D.A., Salliou, N., Verger, E.O., Röös, E., 2022. </w:t>
            </w:r>
            <w:r w:rsidRPr="008C1952">
              <w:rPr>
                <w:color w:val="000000" w:themeColor="text1"/>
                <w:sz w:val="16"/>
                <w:szCs w:val="16"/>
              </w:rPr>
              <w:t xml:space="preserve">The elephant in the room is really a cow: using consumption corridors to define sustainable meat consumption in the European Union. </w:t>
            </w:r>
            <w:r w:rsidRPr="008C1952">
              <w:rPr>
                <w:color w:val="000000" w:themeColor="text1"/>
                <w:sz w:val="16"/>
                <w:szCs w:val="16"/>
                <w:lang w:val="it-IT"/>
              </w:rPr>
              <w:t>Sustain. Sci.</w:t>
            </w:r>
          </w:p>
          <w:p w14:paraId="07A79D42"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Daněk, P., Sovová, L., Jehlička, P., Vávra, J., Lapka, M., 2022. </w:t>
            </w:r>
            <w:r w:rsidRPr="008C1952">
              <w:rPr>
                <w:color w:val="000000" w:themeColor="text1"/>
                <w:sz w:val="16"/>
                <w:szCs w:val="16"/>
              </w:rPr>
              <w:t xml:space="preserve">From coping strategy to hopeful everyday practice: Changing interpretations of food self-provisioning. </w:t>
            </w:r>
            <w:r w:rsidRPr="008C1952">
              <w:rPr>
                <w:color w:val="000000" w:themeColor="text1"/>
                <w:sz w:val="16"/>
                <w:szCs w:val="16"/>
                <w:lang w:val="it-IT"/>
              </w:rPr>
              <w:t>Sociol. Ruralis 62, 651–671.</w:t>
            </w:r>
          </w:p>
          <w:p w14:paraId="4448A134"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t>De Bernardi, P., Azucar, D., 2020. Innovation in Food Ecosystems.</w:t>
            </w:r>
          </w:p>
          <w:p w14:paraId="315D1E06"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fr-BE"/>
              </w:rPr>
              <w:t xml:space="preserve">De Schutter, O., Jacobs, N., Clément, C., 2020. </w:t>
            </w:r>
            <w:r w:rsidRPr="008C1952">
              <w:rPr>
                <w:color w:val="000000" w:themeColor="text1"/>
                <w:sz w:val="16"/>
                <w:szCs w:val="16"/>
              </w:rPr>
              <w:t xml:space="preserve">A ‘Common Food Policy’ for Europe: How governance reforms can spark a shift to healthy diets and sustainable food systems. </w:t>
            </w:r>
            <w:r w:rsidRPr="008C1952">
              <w:rPr>
                <w:color w:val="000000" w:themeColor="text1"/>
                <w:sz w:val="16"/>
                <w:szCs w:val="16"/>
                <w:lang w:val="it-IT"/>
              </w:rPr>
              <w:t>Food Policy.</w:t>
            </w:r>
          </w:p>
          <w:p w14:paraId="5C558AF8"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fr-BE"/>
              </w:rPr>
              <w:t xml:space="preserve">De Vries, H., Donner, M., Axelos, · Monique, 123AD. </w:t>
            </w:r>
            <w:r w:rsidRPr="008C1952">
              <w:rPr>
                <w:color w:val="000000" w:themeColor="text1"/>
                <w:sz w:val="16"/>
                <w:szCs w:val="16"/>
              </w:rPr>
              <w:t xml:space="preserve">A New Conceptual “Cylinder” Framework for Sustainable Bioeconomy Systems and Their Actors. </w:t>
            </w:r>
            <w:r w:rsidRPr="008C1952">
              <w:rPr>
                <w:color w:val="000000" w:themeColor="text1"/>
                <w:sz w:val="16"/>
                <w:szCs w:val="16"/>
                <w:lang w:val="it-IT"/>
              </w:rPr>
              <w:t>J. Agric. Environ. Ethics 34, 11.</w:t>
            </w:r>
          </w:p>
          <w:p w14:paraId="58C12E2C"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fr-BE"/>
              </w:rPr>
              <w:t xml:space="preserve">de Vries, H., Donner, M., Axelos, M., 2022. </w:t>
            </w:r>
            <w:r w:rsidRPr="008C1952">
              <w:rPr>
                <w:color w:val="000000" w:themeColor="text1"/>
                <w:sz w:val="16"/>
                <w:szCs w:val="16"/>
              </w:rPr>
              <w:t xml:space="preserve">Sustainable food systems science based on physics’ principles. </w:t>
            </w:r>
            <w:r w:rsidRPr="008C1952">
              <w:rPr>
                <w:color w:val="000000" w:themeColor="text1"/>
                <w:sz w:val="16"/>
                <w:szCs w:val="16"/>
                <w:lang w:val="it-IT"/>
              </w:rPr>
              <w:t>Trends Food Sci. Technol. 123, 382–392.</w:t>
            </w:r>
          </w:p>
          <w:p w14:paraId="06154546"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Díaz-Méndez, C., Lozano-Cabedo, C., 2020. </w:t>
            </w:r>
            <w:r w:rsidRPr="008C1952">
              <w:rPr>
                <w:color w:val="000000" w:themeColor="text1"/>
                <w:sz w:val="16"/>
                <w:szCs w:val="16"/>
              </w:rPr>
              <w:t xml:space="preserve">Food governance and healthy diet an analysis of the conflicting relationships among the actors of the agri-food system. </w:t>
            </w:r>
            <w:r w:rsidRPr="008C1952">
              <w:rPr>
                <w:color w:val="000000" w:themeColor="text1"/>
                <w:sz w:val="16"/>
                <w:szCs w:val="16"/>
                <w:lang w:val="it-IT"/>
              </w:rPr>
              <w:t>Trends Food Sci. Technol. 105, 449–453.</w:t>
            </w:r>
          </w:p>
          <w:p w14:paraId="790F487F"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Eakin, H., Connors, J.P., Wharton, C., Bertmann, F., Xiong, A., Stoltzfus, J., 2017. Identifying attributes of food system sustainability: emerging themes and consensus. </w:t>
            </w:r>
            <w:r w:rsidRPr="008C1952">
              <w:rPr>
                <w:color w:val="000000" w:themeColor="text1"/>
                <w:sz w:val="16"/>
                <w:szCs w:val="16"/>
                <w:lang w:val="it-IT"/>
              </w:rPr>
              <w:t>Agric. Human Values 34, 757–773.</w:t>
            </w:r>
          </w:p>
          <w:p w14:paraId="5A5D2792"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Enthoven, L., Van den Broeck, G., 2021. Local food systems: Reviewing two decades of research. </w:t>
            </w:r>
            <w:r w:rsidRPr="008C1952">
              <w:rPr>
                <w:color w:val="000000" w:themeColor="text1"/>
                <w:sz w:val="16"/>
                <w:szCs w:val="16"/>
                <w:lang w:val="it-IT"/>
              </w:rPr>
              <w:t>Agric. Syst. 193, 103226.</w:t>
            </w:r>
          </w:p>
          <w:p w14:paraId="42C3FA8F"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Fagioli, F.F., Rocchi, L., Paolotti, L., Słowiński, R., Boggia, A., 2017. </w:t>
            </w:r>
            <w:r w:rsidRPr="008C1952">
              <w:rPr>
                <w:color w:val="000000" w:themeColor="text1"/>
                <w:sz w:val="16"/>
                <w:szCs w:val="16"/>
              </w:rPr>
              <w:t xml:space="preserve">From the farm to the agri-food system: A multiple criteria framework to evaluate extended multi-functional value. </w:t>
            </w:r>
            <w:r w:rsidRPr="008C1952">
              <w:rPr>
                <w:color w:val="000000" w:themeColor="text1"/>
                <w:sz w:val="16"/>
                <w:szCs w:val="16"/>
                <w:lang w:val="it-IT"/>
              </w:rPr>
              <w:t>Ecol. Indic.</w:t>
            </w:r>
          </w:p>
          <w:p w14:paraId="737016B7"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Fanzo, J., 2019. Healthy and Sustainable Diets and Food Systems: the Key to Achieving Sustainable Development Goal 2? </w:t>
            </w:r>
            <w:r w:rsidRPr="008C1952">
              <w:rPr>
                <w:color w:val="000000" w:themeColor="text1"/>
                <w:sz w:val="16"/>
                <w:szCs w:val="16"/>
                <w:lang w:val="it-IT"/>
              </w:rPr>
              <w:t>Food Ethics.</w:t>
            </w:r>
          </w:p>
          <w:p w14:paraId="2E24515C"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t>Fanzo, J., Drewnowski, A., Blumberg, J., Miller, G., Kraemer, K., Kennedy, E., 2020. Nutrients, Foods, Diets, People: Promoting Healthy Eating. Curr. Dev. Nutr.</w:t>
            </w:r>
          </w:p>
          <w:p w14:paraId="4251F909"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Fesenfeld, L.P., Candel, J., Gaupp, F., 2023. Governance principles for accelerating food systems transformation in the European Union. </w:t>
            </w:r>
            <w:r w:rsidRPr="008C1952">
              <w:rPr>
                <w:color w:val="000000" w:themeColor="text1"/>
                <w:sz w:val="16"/>
                <w:szCs w:val="16"/>
                <w:lang w:val="it-IT"/>
              </w:rPr>
              <w:t>Nat. Food.</w:t>
            </w:r>
          </w:p>
          <w:p w14:paraId="5DCB941A"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lastRenderedPageBreak/>
              <w:t>Friel, S., 2021. Redressing the Corporate Cultivation of Consumption: Releasing the Weapons of the Structurally Weak. Int. J. Heal. policy Manag.</w:t>
            </w:r>
          </w:p>
          <w:p w14:paraId="65FD8E5F"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Galli, A., Moreno Pires, S., Iha, K., Alves, A.A., Lin, D., Mancini, M.S., Teles, F., 2020. </w:t>
            </w:r>
            <w:r w:rsidRPr="008C1952">
              <w:rPr>
                <w:color w:val="000000" w:themeColor="text1"/>
                <w:sz w:val="16"/>
                <w:szCs w:val="16"/>
              </w:rPr>
              <w:t xml:space="preserve">Sustainable food transition in Portugal: Assessing the Footprint of dietary choices and gaps in national and local food policies. </w:t>
            </w:r>
            <w:r w:rsidRPr="008C1952">
              <w:rPr>
                <w:color w:val="000000" w:themeColor="text1"/>
                <w:sz w:val="16"/>
                <w:szCs w:val="16"/>
                <w:lang w:val="it-IT"/>
              </w:rPr>
              <w:t>Sci. Total Environ. 749, 141307.</w:t>
            </w:r>
          </w:p>
          <w:p w14:paraId="4B4BC60D"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Galli, F., Prosperi, P., Favilli, E., D’amico, S., Bartolini, F., Brunori, G., 2020. </w:t>
            </w:r>
            <w:r w:rsidRPr="008C1952">
              <w:rPr>
                <w:color w:val="000000" w:themeColor="text1"/>
                <w:sz w:val="16"/>
                <w:szCs w:val="16"/>
              </w:rPr>
              <w:t xml:space="preserve">How can policy processes remove barriers to sustainable food systems in Europe? </w:t>
            </w:r>
            <w:r w:rsidRPr="008C1952">
              <w:rPr>
                <w:color w:val="000000" w:themeColor="text1"/>
                <w:sz w:val="16"/>
                <w:szCs w:val="16"/>
                <w:lang w:val="it-IT"/>
              </w:rPr>
              <w:t>Contributing to a policy framework for agri-food transitions.</w:t>
            </w:r>
          </w:p>
          <w:p w14:paraId="34F9BE02"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Gjerris, M., Gamborg, C., Saxe, H., 2016. What to Buy? On the Complexity of Being a Critical Consumer. </w:t>
            </w:r>
            <w:r w:rsidRPr="008C1952">
              <w:rPr>
                <w:color w:val="000000" w:themeColor="text1"/>
                <w:sz w:val="16"/>
                <w:szCs w:val="16"/>
                <w:lang w:val="it-IT"/>
              </w:rPr>
              <w:t>J. Agric. Environ. Ethics 29, 81–102.</w:t>
            </w:r>
          </w:p>
          <w:p w14:paraId="6BFB3208"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t>Gliessman, S., Friedmann, H., Howard, P.H., 2019. Agroecology and food sovereignty. IDS Bull.</w:t>
            </w:r>
          </w:p>
          <w:p w14:paraId="1EBB5EE9"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t>Gomiero, T., 2017. Biophysical Analysis of Agri-Food Systems: Scales, Energy Efficiency, Power and Metabolism of Society 69–101.</w:t>
            </w:r>
          </w:p>
          <w:p w14:paraId="1534C9D1"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González De Molina, M., Lopez-Garcia, D., 2021. Principles for designing Agroecology-based Local (territorial) Agri-food Systems: a critical revision. </w:t>
            </w:r>
            <w:r w:rsidRPr="008C1952">
              <w:rPr>
                <w:color w:val="000000" w:themeColor="text1"/>
                <w:sz w:val="16"/>
                <w:szCs w:val="16"/>
                <w:lang w:val="it-IT"/>
              </w:rPr>
              <w:t>Agroecol. Sustain. Food Syst. 45, 1050–1082.</w:t>
            </w:r>
          </w:p>
          <w:p w14:paraId="252F211B"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González, C., Lorenzini, J., 2021. Multiple understandings of sustainability among alternative food organizations in Geneva. </w:t>
            </w:r>
            <w:r w:rsidRPr="008C1952">
              <w:rPr>
                <w:color w:val="000000" w:themeColor="text1"/>
                <w:sz w:val="16"/>
                <w:szCs w:val="16"/>
                <w:lang w:val="it-IT"/>
              </w:rPr>
              <w:t>Sustain. 13.</w:t>
            </w:r>
          </w:p>
          <w:p w14:paraId="1C15DBE8"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Goszczyński, W., 2020. In Search of the Vocabulary for Eastern European Food Studies. Conceptual Remarks after the Workshop: Alternative Food Supply Networks in Central and Eastern Europe. </w:t>
            </w:r>
            <w:r w:rsidRPr="008C1952">
              <w:rPr>
                <w:color w:val="000000" w:themeColor="text1"/>
                <w:sz w:val="16"/>
                <w:szCs w:val="16"/>
                <w:lang w:val="it-IT"/>
              </w:rPr>
              <w:t>East. Eur. Countrys. 25, 273–279.</w:t>
            </w:r>
          </w:p>
          <w:p w14:paraId="0DA2179F"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Hatt*, S., Artru*, S., Brédart, D., Lassois, L., Francis, F., Haubruge, É., Garré, S., Stassart, P.M., Dufrêne, M., Monty, A., Boeraeve, F., 2016. </w:t>
            </w:r>
            <w:r w:rsidRPr="008C1952">
              <w:rPr>
                <w:color w:val="000000" w:themeColor="text1"/>
                <w:sz w:val="16"/>
                <w:szCs w:val="16"/>
              </w:rPr>
              <w:t xml:space="preserve">Towards sustainable food systems: the concept of agroecology and how it questions current research practices. </w:t>
            </w:r>
            <w:r w:rsidRPr="008C1952">
              <w:rPr>
                <w:color w:val="000000" w:themeColor="text1"/>
                <w:sz w:val="16"/>
                <w:szCs w:val="16"/>
                <w:lang w:val="it-IT"/>
              </w:rPr>
              <w:t>A review. Base 20, 215–224.</w:t>
            </w:r>
          </w:p>
          <w:p w14:paraId="1E70D50D"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Jarzebowski, S., Bourlakis, M., Bezat-Jarzebowska, A., 2020. </w:t>
            </w:r>
            <w:r w:rsidRPr="008C1952">
              <w:rPr>
                <w:color w:val="000000" w:themeColor="text1"/>
                <w:sz w:val="16"/>
                <w:szCs w:val="16"/>
              </w:rPr>
              <w:t xml:space="preserve">Short food supply chains (SFSC) as local and sustainable systems. </w:t>
            </w:r>
            <w:r w:rsidRPr="008C1952">
              <w:rPr>
                <w:color w:val="000000" w:themeColor="text1"/>
                <w:sz w:val="16"/>
                <w:szCs w:val="16"/>
                <w:lang w:val="it-IT"/>
              </w:rPr>
              <w:t>Sustain.</w:t>
            </w:r>
          </w:p>
          <w:p w14:paraId="69AA2697"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rPr>
              <w:t>Jurgilevich, A., Birge, T., Kentala-Lehtonen, J., Korhonen-Kurki, K., Pietikäinen, J., Saikku, L., Schösler, H., n.d. sustainability Transition towards Circular Economy in the Food System.</w:t>
            </w:r>
          </w:p>
          <w:p w14:paraId="3F976B03"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Kaufmann, L., Mayer, A., Matej, S., Kalt, G., Lauk, C., Theurl, M.C., Erb, K.H., 2022. Regional self-sufficiency: A multi-dimensional analysis relating agricultural production and consumption in the European Union. </w:t>
            </w:r>
            <w:r w:rsidRPr="008C1952">
              <w:rPr>
                <w:color w:val="000000" w:themeColor="text1"/>
                <w:sz w:val="16"/>
                <w:szCs w:val="16"/>
                <w:lang w:val="it-IT"/>
              </w:rPr>
              <w:t>Sustain. Prod. Consum.</w:t>
            </w:r>
          </w:p>
          <w:p w14:paraId="2EF12B1B"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Kennedy, E., Raiten, D., Finley, J., 2020. A view to the future: Opportunities and challenges for food and nutrition sustainability. </w:t>
            </w:r>
            <w:r w:rsidRPr="008C1952">
              <w:rPr>
                <w:color w:val="000000" w:themeColor="text1"/>
                <w:sz w:val="16"/>
                <w:szCs w:val="16"/>
                <w:lang w:val="it-IT"/>
              </w:rPr>
              <w:t>Curr. Dev. Nutr.</w:t>
            </w:r>
          </w:p>
          <w:p w14:paraId="750F7C8D"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Klebl, F., Walthall, B., Vicente-Vicente, J.L., 2022. Planning for sustainable food communities: An optimal spatial allocation study of food hubs considering the 15-min city concept—The case of LebensMittelPunkte in Berlin. </w:t>
            </w:r>
            <w:r w:rsidRPr="008C1952">
              <w:rPr>
                <w:color w:val="000000" w:themeColor="text1"/>
                <w:sz w:val="16"/>
                <w:szCs w:val="16"/>
                <w:lang w:val="it-IT"/>
              </w:rPr>
              <w:t>Front. Sustain. Food Syst.</w:t>
            </w:r>
          </w:p>
          <w:p w14:paraId="6E2A33F1"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Kopainsky, B., Huber, R., Pedercini, M., 2015. Food Provision and Environmental Goals in the Swiss Agri-Food System: System Dynamics and the Social-ecological Systems Framework. </w:t>
            </w:r>
            <w:r w:rsidRPr="008C1952">
              <w:rPr>
                <w:color w:val="000000" w:themeColor="text1"/>
                <w:sz w:val="16"/>
                <w:szCs w:val="16"/>
                <w:lang w:val="it-IT"/>
              </w:rPr>
              <w:t>Syst. Res. Behav. Sci. 32, 414–432.</w:t>
            </w:r>
          </w:p>
          <w:p w14:paraId="6417952B"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Küchler, R., Herzig, C., 2021. Connectivity is key: holistic sustainability assessment and reporting from the perspective of food manufacturers. </w:t>
            </w:r>
            <w:r w:rsidRPr="008C1952">
              <w:rPr>
                <w:color w:val="000000" w:themeColor="text1"/>
                <w:sz w:val="16"/>
                <w:szCs w:val="16"/>
                <w:lang w:val="it-IT"/>
              </w:rPr>
              <w:t>Br. Food J. 123, 3154–3171.</w:t>
            </w:r>
          </w:p>
          <w:p w14:paraId="77C26CC2"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Kugelberg, S., Bartolini, F., Kanter, D.R., Milford, A.B., Pira, K., Sanz-Cobena, A., Leip, A., 2021. </w:t>
            </w:r>
            <w:r w:rsidRPr="008C1952">
              <w:rPr>
                <w:color w:val="000000" w:themeColor="text1"/>
                <w:sz w:val="16"/>
                <w:szCs w:val="16"/>
              </w:rPr>
              <w:t xml:space="preserve">Implications of a food system approach for policy agenda-setting design. </w:t>
            </w:r>
            <w:r w:rsidRPr="008C1952">
              <w:rPr>
                <w:color w:val="000000" w:themeColor="text1"/>
                <w:sz w:val="16"/>
                <w:szCs w:val="16"/>
                <w:lang w:val="it-IT"/>
              </w:rPr>
              <w:t>Glob. Food Sec.</w:t>
            </w:r>
          </w:p>
          <w:p w14:paraId="78D33C05"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Kuokkanen, A., Uusitalo, V., Koistinen, K., 2019. A framework of disruptive sustainable innovation: an example of the Finnish food system. </w:t>
            </w:r>
            <w:r w:rsidRPr="008C1952">
              <w:rPr>
                <w:color w:val="000000" w:themeColor="text1"/>
                <w:sz w:val="16"/>
                <w:szCs w:val="16"/>
                <w:lang w:val="it-IT"/>
              </w:rPr>
              <w:t>Technol. Anal. Strateg. Manag. 31, 749–764.</w:t>
            </w:r>
          </w:p>
          <w:p w14:paraId="5AB27B3C"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Lang, T., Mason, P., 2018. Sustainable diet policy development: Implications of multi-criteria and other approaches, 2008-2017. </w:t>
            </w:r>
            <w:r w:rsidRPr="008C1952">
              <w:rPr>
                <w:color w:val="000000" w:themeColor="text1"/>
                <w:sz w:val="16"/>
                <w:szCs w:val="16"/>
                <w:lang w:val="it-IT"/>
              </w:rPr>
              <w:t>In: Proceedings of the Nutrition Society.</w:t>
            </w:r>
          </w:p>
          <w:p w14:paraId="0C2E8A89"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Levidow, L., 2015. European transitions towards a corporate-environmental food regime: Agroecological incorporation or contestation? </w:t>
            </w:r>
            <w:r w:rsidRPr="008C1952">
              <w:rPr>
                <w:color w:val="000000" w:themeColor="text1"/>
                <w:sz w:val="16"/>
                <w:szCs w:val="16"/>
                <w:lang w:val="it-IT"/>
              </w:rPr>
              <w:t>J. Rural Stud.</w:t>
            </w:r>
          </w:p>
          <w:p w14:paraId="70856629"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Marsden, T., Hebinck, P., Mathijs, E., 2018. Re-building food systems: embedding assemblages, infrastructures and reflexive governance for food systems transformations in Europe. </w:t>
            </w:r>
            <w:r w:rsidRPr="008C1952">
              <w:rPr>
                <w:color w:val="000000" w:themeColor="text1"/>
                <w:sz w:val="16"/>
                <w:szCs w:val="16"/>
                <w:lang w:val="it-IT"/>
              </w:rPr>
              <w:t>Food Secur. 10, 1301–1309.</w:t>
            </w:r>
          </w:p>
          <w:p w14:paraId="48AD1C2B"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Maughan, C., Anderson, C.R., Kneafsey, M., 2020. A five-point framework for reading for social justice: A case study of food and farming policy discourse in the context of Brexit Britain. </w:t>
            </w:r>
            <w:r w:rsidRPr="008C1952">
              <w:rPr>
                <w:color w:val="000000" w:themeColor="text1"/>
                <w:sz w:val="16"/>
                <w:szCs w:val="16"/>
                <w:lang w:val="it-IT"/>
              </w:rPr>
              <w:t>J. Agric. Food Syst. Community Dev.</w:t>
            </w:r>
          </w:p>
          <w:p w14:paraId="341E7F67"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Mazac, R., Renwick, K., Seed, B., Black, J.L., 2021. An Approach for Integrating and Analyzing Sustainability in Food-Based Dietary Guidelines. </w:t>
            </w:r>
            <w:r w:rsidRPr="008C1952">
              <w:rPr>
                <w:color w:val="000000" w:themeColor="text1"/>
                <w:sz w:val="16"/>
                <w:szCs w:val="16"/>
                <w:lang w:val="it-IT"/>
              </w:rPr>
              <w:t>Front. Sustain. Food Syst.</w:t>
            </w:r>
          </w:p>
          <w:p w14:paraId="110A6DD5"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Mehrabi, S., Perez-Mesa, J.C., Giagnocavo, C., 2022. </w:t>
            </w:r>
            <w:r w:rsidRPr="008C1952">
              <w:rPr>
                <w:color w:val="000000" w:themeColor="text1"/>
                <w:sz w:val="16"/>
                <w:szCs w:val="16"/>
              </w:rPr>
              <w:t xml:space="preserve">The Role of Consumer-Citizens and Connectedness to Nature in the Sustainable Transition to Agroecological Food Systems: The Mediation of Innovative Business Models and a Multi-Level Perspective. </w:t>
            </w:r>
            <w:r w:rsidRPr="008C1952">
              <w:rPr>
                <w:color w:val="000000" w:themeColor="text1"/>
                <w:sz w:val="16"/>
                <w:szCs w:val="16"/>
                <w:lang w:val="it-IT"/>
              </w:rPr>
              <w:t>Agric. 12.</w:t>
            </w:r>
          </w:p>
          <w:p w14:paraId="58244EEE"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Mendez, G.R., Pappalardo, G., Farrell, B., 2021. </w:t>
            </w:r>
            <w:r w:rsidRPr="008C1952">
              <w:rPr>
                <w:color w:val="000000" w:themeColor="text1"/>
                <w:sz w:val="16"/>
                <w:szCs w:val="16"/>
              </w:rPr>
              <w:t xml:space="preserve">Practicing fair and sustainable local food systems: Elements of food citizenship in the simeto river valley. </w:t>
            </w:r>
            <w:r w:rsidRPr="008C1952">
              <w:rPr>
                <w:color w:val="000000" w:themeColor="text1"/>
                <w:sz w:val="16"/>
                <w:szCs w:val="16"/>
                <w:lang w:val="it-IT"/>
              </w:rPr>
              <w:t>Agric.</w:t>
            </w:r>
          </w:p>
          <w:p w14:paraId="03F4F667"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Milićević, D., Šelmić, R., Petrović, Z., 2023. </w:t>
            </w:r>
            <w:r w:rsidRPr="008C1952">
              <w:rPr>
                <w:color w:val="000000" w:themeColor="text1"/>
                <w:sz w:val="16"/>
                <w:szCs w:val="16"/>
              </w:rPr>
              <w:t xml:space="preserve">The One Health concept: a comprehensive approach to the function of a sustainable food system. </w:t>
            </w:r>
            <w:r w:rsidRPr="008C1952">
              <w:rPr>
                <w:color w:val="000000" w:themeColor="text1"/>
                <w:sz w:val="16"/>
                <w:szCs w:val="16"/>
                <w:lang w:val="it-IT"/>
              </w:rPr>
              <w:t>Meat Technol. 64, 242–247.</w:t>
            </w:r>
          </w:p>
          <w:p w14:paraId="679D7D25"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Minotti, B., Cimini, A., D’Amico, G., Marino, D., Mazzocchi, G., Tarra, S., 2022. </w:t>
            </w:r>
            <w:r w:rsidRPr="008C1952">
              <w:rPr>
                <w:color w:val="000000" w:themeColor="text1"/>
                <w:sz w:val="16"/>
                <w:szCs w:val="16"/>
              </w:rPr>
              <w:t xml:space="preserve">Food Policy Processes in the City of Rome: A Perspective on Policy Integration and Governance Innovation. </w:t>
            </w:r>
            <w:r w:rsidRPr="008C1952">
              <w:rPr>
                <w:color w:val="000000" w:themeColor="text1"/>
                <w:sz w:val="16"/>
                <w:szCs w:val="16"/>
                <w:lang w:val="it-IT"/>
              </w:rPr>
              <w:t>Front. Sustain. Food Syst.</w:t>
            </w:r>
          </w:p>
          <w:p w14:paraId="1FD6E955"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Minotti, B., Zagata, L., 2020. Towards food policy for Europe: A comparison of the post-2020 common agricultural policy discourses. </w:t>
            </w:r>
            <w:r w:rsidRPr="008C1952">
              <w:rPr>
                <w:color w:val="000000" w:themeColor="text1"/>
                <w:sz w:val="16"/>
                <w:szCs w:val="16"/>
                <w:lang w:val="it-IT"/>
              </w:rPr>
              <w:t>Eur. Countrys.</w:t>
            </w:r>
          </w:p>
          <w:p w14:paraId="12C22325"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Moragues-Faus, A., Carroll, B., 2018. Reshaping urban political ecologies: an analysis of policy trajectories to deliver food security. </w:t>
            </w:r>
            <w:r w:rsidRPr="008C1952">
              <w:rPr>
                <w:color w:val="000000" w:themeColor="text1"/>
                <w:sz w:val="16"/>
                <w:szCs w:val="16"/>
                <w:lang w:val="it-IT"/>
              </w:rPr>
              <w:t>Food Secur. 10, 1337–1351.</w:t>
            </w:r>
          </w:p>
          <w:p w14:paraId="3CCAFDEF"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lang w:val="fr-BE"/>
              </w:rPr>
              <w:t xml:space="preserve">Moragues-Faus, A., Sonnino, R., Marsden, T., 2017. </w:t>
            </w:r>
            <w:r w:rsidRPr="008C1952">
              <w:rPr>
                <w:color w:val="000000" w:themeColor="text1"/>
                <w:sz w:val="16"/>
                <w:szCs w:val="16"/>
              </w:rPr>
              <w:t>Exploring European food system vulnerabilities: Towards integrated food security governance.</w:t>
            </w:r>
          </w:p>
          <w:p w14:paraId="527C9C34"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Nicholls, J., Drewnowski, A., 2021. Toward sociocultural indicators of sustainable healthy diets. </w:t>
            </w:r>
            <w:r w:rsidRPr="008C1952">
              <w:rPr>
                <w:color w:val="000000" w:themeColor="text1"/>
                <w:sz w:val="16"/>
                <w:szCs w:val="16"/>
                <w:lang w:val="it-IT"/>
              </w:rPr>
              <w:t>Sustain.</w:t>
            </w:r>
          </w:p>
          <w:p w14:paraId="118163B1"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Olsson, E.G.A., 2018. Urban food systems as vehicles for sustainability transitions. </w:t>
            </w:r>
            <w:r w:rsidRPr="008C1952">
              <w:rPr>
                <w:color w:val="000000" w:themeColor="text1"/>
                <w:sz w:val="16"/>
                <w:szCs w:val="16"/>
                <w:lang w:val="it-IT"/>
              </w:rPr>
              <w:t>Bull. Geogr.</w:t>
            </w:r>
          </w:p>
          <w:p w14:paraId="2BDA26E3"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Paloviita, A., 2017. Food Security Is None Of Your Business? Food Supply Chain Management In Support Of A Sustainable Food System. </w:t>
            </w:r>
            <w:r w:rsidRPr="008C1952">
              <w:rPr>
                <w:color w:val="000000" w:themeColor="text1"/>
                <w:sz w:val="16"/>
                <w:szCs w:val="16"/>
                <w:lang w:val="it-IT"/>
              </w:rPr>
              <w:t>Oper. Supply Chain Manag. An Int. J.</w:t>
            </w:r>
          </w:p>
          <w:p w14:paraId="6B12A509"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Pires, S.M., Thomsen, S.T., Nauta, M., Poulsen, M., Jakobsen, L.S., 2020. Food Safety Implications of Transitions Toward Sustainable Healthy Diets. </w:t>
            </w:r>
            <w:r w:rsidRPr="008C1952">
              <w:rPr>
                <w:color w:val="000000" w:themeColor="text1"/>
                <w:sz w:val="16"/>
                <w:szCs w:val="16"/>
                <w:lang w:val="it-IT"/>
              </w:rPr>
              <w:t>Food Nutr. Bull.</w:t>
            </w:r>
          </w:p>
          <w:p w14:paraId="45522A8D"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Poppe, K., 2023. Towards a Framework Law on Sustainable Food Systems. </w:t>
            </w:r>
            <w:r w:rsidRPr="008C1952">
              <w:rPr>
                <w:color w:val="000000" w:themeColor="text1"/>
                <w:sz w:val="16"/>
                <w:szCs w:val="16"/>
                <w:lang w:val="it-IT"/>
              </w:rPr>
              <w:t>EuroChoices.</w:t>
            </w:r>
          </w:p>
          <w:p w14:paraId="7C374CCB"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fr-BE"/>
              </w:rPr>
              <w:t xml:space="preserve">Rahman, D., Moussouri, T., Alexopoulos, G., 2021. </w:t>
            </w:r>
            <w:r w:rsidRPr="008C1952">
              <w:rPr>
                <w:color w:val="000000" w:themeColor="text1"/>
                <w:sz w:val="16"/>
                <w:szCs w:val="16"/>
              </w:rPr>
              <w:t xml:space="preserve">The social ecology of food: Where agroecology and heritage meet. </w:t>
            </w:r>
            <w:r w:rsidRPr="008C1952">
              <w:rPr>
                <w:color w:val="000000" w:themeColor="text1"/>
                <w:sz w:val="16"/>
                <w:szCs w:val="16"/>
                <w:lang w:val="it-IT"/>
              </w:rPr>
              <w:t>Sustain.</w:t>
            </w:r>
          </w:p>
          <w:p w14:paraId="708A0553"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Reckinger, R., 2022. Values-based territorial food networks Qualifying sustainable and ethical transitions of alternative food networks. </w:t>
            </w:r>
            <w:r w:rsidRPr="008C1952">
              <w:rPr>
                <w:color w:val="000000" w:themeColor="text1"/>
                <w:sz w:val="16"/>
                <w:szCs w:val="16"/>
                <w:lang w:val="it-IT"/>
              </w:rPr>
              <w:t>Reg. Cohes.</w:t>
            </w:r>
          </w:p>
          <w:p w14:paraId="79FB2B79"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Sacchi, G., Cei, L., Stefani, G., Lombardi, G.V., Rocchi, B., Belletti, G., Padel, S., Sellars, A., Gagliardi, E., Nocella, G., Cardey, S., Mikkola, M., Ala-Karvia, U., Macken-Walsh, À., McIntyre, B., Hyland, J., Henchion, M., Bocci, R., Bussi, B., De Santis, G., Hurtado, I.R.Y., de Kochko, P., Riviere, P., Carrascosa-García, M., Martínez, I., Pearce, B., Lampkin, N., Vindras, C., Rey, F., Chable, V., Cormery, A., Vasvari, G., 2018. </w:t>
            </w:r>
            <w:r w:rsidRPr="008C1952">
              <w:rPr>
                <w:color w:val="000000" w:themeColor="text1"/>
                <w:sz w:val="16"/>
                <w:szCs w:val="16"/>
              </w:rPr>
              <w:t xml:space="preserve">A multi-actor literature review on alternative and sustainable food systems for the promotion of cereal biodiversity. </w:t>
            </w:r>
            <w:r w:rsidRPr="008C1952">
              <w:rPr>
                <w:color w:val="000000" w:themeColor="text1"/>
                <w:sz w:val="16"/>
                <w:szCs w:val="16"/>
                <w:lang w:val="it-IT"/>
              </w:rPr>
              <w:t>Agric. 8.</w:t>
            </w:r>
          </w:p>
          <w:p w14:paraId="33BFB792"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lastRenderedPageBreak/>
              <w:t xml:space="preserve">Säumel, I., Reddy, S., Wachtel, T., Schlecht, M., Ramos-Jiliberto, R., 2022. How to feed the cities? Co-creating inclusive, healthy and sustainable city region food systems. </w:t>
            </w:r>
            <w:r w:rsidRPr="008C1952">
              <w:rPr>
                <w:color w:val="000000" w:themeColor="text1"/>
                <w:sz w:val="16"/>
                <w:szCs w:val="16"/>
                <w:lang w:val="it-IT"/>
              </w:rPr>
              <w:t>Front. Sustain. Food Syst.</w:t>
            </w:r>
          </w:p>
          <w:p w14:paraId="5CF22432"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Scaramuzzi, S., Gabellini, S., Belletti, G., Marescotti, A., 2021. </w:t>
            </w:r>
            <w:r w:rsidRPr="008C1952">
              <w:rPr>
                <w:color w:val="000000" w:themeColor="text1"/>
                <w:sz w:val="16"/>
                <w:szCs w:val="16"/>
              </w:rPr>
              <w:t xml:space="preserve">Agrobiodiversity-oriented food systems between public policies and private action: A socio-ecological model for sustainable territorial development. </w:t>
            </w:r>
            <w:r w:rsidRPr="008C1952">
              <w:rPr>
                <w:color w:val="000000" w:themeColor="text1"/>
                <w:sz w:val="16"/>
                <w:szCs w:val="16"/>
                <w:lang w:val="it-IT"/>
              </w:rPr>
              <w:t>Sustain. 13.</w:t>
            </w:r>
          </w:p>
          <w:p w14:paraId="506368EE"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Smaal, S.A.L., Dessein, J., Wind, B.J., Rogge, E., 2021. Social justice-oriented narratives in European urban food strategies: Bringing forward redistribution, recognition and representation. </w:t>
            </w:r>
            <w:r w:rsidRPr="008C1952">
              <w:rPr>
                <w:color w:val="000000" w:themeColor="text1"/>
                <w:sz w:val="16"/>
                <w:szCs w:val="16"/>
                <w:lang w:val="it-IT"/>
              </w:rPr>
              <w:t>Agric. Human Values.</w:t>
            </w:r>
          </w:p>
          <w:p w14:paraId="10BD5957"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Smetana, S.M., Bornkessel, S., Heinz, V., 2019. A path from sustainable nutrition to nutritional sustainability of complex food systems. </w:t>
            </w:r>
            <w:r w:rsidRPr="008C1952">
              <w:rPr>
                <w:color w:val="000000" w:themeColor="text1"/>
                <w:sz w:val="16"/>
                <w:szCs w:val="16"/>
                <w:lang w:val="it-IT"/>
              </w:rPr>
              <w:t>Front. Nutr.</w:t>
            </w:r>
          </w:p>
          <w:p w14:paraId="4B192124" w14:textId="77777777" w:rsidR="006E167B" w:rsidRPr="008C1952" w:rsidRDefault="006E167B" w:rsidP="006E167B">
            <w:pPr>
              <w:pStyle w:val="NormaleWeb"/>
              <w:numPr>
                <w:ilvl w:val="0"/>
                <w:numId w:val="15"/>
              </w:numPr>
              <w:jc w:val="both"/>
              <w:rPr>
                <w:color w:val="000000" w:themeColor="text1"/>
                <w:sz w:val="16"/>
                <w:szCs w:val="16"/>
              </w:rPr>
            </w:pPr>
            <w:r w:rsidRPr="008C1952">
              <w:rPr>
                <w:color w:val="000000" w:themeColor="text1"/>
                <w:sz w:val="16"/>
                <w:szCs w:val="16"/>
                <w:lang w:val="it-IT"/>
              </w:rPr>
              <w:t xml:space="preserve">Triboulet, P., Del Corso, J.P., Duru, M., Galliano, D., Gonçalves, A., Milou, C., Plumecocq, G., 2019. </w:t>
            </w:r>
            <w:r w:rsidRPr="008C1952">
              <w:rPr>
                <w:color w:val="000000" w:themeColor="text1"/>
                <w:sz w:val="16"/>
                <w:szCs w:val="16"/>
              </w:rPr>
              <w:t>Towards an integrated framework for the governance of a territorialised agroecological transition. In: Agroecological Transitions: From Theory to Practice in Local Participatory Design.</w:t>
            </w:r>
          </w:p>
          <w:p w14:paraId="1E19474F"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Venn, R., Burbi, S., 2023. Agroforestry policy development in England: a question of knowledge transference. </w:t>
            </w:r>
            <w:r w:rsidRPr="008C1952">
              <w:rPr>
                <w:color w:val="000000" w:themeColor="text1"/>
                <w:sz w:val="16"/>
                <w:szCs w:val="16"/>
                <w:lang w:val="it-IT"/>
              </w:rPr>
              <w:t>Land use policy 134, 106936.</w:t>
            </w:r>
          </w:p>
          <w:p w14:paraId="4AD16463"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Verfuerth, C., Sanderson Bellamy, A., Adlerova, B., Dutton, A., 2023. Building relationships back into the food system: addressing food insecurity and food well-being. </w:t>
            </w:r>
            <w:r w:rsidRPr="008C1952">
              <w:rPr>
                <w:color w:val="000000" w:themeColor="text1"/>
                <w:sz w:val="16"/>
                <w:szCs w:val="16"/>
                <w:lang w:val="it-IT"/>
              </w:rPr>
              <w:t>Front. Sustain. Food Syst.</w:t>
            </w:r>
          </w:p>
          <w:p w14:paraId="5E04F6C4"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Verger, E.O., Perignon, M., El Ati, J., Darmon, N., Dop, M.C., Drogué, S., Dury, S., Gaillard, C., Sinfort, C., Amiot, M.J., 2018. </w:t>
            </w:r>
            <w:r w:rsidRPr="008C1952">
              <w:rPr>
                <w:color w:val="000000" w:themeColor="text1"/>
                <w:sz w:val="16"/>
                <w:szCs w:val="16"/>
              </w:rPr>
              <w:t xml:space="preserve">A “Fork-to-Farm” Multi-Scale Approach to Promote Sustainable Food Systems for Nutrition and Health: A Perspective for the Mediterranean Region. </w:t>
            </w:r>
            <w:r w:rsidRPr="008C1952">
              <w:rPr>
                <w:color w:val="000000" w:themeColor="text1"/>
                <w:sz w:val="16"/>
                <w:szCs w:val="16"/>
                <w:lang w:val="it-IT"/>
              </w:rPr>
              <w:t>Front. Nutr.</w:t>
            </w:r>
          </w:p>
          <w:p w14:paraId="7F7B9E02"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Vicente-Vicente, L., Quintas-Soriano, C., López-Rodríguez, M.D., Mehrabi, S., Carlos Perez-Mesa, J., Giagnocavo, C., 2022. </w:t>
            </w:r>
            <w:r w:rsidRPr="008C1952">
              <w:rPr>
                <w:color w:val="000000" w:themeColor="text1"/>
                <w:sz w:val="16"/>
                <w:szCs w:val="16"/>
              </w:rPr>
              <w:t xml:space="preserve">The Role of Consumer-Citizens and Connectedness to Nature in the Sustainable Transition to Agroecological Food Systems: The Mediation of Innovative Business Models and a Multi-Level Perspective. </w:t>
            </w:r>
            <w:r w:rsidRPr="008C1952">
              <w:rPr>
                <w:color w:val="000000" w:themeColor="text1"/>
                <w:sz w:val="16"/>
                <w:szCs w:val="16"/>
                <w:lang w:val="it-IT"/>
              </w:rPr>
              <w:t>Agric. 2022, Vol. 12, Page 203 12, 203.</w:t>
            </w:r>
          </w:p>
          <w:p w14:paraId="4469A6A4"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fr-BE"/>
              </w:rPr>
              <w:t xml:space="preserve">Villamiel, M., Méndez-Albiñana, P., 2022. </w:t>
            </w:r>
            <w:r w:rsidRPr="008C1952">
              <w:rPr>
                <w:color w:val="000000" w:themeColor="text1"/>
                <w:sz w:val="16"/>
                <w:szCs w:val="16"/>
              </w:rPr>
              <w:t xml:space="preserve">Update of challenges for food quality and safety management. </w:t>
            </w:r>
            <w:r w:rsidRPr="008C1952">
              <w:rPr>
                <w:color w:val="000000" w:themeColor="text1"/>
                <w:sz w:val="16"/>
                <w:szCs w:val="16"/>
                <w:lang w:val="it-IT"/>
              </w:rPr>
              <w:t>J. Agric. Food Res.</w:t>
            </w:r>
          </w:p>
          <w:p w14:paraId="242ABB6B"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Vittersø, G., Torjusen, H., Laitala, K., Tocco, B., Biasini, B., Csillag, P., de Labarre, M.D., Lecoeur, J.L., Maj, A., Majewski, E., Malak-Rawlikowska, A., Menozzi, D., Török, Á., Wavresky, P., 2019. </w:t>
            </w:r>
            <w:r w:rsidRPr="008C1952">
              <w:rPr>
                <w:color w:val="000000" w:themeColor="text1"/>
                <w:sz w:val="16"/>
                <w:szCs w:val="16"/>
              </w:rPr>
              <w:t xml:space="preserve">Short food supply chains and their contributions to sustainability: Participants’ views and perceptions from 12 European cases. </w:t>
            </w:r>
            <w:r w:rsidRPr="008C1952">
              <w:rPr>
                <w:color w:val="000000" w:themeColor="text1"/>
                <w:sz w:val="16"/>
                <w:szCs w:val="16"/>
                <w:lang w:val="it-IT"/>
              </w:rPr>
              <w:t>Sustain.</w:t>
            </w:r>
          </w:p>
          <w:p w14:paraId="1664C98C"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von Braun, J., Afsana, K., Fresco, L.O., Hassan, M., Torero, M., 2021. </w:t>
            </w:r>
            <w:r w:rsidRPr="008C1952">
              <w:rPr>
                <w:color w:val="000000" w:themeColor="text1"/>
                <w:sz w:val="16"/>
                <w:szCs w:val="16"/>
              </w:rPr>
              <w:t xml:space="preserve">Food system concepts and definitions for science and political action. </w:t>
            </w:r>
            <w:r w:rsidRPr="008C1952">
              <w:rPr>
                <w:color w:val="000000" w:themeColor="text1"/>
                <w:sz w:val="16"/>
                <w:szCs w:val="16"/>
                <w:lang w:val="it-IT"/>
              </w:rPr>
              <w:t>Nat. Food 2, 748–750.</w:t>
            </w:r>
          </w:p>
          <w:p w14:paraId="3394B2E3"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Weituschat, C.S., Pascucci, S., Materia, V.C., Tamas, P., de Jong, R., Trienekens, J., 2022. </w:t>
            </w:r>
            <w:r w:rsidRPr="008C1952">
              <w:rPr>
                <w:color w:val="000000" w:themeColor="text1"/>
                <w:sz w:val="16"/>
                <w:szCs w:val="16"/>
              </w:rPr>
              <w:t xml:space="preserve">Goal frames and sustainability transitions: how cognitive lock-ins can impede crop diversification. </w:t>
            </w:r>
            <w:r w:rsidRPr="008C1952">
              <w:rPr>
                <w:color w:val="000000" w:themeColor="text1"/>
                <w:sz w:val="16"/>
                <w:szCs w:val="16"/>
                <w:lang w:val="it-IT"/>
              </w:rPr>
              <w:t>Sustain. Sci. 17, 2203–2219.</w:t>
            </w:r>
          </w:p>
          <w:p w14:paraId="6A9F7CB0"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Wezel, A., Goette, J., Lagneaux, E., Passuello, G., Reisman, E., Rodier, C., Turpin, G., 2018. Agroecology in Europe: Research, education, collective action networks, and alternative food systems. </w:t>
            </w:r>
            <w:r w:rsidRPr="008C1952">
              <w:rPr>
                <w:color w:val="000000" w:themeColor="text1"/>
                <w:sz w:val="16"/>
                <w:szCs w:val="16"/>
                <w:lang w:val="it-IT"/>
              </w:rPr>
              <w:t>Sustain.</w:t>
            </w:r>
          </w:p>
          <w:p w14:paraId="037F5E0F"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Wezel, A., Herren, B.G., Kerr, R.B., Barrios, E., Gonçalves, A.L.R., Sinclair, F., 2020. Agroecological principles and elements and their implications for transitioning to sustainable food systems. </w:t>
            </w:r>
            <w:r w:rsidRPr="008C1952">
              <w:rPr>
                <w:color w:val="000000" w:themeColor="text1"/>
                <w:sz w:val="16"/>
                <w:szCs w:val="16"/>
                <w:lang w:val="it-IT"/>
              </w:rPr>
              <w:t>A review. Agron. Sustain. Dev. 40, 1–13.</w:t>
            </w:r>
          </w:p>
          <w:p w14:paraId="48480B10"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lang w:val="it-IT"/>
              </w:rPr>
              <w:t xml:space="preserve">Zawalińska, K., Smyrniotopoulou, A., Balazs, K., Böhm, M., Chitea, M., Florian, V., Fratila, M., Gradziuk, P., Henderson, S., Irvine, K., Konstantidelli, V., Krupin, V., Latruffe, L., Mikšytė, E., Miller, D., Monteleone, D., Polaschegg, M., Schwarz, G., Tzanopoulos, J., Tzouramani, I., Vlahos, G., Wojciechowska, A., 2022. </w:t>
            </w:r>
            <w:r w:rsidRPr="008C1952">
              <w:rPr>
                <w:color w:val="000000" w:themeColor="text1"/>
                <w:sz w:val="16"/>
                <w:szCs w:val="16"/>
              </w:rPr>
              <w:t xml:space="preserve">Advancing the Contributions of European Stakeholders in Farming Systems to Transitions to Agroecology. </w:t>
            </w:r>
            <w:r w:rsidRPr="008C1952">
              <w:rPr>
                <w:color w:val="000000" w:themeColor="text1"/>
                <w:sz w:val="16"/>
                <w:szCs w:val="16"/>
                <w:lang w:val="it-IT"/>
              </w:rPr>
              <w:t>EuroChoices 21, 50–63.</w:t>
            </w:r>
          </w:p>
          <w:p w14:paraId="0EDD45B3" w14:textId="77777777" w:rsidR="006E167B" w:rsidRPr="008C1952" w:rsidRDefault="006E167B" w:rsidP="006E167B">
            <w:pPr>
              <w:pStyle w:val="NormaleWeb"/>
              <w:numPr>
                <w:ilvl w:val="0"/>
                <w:numId w:val="15"/>
              </w:numPr>
              <w:jc w:val="both"/>
              <w:rPr>
                <w:color w:val="000000" w:themeColor="text1"/>
                <w:sz w:val="16"/>
                <w:szCs w:val="16"/>
                <w:lang w:val="it-IT"/>
              </w:rPr>
            </w:pPr>
            <w:r w:rsidRPr="008C1952">
              <w:rPr>
                <w:color w:val="000000" w:themeColor="text1"/>
                <w:sz w:val="16"/>
                <w:szCs w:val="16"/>
              </w:rPr>
              <w:t xml:space="preserve">Zollet, S., Maharjan, K.L., 2021. Resisting the vineyard invasion: Anti-pesticide movements as a vehicle for territorial food democracy and just sustainability transitions. </w:t>
            </w:r>
            <w:r w:rsidRPr="008C1952">
              <w:rPr>
                <w:color w:val="000000" w:themeColor="text1"/>
                <w:sz w:val="16"/>
                <w:szCs w:val="16"/>
                <w:lang w:val="it-IT"/>
              </w:rPr>
              <w:t>J. Rural Stud.</w:t>
            </w:r>
          </w:p>
          <w:p w14:paraId="49BAFC13" w14:textId="59C7922F" w:rsidR="00092586" w:rsidRPr="008C1952" w:rsidRDefault="006E167B" w:rsidP="006E167B">
            <w:pPr>
              <w:pStyle w:val="NormaleWeb"/>
              <w:numPr>
                <w:ilvl w:val="0"/>
                <w:numId w:val="15"/>
              </w:numPr>
              <w:jc w:val="both"/>
              <w:rPr>
                <w:b/>
                <w:bCs/>
                <w:color w:val="000000" w:themeColor="text1"/>
                <w:sz w:val="16"/>
                <w:szCs w:val="16"/>
                <w:lang w:val="it-IT"/>
              </w:rPr>
            </w:pPr>
            <w:r w:rsidRPr="008C1952">
              <w:rPr>
                <w:color w:val="000000" w:themeColor="text1"/>
                <w:sz w:val="16"/>
                <w:szCs w:val="16"/>
                <w:lang w:val="it-IT"/>
              </w:rPr>
              <w:t xml:space="preserve">Zurek, M., Hebinck, A., Leip, A., Vervoort, J., Kuiper, M., Garrone, M., Havlík, P., Heckelei, T., Hornborg, S., Ingram, J., Kuijsten, A., Shutes, L., Geleijnse, J.M., Terluin, I., van’t Veer, P., Wijnands, J., Zimmermann, A., Achterbosch, T., 2018. </w:t>
            </w:r>
            <w:r w:rsidRPr="008C1952">
              <w:rPr>
                <w:color w:val="000000" w:themeColor="text1"/>
                <w:sz w:val="16"/>
                <w:szCs w:val="16"/>
              </w:rPr>
              <w:t xml:space="preserve">Assessing Sustainable Food and Nutrition Security of the EU Food System—An Integrated Approach. </w:t>
            </w:r>
            <w:r w:rsidRPr="008C1952">
              <w:rPr>
                <w:color w:val="000000" w:themeColor="text1"/>
                <w:sz w:val="16"/>
                <w:szCs w:val="16"/>
                <w:lang w:val="it-IT"/>
              </w:rPr>
              <w:t>Sustain. 2018, Vol. 10, Page 4271 10, 4271.</w:t>
            </w:r>
          </w:p>
        </w:tc>
      </w:tr>
    </w:tbl>
    <w:p w14:paraId="018F7694" w14:textId="77777777" w:rsidR="00311827"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bookmarkStart w:id="9" w:name="_Toc161844661"/>
      <w:r w:rsidRPr="00311827">
        <w:rPr>
          <w:rFonts w:ascii="Times New Roman" w:eastAsia="Palatino Linotype" w:hAnsi="Times New Roman" w:cs="Times New Roman"/>
          <w:color w:val="000000" w:themeColor="text1"/>
          <w:sz w:val="16"/>
          <w:szCs w:val="16"/>
        </w:rPr>
        <w:lastRenderedPageBreak/>
        <w:t xml:space="preserve">Source: </w:t>
      </w:r>
      <w:r w:rsidRPr="00311827">
        <w:rPr>
          <w:rFonts w:ascii="Times New Roman" w:eastAsia="Palatino Linotype" w:hAnsi="Times New Roman" w:cs="Times New Roman"/>
          <w:i/>
          <w:iCs/>
          <w:color w:val="000000" w:themeColor="text1"/>
          <w:sz w:val="16"/>
          <w:szCs w:val="16"/>
        </w:rPr>
        <w:t>Authors own elaboration</w:t>
      </w:r>
    </w:p>
    <w:p w14:paraId="49418822" w14:textId="77777777" w:rsidR="002C4F8E" w:rsidRDefault="00B21A04" w:rsidP="002C4F8E">
      <w:pPr>
        <w:pStyle w:val="Titolo1"/>
        <w:rPr>
          <w:rFonts w:ascii="Times New Roman" w:hAnsi="Times New Roman" w:cs="Times New Roman"/>
          <w:sz w:val="16"/>
          <w:szCs w:val="16"/>
          <w:lang w:eastAsia="en-GB"/>
        </w:rPr>
      </w:pPr>
      <w:r w:rsidRPr="008C1952">
        <w:rPr>
          <w:rFonts w:ascii="Times New Roman" w:eastAsia="Times New Roman" w:hAnsi="Times New Roman" w:cs="Times New Roman"/>
          <w:b/>
          <w:bCs/>
          <w:color w:val="auto"/>
          <w:sz w:val="16"/>
          <w:szCs w:val="16"/>
          <w:lang w:eastAsia="en-GB"/>
        </w:rPr>
        <w:t>Section 2. Data extraction and Content Analysis</w:t>
      </w:r>
      <w:bookmarkEnd w:id="9"/>
      <w:r w:rsidRPr="008C1952">
        <w:rPr>
          <w:rFonts w:ascii="Times New Roman" w:eastAsia="Times New Roman" w:hAnsi="Times New Roman" w:cs="Times New Roman"/>
          <w:b/>
          <w:bCs/>
          <w:color w:val="auto"/>
          <w:sz w:val="16"/>
          <w:szCs w:val="16"/>
          <w:lang w:eastAsia="en-GB"/>
        </w:rPr>
        <w:t xml:space="preserve"> </w:t>
      </w:r>
      <w:r w:rsidR="002C4F8E" w:rsidRPr="002C4F8E">
        <w:rPr>
          <w:rFonts w:ascii="Times New Roman" w:hAnsi="Times New Roman" w:cs="Times New Roman"/>
          <w:sz w:val="16"/>
          <w:szCs w:val="16"/>
          <w:lang w:eastAsia="en-GB"/>
        </w:rPr>
        <w:t xml:space="preserve">        </w:t>
      </w:r>
    </w:p>
    <w:p w14:paraId="181EA4E0" w14:textId="51732439" w:rsidR="002C4F8E" w:rsidRPr="002C4F8E" w:rsidRDefault="002C4F8E" w:rsidP="002C4F8E">
      <w:pPr>
        <w:pStyle w:val="Titolo1"/>
        <w:rPr>
          <w:rFonts w:ascii="Times New Roman" w:eastAsia="Times New Roman" w:hAnsi="Times New Roman" w:cs="Times New Roman"/>
          <w:b/>
          <w:bCs/>
          <w:color w:val="auto"/>
          <w:sz w:val="16"/>
          <w:szCs w:val="16"/>
          <w:lang w:eastAsia="en-GB"/>
        </w:rPr>
      </w:pPr>
      <w:r w:rsidRPr="002C4F8E">
        <w:rPr>
          <w:rFonts w:ascii="Times New Roman" w:hAnsi="Times New Roman" w:cs="Times New Roman"/>
          <w:sz w:val="16"/>
          <w:szCs w:val="16"/>
          <w:lang w:eastAsia="en-GB"/>
        </w:rPr>
        <w:t xml:space="preserve">             </w:t>
      </w:r>
    </w:p>
    <w:p w14:paraId="6AA7DD0B" w14:textId="6099A39B" w:rsidR="002C4F8E" w:rsidRPr="002C4F8E" w:rsidRDefault="002C4F8E" w:rsidP="002C4F8E">
      <w:pPr>
        <w:pStyle w:val="Didascalia"/>
        <w:keepNext/>
        <w:rPr>
          <w:rFonts w:ascii="Times New Roman" w:hAnsi="Times New Roman" w:cs="Times New Roman"/>
          <w:i w:val="0"/>
          <w:iCs w:val="0"/>
          <w:color w:val="auto"/>
          <w:sz w:val="16"/>
          <w:szCs w:val="16"/>
        </w:rPr>
      </w:pPr>
      <w:bookmarkStart w:id="10" w:name="_Toc166589553"/>
      <w:r w:rsidRPr="002C4F8E">
        <w:rPr>
          <w:rFonts w:ascii="Times New Roman" w:hAnsi="Times New Roman" w:cs="Times New Roman"/>
          <w:b/>
          <w:bCs/>
          <w:i w:val="0"/>
          <w:iCs w:val="0"/>
          <w:color w:val="auto"/>
          <w:sz w:val="16"/>
          <w:szCs w:val="16"/>
        </w:rPr>
        <w:t xml:space="preserve">Supplementary Figure  </w:t>
      </w:r>
      <w:r w:rsidRPr="002C4F8E">
        <w:rPr>
          <w:rFonts w:ascii="Times New Roman" w:hAnsi="Times New Roman" w:cs="Times New Roman"/>
          <w:b/>
          <w:bCs/>
          <w:i w:val="0"/>
          <w:iCs w:val="0"/>
          <w:color w:val="auto"/>
          <w:sz w:val="16"/>
          <w:szCs w:val="16"/>
        </w:rPr>
        <w:fldChar w:fldCharType="begin"/>
      </w:r>
      <w:r w:rsidRPr="002C4F8E">
        <w:rPr>
          <w:rFonts w:ascii="Times New Roman" w:hAnsi="Times New Roman" w:cs="Times New Roman"/>
          <w:b/>
          <w:bCs/>
          <w:i w:val="0"/>
          <w:iCs w:val="0"/>
          <w:color w:val="auto"/>
          <w:sz w:val="16"/>
          <w:szCs w:val="16"/>
        </w:rPr>
        <w:instrText xml:space="preserve"> SEQ Supplementary_Figure_ \* ALPHABETIC </w:instrText>
      </w:r>
      <w:r w:rsidRPr="002C4F8E">
        <w:rPr>
          <w:rFonts w:ascii="Times New Roman" w:hAnsi="Times New Roman" w:cs="Times New Roman"/>
          <w:b/>
          <w:bCs/>
          <w:i w:val="0"/>
          <w:iCs w:val="0"/>
          <w:color w:val="auto"/>
          <w:sz w:val="16"/>
          <w:szCs w:val="16"/>
        </w:rPr>
        <w:fldChar w:fldCharType="separate"/>
      </w:r>
      <w:r w:rsidRPr="002C4F8E">
        <w:rPr>
          <w:rFonts w:ascii="Times New Roman" w:hAnsi="Times New Roman" w:cs="Times New Roman"/>
          <w:b/>
          <w:bCs/>
          <w:i w:val="0"/>
          <w:iCs w:val="0"/>
          <w:noProof/>
          <w:color w:val="auto"/>
          <w:sz w:val="16"/>
          <w:szCs w:val="16"/>
        </w:rPr>
        <w:t>B</w:t>
      </w:r>
      <w:r w:rsidRPr="002C4F8E">
        <w:rPr>
          <w:rFonts w:ascii="Times New Roman" w:hAnsi="Times New Roman" w:cs="Times New Roman"/>
          <w:b/>
          <w:bCs/>
          <w:i w:val="0"/>
          <w:iCs w:val="0"/>
          <w:color w:val="auto"/>
          <w:sz w:val="16"/>
          <w:szCs w:val="16"/>
        </w:rPr>
        <w:fldChar w:fldCharType="end"/>
      </w:r>
      <w:r w:rsidRPr="002C4F8E">
        <w:rPr>
          <w:rFonts w:ascii="Times New Roman" w:hAnsi="Times New Roman" w:cs="Times New Roman"/>
          <w:b/>
          <w:bCs/>
          <w:i w:val="0"/>
          <w:iCs w:val="0"/>
          <w:color w:val="auto"/>
          <w:sz w:val="16"/>
          <w:szCs w:val="16"/>
        </w:rPr>
        <w:t>.</w:t>
      </w:r>
      <w:r w:rsidRPr="002C4F8E">
        <w:rPr>
          <w:rFonts w:ascii="Times New Roman" w:hAnsi="Times New Roman" w:cs="Times New Roman"/>
          <w:i w:val="0"/>
          <w:iCs w:val="0"/>
          <w:color w:val="auto"/>
          <w:sz w:val="16"/>
          <w:szCs w:val="16"/>
        </w:rPr>
        <w:t xml:space="preserve"> Framework for concept coding</w:t>
      </w:r>
      <w:bookmarkEnd w:id="10"/>
    </w:p>
    <w:p w14:paraId="1C18BD75" w14:textId="7C099ED1" w:rsidR="002C4F8E" w:rsidRPr="002C4F8E" w:rsidRDefault="002C4F8E" w:rsidP="002C4F8E">
      <w:pPr>
        <w:jc w:val="center"/>
        <w:rPr>
          <w:rFonts w:ascii="Times New Roman" w:hAnsi="Times New Roman" w:cs="Times New Roman"/>
          <w:sz w:val="16"/>
          <w:szCs w:val="16"/>
          <w:lang w:eastAsia="en-GB"/>
        </w:rPr>
      </w:pPr>
      <w:r w:rsidRPr="002C4F8E">
        <w:rPr>
          <w:rFonts w:ascii="Times New Roman" w:hAnsi="Times New Roman" w:cs="Times New Roman"/>
          <w:noProof/>
          <w:sz w:val="16"/>
          <w:szCs w:val="16"/>
          <w:lang w:eastAsia="en-GB"/>
        </w:rPr>
        <w:drawing>
          <wp:inline distT="0" distB="0" distL="0" distR="0" wp14:anchorId="47E542DB" wp14:editId="4142A519">
            <wp:extent cx="4360718" cy="2611582"/>
            <wp:effectExtent l="38100" t="0" r="78105" b="0"/>
            <wp:docPr id="1147925596" name="Diagram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7C28E4FA" w14:textId="77777777" w:rsidR="002C4F8E" w:rsidRPr="002C4F8E" w:rsidRDefault="002C4F8E" w:rsidP="002C4F8E">
      <w:pPr>
        <w:jc w:val="center"/>
        <w:rPr>
          <w:rFonts w:ascii="Times New Roman" w:hAnsi="Times New Roman" w:cs="Times New Roman"/>
          <w:sz w:val="16"/>
          <w:szCs w:val="16"/>
          <w:lang w:eastAsia="en-GB"/>
        </w:rPr>
      </w:pPr>
      <w:r w:rsidRPr="002C4F8E">
        <w:rPr>
          <w:rFonts w:ascii="Times New Roman" w:hAnsi="Times New Roman" w:cs="Times New Roman"/>
          <w:sz w:val="16"/>
          <w:szCs w:val="16"/>
          <w:lang w:eastAsia="en-GB"/>
        </w:rPr>
        <w:t xml:space="preserve">Source: </w:t>
      </w:r>
      <w:r w:rsidRPr="002C4F8E">
        <w:rPr>
          <w:rFonts w:ascii="Times New Roman" w:hAnsi="Times New Roman" w:cs="Times New Roman"/>
          <w:i/>
          <w:sz w:val="16"/>
          <w:szCs w:val="16"/>
          <w:lang w:eastAsia="en-GB"/>
        </w:rPr>
        <w:t>Authors own elaboration</w:t>
      </w:r>
    </w:p>
    <w:p w14:paraId="5FB4B5A9" w14:textId="77777777" w:rsidR="00C408CB" w:rsidRPr="008C1952" w:rsidRDefault="00C408CB" w:rsidP="00C408CB">
      <w:pPr>
        <w:rPr>
          <w:rFonts w:ascii="Times New Roman" w:hAnsi="Times New Roman" w:cs="Times New Roman"/>
          <w:sz w:val="16"/>
          <w:szCs w:val="16"/>
          <w:lang w:eastAsia="en-GB"/>
        </w:rPr>
      </w:pPr>
    </w:p>
    <w:p w14:paraId="36FC93FA" w14:textId="7FED0DD7" w:rsidR="008D5259" w:rsidRPr="008C1952" w:rsidRDefault="008D5259" w:rsidP="008D5259">
      <w:pPr>
        <w:pStyle w:val="Didascalia"/>
        <w:keepNext/>
        <w:rPr>
          <w:rFonts w:ascii="Times New Roman" w:hAnsi="Times New Roman" w:cs="Times New Roman"/>
          <w:b/>
          <w:bCs/>
          <w:i w:val="0"/>
          <w:iCs w:val="0"/>
          <w:color w:val="auto"/>
          <w:sz w:val="16"/>
          <w:szCs w:val="16"/>
        </w:rPr>
      </w:pPr>
      <w:bookmarkStart w:id="11" w:name="_Toc166589543"/>
      <w:r w:rsidRPr="008C1952">
        <w:rPr>
          <w:rFonts w:ascii="Times New Roman" w:hAnsi="Times New Roman" w:cs="Times New Roman"/>
          <w:b/>
          <w:bCs/>
          <w:i w:val="0"/>
          <w:iCs w:val="0"/>
          <w:color w:val="auto"/>
          <w:sz w:val="16"/>
          <w:szCs w:val="16"/>
        </w:rPr>
        <w:t xml:space="preserve">Supplementary Table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Supplementary_Table \* ALPHABETIC </w:instrText>
      </w:r>
      <w:r w:rsidR="00F60EFC">
        <w:rPr>
          <w:rFonts w:ascii="Times New Roman" w:hAnsi="Times New Roman" w:cs="Times New Roman"/>
          <w:b/>
          <w:bCs/>
          <w:i w:val="0"/>
          <w:iCs w:val="0"/>
          <w:color w:val="auto"/>
          <w:sz w:val="16"/>
          <w:szCs w:val="16"/>
        </w:rPr>
        <w:fldChar w:fldCharType="separate"/>
      </w:r>
      <w:r w:rsidR="00F60EFC">
        <w:rPr>
          <w:rFonts w:ascii="Times New Roman" w:hAnsi="Times New Roman" w:cs="Times New Roman"/>
          <w:b/>
          <w:bCs/>
          <w:i w:val="0"/>
          <w:iCs w:val="0"/>
          <w:noProof/>
          <w:color w:val="auto"/>
          <w:sz w:val="16"/>
          <w:szCs w:val="16"/>
        </w:rPr>
        <w:t>D</w:t>
      </w:r>
      <w:r w:rsidR="00F60EFC">
        <w:rPr>
          <w:rFonts w:ascii="Times New Roman" w:hAnsi="Times New Roman" w:cs="Times New Roman"/>
          <w:b/>
          <w:bCs/>
          <w:i w:val="0"/>
          <w:iCs w:val="0"/>
          <w:color w:val="auto"/>
          <w:sz w:val="16"/>
          <w:szCs w:val="16"/>
        </w:rPr>
        <w:fldChar w:fldCharType="end"/>
      </w:r>
      <w:r w:rsidRPr="008C1952">
        <w:rPr>
          <w:rFonts w:ascii="Times New Roman" w:hAnsi="Times New Roman" w:cs="Times New Roman"/>
          <w:i w:val="0"/>
          <w:iCs w:val="0"/>
          <w:color w:val="auto"/>
          <w:sz w:val="16"/>
          <w:szCs w:val="16"/>
        </w:rPr>
        <w:t>. Glossary of the terms used for content analysis</w:t>
      </w:r>
      <w:r w:rsidR="009C5AE9" w:rsidRPr="008C1952">
        <w:rPr>
          <w:rFonts w:ascii="Times New Roman" w:hAnsi="Times New Roman" w:cs="Times New Roman"/>
          <w:i w:val="0"/>
          <w:iCs w:val="0"/>
          <w:color w:val="auto"/>
          <w:sz w:val="16"/>
          <w:szCs w:val="16"/>
        </w:rPr>
        <w:t>.</w:t>
      </w:r>
      <w:bookmarkEnd w:id="11"/>
    </w:p>
    <w:tbl>
      <w:tblPr>
        <w:tblW w:w="89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5"/>
        <w:gridCol w:w="5940"/>
        <w:gridCol w:w="1350"/>
      </w:tblGrid>
      <w:tr w:rsidR="003C78D0" w:rsidRPr="008C1952" w14:paraId="7B08D1E0" w14:textId="77777777" w:rsidTr="008D5259">
        <w:tc>
          <w:tcPr>
            <w:tcW w:w="1695" w:type="dxa"/>
            <w:tcBorders>
              <w:top w:val="single" w:sz="6" w:space="0" w:color="auto"/>
              <w:left w:val="nil"/>
              <w:bottom w:val="single" w:sz="6" w:space="0" w:color="auto"/>
              <w:right w:val="nil"/>
            </w:tcBorders>
            <w:shd w:val="clear" w:color="auto" w:fill="auto"/>
            <w:vAlign w:val="center"/>
            <w:hideMark/>
          </w:tcPr>
          <w:p w14:paraId="793E7A6D" w14:textId="77777777" w:rsidR="003C78D0" w:rsidRPr="008C1952" w:rsidRDefault="003C78D0" w:rsidP="00BB4F49">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b/>
                <w:bCs/>
                <w:color w:val="000000"/>
                <w:sz w:val="16"/>
                <w:szCs w:val="16"/>
                <w:lang w:eastAsia="en-GB"/>
              </w:rPr>
              <w:t>Term</w:t>
            </w:r>
            <w:r w:rsidRPr="008C1952">
              <w:rPr>
                <w:rFonts w:ascii="Times New Roman" w:eastAsia="Times New Roman" w:hAnsi="Times New Roman" w:cs="Times New Roman"/>
                <w:color w:val="000000"/>
                <w:sz w:val="16"/>
                <w:szCs w:val="16"/>
                <w:lang w:eastAsia="en-GB"/>
              </w:rPr>
              <w:t> </w:t>
            </w:r>
          </w:p>
        </w:tc>
        <w:tc>
          <w:tcPr>
            <w:tcW w:w="5940" w:type="dxa"/>
            <w:tcBorders>
              <w:top w:val="single" w:sz="6" w:space="0" w:color="auto"/>
              <w:left w:val="nil"/>
              <w:bottom w:val="single" w:sz="6" w:space="0" w:color="auto"/>
              <w:right w:val="nil"/>
            </w:tcBorders>
            <w:shd w:val="clear" w:color="auto" w:fill="auto"/>
            <w:vAlign w:val="center"/>
            <w:hideMark/>
          </w:tcPr>
          <w:p w14:paraId="6CEBA387" w14:textId="77777777" w:rsidR="003C78D0" w:rsidRPr="008C1952" w:rsidRDefault="003C78D0" w:rsidP="00BB4F49">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b/>
                <w:bCs/>
                <w:color w:val="000000"/>
                <w:sz w:val="16"/>
                <w:szCs w:val="16"/>
                <w:lang w:eastAsia="en-GB"/>
              </w:rPr>
              <w:t>Definition</w:t>
            </w:r>
            <w:r w:rsidRPr="008C1952">
              <w:rPr>
                <w:rFonts w:ascii="Times New Roman" w:eastAsia="Times New Roman" w:hAnsi="Times New Roman" w:cs="Times New Roman"/>
                <w:color w:val="000000"/>
                <w:sz w:val="16"/>
                <w:szCs w:val="16"/>
                <w:lang w:eastAsia="en-GB"/>
              </w:rPr>
              <w:t> </w:t>
            </w:r>
          </w:p>
        </w:tc>
        <w:tc>
          <w:tcPr>
            <w:tcW w:w="1350" w:type="dxa"/>
            <w:tcBorders>
              <w:top w:val="single" w:sz="6" w:space="0" w:color="auto"/>
              <w:left w:val="nil"/>
              <w:bottom w:val="single" w:sz="6" w:space="0" w:color="auto"/>
              <w:right w:val="nil"/>
            </w:tcBorders>
            <w:shd w:val="clear" w:color="auto" w:fill="auto"/>
            <w:vAlign w:val="center"/>
            <w:hideMark/>
          </w:tcPr>
          <w:p w14:paraId="26ED5CAB" w14:textId="77777777" w:rsidR="003C78D0" w:rsidRPr="008C1952" w:rsidRDefault="003C78D0" w:rsidP="00BB4F49">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b/>
                <w:bCs/>
                <w:color w:val="000000"/>
                <w:sz w:val="16"/>
                <w:szCs w:val="16"/>
                <w:lang w:eastAsia="en-GB"/>
              </w:rPr>
              <w:t>Reference</w:t>
            </w:r>
            <w:r w:rsidRPr="008C1952">
              <w:rPr>
                <w:rFonts w:ascii="Times New Roman" w:eastAsia="Times New Roman" w:hAnsi="Times New Roman" w:cs="Times New Roman"/>
                <w:color w:val="000000"/>
                <w:sz w:val="16"/>
                <w:szCs w:val="16"/>
                <w:lang w:eastAsia="en-GB"/>
              </w:rPr>
              <w:t> </w:t>
            </w:r>
          </w:p>
        </w:tc>
      </w:tr>
      <w:tr w:rsidR="003C78D0" w:rsidRPr="008C1952" w14:paraId="7B6CB664" w14:textId="77777777" w:rsidTr="00DA41ED">
        <w:tc>
          <w:tcPr>
            <w:tcW w:w="1695" w:type="dxa"/>
            <w:tcBorders>
              <w:top w:val="single" w:sz="6" w:space="0" w:color="auto"/>
              <w:left w:val="nil"/>
              <w:bottom w:val="single" w:sz="4" w:space="0" w:color="auto"/>
              <w:right w:val="nil"/>
            </w:tcBorders>
            <w:shd w:val="clear" w:color="auto" w:fill="auto"/>
            <w:vAlign w:val="center"/>
            <w:hideMark/>
          </w:tcPr>
          <w:p w14:paraId="1C6882B3" w14:textId="0FEB8BD9" w:rsidR="003C78D0" w:rsidRPr="008C1952" w:rsidRDefault="003C78D0" w:rsidP="00C408CB">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Impact</w:t>
            </w:r>
          </w:p>
        </w:tc>
        <w:tc>
          <w:tcPr>
            <w:tcW w:w="5940" w:type="dxa"/>
            <w:tcBorders>
              <w:top w:val="single" w:sz="6" w:space="0" w:color="auto"/>
              <w:left w:val="nil"/>
              <w:bottom w:val="single" w:sz="4" w:space="0" w:color="auto"/>
              <w:right w:val="nil"/>
            </w:tcBorders>
            <w:shd w:val="clear" w:color="auto" w:fill="auto"/>
            <w:vAlign w:val="center"/>
            <w:hideMark/>
          </w:tcPr>
          <w:p w14:paraId="4EE5B2CE" w14:textId="4E8EF277" w:rsidR="003C78D0" w:rsidRPr="008C1952" w:rsidRDefault="003C78D0" w:rsidP="00DA41ED">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 xml:space="preserve">A dynamic </w:t>
            </w:r>
            <w:r w:rsidR="00DA41ED" w:rsidRPr="008C1952">
              <w:rPr>
                <w:rFonts w:ascii="Times New Roman" w:eastAsia="Times New Roman" w:hAnsi="Times New Roman" w:cs="Times New Roman"/>
                <w:color w:val="000000"/>
                <w:sz w:val="16"/>
                <w:szCs w:val="16"/>
                <w:lang w:eastAsia="en-GB"/>
              </w:rPr>
              <w:t>concept that</w:t>
            </w:r>
            <w:r w:rsidRPr="008C1952">
              <w:rPr>
                <w:rFonts w:ascii="Times New Roman" w:eastAsia="Times New Roman" w:hAnsi="Times New Roman" w:cs="Times New Roman"/>
                <w:color w:val="000000"/>
                <w:sz w:val="16"/>
                <w:szCs w:val="16"/>
                <w:lang w:eastAsia="en-GB"/>
              </w:rPr>
              <w:t xml:space="preserve"> presupposes a relationship of cause and effect and can be measured through the evaluation of the outcomes of actions.  </w:t>
            </w:r>
          </w:p>
        </w:tc>
        <w:tc>
          <w:tcPr>
            <w:tcW w:w="1350" w:type="dxa"/>
            <w:tcBorders>
              <w:top w:val="single" w:sz="6" w:space="0" w:color="auto"/>
              <w:left w:val="nil"/>
              <w:bottom w:val="single" w:sz="4" w:space="0" w:color="auto"/>
              <w:right w:val="nil"/>
            </w:tcBorders>
            <w:shd w:val="clear" w:color="auto" w:fill="auto"/>
            <w:vAlign w:val="center"/>
            <w:hideMark/>
          </w:tcPr>
          <w:p w14:paraId="5D096393" w14:textId="216F6B6A" w:rsidR="001362E3" w:rsidRDefault="001362E3" w:rsidP="001362E3">
            <w:pPr>
              <w:spacing w:after="0" w:line="240" w:lineRule="auto"/>
              <w:jc w:val="center"/>
              <w:textAlignment w:val="baseline"/>
            </w:pPr>
            <w:r>
              <w:rPr>
                <w:rFonts w:ascii="Times New Roman" w:eastAsia="Times New Roman" w:hAnsi="Times New Roman" w:cs="Times New Roman"/>
                <w:color w:val="000000"/>
                <w:sz w:val="16"/>
                <w:szCs w:val="16"/>
                <w:lang w:eastAsia="en-GB"/>
              </w:rPr>
              <w:fldChar w:fldCharType="begin" w:fldLock="1"/>
            </w:r>
            <w:r>
              <w:rPr>
                <w:rFonts w:ascii="Times New Roman" w:eastAsia="Times New Roman" w:hAnsi="Times New Roman" w:cs="Times New Roman"/>
                <w:color w:val="000000"/>
                <w:sz w:val="16"/>
                <w:szCs w:val="16"/>
                <w:lang w:eastAsia="en-GB"/>
              </w:rPr>
              <w:instrText>ADDIN CSL_CITATION {"citationItems":[{"id":"ITEM-1","itemData":{"DOI":"10.1016/j.procs.2014.06.005","ISSN":"18770509","abstract":"Following the 2014 UK Research Excellence Framework (REF), attention across the Higher Education sector is turning to embedding impact measurement within the organisation. Impact is defined as the social, financial and environmental effects of research. Planning and capturing impact however is a difficult and resource-intensive activity, demanding both strategic commitment and infrastructure support. A means to systematically capture and monitor impact across the organisation is crucial to continued research success. In addition, with impact data capture as an emerging practice, there is the opportunity and necessity for a degree of standardisation in the approach to measuring impact across HEIs. Vertigo Ventures, an impact measurement consultancy, has been using and expanding its tool- VV-Impact Metrics with UK universities to support assessments by identifying impact pathways, impact indicators, evidence collection and analysis to improve the quality of the evidence and narrative. Vertigo Ventures has been working with Coventry University to use its VV-Impact Metrics tool in their self-service module (ERIC) to create a systematised data capture platform that can be readily used by the academic community to input data. This paper discusses the experience and learning from the process of embedding a solution institutionally. © 2014 Published by Elsevier B.V.","author":[{"dropping-particle":"","family":"Fedorciow","given":"Laura","non-dropping-particle":"","parse-names":false,"suffix":""},{"dropping-particle":"","family":"Bayley","given":"Julie","non-dropping-particle":"","parse-names":false,"suffix":""}],"container-title":"Procedia Computer Science","id":"ITEM-1","issued":{"date-parts":[["2014"]]},"title":"Strategies for the management and adoption of impact capture processes within research information management systems","type":"paper-conference"},"uris":["http://www.mendeley.com/documents/?uuid=e998489c-9de0-4660-ac34-24af41a25387"]}],"mendeley":{"formattedCitation":"(Fedorciow and Bayley, 2014)","plainTextFormattedCitation":"(Fedorciow and Bayley, 2014)","previouslyFormattedCitation":"(Fedorciow and Bayley, 2014)"},"properties":{"noteIndex":0},"schema":"https://github.com/citation-style-language/schema/raw/master/csl-citation.json"}</w:instrText>
            </w:r>
            <w:r>
              <w:rPr>
                <w:rFonts w:ascii="Times New Roman" w:eastAsia="Times New Roman" w:hAnsi="Times New Roman" w:cs="Times New Roman"/>
                <w:color w:val="000000"/>
                <w:sz w:val="16"/>
                <w:szCs w:val="16"/>
                <w:lang w:eastAsia="en-GB"/>
              </w:rPr>
              <w:fldChar w:fldCharType="separate"/>
            </w:r>
            <w:r w:rsidRPr="001362E3">
              <w:rPr>
                <w:rFonts w:ascii="Times New Roman" w:eastAsia="Times New Roman" w:hAnsi="Times New Roman" w:cs="Times New Roman"/>
                <w:noProof/>
                <w:color w:val="000000"/>
                <w:sz w:val="16"/>
                <w:szCs w:val="16"/>
                <w:lang w:eastAsia="en-GB"/>
              </w:rPr>
              <w:t>(Fedorciow and Bayley, 2014)</w:t>
            </w:r>
            <w:r>
              <w:rPr>
                <w:rFonts w:ascii="Times New Roman" w:eastAsia="Times New Roman" w:hAnsi="Times New Roman" w:cs="Times New Roman"/>
                <w:color w:val="000000"/>
                <w:sz w:val="16"/>
                <w:szCs w:val="16"/>
                <w:lang w:eastAsia="en-GB"/>
              </w:rPr>
              <w:fldChar w:fldCharType="end"/>
            </w:r>
          </w:p>
          <w:p w14:paraId="4C3DD6F8" w14:textId="79F7DB84" w:rsidR="003C78D0" w:rsidRPr="008C1952" w:rsidRDefault="003C78D0" w:rsidP="00DA41ED">
            <w:pPr>
              <w:spacing w:after="0" w:line="240" w:lineRule="auto"/>
              <w:jc w:val="center"/>
              <w:textAlignment w:val="baseline"/>
              <w:rPr>
                <w:rFonts w:ascii="Times New Roman" w:eastAsia="Times New Roman" w:hAnsi="Times New Roman" w:cs="Times New Roman"/>
                <w:sz w:val="16"/>
                <w:szCs w:val="16"/>
                <w:lang w:eastAsia="en-GB"/>
              </w:rPr>
            </w:pPr>
          </w:p>
        </w:tc>
      </w:tr>
      <w:tr w:rsidR="003C78D0" w:rsidRPr="008C1952" w14:paraId="41B390CD" w14:textId="77777777" w:rsidTr="00DA41ED">
        <w:tc>
          <w:tcPr>
            <w:tcW w:w="1695" w:type="dxa"/>
            <w:tcBorders>
              <w:top w:val="single" w:sz="4" w:space="0" w:color="auto"/>
              <w:left w:val="nil"/>
              <w:bottom w:val="single" w:sz="4" w:space="0" w:color="auto"/>
              <w:right w:val="nil"/>
            </w:tcBorders>
            <w:shd w:val="clear" w:color="auto" w:fill="auto"/>
            <w:vAlign w:val="center"/>
            <w:hideMark/>
          </w:tcPr>
          <w:p w14:paraId="149E136A" w14:textId="5A60B4AF" w:rsidR="003C78D0" w:rsidRPr="008C1952" w:rsidRDefault="003C78D0" w:rsidP="00C408CB">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Outcome</w:t>
            </w:r>
          </w:p>
        </w:tc>
        <w:tc>
          <w:tcPr>
            <w:tcW w:w="5940" w:type="dxa"/>
            <w:tcBorders>
              <w:top w:val="single" w:sz="4" w:space="0" w:color="auto"/>
              <w:left w:val="nil"/>
              <w:bottom w:val="single" w:sz="4" w:space="0" w:color="auto"/>
              <w:right w:val="nil"/>
            </w:tcBorders>
            <w:shd w:val="clear" w:color="auto" w:fill="auto"/>
            <w:vAlign w:val="center"/>
            <w:hideMark/>
          </w:tcPr>
          <w:p w14:paraId="46C43CFE" w14:textId="020A5DBD" w:rsidR="003C78D0" w:rsidRPr="008C1952" w:rsidRDefault="003C78D0" w:rsidP="00DA41ED">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Outputs of the activities that relate to the production, processing, distribution, preparation, and consumption of food. </w:t>
            </w:r>
          </w:p>
        </w:tc>
        <w:tc>
          <w:tcPr>
            <w:tcW w:w="1350" w:type="dxa"/>
            <w:tcBorders>
              <w:top w:val="single" w:sz="4" w:space="0" w:color="auto"/>
              <w:left w:val="nil"/>
              <w:bottom w:val="single" w:sz="4" w:space="0" w:color="auto"/>
              <w:right w:val="nil"/>
            </w:tcBorders>
            <w:shd w:val="clear" w:color="auto" w:fill="auto"/>
            <w:vAlign w:val="center"/>
            <w:hideMark/>
          </w:tcPr>
          <w:p w14:paraId="7164C3AC" w14:textId="4FB991E4" w:rsidR="003C78D0" w:rsidRPr="008C1952" w:rsidRDefault="001362E3" w:rsidP="001362E3">
            <w:pPr>
              <w:spacing w:after="0" w:line="240" w:lineRule="auto"/>
              <w:jc w:val="center"/>
              <w:textAlignment w:val="baseline"/>
              <w:rPr>
                <w:rFonts w:ascii="Times New Roman" w:eastAsia="Times New Roman" w:hAnsi="Times New Roman" w:cs="Times New Roman"/>
                <w:sz w:val="16"/>
                <w:szCs w:val="16"/>
                <w:lang w:eastAsia="en-GB"/>
              </w:rPr>
            </w:pPr>
            <w:r>
              <w:rPr>
                <w:rFonts w:ascii="Times New Roman" w:eastAsia="Times New Roman" w:hAnsi="Times New Roman" w:cs="Times New Roman"/>
                <w:color w:val="000000"/>
                <w:sz w:val="16"/>
                <w:szCs w:val="16"/>
                <w:lang w:eastAsia="en-GB"/>
              </w:rPr>
              <w:fldChar w:fldCharType="begin" w:fldLock="1"/>
            </w:r>
            <w:r w:rsidR="00F02424">
              <w:rPr>
                <w:rFonts w:ascii="Times New Roman" w:eastAsia="Times New Roman" w:hAnsi="Times New Roman" w:cs="Times New Roman"/>
                <w:color w:val="000000"/>
                <w:sz w:val="16"/>
                <w:szCs w:val="16"/>
                <w:lang w:eastAsia="en-GB"/>
              </w:rPr>
              <w:instrText>ADDIN CSL_CITATION {"citationItems":[{"id":"ITEM-1","itemData":{"author":[{"dropping-particle":"","family":"HLPE","given":"","non-dropping-particle":"","parse-names":false,"suffix":""}],"container-title":"Committee of World Food Security (CFS)","id":"ITEM-1","issue":"September","issued":{"date-parts":[["2017"]]},"page":"1-152","title":"High Level Panel of Experts. 2017. Nutrition and food systems","type":"article-journal","volume":"44"},"uris":["http://www.mendeley.com/documents/?uuid=bcec92ed-2bf7-45e8-8150-25f843b9aa6c"]}],"mendeley":{"formattedCitation":"(HLPE, 2017)","plainTextFormattedCitation":"(HLPE, 2017)","previouslyFormattedCitation":"(HLPE, 2017)"},"properties":{"noteIndex":0},"schema":"https://github.com/citation-style-language/schema/raw/master/csl-citation.json"}</w:instrText>
            </w:r>
            <w:r>
              <w:rPr>
                <w:rFonts w:ascii="Times New Roman" w:eastAsia="Times New Roman" w:hAnsi="Times New Roman" w:cs="Times New Roman"/>
                <w:color w:val="000000"/>
                <w:sz w:val="16"/>
                <w:szCs w:val="16"/>
                <w:lang w:eastAsia="en-GB"/>
              </w:rPr>
              <w:fldChar w:fldCharType="separate"/>
            </w:r>
            <w:r w:rsidRPr="001362E3">
              <w:rPr>
                <w:rFonts w:ascii="Times New Roman" w:eastAsia="Times New Roman" w:hAnsi="Times New Roman" w:cs="Times New Roman"/>
                <w:noProof/>
                <w:color w:val="000000"/>
                <w:sz w:val="16"/>
                <w:szCs w:val="16"/>
                <w:lang w:eastAsia="en-GB"/>
              </w:rPr>
              <w:t>(HLPE, 2017)</w:t>
            </w:r>
            <w:r>
              <w:rPr>
                <w:rFonts w:ascii="Times New Roman" w:eastAsia="Times New Roman" w:hAnsi="Times New Roman" w:cs="Times New Roman"/>
                <w:color w:val="000000"/>
                <w:sz w:val="16"/>
                <w:szCs w:val="16"/>
                <w:lang w:eastAsia="en-GB"/>
              </w:rPr>
              <w:fldChar w:fldCharType="end"/>
            </w:r>
            <w:r>
              <w:rPr>
                <w:rFonts w:ascii="Times New Roman" w:eastAsia="Times New Roman" w:hAnsi="Times New Roman" w:cs="Times New Roman"/>
                <w:color w:val="000000"/>
                <w:sz w:val="16"/>
                <w:szCs w:val="16"/>
                <w:lang w:eastAsia="en-GB"/>
              </w:rPr>
              <w:t xml:space="preserve"> </w:t>
            </w:r>
          </w:p>
        </w:tc>
      </w:tr>
      <w:tr w:rsidR="003C78D0" w:rsidRPr="008C1952" w14:paraId="57FE1467" w14:textId="77777777" w:rsidTr="00DA41ED">
        <w:tc>
          <w:tcPr>
            <w:tcW w:w="1695" w:type="dxa"/>
            <w:tcBorders>
              <w:top w:val="single" w:sz="4" w:space="0" w:color="auto"/>
              <w:left w:val="nil"/>
              <w:bottom w:val="single" w:sz="4" w:space="0" w:color="auto"/>
              <w:right w:val="nil"/>
            </w:tcBorders>
            <w:shd w:val="clear" w:color="auto" w:fill="auto"/>
            <w:vAlign w:val="center"/>
            <w:hideMark/>
          </w:tcPr>
          <w:p w14:paraId="20C6D0EE" w14:textId="4B0087E6" w:rsidR="003C78D0" w:rsidRPr="008C1952" w:rsidRDefault="003C78D0" w:rsidP="00C408CB">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Food Environment</w:t>
            </w:r>
          </w:p>
        </w:tc>
        <w:tc>
          <w:tcPr>
            <w:tcW w:w="5940" w:type="dxa"/>
            <w:tcBorders>
              <w:top w:val="single" w:sz="4" w:space="0" w:color="auto"/>
              <w:left w:val="nil"/>
              <w:bottom w:val="single" w:sz="4" w:space="0" w:color="auto"/>
              <w:right w:val="nil"/>
            </w:tcBorders>
            <w:shd w:val="clear" w:color="auto" w:fill="auto"/>
            <w:vAlign w:val="center"/>
            <w:hideMark/>
          </w:tcPr>
          <w:p w14:paraId="60F1570D" w14:textId="18C7352A" w:rsidR="003C78D0" w:rsidRPr="008C1952" w:rsidRDefault="003C78D0" w:rsidP="00DA41ED">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The physical, economic, political, and socio-cultural context in</w:t>
            </w:r>
            <w:r w:rsidR="00DA41ED">
              <w:rPr>
                <w:rFonts w:ascii="Times New Roman" w:eastAsia="Times New Roman" w:hAnsi="Times New Roman" w:cs="Times New Roman"/>
                <w:sz w:val="16"/>
                <w:szCs w:val="16"/>
                <w:lang w:eastAsia="en-GB"/>
              </w:rPr>
              <w:t xml:space="preserve"> </w:t>
            </w:r>
            <w:r w:rsidRPr="008C1952">
              <w:rPr>
                <w:rFonts w:ascii="Times New Roman" w:eastAsia="Times New Roman" w:hAnsi="Times New Roman" w:cs="Times New Roman"/>
                <w:color w:val="000000"/>
                <w:sz w:val="16"/>
                <w:szCs w:val="16"/>
                <w:lang w:eastAsia="en-GB"/>
              </w:rPr>
              <w:t>which consumers engage with the food system to acquire, prepare, and consume food.</w:t>
            </w:r>
          </w:p>
        </w:tc>
        <w:tc>
          <w:tcPr>
            <w:tcW w:w="1350" w:type="dxa"/>
            <w:tcBorders>
              <w:top w:val="single" w:sz="4" w:space="0" w:color="auto"/>
              <w:left w:val="nil"/>
              <w:bottom w:val="single" w:sz="4" w:space="0" w:color="auto"/>
              <w:right w:val="nil"/>
            </w:tcBorders>
            <w:shd w:val="clear" w:color="auto" w:fill="auto"/>
            <w:vAlign w:val="center"/>
            <w:hideMark/>
          </w:tcPr>
          <w:p w14:paraId="25A5781F" w14:textId="7C36B3D8" w:rsidR="003C78D0" w:rsidRPr="008C1952" w:rsidRDefault="00F02424" w:rsidP="001362E3">
            <w:pPr>
              <w:spacing w:after="0" w:line="240" w:lineRule="auto"/>
              <w:jc w:val="center"/>
              <w:textAlignment w:val="baseline"/>
              <w:rPr>
                <w:rFonts w:ascii="Times New Roman" w:eastAsia="Times New Roman" w:hAnsi="Times New Roman" w:cs="Times New Roman"/>
                <w:sz w:val="16"/>
                <w:szCs w:val="16"/>
                <w:lang w:eastAsia="en-GB"/>
              </w:rPr>
            </w:pPr>
            <w:r>
              <w:rPr>
                <w:rFonts w:ascii="Times New Roman" w:eastAsia="Times New Roman" w:hAnsi="Times New Roman" w:cs="Times New Roman"/>
                <w:color w:val="000000"/>
                <w:sz w:val="16"/>
                <w:szCs w:val="16"/>
                <w:lang w:eastAsia="en-GB"/>
              </w:rPr>
              <w:fldChar w:fldCharType="begin" w:fldLock="1"/>
            </w:r>
            <w:r w:rsidR="005832E7">
              <w:rPr>
                <w:rFonts w:ascii="Times New Roman" w:eastAsia="Times New Roman" w:hAnsi="Times New Roman" w:cs="Times New Roman"/>
                <w:color w:val="000000"/>
                <w:sz w:val="16"/>
                <w:szCs w:val="16"/>
                <w:lang w:eastAsia="en-GB"/>
              </w:rPr>
              <w:instrText>ADDIN CSL_CITATION {"citationItems":[{"id":"ITEM-1","itemData":{"author":[{"dropping-particle":"","family":"HLPE","given":"","non-dropping-particle":"","parse-names":false,"suffix":""}],"container-title":"Committee of World Food Security (CFS)","id":"ITEM-1","issue":"September","issued":{"date-parts":[["2017"]]},"page":"1-152","title":"High Level Panel of Experts. 2017. Nutrition and food systems","type":"article-journal","volume":"44"},"uris":["http://www.mendeley.com/documents/?uuid=bcec92ed-2bf7-45e8-8150-25f843b9aa6c"]}],"mendeley":{"formattedCitation":"(HLPE, 2017)","plainTextFormattedCitation":"(HLPE, 2017)","previouslyFormattedCitation":"(HLPE, 2017)"},"properties":{"noteIndex":0},"schema":"https://github.com/citation-style-language/schema/raw/master/csl-citation.json"}</w:instrText>
            </w:r>
            <w:r>
              <w:rPr>
                <w:rFonts w:ascii="Times New Roman" w:eastAsia="Times New Roman" w:hAnsi="Times New Roman" w:cs="Times New Roman"/>
                <w:color w:val="000000"/>
                <w:sz w:val="16"/>
                <w:szCs w:val="16"/>
                <w:lang w:eastAsia="en-GB"/>
              </w:rPr>
              <w:fldChar w:fldCharType="separate"/>
            </w:r>
            <w:r w:rsidRPr="00F02424">
              <w:rPr>
                <w:rFonts w:ascii="Times New Roman" w:eastAsia="Times New Roman" w:hAnsi="Times New Roman" w:cs="Times New Roman"/>
                <w:noProof/>
                <w:color w:val="000000"/>
                <w:sz w:val="16"/>
                <w:szCs w:val="16"/>
                <w:lang w:eastAsia="en-GB"/>
              </w:rPr>
              <w:t>(HLPE, 2017)</w:t>
            </w:r>
            <w:r>
              <w:rPr>
                <w:rFonts w:ascii="Times New Roman" w:eastAsia="Times New Roman" w:hAnsi="Times New Roman" w:cs="Times New Roman"/>
                <w:color w:val="000000"/>
                <w:sz w:val="16"/>
                <w:szCs w:val="16"/>
                <w:lang w:eastAsia="en-GB"/>
              </w:rPr>
              <w:fldChar w:fldCharType="end"/>
            </w:r>
          </w:p>
        </w:tc>
      </w:tr>
      <w:tr w:rsidR="003C78D0" w:rsidRPr="008C1952" w14:paraId="0BD90772" w14:textId="77777777" w:rsidTr="00DA41ED">
        <w:tc>
          <w:tcPr>
            <w:tcW w:w="1695" w:type="dxa"/>
            <w:tcBorders>
              <w:top w:val="single" w:sz="4" w:space="0" w:color="auto"/>
              <w:left w:val="nil"/>
              <w:bottom w:val="single" w:sz="4" w:space="0" w:color="auto"/>
              <w:right w:val="nil"/>
            </w:tcBorders>
            <w:shd w:val="clear" w:color="auto" w:fill="auto"/>
            <w:vAlign w:val="center"/>
            <w:hideMark/>
          </w:tcPr>
          <w:p w14:paraId="496196C6" w14:textId="6E6A52BA" w:rsidR="003C78D0" w:rsidRPr="008C1952" w:rsidRDefault="003C78D0" w:rsidP="00C408CB">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Trade-off</w:t>
            </w:r>
          </w:p>
        </w:tc>
        <w:tc>
          <w:tcPr>
            <w:tcW w:w="5940" w:type="dxa"/>
            <w:tcBorders>
              <w:top w:val="single" w:sz="4" w:space="0" w:color="auto"/>
              <w:left w:val="nil"/>
              <w:bottom w:val="single" w:sz="4" w:space="0" w:color="auto"/>
              <w:right w:val="nil"/>
            </w:tcBorders>
            <w:shd w:val="clear" w:color="auto" w:fill="auto"/>
            <w:vAlign w:val="center"/>
            <w:hideMark/>
          </w:tcPr>
          <w:p w14:paraId="5BE2B7CF" w14:textId="5EDA294B" w:rsidR="003C78D0" w:rsidRPr="008C1952" w:rsidRDefault="003C78D0" w:rsidP="00DA41ED">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A trade-off is a situation where an improvement in the status of one aspect of the environment or of human well-being is necessarily associated with a decline in or loss of a different aspect.</w:t>
            </w:r>
          </w:p>
        </w:tc>
        <w:tc>
          <w:tcPr>
            <w:tcW w:w="1350" w:type="dxa"/>
            <w:tcBorders>
              <w:top w:val="single" w:sz="4" w:space="0" w:color="auto"/>
              <w:left w:val="nil"/>
              <w:bottom w:val="single" w:sz="4" w:space="0" w:color="auto"/>
              <w:right w:val="nil"/>
            </w:tcBorders>
            <w:shd w:val="clear" w:color="auto" w:fill="auto"/>
            <w:vAlign w:val="center"/>
            <w:hideMark/>
          </w:tcPr>
          <w:p w14:paraId="23B257A5" w14:textId="55A2F3C0" w:rsidR="003C78D0" w:rsidRPr="005832E7" w:rsidRDefault="005832E7" w:rsidP="005832E7">
            <w:pPr>
              <w:spacing w:after="0" w:line="240" w:lineRule="auto"/>
              <w:jc w:val="center"/>
              <w:textAlignment w:val="baseline"/>
              <w:rPr>
                <w:rFonts w:ascii="Times New Roman" w:eastAsia="Times New Roman" w:hAnsi="Times New Roman" w:cs="Times New Roman"/>
                <w:noProof/>
                <w:color w:val="000000"/>
                <w:sz w:val="16"/>
                <w:szCs w:val="16"/>
                <w:lang w:eastAsia="en-GB"/>
              </w:rPr>
            </w:pPr>
            <w:r>
              <w:rPr>
                <w:rFonts w:ascii="Times New Roman" w:eastAsia="Times New Roman" w:hAnsi="Times New Roman" w:cs="Times New Roman"/>
                <w:color w:val="000000"/>
                <w:sz w:val="16"/>
                <w:szCs w:val="16"/>
                <w:lang w:eastAsia="en-GB"/>
              </w:rPr>
              <w:fldChar w:fldCharType="begin" w:fldLock="1"/>
            </w:r>
            <w:r>
              <w:rPr>
                <w:rFonts w:ascii="Times New Roman" w:eastAsia="Times New Roman" w:hAnsi="Times New Roman" w:cs="Times New Roman"/>
                <w:color w:val="000000"/>
                <w:sz w:val="16"/>
                <w:szCs w:val="16"/>
                <w:lang w:eastAsia="en-GB"/>
              </w:rPr>
              <w:instrText>ADDIN CSL_CITATION {"citationItems":[{"id":"ITEM-1","itemData":{"ISSN":"10959203","PMID":"24233722","abstract":"Quantification of global forest change has been lacking despite the recognized importance of forest ecosystem services. In this study, Earth observation satellite data were used to map global forest loss (2.3 million square kilometers) and gain (0.8 million square kilometers) from 2000 to 2012 at a spatial resolution of 30 meters. The tropics were the only climate domain to exhibit a trend, with forest loss increasing by 2101 square kilometers per year. Brazil's well-documented reduction in deforestation was offset by increasing forest loss in Indonesia, Malaysia, Paraguay, Bolivia, Zambia, Angola, and elsewhere. Intensive forestry practiced within subtropical forests resulted in the highest rates of forest change globally. Boreal forest loss due largely to fire and forestry was second to that in the tropics in absolute and proportional terms. These results depict a globally consistent and locally relevant record of forest change.","author":[{"dropping-particle":"","family":"Scholes","given":"R.","non-dropping-particle":"","parse-names":false,"suffix":""},{"dropping-particle":"","family":"Montanarella","given":"L.","non-dropping-particle":"","parse-names":false,"suffix":""},{"dropping-particle":"","family":"Brainich","given":"N.","non-dropping-particle":"","parse-names":false,"suffix":""},{"dropping-particle":"","family":"Barger","given":"B.","non-dropping-particle":"","parse-names":false,"suffix":""},{"dropping-particle":"","family":"Brink","given":"M.","non-dropping-particle":"ten","parse-names":false,"suffix":""},{"dropping-particle":"","family":"Cantele","given":"B.","non-dropping-particle":"","parse-names":false,"suffix":""},{"dropping-particle":"","family":"Erasmus","given":"J.","non-dropping-particle":"","parse-names":false,"suffix":""},{"dropping-particle":"","family":"Fisher","given":"T.","non-dropping-particle":"","parse-names":false,"suffix":""}],"container-title":"Science","id":"ITEM-1","issued":{"date-parts":[["2018"]]},"title":"IPBES 2018: Summary for policymakers of the thematic assessment report on land degradation and restoration of the Intergovernamental Sience-Policy Platform on Biodiversity and Ecossystem Services","type":"report"},"uris":["http://www.mendeley.com/documents/?uuid=cddc2de1-ef05-4d67-8465-083320cad9a2"]}],"mendeley":{"formattedCitation":"(Scholes et al., 2018)","manualFormatting":"(IPBES, 2018)","plainTextFormattedCitation":"(Scholes et al., 2018)","previouslyFormattedCitation":"(Scholes et al., 2018)"},"properties":{"noteIndex":0},"schema":"https://github.com/citation-style-language/schema/raw/master/csl-citation.json"}</w:instrText>
            </w:r>
            <w:r>
              <w:rPr>
                <w:rFonts w:ascii="Times New Roman" w:eastAsia="Times New Roman" w:hAnsi="Times New Roman" w:cs="Times New Roman"/>
                <w:color w:val="000000"/>
                <w:sz w:val="16"/>
                <w:szCs w:val="16"/>
                <w:lang w:eastAsia="en-GB"/>
              </w:rPr>
              <w:fldChar w:fldCharType="separate"/>
            </w:r>
            <w:r w:rsidRPr="005832E7">
              <w:rPr>
                <w:rFonts w:ascii="Times New Roman" w:eastAsia="Times New Roman" w:hAnsi="Times New Roman" w:cs="Times New Roman"/>
                <w:noProof/>
                <w:color w:val="000000"/>
                <w:sz w:val="16"/>
                <w:szCs w:val="16"/>
                <w:lang w:eastAsia="en-GB"/>
              </w:rPr>
              <w:t>(</w:t>
            </w:r>
            <w:r>
              <w:rPr>
                <w:rFonts w:ascii="Times New Roman" w:eastAsia="Times New Roman" w:hAnsi="Times New Roman" w:cs="Times New Roman"/>
                <w:noProof/>
                <w:color w:val="000000"/>
                <w:sz w:val="16"/>
                <w:szCs w:val="16"/>
                <w:lang w:eastAsia="en-GB"/>
              </w:rPr>
              <w:t>IPBES</w:t>
            </w:r>
            <w:r w:rsidRPr="005832E7">
              <w:rPr>
                <w:rFonts w:ascii="Times New Roman" w:eastAsia="Times New Roman" w:hAnsi="Times New Roman" w:cs="Times New Roman"/>
                <w:noProof/>
                <w:color w:val="000000"/>
                <w:sz w:val="16"/>
                <w:szCs w:val="16"/>
                <w:lang w:eastAsia="en-GB"/>
              </w:rPr>
              <w:t>, 2018)</w:t>
            </w:r>
            <w:r>
              <w:rPr>
                <w:rFonts w:ascii="Times New Roman" w:eastAsia="Times New Roman" w:hAnsi="Times New Roman" w:cs="Times New Roman"/>
                <w:color w:val="000000"/>
                <w:sz w:val="16"/>
                <w:szCs w:val="16"/>
                <w:lang w:eastAsia="en-GB"/>
              </w:rPr>
              <w:fldChar w:fldCharType="end"/>
            </w:r>
          </w:p>
        </w:tc>
      </w:tr>
      <w:tr w:rsidR="003C78D0" w:rsidRPr="008C1952" w14:paraId="6DFFEE47" w14:textId="77777777" w:rsidTr="00DA41ED">
        <w:tc>
          <w:tcPr>
            <w:tcW w:w="1695" w:type="dxa"/>
            <w:tcBorders>
              <w:top w:val="single" w:sz="4" w:space="0" w:color="auto"/>
              <w:left w:val="nil"/>
              <w:bottom w:val="single" w:sz="4" w:space="0" w:color="auto"/>
              <w:right w:val="nil"/>
            </w:tcBorders>
            <w:shd w:val="clear" w:color="auto" w:fill="auto"/>
            <w:vAlign w:val="center"/>
            <w:hideMark/>
          </w:tcPr>
          <w:p w14:paraId="1FFF643A" w14:textId="7FF4910B" w:rsidR="003C78D0" w:rsidRPr="008C1952" w:rsidRDefault="003C78D0" w:rsidP="00C408CB">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Synergy</w:t>
            </w:r>
          </w:p>
        </w:tc>
        <w:tc>
          <w:tcPr>
            <w:tcW w:w="5940" w:type="dxa"/>
            <w:tcBorders>
              <w:top w:val="single" w:sz="4" w:space="0" w:color="auto"/>
              <w:left w:val="nil"/>
              <w:bottom w:val="single" w:sz="4" w:space="0" w:color="auto"/>
              <w:right w:val="nil"/>
            </w:tcBorders>
            <w:shd w:val="clear" w:color="auto" w:fill="auto"/>
            <w:vAlign w:val="center"/>
            <w:hideMark/>
          </w:tcPr>
          <w:p w14:paraId="694EEB0D" w14:textId="563861A1" w:rsidR="003C78D0" w:rsidRPr="008C1952" w:rsidRDefault="003C78D0" w:rsidP="00DA41ED">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The interaction or cooperation of two aspects or agents produce a combined effect greater than the sum of their separate effects.</w:t>
            </w:r>
          </w:p>
        </w:tc>
        <w:tc>
          <w:tcPr>
            <w:tcW w:w="1350" w:type="dxa"/>
            <w:tcBorders>
              <w:top w:val="single" w:sz="4" w:space="0" w:color="auto"/>
              <w:left w:val="nil"/>
              <w:bottom w:val="single" w:sz="4" w:space="0" w:color="auto"/>
              <w:right w:val="nil"/>
            </w:tcBorders>
            <w:shd w:val="clear" w:color="auto" w:fill="auto"/>
            <w:vAlign w:val="center"/>
            <w:hideMark/>
          </w:tcPr>
          <w:p w14:paraId="139C4B42" w14:textId="50FCD3B0" w:rsidR="003C78D0" w:rsidRPr="008C1952" w:rsidRDefault="005832E7" w:rsidP="00DA41ED">
            <w:pPr>
              <w:spacing w:after="0" w:line="240" w:lineRule="auto"/>
              <w:jc w:val="center"/>
              <w:textAlignment w:val="baseline"/>
              <w:rPr>
                <w:rFonts w:ascii="Times New Roman" w:eastAsia="Times New Roman" w:hAnsi="Times New Roman" w:cs="Times New Roman"/>
                <w:sz w:val="16"/>
                <w:szCs w:val="16"/>
                <w:lang w:eastAsia="en-GB"/>
              </w:rPr>
            </w:pPr>
            <w:r>
              <w:rPr>
                <w:rFonts w:ascii="Times New Roman" w:eastAsia="Times New Roman" w:hAnsi="Times New Roman" w:cs="Times New Roman"/>
                <w:color w:val="000000"/>
                <w:sz w:val="16"/>
                <w:szCs w:val="16"/>
                <w:lang w:eastAsia="en-GB"/>
              </w:rPr>
              <w:fldChar w:fldCharType="begin" w:fldLock="1"/>
            </w:r>
            <w:r>
              <w:rPr>
                <w:rFonts w:ascii="Times New Roman" w:eastAsia="Times New Roman" w:hAnsi="Times New Roman" w:cs="Times New Roman"/>
                <w:color w:val="000000"/>
                <w:sz w:val="16"/>
                <w:szCs w:val="16"/>
                <w:lang w:eastAsia="en-GB"/>
              </w:rPr>
              <w:instrText>ADDIN CSL_CITATION {"citationItems":[{"id":"ITEM-1","itemData":{"ISSN":"10959203","PMID":"24233722","abstract":"Quantification of global forest change has been lacking despite the recognized importance of forest ecosystem services. In this study, Earth observation satellite data were used to map global forest loss (2.3 million square kilometers) and gain (0.8 million square kilometers) from 2000 to 2012 at a spatial resolution of 30 meters. The tropics were the only climate domain to exhibit a trend, with forest loss increasing by 2101 square kilometers per year. Brazil's well-documented reduction in deforestation was offset by increasing forest loss in Indonesia, Malaysia, Paraguay, Bolivia, Zambia, Angola, and elsewhere. Intensive forestry practiced within subtropical forests resulted in the highest rates of forest change globally. Boreal forest loss due largely to fire and forestry was second to that in the tropics in absolute and proportional terms. These results depict a globally consistent and locally relevant record of forest change.","author":[{"dropping-particle":"","family":"Scholes","given":"R.","non-dropping-particle":"","parse-names":false,"suffix":""},{"dropping-particle":"","family":"Montanarella","given":"L.","non-dropping-particle":"","parse-names":false,"suffix":""},{"dropping-particle":"","family":"Brainich","given":"N.","non-dropping-particle":"","parse-names":false,"suffix":""},{"dropping-particle":"","family":"Barger","given":"B.","non-dropping-particle":"","parse-names":false,"suffix":""},{"dropping-particle":"","family":"Brink","given":"M.","non-dropping-particle":"ten","parse-names":false,"suffix":""},{"dropping-particle":"","family":"Cantele","given":"B.","non-dropping-particle":"","parse-names":false,"suffix":""},{"dropping-particle":"","family":"Erasmus","given":"J.","non-dropping-particle":"","parse-names":false,"suffix":""},{"dropping-particle":"","family":"Fisher","given":"T.","non-dropping-particle":"","parse-names":false,"suffix":""}],"container-title":"Science","id":"ITEM-1","issued":{"date-parts":[["2018"]]},"title":"IPBES 2018: Summary for policymakers of the thematic assessment report on land degradation and restoration of the Intergovernamental Sience-Policy Platform on Biodiversity and Ecossystem Services","type":"report"},"uris":["http://www.mendeley.com/documents/?uuid=cddc2de1-ef05-4d67-8465-083320cad9a2"]}],"mendeley":{"formattedCitation":"(Scholes et al., 2018)","manualFormatting":"(IPBES, 2018)","plainTextFormattedCitation":"(Scholes et al., 2018)","previouslyFormattedCitation":"(Scholes et al., 2018)"},"properties":{"noteIndex":0},"schema":"https://github.com/citation-style-language/schema/raw/master/csl-citation.json"}</w:instrText>
            </w:r>
            <w:r>
              <w:rPr>
                <w:rFonts w:ascii="Times New Roman" w:eastAsia="Times New Roman" w:hAnsi="Times New Roman" w:cs="Times New Roman"/>
                <w:color w:val="000000"/>
                <w:sz w:val="16"/>
                <w:szCs w:val="16"/>
                <w:lang w:eastAsia="en-GB"/>
              </w:rPr>
              <w:fldChar w:fldCharType="separate"/>
            </w:r>
            <w:r w:rsidRPr="005832E7">
              <w:rPr>
                <w:rFonts w:ascii="Times New Roman" w:eastAsia="Times New Roman" w:hAnsi="Times New Roman" w:cs="Times New Roman"/>
                <w:noProof/>
                <w:color w:val="000000"/>
                <w:sz w:val="16"/>
                <w:szCs w:val="16"/>
                <w:lang w:eastAsia="en-GB"/>
              </w:rPr>
              <w:t>(</w:t>
            </w:r>
            <w:r>
              <w:rPr>
                <w:rFonts w:ascii="Times New Roman" w:eastAsia="Times New Roman" w:hAnsi="Times New Roman" w:cs="Times New Roman"/>
                <w:noProof/>
                <w:color w:val="000000"/>
                <w:sz w:val="16"/>
                <w:szCs w:val="16"/>
                <w:lang w:eastAsia="en-GB"/>
              </w:rPr>
              <w:t>IPBES</w:t>
            </w:r>
            <w:r w:rsidRPr="005832E7">
              <w:rPr>
                <w:rFonts w:ascii="Times New Roman" w:eastAsia="Times New Roman" w:hAnsi="Times New Roman" w:cs="Times New Roman"/>
                <w:noProof/>
                <w:color w:val="000000"/>
                <w:sz w:val="16"/>
                <w:szCs w:val="16"/>
                <w:lang w:eastAsia="en-GB"/>
              </w:rPr>
              <w:t>, 2018)</w:t>
            </w:r>
            <w:r>
              <w:rPr>
                <w:rFonts w:ascii="Times New Roman" w:eastAsia="Times New Roman" w:hAnsi="Times New Roman" w:cs="Times New Roman"/>
                <w:color w:val="000000"/>
                <w:sz w:val="16"/>
                <w:szCs w:val="16"/>
                <w:lang w:eastAsia="en-GB"/>
              </w:rPr>
              <w:fldChar w:fldCharType="end"/>
            </w:r>
          </w:p>
        </w:tc>
      </w:tr>
      <w:tr w:rsidR="003C78D0" w:rsidRPr="008C1952" w14:paraId="3A91CAA5" w14:textId="77777777" w:rsidTr="00DA41ED">
        <w:tc>
          <w:tcPr>
            <w:tcW w:w="1695" w:type="dxa"/>
            <w:tcBorders>
              <w:top w:val="single" w:sz="4" w:space="0" w:color="auto"/>
              <w:left w:val="nil"/>
              <w:bottom w:val="single" w:sz="4" w:space="0" w:color="auto"/>
              <w:right w:val="nil"/>
            </w:tcBorders>
            <w:shd w:val="clear" w:color="auto" w:fill="auto"/>
            <w:vAlign w:val="center"/>
            <w:hideMark/>
          </w:tcPr>
          <w:p w14:paraId="0E6508B1" w14:textId="646D4D5A" w:rsidR="003C78D0" w:rsidRPr="008C1952" w:rsidRDefault="003C78D0" w:rsidP="00C408CB">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Feedback Loops</w:t>
            </w:r>
          </w:p>
        </w:tc>
        <w:tc>
          <w:tcPr>
            <w:tcW w:w="5940" w:type="dxa"/>
            <w:tcBorders>
              <w:top w:val="single" w:sz="4" w:space="0" w:color="auto"/>
              <w:left w:val="nil"/>
              <w:bottom w:val="single" w:sz="4" w:space="0" w:color="auto"/>
              <w:right w:val="nil"/>
            </w:tcBorders>
            <w:shd w:val="clear" w:color="auto" w:fill="auto"/>
            <w:vAlign w:val="center"/>
            <w:hideMark/>
          </w:tcPr>
          <w:p w14:paraId="261EAC59" w14:textId="54ABBCB3" w:rsidR="003C78D0" w:rsidRPr="008C1952" w:rsidRDefault="003C78D0" w:rsidP="00DA41ED">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 xml:space="preserve">A feedback loop is a closed chain of causal connections from a stock, through a set of </w:t>
            </w:r>
            <w:r w:rsidR="00DA41ED" w:rsidRPr="008C1952">
              <w:rPr>
                <w:rFonts w:ascii="Times New Roman" w:eastAsia="Times New Roman" w:hAnsi="Times New Roman" w:cs="Times New Roman"/>
                <w:color w:val="000000"/>
                <w:sz w:val="16"/>
                <w:szCs w:val="16"/>
                <w:lang w:eastAsia="en-GB"/>
              </w:rPr>
              <w:t>decisions, rules, physical laws,</w:t>
            </w:r>
            <w:r w:rsidRPr="008C1952">
              <w:rPr>
                <w:rFonts w:ascii="Times New Roman" w:eastAsia="Times New Roman" w:hAnsi="Times New Roman" w:cs="Times New Roman"/>
                <w:color w:val="000000"/>
                <w:sz w:val="16"/>
                <w:szCs w:val="16"/>
                <w:lang w:eastAsia="en-GB"/>
              </w:rPr>
              <w:t xml:space="preserve"> or actions that are dependent on the level of the stock, and back again through a flow to change the stock.</w:t>
            </w:r>
          </w:p>
        </w:tc>
        <w:tc>
          <w:tcPr>
            <w:tcW w:w="1350" w:type="dxa"/>
            <w:tcBorders>
              <w:top w:val="single" w:sz="4" w:space="0" w:color="auto"/>
              <w:left w:val="nil"/>
              <w:bottom w:val="single" w:sz="4" w:space="0" w:color="auto"/>
              <w:right w:val="nil"/>
            </w:tcBorders>
            <w:shd w:val="clear" w:color="auto" w:fill="auto"/>
            <w:vAlign w:val="center"/>
            <w:hideMark/>
          </w:tcPr>
          <w:p w14:paraId="01C696BF" w14:textId="2E68F563" w:rsidR="003C78D0" w:rsidRPr="008C1952" w:rsidRDefault="00446E57" w:rsidP="00DA41ED">
            <w:pPr>
              <w:spacing w:after="0" w:line="240" w:lineRule="auto"/>
              <w:jc w:val="center"/>
              <w:textAlignment w:val="baseline"/>
              <w:rPr>
                <w:rFonts w:ascii="Times New Roman" w:eastAsia="Times New Roman" w:hAnsi="Times New Roman" w:cs="Times New Roman"/>
                <w:sz w:val="16"/>
                <w:szCs w:val="16"/>
                <w:lang w:eastAsia="en-GB"/>
              </w:rPr>
            </w:pPr>
            <w:r>
              <w:rPr>
                <w:rFonts w:ascii="Times New Roman" w:eastAsia="Times New Roman" w:hAnsi="Times New Roman" w:cs="Times New Roman"/>
                <w:color w:val="000000"/>
                <w:sz w:val="16"/>
                <w:szCs w:val="16"/>
                <w:lang w:eastAsia="en-GB"/>
              </w:rPr>
              <w:fldChar w:fldCharType="begin" w:fldLock="1"/>
            </w:r>
            <w:r>
              <w:rPr>
                <w:rFonts w:ascii="Times New Roman" w:eastAsia="Times New Roman" w:hAnsi="Times New Roman" w:cs="Times New Roman"/>
                <w:color w:val="000000"/>
                <w:sz w:val="16"/>
                <w:szCs w:val="16"/>
                <w:lang w:eastAsia="en-GB"/>
              </w:rPr>
              <w:instrText>ADDIN CSL_CITATION {"citationItems":[{"id":"ITEM-1","itemData":{"abstract":"By Donella Meadows~ Folks who do systems analysis have a great belief in “leverage points.” These are places within a complex system (a corporation, an economy, a living body, a city, an ecosystem) where a small shift in one thing can produce big changes in everything. This idea is not unique to systems analysis — …","author":[{"dropping-particle":"","family":"Meadows","given":"Donella","non-dropping-particle":"","parse-names":false,"suffix":""}],"container-title":"Academy for Systems Change","id":"ITEM-1","issued":{"date-parts":[["1999"]]},"title":"Leverage Points: Places to Intervene in a System - The Donella Meadows Project","type":"article-journal"},"uris":["http://www.mendeley.com/documents/?uuid=648e3d43-bef5-4dd5-84dd-63c8e09c548a"]}],"mendeley":{"formattedCitation":"(Meadows, 1999)","plainTextFormattedCitation":"(Meadows, 1999)","previouslyFormattedCitation":"(Meadows, 1999)"},"properties":{"noteIndex":0},"schema":"https://github.com/citation-style-language/schema/raw/master/csl-citation.json"}</w:instrText>
            </w:r>
            <w:r>
              <w:rPr>
                <w:rFonts w:ascii="Times New Roman" w:eastAsia="Times New Roman" w:hAnsi="Times New Roman" w:cs="Times New Roman"/>
                <w:color w:val="000000"/>
                <w:sz w:val="16"/>
                <w:szCs w:val="16"/>
                <w:lang w:eastAsia="en-GB"/>
              </w:rPr>
              <w:fldChar w:fldCharType="separate"/>
            </w:r>
            <w:r w:rsidRPr="005832E7">
              <w:rPr>
                <w:rFonts w:ascii="Times New Roman" w:eastAsia="Times New Roman" w:hAnsi="Times New Roman" w:cs="Times New Roman"/>
                <w:noProof/>
                <w:color w:val="000000"/>
                <w:sz w:val="16"/>
                <w:szCs w:val="16"/>
                <w:lang w:eastAsia="en-GB"/>
              </w:rPr>
              <w:t>(Meadows, 1999)</w:t>
            </w:r>
            <w:r>
              <w:rPr>
                <w:rFonts w:ascii="Times New Roman" w:eastAsia="Times New Roman" w:hAnsi="Times New Roman" w:cs="Times New Roman"/>
                <w:color w:val="000000"/>
                <w:sz w:val="16"/>
                <w:szCs w:val="16"/>
                <w:lang w:eastAsia="en-GB"/>
              </w:rPr>
              <w:fldChar w:fldCharType="end"/>
            </w:r>
          </w:p>
        </w:tc>
      </w:tr>
      <w:tr w:rsidR="003C78D0" w:rsidRPr="008C1952" w14:paraId="3A4F1A9E" w14:textId="77777777" w:rsidTr="00DA41ED">
        <w:tc>
          <w:tcPr>
            <w:tcW w:w="1695" w:type="dxa"/>
            <w:tcBorders>
              <w:top w:val="single" w:sz="4" w:space="0" w:color="auto"/>
              <w:left w:val="nil"/>
              <w:bottom w:val="single" w:sz="4" w:space="0" w:color="auto"/>
              <w:right w:val="nil"/>
            </w:tcBorders>
            <w:shd w:val="clear" w:color="auto" w:fill="auto"/>
            <w:vAlign w:val="center"/>
            <w:hideMark/>
          </w:tcPr>
          <w:p w14:paraId="0617EAB2" w14:textId="503D675C" w:rsidR="003C78D0" w:rsidRPr="008C1952" w:rsidRDefault="003C78D0" w:rsidP="00C408CB">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Leverage Point</w:t>
            </w:r>
          </w:p>
        </w:tc>
        <w:tc>
          <w:tcPr>
            <w:tcW w:w="5940" w:type="dxa"/>
            <w:tcBorders>
              <w:top w:val="single" w:sz="4" w:space="0" w:color="auto"/>
              <w:left w:val="nil"/>
              <w:bottom w:val="single" w:sz="4" w:space="0" w:color="auto"/>
              <w:right w:val="nil"/>
            </w:tcBorders>
            <w:shd w:val="clear" w:color="auto" w:fill="auto"/>
            <w:vAlign w:val="center"/>
            <w:hideMark/>
          </w:tcPr>
          <w:p w14:paraId="5A0E6F62" w14:textId="413879A8" w:rsidR="003C78D0" w:rsidRPr="008C1952" w:rsidRDefault="003C78D0" w:rsidP="00DA41ED">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Places within a complex system (a corporation, an economy, a living body, a city, an ecosystem) where a small shift in one thing can produce big changes in everything.</w:t>
            </w:r>
          </w:p>
        </w:tc>
        <w:tc>
          <w:tcPr>
            <w:tcW w:w="1350" w:type="dxa"/>
            <w:tcBorders>
              <w:top w:val="single" w:sz="4" w:space="0" w:color="auto"/>
              <w:left w:val="nil"/>
              <w:bottom w:val="single" w:sz="4" w:space="0" w:color="auto"/>
              <w:right w:val="nil"/>
            </w:tcBorders>
            <w:shd w:val="clear" w:color="auto" w:fill="auto"/>
            <w:vAlign w:val="center"/>
            <w:hideMark/>
          </w:tcPr>
          <w:p w14:paraId="76D3E6ED" w14:textId="52AA1A73" w:rsidR="003C78D0" w:rsidRPr="008C1952" w:rsidRDefault="005832E7" w:rsidP="005832E7">
            <w:pPr>
              <w:spacing w:after="0" w:line="240" w:lineRule="auto"/>
              <w:jc w:val="center"/>
              <w:textAlignment w:val="baseline"/>
              <w:rPr>
                <w:rFonts w:ascii="Times New Roman" w:eastAsia="Times New Roman" w:hAnsi="Times New Roman" w:cs="Times New Roman"/>
                <w:sz w:val="16"/>
                <w:szCs w:val="16"/>
                <w:lang w:eastAsia="en-GB"/>
              </w:rPr>
            </w:pPr>
            <w:r>
              <w:rPr>
                <w:rFonts w:ascii="Times New Roman" w:eastAsia="Times New Roman" w:hAnsi="Times New Roman" w:cs="Times New Roman"/>
                <w:color w:val="000000"/>
                <w:sz w:val="16"/>
                <w:szCs w:val="16"/>
                <w:lang w:eastAsia="en-GB"/>
              </w:rPr>
              <w:fldChar w:fldCharType="begin" w:fldLock="1"/>
            </w:r>
            <w:r w:rsidR="00446E57">
              <w:rPr>
                <w:rFonts w:ascii="Times New Roman" w:eastAsia="Times New Roman" w:hAnsi="Times New Roman" w:cs="Times New Roman"/>
                <w:color w:val="000000"/>
                <w:sz w:val="16"/>
                <w:szCs w:val="16"/>
                <w:lang w:eastAsia="en-GB"/>
              </w:rPr>
              <w:instrText>ADDIN CSL_CITATION {"citationItems":[{"id":"ITEM-1","itemData":{"abstract":"By Donella Meadows~ Folks who do systems analysis have a great belief in “leverage points.” These are places within a complex system (a corporation, an economy, a living body, a city, an ecosystem) where a small shift in one thing can produce big changes in everything. This idea is not unique to systems analysis — …","author":[{"dropping-particle":"","family":"Meadows","given":"Donella","non-dropping-particle":"","parse-names":false,"suffix":""}],"container-title":"Academy for Systems Change","id":"ITEM-1","issued":{"date-parts":[["1999"]]},"title":"Leverage Points: Places to Intervene in a System - The Donella Meadows Project","type":"article-journal"},"uris":["http://www.mendeley.com/documents/?uuid=648e3d43-bef5-4dd5-84dd-63c8e09c548a"]}],"mendeley":{"formattedCitation":"(Meadows, 1999)","plainTextFormattedCitation":"(Meadows, 1999)","previouslyFormattedCitation":"(Meadows, 1999)"},"properties":{"noteIndex":0},"schema":"https://github.com/citation-style-language/schema/raw/master/csl-citation.json"}</w:instrText>
            </w:r>
            <w:r>
              <w:rPr>
                <w:rFonts w:ascii="Times New Roman" w:eastAsia="Times New Roman" w:hAnsi="Times New Roman" w:cs="Times New Roman"/>
                <w:color w:val="000000"/>
                <w:sz w:val="16"/>
                <w:szCs w:val="16"/>
                <w:lang w:eastAsia="en-GB"/>
              </w:rPr>
              <w:fldChar w:fldCharType="separate"/>
            </w:r>
            <w:r w:rsidRPr="005832E7">
              <w:rPr>
                <w:rFonts w:ascii="Times New Roman" w:eastAsia="Times New Roman" w:hAnsi="Times New Roman" w:cs="Times New Roman"/>
                <w:noProof/>
                <w:color w:val="000000"/>
                <w:sz w:val="16"/>
                <w:szCs w:val="16"/>
                <w:lang w:eastAsia="en-GB"/>
              </w:rPr>
              <w:t>(Meadows, 1999)</w:t>
            </w:r>
            <w:r>
              <w:rPr>
                <w:rFonts w:ascii="Times New Roman" w:eastAsia="Times New Roman" w:hAnsi="Times New Roman" w:cs="Times New Roman"/>
                <w:color w:val="000000"/>
                <w:sz w:val="16"/>
                <w:szCs w:val="16"/>
                <w:lang w:eastAsia="en-GB"/>
              </w:rPr>
              <w:fldChar w:fldCharType="end"/>
            </w:r>
          </w:p>
        </w:tc>
      </w:tr>
      <w:tr w:rsidR="003C78D0" w:rsidRPr="008C1952" w14:paraId="19B53D01" w14:textId="77777777" w:rsidTr="00DA41ED">
        <w:tc>
          <w:tcPr>
            <w:tcW w:w="1695" w:type="dxa"/>
            <w:tcBorders>
              <w:top w:val="single" w:sz="4" w:space="0" w:color="auto"/>
              <w:left w:val="nil"/>
              <w:bottom w:val="single" w:sz="6" w:space="0" w:color="auto"/>
              <w:right w:val="nil"/>
            </w:tcBorders>
            <w:shd w:val="clear" w:color="auto" w:fill="auto"/>
            <w:vAlign w:val="center"/>
            <w:hideMark/>
          </w:tcPr>
          <w:p w14:paraId="07BCF771" w14:textId="5EB32350" w:rsidR="003C78D0" w:rsidRPr="008C1952" w:rsidRDefault="003C78D0" w:rsidP="00C408CB">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Lock-in</w:t>
            </w:r>
          </w:p>
        </w:tc>
        <w:tc>
          <w:tcPr>
            <w:tcW w:w="5940" w:type="dxa"/>
            <w:tcBorders>
              <w:top w:val="single" w:sz="4" w:space="0" w:color="auto"/>
              <w:left w:val="nil"/>
              <w:bottom w:val="single" w:sz="6" w:space="0" w:color="auto"/>
              <w:right w:val="nil"/>
            </w:tcBorders>
            <w:shd w:val="clear" w:color="auto" w:fill="auto"/>
            <w:vAlign w:val="center"/>
            <w:hideMark/>
          </w:tcPr>
          <w:p w14:paraId="776D6DEF" w14:textId="18BFBDBA" w:rsidR="003C78D0" w:rsidRPr="008C1952" w:rsidRDefault="003C78D0" w:rsidP="00DA41ED">
            <w:pPr>
              <w:spacing w:after="0" w:line="240" w:lineRule="auto"/>
              <w:jc w:val="center"/>
              <w:textAlignment w:val="baseline"/>
              <w:rPr>
                <w:rFonts w:ascii="Times New Roman" w:eastAsia="Times New Roman" w:hAnsi="Times New Roman" w:cs="Times New Roman"/>
                <w:sz w:val="16"/>
                <w:szCs w:val="16"/>
                <w:lang w:eastAsia="en-GB"/>
              </w:rPr>
            </w:pPr>
            <w:r w:rsidRPr="008C1952">
              <w:rPr>
                <w:rFonts w:ascii="Times New Roman" w:eastAsia="Times New Roman" w:hAnsi="Times New Roman" w:cs="Times New Roman"/>
                <w:color w:val="000000"/>
                <w:sz w:val="16"/>
                <w:szCs w:val="16"/>
                <w:lang w:eastAsia="en-GB"/>
              </w:rPr>
              <w:t>Self-reinforcing mechanisms that reproduce the status quo and impede change.</w:t>
            </w:r>
          </w:p>
        </w:tc>
        <w:tc>
          <w:tcPr>
            <w:tcW w:w="1350" w:type="dxa"/>
            <w:tcBorders>
              <w:top w:val="single" w:sz="4" w:space="0" w:color="auto"/>
              <w:left w:val="nil"/>
              <w:bottom w:val="single" w:sz="6" w:space="0" w:color="auto"/>
              <w:right w:val="nil"/>
            </w:tcBorders>
            <w:shd w:val="clear" w:color="auto" w:fill="auto"/>
            <w:vAlign w:val="center"/>
            <w:hideMark/>
          </w:tcPr>
          <w:p w14:paraId="3C1F5965" w14:textId="6AB35ADA" w:rsidR="003C78D0" w:rsidRPr="008C1952" w:rsidRDefault="00446E57" w:rsidP="00446E57">
            <w:pPr>
              <w:spacing w:after="0" w:line="240" w:lineRule="auto"/>
              <w:jc w:val="center"/>
              <w:textAlignment w:val="baseline"/>
              <w:rPr>
                <w:rFonts w:ascii="Times New Roman" w:eastAsia="Times New Roman" w:hAnsi="Times New Roman" w:cs="Times New Roman"/>
                <w:sz w:val="16"/>
                <w:szCs w:val="16"/>
                <w:lang w:eastAsia="en-GB"/>
              </w:rPr>
            </w:pPr>
            <w:r>
              <w:rPr>
                <w:rFonts w:ascii="Times New Roman" w:eastAsia="Times New Roman" w:hAnsi="Times New Roman" w:cs="Times New Roman"/>
                <w:color w:val="000000"/>
                <w:sz w:val="16"/>
                <w:szCs w:val="16"/>
                <w:lang w:eastAsia="en-GB"/>
              </w:rPr>
              <w:fldChar w:fldCharType="begin" w:fldLock="1"/>
            </w:r>
            <w:r>
              <w:rPr>
                <w:rFonts w:ascii="Times New Roman" w:eastAsia="Times New Roman" w:hAnsi="Times New Roman" w:cs="Times New Roman"/>
                <w:color w:val="000000"/>
                <w:sz w:val="16"/>
                <w:szCs w:val="16"/>
                <w:lang w:eastAsia="en-GB"/>
              </w:rPr>
              <w:instrText>ADDIN CSL_CITATION {"citationItems":[{"id":"ITEM-1","itemData":{"DOI":"10.1016/j.cosust.2019.06.009","ISSN":"18773435","abstract":"This article discusses the socio-technical transition literature, particularly the Multi-Level Perspective, which investigates the fundamental changes in (energy, transport, housing, agro-food) systems that are needed to address persistent sustainability problems. The article positions the MLP within the wider academic debate on sustainability transformations, and reviews criticisms and seven recent elaborations of the MLP with regard to: (1) politics and power, (2) cultural discourse and framing struggles, (3) grassroots innovation, (4) multiple transition pathways, (5) incumbent firm resistance and reorientation, (6) destabilization and decline, (7) policy analysis. Mobilizing insights from the wider social sciences, these elaborations have nuanced and differentiated the understanding of socio-technical transitions to sustainability and made the MLP the central pillar of a multi-facetted, cumulative research programme with a broad empirical evidence base.","author":[{"dropping-particle":"","family":"Geels","given":"Frank W.","non-dropping-particle":"","parse-names":false,"suffix":""}],"container-title":"Current Opinion in Environmental Sustainability","id":"ITEM-1","issued":{"date-parts":[["2019"]]},"title":"Socio-technical transitions to sustainability: a review of criticisms and elaborations of the Multi-Level Perspective","type":"article"},"uris":["http://www.mendeley.com/documents/?uuid=5c8c2394-d659-482e-a8dc-41df41dcd924"]}],"mendeley":{"formattedCitation":"(Geels, 2019)","plainTextFormattedCitation":"(Geels, 2019)","previouslyFormattedCitation":"(Geels, 2019)"},"properties":{"noteIndex":0},"schema":"https://github.com/citation-style-language/schema/raw/master/csl-citation.json"}</w:instrText>
            </w:r>
            <w:r>
              <w:rPr>
                <w:rFonts w:ascii="Times New Roman" w:eastAsia="Times New Roman" w:hAnsi="Times New Roman" w:cs="Times New Roman"/>
                <w:color w:val="000000"/>
                <w:sz w:val="16"/>
                <w:szCs w:val="16"/>
                <w:lang w:eastAsia="en-GB"/>
              </w:rPr>
              <w:fldChar w:fldCharType="separate"/>
            </w:r>
            <w:r w:rsidRPr="00446E57">
              <w:rPr>
                <w:rFonts w:ascii="Times New Roman" w:eastAsia="Times New Roman" w:hAnsi="Times New Roman" w:cs="Times New Roman"/>
                <w:noProof/>
                <w:color w:val="000000"/>
                <w:sz w:val="16"/>
                <w:szCs w:val="16"/>
                <w:lang w:eastAsia="en-GB"/>
              </w:rPr>
              <w:t>(Geels, 2019)</w:t>
            </w:r>
            <w:r>
              <w:rPr>
                <w:rFonts w:ascii="Times New Roman" w:eastAsia="Times New Roman" w:hAnsi="Times New Roman" w:cs="Times New Roman"/>
                <w:color w:val="000000"/>
                <w:sz w:val="16"/>
                <w:szCs w:val="16"/>
                <w:lang w:eastAsia="en-GB"/>
              </w:rPr>
              <w:fldChar w:fldCharType="end"/>
            </w:r>
          </w:p>
        </w:tc>
      </w:tr>
    </w:tbl>
    <w:p w14:paraId="1659CE59" w14:textId="08DC2BF8" w:rsidR="00C408CB"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6F1089C7" w14:textId="0C3CA1D9" w:rsidR="00AD24AA" w:rsidRPr="008C1952" w:rsidRDefault="00AD24AA" w:rsidP="00AD24AA">
      <w:pPr>
        <w:pStyle w:val="Didascalia"/>
        <w:keepNext/>
        <w:rPr>
          <w:rFonts w:ascii="Times New Roman" w:hAnsi="Times New Roman" w:cs="Times New Roman"/>
          <w:i w:val="0"/>
          <w:iCs w:val="0"/>
          <w:color w:val="auto"/>
          <w:sz w:val="16"/>
          <w:szCs w:val="16"/>
        </w:rPr>
      </w:pPr>
      <w:bookmarkStart w:id="12" w:name="_Toc166589544"/>
      <w:r w:rsidRPr="008C1952">
        <w:rPr>
          <w:rFonts w:ascii="Times New Roman" w:hAnsi="Times New Roman" w:cs="Times New Roman"/>
          <w:b/>
          <w:bCs/>
          <w:i w:val="0"/>
          <w:iCs w:val="0"/>
          <w:color w:val="auto"/>
          <w:sz w:val="16"/>
          <w:szCs w:val="16"/>
        </w:rPr>
        <w:t xml:space="preserve">Supplementary Table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Supplementary_Table \* ALPHABETIC </w:instrText>
      </w:r>
      <w:r w:rsidR="00F60EFC">
        <w:rPr>
          <w:rFonts w:ascii="Times New Roman" w:hAnsi="Times New Roman" w:cs="Times New Roman"/>
          <w:b/>
          <w:bCs/>
          <w:i w:val="0"/>
          <w:iCs w:val="0"/>
          <w:color w:val="auto"/>
          <w:sz w:val="16"/>
          <w:szCs w:val="16"/>
        </w:rPr>
        <w:fldChar w:fldCharType="separate"/>
      </w:r>
      <w:r w:rsidR="00F60EFC">
        <w:rPr>
          <w:rFonts w:ascii="Times New Roman" w:hAnsi="Times New Roman" w:cs="Times New Roman"/>
          <w:b/>
          <w:bCs/>
          <w:i w:val="0"/>
          <w:iCs w:val="0"/>
          <w:noProof/>
          <w:color w:val="auto"/>
          <w:sz w:val="16"/>
          <w:szCs w:val="16"/>
        </w:rPr>
        <w:t>E</w:t>
      </w:r>
      <w:r w:rsidR="00F60EFC">
        <w:rPr>
          <w:rFonts w:ascii="Times New Roman" w:hAnsi="Times New Roman" w:cs="Times New Roman"/>
          <w:b/>
          <w:bCs/>
          <w:i w:val="0"/>
          <w:iCs w:val="0"/>
          <w:color w:val="auto"/>
          <w:sz w:val="16"/>
          <w:szCs w:val="16"/>
        </w:rPr>
        <w:fldChar w:fldCharType="end"/>
      </w:r>
      <w:r w:rsidRPr="008C1952">
        <w:rPr>
          <w:rFonts w:ascii="Times New Roman" w:hAnsi="Times New Roman" w:cs="Times New Roman"/>
          <w:b/>
          <w:bCs/>
          <w:i w:val="0"/>
          <w:iCs w:val="0"/>
          <w:color w:val="auto"/>
          <w:sz w:val="16"/>
          <w:szCs w:val="16"/>
        </w:rPr>
        <w:t>.</w:t>
      </w:r>
      <w:r w:rsidRPr="008C1952">
        <w:rPr>
          <w:rFonts w:ascii="Times New Roman" w:hAnsi="Times New Roman" w:cs="Times New Roman"/>
          <w:i w:val="0"/>
          <w:iCs w:val="0"/>
          <w:color w:val="auto"/>
          <w:sz w:val="16"/>
          <w:szCs w:val="16"/>
        </w:rPr>
        <w:t xml:space="preserve"> Example</w:t>
      </w:r>
      <w:r w:rsidR="004D06EF" w:rsidRPr="008C1952">
        <w:rPr>
          <w:rFonts w:ascii="Times New Roman" w:hAnsi="Times New Roman" w:cs="Times New Roman"/>
          <w:i w:val="0"/>
          <w:iCs w:val="0"/>
          <w:color w:val="auto"/>
          <w:sz w:val="16"/>
          <w:szCs w:val="16"/>
        </w:rPr>
        <w:t>s</w:t>
      </w:r>
      <w:r w:rsidRPr="008C1952">
        <w:rPr>
          <w:rFonts w:ascii="Times New Roman" w:hAnsi="Times New Roman" w:cs="Times New Roman"/>
          <w:i w:val="0"/>
          <w:iCs w:val="0"/>
          <w:color w:val="auto"/>
          <w:sz w:val="16"/>
          <w:szCs w:val="16"/>
        </w:rPr>
        <w:t xml:space="preserve"> of data analysis for sustainability categories</w:t>
      </w:r>
      <w:bookmarkEnd w:id="12"/>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6"/>
        <w:gridCol w:w="1671"/>
        <w:gridCol w:w="1848"/>
        <w:gridCol w:w="2271"/>
      </w:tblGrid>
      <w:tr w:rsidR="00AD24AA" w:rsidRPr="008C1952" w14:paraId="30818DEF" w14:textId="77777777" w:rsidTr="00311827">
        <w:tc>
          <w:tcPr>
            <w:tcW w:w="3236" w:type="dxa"/>
            <w:tcBorders>
              <w:top w:val="single" w:sz="4" w:space="0" w:color="auto"/>
              <w:bottom w:val="single" w:sz="4" w:space="0" w:color="auto"/>
            </w:tcBorders>
          </w:tcPr>
          <w:p w14:paraId="585C0C88" w14:textId="50050A1A" w:rsidR="00854DD3" w:rsidRPr="008C1952" w:rsidRDefault="00854DD3" w:rsidP="00F8543B">
            <w:pPr>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Collection of individual text lines</w:t>
            </w:r>
          </w:p>
        </w:tc>
        <w:tc>
          <w:tcPr>
            <w:tcW w:w="1671" w:type="dxa"/>
            <w:tcBorders>
              <w:top w:val="single" w:sz="4" w:space="0" w:color="auto"/>
              <w:bottom w:val="single" w:sz="4" w:space="0" w:color="auto"/>
            </w:tcBorders>
          </w:tcPr>
          <w:p w14:paraId="5E599F69" w14:textId="0814E218" w:rsidR="00854DD3" w:rsidRPr="008C1952" w:rsidRDefault="00854DD3" w:rsidP="00F8543B">
            <w:pPr>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Extraction of keywords</w:t>
            </w:r>
          </w:p>
        </w:tc>
        <w:tc>
          <w:tcPr>
            <w:tcW w:w="1848" w:type="dxa"/>
            <w:tcBorders>
              <w:top w:val="single" w:sz="4" w:space="0" w:color="auto"/>
              <w:bottom w:val="single" w:sz="4" w:space="0" w:color="auto"/>
            </w:tcBorders>
          </w:tcPr>
          <w:p w14:paraId="2F456F77" w14:textId="5D9485EE" w:rsidR="00854DD3" w:rsidRPr="008C1952" w:rsidRDefault="00854DD3" w:rsidP="00F8543B">
            <w:pPr>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Classification in clusters</w:t>
            </w:r>
          </w:p>
        </w:tc>
        <w:tc>
          <w:tcPr>
            <w:tcW w:w="2271" w:type="dxa"/>
            <w:tcBorders>
              <w:top w:val="single" w:sz="4" w:space="0" w:color="auto"/>
              <w:bottom w:val="single" w:sz="4" w:space="0" w:color="auto"/>
            </w:tcBorders>
          </w:tcPr>
          <w:p w14:paraId="15D1E66D" w14:textId="36F1C8D5" w:rsidR="00854DD3" w:rsidRPr="008C1952" w:rsidRDefault="00854DD3" w:rsidP="00F8543B">
            <w:pPr>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 xml:space="preserve">Association to </w:t>
            </w:r>
            <w:r w:rsidR="00ED3846">
              <w:rPr>
                <w:rFonts w:ascii="Times New Roman" w:eastAsia="Times New Roman" w:hAnsi="Times New Roman" w:cs="Times New Roman"/>
                <w:b/>
                <w:bCs/>
                <w:color w:val="000000" w:themeColor="text1"/>
                <w:sz w:val="16"/>
                <w:szCs w:val="16"/>
                <w:lang w:eastAsia="en-GB"/>
              </w:rPr>
              <w:t>SDG</w:t>
            </w:r>
            <w:r w:rsidRPr="008C1952">
              <w:rPr>
                <w:rFonts w:ascii="Times New Roman" w:eastAsia="Times New Roman" w:hAnsi="Times New Roman" w:cs="Times New Roman"/>
                <w:b/>
                <w:bCs/>
                <w:color w:val="000000" w:themeColor="text1"/>
                <w:sz w:val="16"/>
                <w:szCs w:val="16"/>
                <w:lang w:eastAsia="en-GB"/>
              </w:rPr>
              <w:t xml:space="preserve"> target</w:t>
            </w:r>
          </w:p>
        </w:tc>
      </w:tr>
      <w:tr w:rsidR="00AD24AA" w:rsidRPr="008C1952" w14:paraId="5FBB4CE6" w14:textId="77777777" w:rsidTr="00311827">
        <w:tc>
          <w:tcPr>
            <w:tcW w:w="3236" w:type="dxa"/>
            <w:tcBorders>
              <w:top w:val="single" w:sz="4" w:space="0" w:color="auto"/>
            </w:tcBorders>
          </w:tcPr>
          <w:p w14:paraId="752ED559" w14:textId="15F1FF12" w:rsidR="00854DD3" w:rsidRPr="008C1952" w:rsidRDefault="00AD24AA" w:rsidP="00854DD3">
            <w:pPr>
              <w:jc w:val="both"/>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w:t>
            </w:r>
            <w:r w:rsidR="00854DD3" w:rsidRPr="008C1952">
              <w:rPr>
                <w:rFonts w:ascii="Times New Roman" w:eastAsia="Times New Roman" w:hAnsi="Times New Roman" w:cs="Times New Roman"/>
                <w:color w:val="000000" w:themeColor="text1"/>
                <w:sz w:val="16"/>
                <w:szCs w:val="16"/>
                <w:lang w:eastAsia="en-GB"/>
              </w:rPr>
              <w:t xml:space="preserve">Incorporating the local context by extending GHGE as a global indicator with locally relevant parameters such as land and water use, eutrophication of waterways, presence of heavy metals or pesticides, and biodiversity losses would add valuable information to better assess </w:t>
            </w:r>
            <w:r w:rsidR="00C75B46" w:rsidRPr="008C1952">
              <w:rPr>
                <w:rFonts w:ascii="Times New Roman" w:eastAsia="Times New Roman" w:hAnsi="Times New Roman" w:cs="Times New Roman"/>
                <w:color w:val="000000" w:themeColor="text1"/>
                <w:sz w:val="16"/>
                <w:szCs w:val="16"/>
                <w:lang w:eastAsia="en-GB"/>
              </w:rPr>
              <w:t>co-benefits</w:t>
            </w:r>
            <w:r w:rsidR="00854DD3" w:rsidRPr="008C1952">
              <w:rPr>
                <w:rFonts w:ascii="Times New Roman" w:eastAsia="Times New Roman" w:hAnsi="Times New Roman" w:cs="Times New Roman"/>
                <w:color w:val="000000" w:themeColor="text1"/>
                <w:sz w:val="16"/>
                <w:szCs w:val="16"/>
                <w:lang w:eastAsia="en-GB"/>
              </w:rPr>
              <w:t xml:space="preserve"> and trade- offs at local and national levels and develop national food- based dietary guidelines (FBDGs) for sustainable diets (Biesbroek et al., 2023)</w:t>
            </w:r>
            <w:r w:rsidRPr="008C1952">
              <w:rPr>
                <w:rFonts w:ascii="Times New Roman" w:eastAsia="Times New Roman" w:hAnsi="Times New Roman" w:cs="Times New Roman"/>
                <w:color w:val="000000" w:themeColor="text1"/>
                <w:sz w:val="16"/>
                <w:szCs w:val="16"/>
                <w:lang w:eastAsia="en-GB"/>
              </w:rPr>
              <w:t>’</w:t>
            </w:r>
          </w:p>
        </w:tc>
        <w:tc>
          <w:tcPr>
            <w:tcW w:w="1671" w:type="dxa"/>
            <w:tcBorders>
              <w:top w:val="single" w:sz="4" w:space="0" w:color="auto"/>
            </w:tcBorders>
          </w:tcPr>
          <w:p w14:paraId="20BBBB22" w14:textId="27B18936" w:rsidR="00854DD3" w:rsidRPr="008C1952" w:rsidRDefault="00854DD3" w:rsidP="12AF4303">
            <w:pPr>
              <w:rPr>
                <w:rFonts w:ascii="Times New Roman" w:eastAsia="Times New Roman" w:hAnsi="Times New Roman" w:cs="Times New Roman"/>
                <w:b/>
                <w:bCs/>
                <w:i/>
                <w:iCs/>
                <w:color w:val="000000" w:themeColor="text1"/>
                <w:sz w:val="16"/>
                <w:szCs w:val="16"/>
                <w:lang w:eastAsia="en-GB"/>
              </w:rPr>
            </w:pPr>
            <w:r w:rsidRPr="008C1952">
              <w:rPr>
                <w:rFonts w:ascii="Times New Roman" w:eastAsia="Times New Roman" w:hAnsi="Times New Roman" w:cs="Times New Roman"/>
                <w:i/>
                <w:iCs/>
                <w:color w:val="000000" w:themeColor="text1"/>
                <w:sz w:val="16"/>
                <w:szCs w:val="16"/>
                <w:lang w:eastAsia="en-GB"/>
              </w:rPr>
              <w:t>GHGs emissions</w:t>
            </w:r>
            <w:r w:rsidR="00F8543B" w:rsidRPr="008C1952">
              <w:rPr>
                <w:rFonts w:ascii="Times New Roman" w:eastAsia="Times New Roman" w:hAnsi="Times New Roman" w:cs="Times New Roman"/>
                <w:i/>
                <w:iCs/>
                <w:color w:val="000000" w:themeColor="text1"/>
                <w:sz w:val="16"/>
                <w:szCs w:val="16"/>
                <w:lang w:eastAsia="en-GB"/>
              </w:rPr>
              <w:t xml:space="preserve">; </w:t>
            </w:r>
            <w:r w:rsidRPr="008C1952">
              <w:rPr>
                <w:rFonts w:ascii="Times New Roman" w:eastAsia="Times New Roman" w:hAnsi="Times New Roman" w:cs="Times New Roman"/>
                <w:i/>
                <w:iCs/>
                <w:color w:val="000000" w:themeColor="text1"/>
                <w:sz w:val="16"/>
                <w:szCs w:val="16"/>
                <w:lang w:eastAsia="en-GB"/>
              </w:rPr>
              <w:t>biodiversity</w:t>
            </w:r>
            <w:r w:rsidR="00F8543B" w:rsidRPr="008C1952">
              <w:rPr>
                <w:rFonts w:ascii="Times New Roman" w:eastAsia="Times New Roman" w:hAnsi="Times New Roman" w:cs="Times New Roman"/>
                <w:i/>
                <w:iCs/>
                <w:color w:val="000000" w:themeColor="text1"/>
                <w:sz w:val="16"/>
                <w:szCs w:val="16"/>
                <w:lang w:eastAsia="en-GB"/>
              </w:rPr>
              <w:t>;</w:t>
            </w:r>
            <w:r w:rsidRPr="008C1952">
              <w:rPr>
                <w:rFonts w:ascii="Times New Roman" w:eastAsia="Times New Roman" w:hAnsi="Times New Roman" w:cs="Times New Roman"/>
                <w:i/>
                <w:iCs/>
                <w:color w:val="000000" w:themeColor="text1"/>
                <w:sz w:val="16"/>
                <w:szCs w:val="16"/>
                <w:lang w:eastAsia="en-GB"/>
              </w:rPr>
              <w:t xml:space="preserve"> </w:t>
            </w:r>
            <w:r w:rsidR="00F8543B" w:rsidRPr="008C1952">
              <w:rPr>
                <w:rFonts w:ascii="Times New Roman" w:eastAsia="Times New Roman" w:hAnsi="Times New Roman" w:cs="Times New Roman"/>
                <w:i/>
                <w:iCs/>
                <w:color w:val="000000" w:themeColor="text1"/>
                <w:sz w:val="16"/>
                <w:szCs w:val="16"/>
                <w:lang w:eastAsia="en-GB"/>
              </w:rPr>
              <w:t xml:space="preserve">land use; water use; eutrophication; heavy metals and pesticides;  </w:t>
            </w:r>
          </w:p>
        </w:tc>
        <w:tc>
          <w:tcPr>
            <w:tcW w:w="1848" w:type="dxa"/>
            <w:tcBorders>
              <w:top w:val="single" w:sz="4" w:space="0" w:color="auto"/>
            </w:tcBorders>
          </w:tcPr>
          <w:p w14:paraId="5D06CE4F" w14:textId="584558DC" w:rsidR="00854DD3" w:rsidRPr="008C1952" w:rsidRDefault="00F8543B" w:rsidP="12AF4303">
            <w:pP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Climate Change; Natural Resources Use; Natural Resources Quality; Fertil</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ers, Pesticides and Antimicrobials Use; Biodiversity State</w:t>
            </w:r>
          </w:p>
        </w:tc>
        <w:tc>
          <w:tcPr>
            <w:tcW w:w="2271" w:type="dxa"/>
            <w:tcBorders>
              <w:top w:val="single" w:sz="4" w:space="0" w:color="auto"/>
            </w:tcBorders>
          </w:tcPr>
          <w:p w14:paraId="5D1683D4" w14:textId="48E77FCB" w:rsidR="00854DD3" w:rsidRPr="008C1952" w:rsidRDefault="00AD24AA" w:rsidP="12AF4303">
            <w:pP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Climate Change: </w:t>
            </w:r>
            <w:r w:rsidRPr="008C1952">
              <w:rPr>
                <w:rFonts w:ascii="Times New Roman" w:eastAsia="Times New Roman" w:hAnsi="Times New Roman" w:cs="Times New Roman"/>
                <w:b/>
                <w:bCs/>
                <w:color w:val="000000" w:themeColor="text1"/>
                <w:sz w:val="16"/>
                <w:szCs w:val="16"/>
                <w:lang w:eastAsia="en-GB"/>
              </w:rPr>
              <w:t>2.4, 13.1, 13.2, 13.3, 13.a, 13.b, 7.2, 7.3</w:t>
            </w:r>
            <w:r w:rsidRPr="008C1952">
              <w:rPr>
                <w:rFonts w:ascii="Times New Roman" w:eastAsia="Times New Roman" w:hAnsi="Times New Roman" w:cs="Times New Roman"/>
                <w:color w:val="000000" w:themeColor="text1"/>
                <w:sz w:val="16"/>
                <w:szCs w:val="16"/>
                <w:lang w:eastAsia="en-GB"/>
              </w:rPr>
              <w:t>;</w:t>
            </w:r>
          </w:p>
          <w:p w14:paraId="5034366B" w14:textId="076870F8" w:rsidR="00AD24AA" w:rsidRPr="008C1952" w:rsidRDefault="00AD24AA" w:rsidP="12AF4303">
            <w:pP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Natural Resources Use; </w:t>
            </w:r>
            <w:r w:rsidRPr="008C1952">
              <w:rPr>
                <w:rFonts w:ascii="Times New Roman" w:eastAsia="Times New Roman" w:hAnsi="Times New Roman" w:cs="Times New Roman"/>
                <w:b/>
                <w:bCs/>
                <w:color w:val="000000" w:themeColor="text1"/>
                <w:sz w:val="16"/>
                <w:szCs w:val="16"/>
                <w:lang w:eastAsia="en-GB"/>
              </w:rPr>
              <w:t>14.1, 15.2, 6.4, 6.5, 12.2, 8.4, 2.4, 14.4;</w:t>
            </w:r>
            <w:r w:rsidRPr="008C1952">
              <w:rPr>
                <w:rFonts w:ascii="Times New Roman" w:eastAsia="Times New Roman" w:hAnsi="Times New Roman" w:cs="Times New Roman"/>
                <w:color w:val="000000" w:themeColor="text1"/>
                <w:sz w:val="16"/>
                <w:szCs w:val="16"/>
                <w:lang w:eastAsia="en-GB"/>
              </w:rPr>
              <w:t xml:space="preserve"> Natural Resources Quality: </w:t>
            </w:r>
            <w:r w:rsidRPr="008C1952">
              <w:rPr>
                <w:rFonts w:ascii="Times New Roman" w:eastAsia="Times New Roman" w:hAnsi="Times New Roman" w:cs="Times New Roman"/>
                <w:b/>
                <w:bCs/>
                <w:color w:val="000000" w:themeColor="text1"/>
                <w:sz w:val="16"/>
                <w:szCs w:val="16"/>
                <w:lang w:eastAsia="en-GB"/>
              </w:rPr>
              <w:t>15.3, 6.3, 2.4;</w:t>
            </w:r>
          </w:p>
          <w:p w14:paraId="69258710" w14:textId="73330D7F" w:rsidR="00AD24AA" w:rsidRPr="008C1952" w:rsidRDefault="00AD24AA" w:rsidP="12AF4303">
            <w:pP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Fertil</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 xml:space="preserve">ers, Pesticides and Antimicrobials Use: </w:t>
            </w:r>
            <w:r w:rsidRPr="008C1952">
              <w:rPr>
                <w:rFonts w:ascii="Times New Roman" w:hAnsi="Times New Roman" w:cs="Times New Roman"/>
                <w:b/>
                <w:bCs/>
                <w:sz w:val="16"/>
                <w:szCs w:val="16"/>
                <w:shd w:val="clear" w:color="auto" w:fill="FFFFFF"/>
              </w:rPr>
              <w:t>12.4, 3.9;</w:t>
            </w:r>
            <w:r w:rsidRPr="008C1952">
              <w:rPr>
                <w:rFonts w:ascii="Times New Roman" w:hAnsi="Times New Roman" w:cs="Times New Roman"/>
                <w:color w:val="444444"/>
                <w:sz w:val="16"/>
                <w:szCs w:val="16"/>
                <w:shd w:val="clear" w:color="auto" w:fill="FFFFFF"/>
              </w:rPr>
              <w:t xml:space="preserve"> </w:t>
            </w:r>
            <w:r w:rsidRPr="008C1952">
              <w:rPr>
                <w:rFonts w:ascii="Times New Roman" w:eastAsia="Times New Roman" w:hAnsi="Times New Roman" w:cs="Times New Roman"/>
                <w:color w:val="000000" w:themeColor="text1"/>
                <w:sz w:val="16"/>
                <w:szCs w:val="16"/>
                <w:lang w:eastAsia="en-GB"/>
              </w:rPr>
              <w:t xml:space="preserve"> Biodiversity State: </w:t>
            </w:r>
            <w:r w:rsidRPr="008C1952">
              <w:rPr>
                <w:rFonts w:ascii="Times New Roman" w:eastAsia="Times New Roman" w:hAnsi="Times New Roman" w:cs="Times New Roman"/>
                <w:b/>
                <w:bCs/>
                <w:color w:val="000000" w:themeColor="text1"/>
                <w:sz w:val="16"/>
                <w:szCs w:val="16"/>
                <w:lang w:eastAsia="en-GB"/>
              </w:rPr>
              <w:t>15.5, 15.4, 15.9, 15.a</w:t>
            </w:r>
          </w:p>
        </w:tc>
      </w:tr>
      <w:tr w:rsidR="00AD24AA" w:rsidRPr="008C1952" w14:paraId="29108CCE" w14:textId="77777777" w:rsidTr="00311827">
        <w:tc>
          <w:tcPr>
            <w:tcW w:w="3236" w:type="dxa"/>
            <w:tcBorders>
              <w:top w:val="single" w:sz="4" w:space="0" w:color="auto"/>
              <w:bottom w:val="single" w:sz="4" w:space="0" w:color="auto"/>
            </w:tcBorders>
          </w:tcPr>
          <w:p w14:paraId="2F81F676" w14:textId="0C16844B" w:rsidR="00854DD3" w:rsidRPr="008C1952" w:rsidRDefault="00AD24AA" w:rsidP="00C37337">
            <w:pP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w:t>
            </w:r>
            <w:r w:rsidR="00C37337" w:rsidRPr="008C1952">
              <w:rPr>
                <w:rFonts w:ascii="Times New Roman" w:eastAsia="Times New Roman" w:hAnsi="Times New Roman" w:cs="Times New Roman"/>
                <w:color w:val="000000" w:themeColor="text1"/>
                <w:sz w:val="16"/>
                <w:szCs w:val="16"/>
                <w:lang w:eastAsia="en-GB"/>
              </w:rPr>
              <w:t>The concept of community food security focuses principally on the problem of ensuring adequate and appropriate</w:t>
            </w:r>
            <w:r w:rsidR="009D4247" w:rsidRPr="008C1952">
              <w:rPr>
                <w:rFonts w:ascii="Times New Roman" w:eastAsia="Times New Roman" w:hAnsi="Times New Roman" w:cs="Times New Roman"/>
                <w:color w:val="000000" w:themeColor="text1"/>
                <w:sz w:val="16"/>
                <w:szCs w:val="16"/>
                <w:lang w:eastAsia="en-GB"/>
              </w:rPr>
              <w:t xml:space="preserve"> </w:t>
            </w:r>
            <w:r w:rsidR="00C37337" w:rsidRPr="008C1952">
              <w:rPr>
                <w:rFonts w:ascii="Times New Roman" w:eastAsia="Times New Roman" w:hAnsi="Times New Roman" w:cs="Times New Roman"/>
                <w:color w:val="000000" w:themeColor="text1"/>
                <w:sz w:val="16"/>
                <w:szCs w:val="16"/>
                <w:lang w:eastAsia="en-GB"/>
              </w:rPr>
              <w:t>food access for urban communities (rather than individuals)— either as an endpoint in and of itself, or as a means of community empowerment, which is perceived as an essential step in community development (Eakin et al., 2016)</w:t>
            </w:r>
            <w:r w:rsidRPr="008C1952">
              <w:rPr>
                <w:rFonts w:ascii="Times New Roman" w:eastAsia="Times New Roman" w:hAnsi="Times New Roman" w:cs="Times New Roman"/>
                <w:color w:val="000000" w:themeColor="text1"/>
                <w:sz w:val="16"/>
                <w:szCs w:val="16"/>
                <w:lang w:eastAsia="en-GB"/>
              </w:rPr>
              <w:t>’</w:t>
            </w:r>
          </w:p>
        </w:tc>
        <w:tc>
          <w:tcPr>
            <w:tcW w:w="1671" w:type="dxa"/>
            <w:tcBorders>
              <w:top w:val="single" w:sz="4" w:space="0" w:color="auto"/>
              <w:bottom w:val="single" w:sz="4" w:space="0" w:color="auto"/>
            </w:tcBorders>
          </w:tcPr>
          <w:p w14:paraId="27D8DDB7" w14:textId="04CEDB75" w:rsidR="00854DD3" w:rsidRPr="008C1952" w:rsidRDefault="009D4247" w:rsidP="12AF4303">
            <w:pPr>
              <w:rPr>
                <w:rFonts w:ascii="Times New Roman" w:eastAsia="Times New Roman" w:hAnsi="Times New Roman" w:cs="Times New Roman"/>
                <w:i/>
                <w:iCs/>
                <w:color w:val="000000" w:themeColor="text1"/>
                <w:sz w:val="16"/>
                <w:szCs w:val="16"/>
                <w:lang w:eastAsia="en-GB"/>
              </w:rPr>
            </w:pPr>
            <w:r w:rsidRPr="008C1952">
              <w:rPr>
                <w:rFonts w:ascii="Times New Roman" w:eastAsia="Times New Roman" w:hAnsi="Times New Roman" w:cs="Times New Roman"/>
                <w:i/>
                <w:iCs/>
                <w:color w:val="000000" w:themeColor="text1"/>
                <w:sz w:val="16"/>
                <w:szCs w:val="16"/>
                <w:lang w:eastAsia="en-GB"/>
              </w:rPr>
              <w:t>Food security; community empowerment; community development</w:t>
            </w:r>
          </w:p>
        </w:tc>
        <w:tc>
          <w:tcPr>
            <w:tcW w:w="1848" w:type="dxa"/>
            <w:tcBorders>
              <w:top w:val="single" w:sz="4" w:space="0" w:color="auto"/>
              <w:bottom w:val="single" w:sz="4" w:space="0" w:color="auto"/>
            </w:tcBorders>
          </w:tcPr>
          <w:p w14:paraId="45BE8EF2" w14:textId="60C48D8D" w:rsidR="00854DD3" w:rsidRPr="008C1952" w:rsidRDefault="009D4247" w:rsidP="12AF4303">
            <w:pP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Food security; Territorial/community engagement</w:t>
            </w:r>
          </w:p>
        </w:tc>
        <w:tc>
          <w:tcPr>
            <w:tcW w:w="2271" w:type="dxa"/>
            <w:tcBorders>
              <w:top w:val="single" w:sz="4" w:space="0" w:color="auto"/>
              <w:bottom w:val="single" w:sz="4" w:space="0" w:color="auto"/>
            </w:tcBorders>
          </w:tcPr>
          <w:p w14:paraId="3A7EAF1C" w14:textId="12D57534" w:rsidR="00854DD3" w:rsidRPr="008C1952" w:rsidRDefault="00AD24AA" w:rsidP="12AF4303">
            <w:pP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Food security; </w:t>
            </w:r>
            <w:r w:rsidRPr="008C1952">
              <w:rPr>
                <w:rFonts w:ascii="Times New Roman" w:eastAsia="Times New Roman" w:hAnsi="Times New Roman" w:cs="Times New Roman"/>
                <w:b/>
                <w:bCs/>
                <w:color w:val="000000" w:themeColor="text1"/>
                <w:sz w:val="16"/>
                <w:szCs w:val="16"/>
                <w:lang w:eastAsia="en-GB"/>
              </w:rPr>
              <w:t>2.1, 2.2, 2.3</w:t>
            </w:r>
            <w:r w:rsidRPr="008C1952">
              <w:rPr>
                <w:rFonts w:ascii="Times New Roman" w:eastAsia="Times New Roman" w:hAnsi="Times New Roman" w:cs="Times New Roman"/>
                <w:color w:val="000000" w:themeColor="text1"/>
                <w:sz w:val="16"/>
                <w:szCs w:val="16"/>
                <w:lang w:eastAsia="en-GB"/>
              </w:rPr>
              <w:t xml:space="preserve">; Territorial/community engagement: </w:t>
            </w:r>
            <w:r w:rsidRPr="008C1952">
              <w:rPr>
                <w:rFonts w:ascii="Times New Roman" w:eastAsia="Times New Roman" w:hAnsi="Times New Roman" w:cs="Times New Roman"/>
                <w:b/>
                <w:bCs/>
                <w:color w:val="000000" w:themeColor="text1"/>
                <w:sz w:val="16"/>
                <w:szCs w:val="16"/>
                <w:lang w:eastAsia="en-GB"/>
              </w:rPr>
              <w:t>11.a</w:t>
            </w:r>
          </w:p>
        </w:tc>
      </w:tr>
      <w:tr w:rsidR="00AD24AA" w:rsidRPr="008C1952" w14:paraId="110AB04D" w14:textId="77777777" w:rsidTr="00311827">
        <w:tc>
          <w:tcPr>
            <w:tcW w:w="3236" w:type="dxa"/>
            <w:tcBorders>
              <w:top w:val="single" w:sz="4" w:space="0" w:color="auto"/>
              <w:bottom w:val="single" w:sz="4" w:space="0" w:color="auto"/>
            </w:tcBorders>
          </w:tcPr>
          <w:p w14:paraId="7AF6872F" w14:textId="27045001" w:rsidR="00854DD3" w:rsidRPr="008C1952" w:rsidRDefault="00AD24AA" w:rsidP="009D4247">
            <w:pP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w:t>
            </w:r>
            <w:r w:rsidR="009D4247" w:rsidRPr="008C1952">
              <w:rPr>
                <w:rFonts w:ascii="Times New Roman" w:eastAsia="Times New Roman" w:hAnsi="Times New Roman" w:cs="Times New Roman"/>
                <w:color w:val="000000" w:themeColor="text1"/>
                <w:sz w:val="16"/>
                <w:szCs w:val="16"/>
                <w:lang w:eastAsia="en-GB"/>
              </w:rPr>
              <w:t>AFNs have also been considered instrumental to provide fairer returns for producers, develop high quality products, minimise environmental impact of food production through organics and low chemical input agricultural practices, and embed territorially food production and consumption by reconnecting actors with specific territories (Cerrada-Serra et al., 2018)</w:t>
            </w:r>
            <w:r w:rsidRPr="008C1952">
              <w:rPr>
                <w:rFonts w:ascii="Times New Roman" w:eastAsia="Times New Roman" w:hAnsi="Times New Roman" w:cs="Times New Roman"/>
                <w:color w:val="000000" w:themeColor="text1"/>
                <w:sz w:val="16"/>
                <w:szCs w:val="16"/>
                <w:lang w:eastAsia="en-GB"/>
              </w:rPr>
              <w:t>’</w:t>
            </w:r>
          </w:p>
        </w:tc>
        <w:tc>
          <w:tcPr>
            <w:tcW w:w="1671" w:type="dxa"/>
            <w:tcBorders>
              <w:top w:val="single" w:sz="4" w:space="0" w:color="auto"/>
              <w:bottom w:val="single" w:sz="4" w:space="0" w:color="auto"/>
            </w:tcBorders>
          </w:tcPr>
          <w:p w14:paraId="5EAD19CC" w14:textId="4110E01F" w:rsidR="00854DD3" w:rsidRPr="008C1952" w:rsidRDefault="00AD24AA" w:rsidP="12AF4303">
            <w:pPr>
              <w:rPr>
                <w:rFonts w:ascii="Times New Roman" w:eastAsia="Times New Roman" w:hAnsi="Times New Roman" w:cs="Times New Roman"/>
                <w:i/>
                <w:iCs/>
                <w:color w:val="000000" w:themeColor="text1"/>
                <w:sz w:val="16"/>
                <w:szCs w:val="16"/>
                <w:lang w:eastAsia="en-GB"/>
              </w:rPr>
            </w:pPr>
            <w:r w:rsidRPr="008C1952">
              <w:rPr>
                <w:rFonts w:ascii="Times New Roman" w:eastAsia="Times New Roman" w:hAnsi="Times New Roman" w:cs="Times New Roman"/>
                <w:i/>
                <w:iCs/>
                <w:color w:val="000000" w:themeColor="text1"/>
                <w:sz w:val="16"/>
                <w:szCs w:val="16"/>
                <w:lang w:eastAsia="en-GB"/>
              </w:rPr>
              <w:t>Fair returns; high quality products; organics; low chemical inputs; territorial reconnection</w:t>
            </w:r>
          </w:p>
        </w:tc>
        <w:tc>
          <w:tcPr>
            <w:tcW w:w="1848" w:type="dxa"/>
            <w:tcBorders>
              <w:top w:val="single" w:sz="4" w:space="0" w:color="auto"/>
              <w:bottom w:val="single" w:sz="4" w:space="0" w:color="auto"/>
            </w:tcBorders>
          </w:tcPr>
          <w:p w14:paraId="31C38D8A" w14:textId="0C19C9AF" w:rsidR="00854DD3" w:rsidRPr="008C1952" w:rsidRDefault="00AD24AA" w:rsidP="12AF4303">
            <w:pP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Income for food workers; Fertil</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ers, Pesticides and Anti-Microbial Use; Territorial/community engagement</w:t>
            </w:r>
          </w:p>
        </w:tc>
        <w:tc>
          <w:tcPr>
            <w:tcW w:w="2271" w:type="dxa"/>
            <w:tcBorders>
              <w:top w:val="single" w:sz="4" w:space="0" w:color="auto"/>
              <w:bottom w:val="single" w:sz="4" w:space="0" w:color="auto"/>
            </w:tcBorders>
          </w:tcPr>
          <w:p w14:paraId="4AD032F1" w14:textId="43436905" w:rsidR="00AD24AA" w:rsidRPr="008C1952" w:rsidRDefault="00AD24AA" w:rsidP="12AF4303">
            <w:pPr>
              <w:rPr>
                <w:rFonts w:ascii="Times New Roman" w:hAnsi="Times New Roman" w:cs="Times New Roman"/>
                <w:b/>
                <w:bCs/>
                <w:sz w:val="16"/>
                <w:szCs w:val="16"/>
                <w:shd w:val="clear" w:color="auto" w:fill="FFFFFF"/>
              </w:rPr>
            </w:pPr>
            <w:r w:rsidRPr="008C1952">
              <w:rPr>
                <w:rFonts w:ascii="Times New Roman" w:eastAsia="Times New Roman" w:hAnsi="Times New Roman" w:cs="Times New Roman"/>
                <w:color w:val="000000" w:themeColor="text1"/>
                <w:sz w:val="16"/>
                <w:szCs w:val="16"/>
                <w:lang w:eastAsia="en-GB"/>
              </w:rPr>
              <w:t xml:space="preserve">Income for food workers; </w:t>
            </w:r>
            <w:r w:rsidRPr="008C1952">
              <w:rPr>
                <w:rFonts w:ascii="Times New Roman" w:eastAsia="Times New Roman" w:hAnsi="Times New Roman" w:cs="Times New Roman"/>
                <w:b/>
                <w:bCs/>
                <w:color w:val="000000" w:themeColor="text1"/>
                <w:sz w:val="16"/>
                <w:szCs w:val="16"/>
                <w:lang w:eastAsia="en-GB"/>
              </w:rPr>
              <w:t>2.3;</w:t>
            </w:r>
            <w:r w:rsidRPr="008C1952">
              <w:rPr>
                <w:rFonts w:ascii="Times New Roman" w:eastAsia="Times New Roman" w:hAnsi="Times New Roman" w:cs="Times New Roman"/>
                <w:color w:val="000000" w:themeColor="text1"/>
                <w:sz w:val="16"/>
                <w:szCs w:val="16"/>
                <w:lang w:eastAsia="en-GB"/>
              </w:rPr>
              <w:t xml:space="preserve"> Fertil</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 xml:space="preserve">ers, Pesticides and Anti-Microbial Use: </w:t>
            </w:r>
            <w:r w:rsidRPr="008C1952">
              <w:rPr>
                <w:rFonts w:ascii="Times New Roman" w:hAnsi="Times New Roman" w:cs="Times New Roman"/>
                <w:b/>
                <w:bCs/>
                <w:sz w:val="16"/>
                <w:szCs w:val="16"/>
                <w:shd w:val="clear" w:color="auto" w:fill="FFFFFF"/>
              </w:rPr>
              <w:t>12.4, 3.9;</w:t>
            </w:r>
          </w:p>
          <w:p w14:paraId="3619A639" w14:textId="4A8E5FDE" w:rsidR="00854DD3" w:rsidRPr="008C1952" w:rsidRDefault="00AD24AA" w:rsidP="12AF4303">
            <w:pP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Territorial/community engagement: </w:t>
            </w:r>
            <w:r w:rsidRPr="008C1952">
              <w:rPr>
                <w:rFonts w:ascii="Times New Roman" w:eastAsia="Times New Roman" w:hAnsi="Times New Roman" w:cs="Times New Roman"/>
                <w:b/>
                <w:bCs/>
                <w:color w:val="000000" w:themeColor="text1"/>
                <w:sz w:val="16"/>
                <w:szCs w:val="16"/>
                <w:lang w:eastAsia="en-GB"/>
              </w:rPr>
              <w:t>11.a</w:t>
            </w:r>
          </w:p>
        </w:tc>
      </w:tr>
    </w:tbl>
    <w:p w14:paraId="6F392E0B" w14:textId="287077BB" w:rsidR="004D06EF"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54A11EC8" w14:textId="2F55DD79" w:rsidR="00C408CB" w:rsidRPr="008C1952" w:rsidRDefault="00C408CB" w:rsidP="00C408CB">
      <w:pPr>
        <w:pStyle w:val="Didascalia"/>
        <w:keepNext/>
        <w:rPr>
          <w:rFonts w:ascii="Times New Roman" w:hAnsi="Times New Roman" w:cs="Times New Roman"/>
          <w:sz w:val="16"/>
          <w:szCs w:val="16"/>
        </w:rPr>
      </w:pPr>
      <w:bookmarkStart w:id="13" w:name="_Toc166589545"/>
      <w:r w:rsidRPr="008C1952">
        <w:rPr>
          <w:rFonts w:ascii="Times New Roman" w:hAnsi="Times New Roman" w:cs="Times New Roman"/>
          <w:b/>
          <w:bCs/>
          <w:i w:val="0"/>
          <w:iCs w:val="0"/>
          <w:color w:val="auto"/>
          <w:sz w:val="16"/>
          <w:szCs w:val="16"/>
        </w:rPr>
        <w:t xml:space="preserve">Supplementary Table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Supplementary_Table \* ALPHABETIC </w:instrText>
      </w:r>
      <w:r w:rsidR="00F60EFC">
        <w:rPr>
          <w:rFonts w:ascii="Times New Roman" w:hAnsi="Times New Roman" w:cs="Times New Roman"/>
          <w:b/>
          <w:bCs/>
          <w:i w:val="0"/>
          <w:iCs w:val="0"/>
          <w:color w:val="auto"/>
          <w:sz w:val="16"/>
          <w:szCs w:val="16"/>
        </w:rPr>
        <w:fldChar w:fldCharType="separate"/>
      </w:r>
      <w:r w:rsidR="00F60EFC">
        <w:rPr>
          <w:rFonts w:ascii="Times New Roman" w:hAnsi="Times New Roman" w:cs="Times New Roman"/>
          <w:b/>
          <w:bCs/>
          <w:i w:val="0"/>
          <w:iCs w:val="0"/>
          <w:noProof/>
          <w:color w:val="auto"/>
          <w:sz w:val="16"/>
          <w:szCs w:val="16"/>
        </w:rPr>
        <w:t>F</w:t>
      </w:r>
      <w:r w:rsidR="00F60EFC">
        <w:rPr>
          <w:rFonts w:ascii="Times New Roman" w:hAnsi="Times New Roman" w:cs="Times New Roman"/>
          <w:b/>
          <w:bCs/>
          <w:i w:val="0"/>
          <w:iCs w:val="0"/>
          <w:color w:val="auto"/>
          <w:sz w:val="16"/>
          <w:szCs w:val="16"/>
        </w:rPr>
        <w:fldChar w:fldCharType="end"/>
      </w:r>
      <w:r w:rsidRPr="008C1952">
        <w:rPr>
          <w:rFonts w:ascii="Times New Roman" w:hAnsi="Times New Roman" w:cs="Times New Roman"/>
          <w:b/>
          <w:bCs/>
          <w:i w:val="0"/>
          <w:iCs w:val="0"/>
          <w:color w:val="auto"/>
          <w:sz w:val="16"/>
          <w:szCs w:val="16"/>
        </w:rPr>
        <w:t>.</w:t>
      </w:r>
      <w:r w:rsidRPr="008C1952">
        <w:rPr>
          <w:rFonts w:ascii="Times New Roman" w:hAnsi="Times New Roman" w:cs="Times New Roman"/>
          <w:i w:val="0"/>
          <w:iCs w:val="0"/>
          <w:color w:val="auto"/>
          <w:sz w:val="16"/>
          <w:szCs w:val="16"/>
        </w:rPr>
        <w:t xml:space="preserve"> Example</w:t>
      </w:r>
      <w:r w:rsidR="004D06EF" w:rsidRPr="008C1952">
        <w:rPr>
          <w:rFonts w:ascii="Times New Roman" w:hAnsi="Times New Roman" w:cs="Times New Roman"/>
          <w:i w:val="0"/>
          <w:iCs w:val="0"/>
          <w:color w:val="auto"/>
          <w:sz w:val="16"/>
          <w:szCs w:val="16"/>
        </w:rPr>
        <w:t>s</w:t>
      </w:r>
      <w:r w:rsidRPr="008C1952">
        <w:rPr>
          <w:rFonts w:ascii="Times New Roman" w:hAnsi="Times New Roman" w:cs="Times New Roman"/>
          <w:i w:val="0"/>
          <w:iCs w:val="0"/>
          <w:color w:val="auto"/>
          <w:sz w:val="16"/>
          <w:szCs w:val="16"/>
        </w:rPr>
        <w:t xml:space="preserve"> of data analysis for lock-ins and leverage points</w:t>
      </w:r>
      <w:bookmarkEnd w:id="13"/>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7"/>
        <w:gridCol w:w="3037"/>
        <w:gridCol w:w="1372"/>
      </w:tblGrid>
      <w:tr w:rsidR="009C5AE9" w:rsidRPr="008C1952" w14:paraId="7751D7CB" w14:textId="2B69CE90" w:rsidTr="004D06EF">
        <w:trPr>
          <w:jc w:val="center"/>
        </w:trPr>
        <w:tc>
          <w:tcPr>
            <w:tcW w:w="0" w:type="auto"/>
            <w:tcBorders>
              <w:top w:val="single" w:sz="4" w:space="0" w:color="auto"/>
              <w:bottom w:val="single" w:sz="4" w:space="0" w:color="auto"/>
            </w:tcBorders>
          </w:tcPr>
          <w:p w14:paraId="649A4FFB" w14:textId="684533E5" w:rsidR="009C5AE9" w:rsidRPr="008C1952" w:rsidRDefault="009C5AE9" w:rsidP="00C75B46">
            <w:pPr>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Collection of individual text lines</w:t>
            </w:r>
          </w:p>
        </w:tc>
        <w:tc>
          <w:tcPr>
            <w:tcW w:w="0" w:type="auto"/>
            <w:tcBorders>
              <w:top w:val="single" w:sz="4" w:space="0" w:color="auto"/>
              <w:bottom w:val="single" w:sz="4" w:space="0" w:color="auto"/>
            </w:tcBorders>
          </w:tcPr>
          <w:p w14:paraId="0EFB3797" w14:textId="399E855C" w:rsidR="009C5AE9" w:rsidRPr="008C1952" w:rsidRDefault="009C5AE9" w:rsidP="00C75B46">
            <w:pPr>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Classification in clusters</w:t>
            </w:r>
          </w:p>
        </w:tc>
        <w:tc>
          <w:tcPr>
            <w:tcW w:w="0" w:type="auto"/>
            <w:tcBorders>
              <w:top w:val="single" w:sz="4" w:space="0" w:color="auto"/>
              <w:bottom w:val="single" w:sz="4" w:space="0" w:color="auto"/>
            </w:tcBorders>
          </w:tcPr>
          <w:p w14:paraId="152640B5" w14:textId="60F7C0F1" w:rsidR="009C5AE9" w:rsidRPr="008C1952" w:rsidRDefault="009C5AE9" w:rsidP="00C75B46">
            <w:pPr>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Source of classification</w:t>
            </w:r>
          </w:p>
        </w:tc>
      </w:tr>
      <w:tr w:rsidR="009C5AE9" w:rsidRPr="00AA6B37" w14:paraId="458F48AE" w14:textId="778D23C9" w:rsidTr="004D06EF">
        <w:trPr>
          <w:jc w:val="center"/>
        </w:trPr>
        <w:tc>
          <w:tcPr>
            <w:tcW w:w="0" w:type="auto"/>
            <w:tcBorders>
              <w:top w:val="single" w:sz="4" w:space="0" w:color="auto"/>
              <w:bottom w:val="single" w:sz="4" w:space="0" w:color="auto"/>
            </w:tcBorders>
            <w:vAlign w:val="center"/>
          </w:tcPr>
          <w:p w14:paraId="19D0726C" w14:textId="121550F9"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Primary producers and manufacturers are put under commercial pressure to reduce prices by a highly concentrated retail sector, which is expanding aggressively. This results in lower, sometimes even unfair, supplier prices, enhancing the development and consolidation of large, powerful farm corporations with mono-culture economies of scale. (Paloviita et al., 2017)</w:t>
            </w:r>
          </w:p>
        </w:tc>
        <w:tc>
          <w:tcPr>
            <w:tcW w:w="0" w:type="auto"/>
            <w:tcBorders>
              <w:top w:val="single" w:sz="4" w:space="0" w:color="auto"/>
              <w:bottom w:val="single" w:sz="4" w:space="0" w:color="auto"/>
            </w:tcBorders>
            <w:vAlign w:val="center"/>
          </w:tcPr>
          <w:p w14:paraId="7426A6D9" w14:textId="11010D39"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Lock-in: techno-economic</w:t>
            </w:r>
          </w:p>
          <w:p w14:paraId="6CC24D75" w14:textId="3535018C"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System failures: structural, interaction/network failure</w:t>
            </w:r>
          </w:p>
        </w:tc>
        <w:tc>
          <w:tcPr>
            <w:tcW w:w="0" w:type="auto"/>
            <w:tcBorders>
              <w:top w:val="single" w:sz="4" w:space="0" w:color="auto"/>
              <w:bottom w:val="single" w:sz="4" w:space="0" w:color="auto"/>
            </w:tcBorders>
            <w:vAlign w:val="center"/>
          </w:tcPr>
          <w:p w14:paraId="7CA2D385" w14:textId="245333D1" w:rsidR="009C5AE9" w:rsidRPr="008C1952" w:rsidRDefault="009C5AE9" w:rsidP="00AA6B37">
            <w:pPr>
              <w:jc w:val="center"/>
              <w:rPr>
                <w:rFonts w:ascii="Times New Roman" w:eastAsia="Times New Roman" w:hAnsi="Times New Roman" w:cs="Times New Roman"/>
                <w:color w:val="000000" w:themeColor="text1"/>
                <w:sz w:val="16"/>
                <w:szCs w:val="16"/>
                <w:lang w:val="fr-BE" w:eastAsia="en-GB"/>
              </w:rPr>
            </w:pPr>
            <w:r w:rsidRPr="008C1952">
              <w:rPr>
                <w:rFonts w:ascii="Times New Roman" w:eastAsia="Times New Roman" w:hAnsi="Times New Roman" w:cs="Times New Roman"/>
                <w:color w:val="000000" w:themeColor="text1"/>
                <w:sz w:val="16"/>
                <w:szCs w:val="16"/>
                <w:lang w:val="fr-BE" w:eastAsia="en-GB"/>
              </w:rPr>
              <w:t xml:space="preserve">Geels (2019); Woolthuis et al. </w:t>
            </w:r>
            <w:r w:rsidR="00AA6B37">
              <w:rPr>
                <w:rFonts w:ascii="Times New Roman" w:eastAsia="Times New Roman" w:hAnsi="Times New Roman" w:cs="Times New Roman"/>
                <w:color w:val="000000" w:themeColor="text1"/>
                <w:sz w:val="16"/>
                <w:szCs w:val="16"/>
                <w:lang w:val="fr-BE" w:eastAsia="en-GB"/>
              </w:rPr>
              <w:t>(</w:t>
            </w:r>
            <w:r w:rsidRPr="008C1952">
              <w:rPr>
                <w:rFonts w:ascii="Times New Roman" w:eastAsia="Times New Roman" w:hAnsi="Times New Roman" w:cs="Times New Roman"/>
                <w:color w:val="000000" w:themeColor="text1"/>
                <w:sz w:val="16"/>
                <w:szCs w:val="16"/>
                <w:lang w:val="fr-BE" w:eastAsia="en-GB"/>
              </w:rPr>
              <w:t>2005</w:t>
            </w:r>
            <w:r w:rsidR="00AA6B37">
              <w:rPr>
                <w:rFonts w:ascii="Times New Roman" w:eastAsia="Times New Roman" w:hAnsi="Times New Roman" w:cs="Times New Roman"/>
                <w:color w:val="000000" w:themeColor="text1"/>
                <w:sz w:val="16"/>
                <w:szCs w:val="16"/>
                <w:lang w:val="fr-BE" w:eastAsia="en-GB"/>
              </w:rPr>
              <w:t>)</w:t>
            </w:r>
          </w:p>
        </w:tc>
      </w:tr>
      <w:tr w:rsidR="009C5AE9" w:rsidRPr="008C1952" w14:paraId="5DCA37C4" w14:textId="0D999F1D" w:rsidTr="004D06EF">
        <w:trPr>
          <w:jc w:val="center"/>
        </w:trPr>
        <w:tc>
          <w:tcPr>
            <w:tcW w:w="0" w:type="auto"/>
            <w:tcBorders>
              <w:top w:val="single" w:sz="4" w:space="0" w:color="auto"/>
              <w:bottom w:val="single" w:sz="4" w:space="0" w:color="auto"/>
            </w:tcBorders>
            <w:vAlign w:val="center"/>
          </w:tcPr>
          <w:p w14:paraId="24E40D42" w14:textId="593E204B"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EU and national policies send conflicting objectives to promote health and to support sustainable development objectives (De Schutter et al., 2020)</w:t>
            </w:r>
          </w:p>
        </w:tc>
        <w:tc>
          <w:tcPr>
            <w:tcW w:w="0" w:type="auto"/>
            <w:tcBorders>
              <w:top w:val="single" w:sz="4" w:space="0" w:color="auto"/>
              <w:bottom w:val="single" w:sz="4" w:space="0" w:color="auto"/>
            </w:tcBorders>
            <w:vAlign w:val="center"/>
          </w:tcPr>
          <w:p w14:paraId="519E967C" w14:textId="357D17AD"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Lock-in: institutional-political</w:t>
            </w:r>
          </w:p>
          <w:p w14:paraId="5BDD72D8" w14:textId="53E5EC7C"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System failures: transformational, policy coordination failure</w:t>
            </w:r>
          </w:p>
        </w:tc>
        <w:tc>
          <w:tcPr>
            <w:tcW w:w="0" w:type="auto"/>
            <w:tcBorders>
              <w:top w:val="single" w:sz="4" w:space="0" w:color="auto"/>
              <w:bottom w:val="single" w:sz="4" w:space="0" w:color="auto"/>
            </w:tcBorders>
            <w:vAlign w:val="center"/>
          </w:tcPr>
          <w:p w14:paraId="5979D082" w14:textId="26F7A6EE"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Geels (2019); </w:t>
            </w:r>
            <w:r w:rsidR="00AA6B37" w:rsidRPr="00446E57">
              <w:rPr>
                <w:rFonts w:ascii="Times New Roman" w:hAnsi="Times New Roman" w:cs="Times New Roman"/>
                <w:noProof/>
                <w:sz w:val="16"/>
                <w:szCs w:val="16"/>
              </w:rPr>
              <w:t xml:space="preserve">Weber and Rohracher </w:t>
            </w:r>
            <w:r w:rsidR="00AA6B37">
              <w:rPr>
                <w:rFonts w:ascii="Times New Roman" w:hAnsi="Times New Roman" w:cs="Times New Roman"/>
                <w:noProof/>
                <w:sz w:val="16"/>
                <w:szCs w:val="16"/>
              </w:rPr>
              <w:t>(</w:t>
            </w:r>
            <w:r w:rsidR="00AA6B37" w:rsidRPr="00446E57">
              <w:rPr>
                <w:rFonts w:ascii="Times New Roman" w:hAnsi="Times New Roman" w:cs="Times New Roman"/>
                <w:noProof/>
                <w:sz w:val="16"/>
                <w:szCs w:val="16"/>
              </w:rPr>
              <w:t>2012</w:t>
            </w:r>
            <w:r w:rsidR="00AA6B37">
              <w:rPr>
                <w:rFonts w:ascii="Times New Roman" w:hAnsi="Times New Roman" w:cs="Times New Roman"/>
                <w:noProof/>
                <w:sz w:val="16"/>
                <w:szCs w:val="16"/>
              </w:rPr>
              <w:t>)</w:t>
            </w:r>
          </w:p>
        </w:tc>
      </w:tr>
      <w:tr w:rsidR="009C5AE9" w:rsidRPr="008C1952" w14:paraId="6046AA78" w14:textId="3140F52D" w:rsidTr="004D06EF">
        <w:trPr>
          <w:jc w:val="center"/>
        </w:trPr>
        <w:tc>
          <w:tcPr>
            <w:tcW w:w="0" w:type="auto"/>
            <w:tcBorders>
              <w:top w:val="single" w:sz="4" w:space="0" w:color="auto"/>
              <w:bottom w:val="single" w:sz="4" w:space="0" w:color="auto"/>
            </w:tcBorders>
            <w:vAlign w:val="center"/>
          </w:tcPr>
          <w:p w14:paraId="31CA3AF0" w14:textId="6AABBB5E"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Monitoring and accountability mechanisms for food actions to undermine corporations ‘social licenses and pledging good environmental behaviour (Friel, (2020))</w:t>
            </w:r>
          </w:p>
        </w:tc>
        <w:tc>
          <w:tcPr>
            <w:tcW w:w="0" w:type="auto"/>
            <w:tcBorders>
              <w:top w:val="single" w:sz="4" w:space="0" w:color="auto"/>
              <w:bottom w:val="single" w:sz="4" w:space="0" w:color="auto"/>
            </w:tcBorders>
            <w:vAlign w:val="center"/>
          </w:tcPr>
          <w:p w14:paraId="3643CFC5" w14:textId="5EEBA874"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Leverage Point: </w:t>
            </w:r>
            <w:r w:rsidR="00C75B46" w:rsidRPr="008C1952">
              <w:rPr>
                <w:rFonts w:ascii="Times New Roman" w:eastAsia="Times New Roman" w:hAnsi="Times New Roman" w:cs="Times New Roman"/>
                <w:color w:val="000000" w:themeColor="text1"/>
                <w:sz w:val="16"/>
                <w:szCs w:val="16"/>
                <w:lang w:eastAsia="en-GB"/>
              </w:rPr>
              <w:t>Negative feedback loops (</w:t>
            </w:r>
            <w:r w:rsidR="00C75B46" w:rsidRPr="008C1952">
              <w:rPr>
                <w:rFonts w:ascii="Times New Roman" w:eastAsia="Times New Roman" w:hAnsi="Times New Roman" w:cs="Times New Roman"/>
                <w:i/>
                <w:iCs/>
                <w:color w:val="000000" w:themeColor="text1"/>
                <w:sz w:val="16"/>
                <w:szCs w:val="16"/>
                <w:lang w:eastAsia="en-GB"/>
              </w:rPr>
              <w:t>Strengthening negative feedback controls to improve system's self-correcting abilities (e.g., monitoring systems, taxes to internal</w:t>
            </w:r>
            <w:r w:rsidR="00ED3846">
              <w:rPr>
                <w:rFonts w:ascii="Times New Roman" w:eastAsia="Times New Roman" w:hAnsi="Times New Roman" w:cs="Times New Roman"/>
                <w:i/>
                <w:iCs/>
                <w:color w:val="000000" w:themeColor="text1"/>
                <w:sz w:val="16"/>
                <w:szCs w:val="16"/>
                <w:lang w:eastAsia="en-GB"/>
              </w:rPr>
              <w:t>is</w:t>
            </w:r>
            <w:r w:rsidR="00C75B46" w:rsidRPr="008C1952">
              <w:rPr>
                <w:rFonts w:ascii="Times New Roman" w:eastAsia="Times New Roman" w:hAnsi="Times New Roman" w:cs="Times New Roman"/>
                <w:i/>
                <w:iCs/>
                <w:color w:val="000000" w:themeColor="text1"/>
                <w:sz w:val="16"/>
                <w:szCs w:val="16"/>
                <w:lang w:eastAsia="en-GB"/>
              </w:rPr>
              <w:t>e externalities</w:t>
            </w:r>
            <w:r w:rsidR="00C75B46" w:rsidRPr="008C1952">
              <w:rPr>
                <w:rFonts w:ascii="Times New Roman" w:eastAsia="Times New Roman" w:hAnsi="Times New Roman" w:cs="Times New Roman"/>
                <w:color w:val="000000" w:themeColor="text1"/>
                <w:sz w:val="16"/>
                <w:szCs w:val="16"/>
                <w:lang w:eastAsia="en-GB"/>
              </w:rPr>
              <w:t>))</w:t>
            </w:r>
          </w:p>
        </w:tc>
        <w:tc>
          <w:tcPr>
            <w:tcW w:w="0" w:type="auto"/>
            <w:tcBorders>
              <w:top w:val="single" w:sz="4" w:space="0" w:color="auto"/>
              <w:bottom w:val="single" w:sz="4" w:space="0" w:color="auto"/>
            </w:tcBorders>
            <w:vAlign w:val="center"/>
          </w:tcPr>
          <w:p w14:paraId="240A930B" w14:textId="05CBAF50"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Meadows (1999)</w:t>
            </w:r>
          </w:p>
        </w:tc>
      </w:tr>
      <w:tr w:rsidR="009C5AE9" w:rsidRPr="008C1952" w14:paraId="64569AE5" w14:textId="44B7E2B7" w:rsidTr="004D06EF">
        <w:trPr>
          <w:jc w:val="center"/>
        </w:trPr>
        <w:tc>
          <w:tcPr>
            <w:tcW w:w="0" w:type="auto"/>
            <w:tcBorders>
              <w:top w:val="single" w:sz="4" w:space="0" w:color="auto"/>
              <w:bottom w:val="single" w:sz="4" w:space="0" w:color="auto"/>
            </w:tcBorders>
            <w:vAlign w:val="center"/>
          </w:tcPr>
          <w:p w14:paraId="668333B8" w14:textId="2E4A4240" w:rsidR="009C5AE9" w:rsidRPr="008C1952" w:rsidRDefault="00C75B46"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lastRenderedPageBreak/>
              <w:t>Shift from monocentric, hierarchical, and well-in-framework to govern the EU food system, which they attributed to the institutional</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ed forms of government towards less formal</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ed governance frameworks in which state authority considers mutual interdependencies with other stakeholders (Moragues-Faus et al., 2017)</w:t>
            </w:r>
          </w:p>
        </w:tc>
        <w:tc>
          <w:tcPr>
            <w:tcW w:w="0" w:type="auto"/>
            <w:tcBorders>
              <w:top w:val="single" w:sz="4" w:space="0" w:color="auto"/>
              <w:bottom w:val="single" w:sz="4" w:space="0" w:color="auto"/>
            </w:tcBorders>
            <w:vAlign w:val="center"/>
          </w:tcPr>
          <w:p w14:paraId="526413C0" w14:textId="12A3E2CB" w:rsidR="009C5AE9" w:rsidRPr="008C1952" w:rsidRDefault="00C75B46"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Leverage Point: Self-organ</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ation (</w:t>
            </w:r>
            <w:r w:rsidRPr="008C1952">
              <w:rPr>
                <w:rFonts w:ascii="Times New Roman" w:eastAsia="Times New Roman" w:hAnsi="Times New Roman" w:cs="Times New Roman"/>
                <w:i/>
                <w:iCs/>
                <w:color w:val="000000" w:themeColor="text1"/>
                <w:sz w:val="16"/>
                <w:szCs w:val="16"/>
                <w:lang w:eastAsia="en-GB"/>
              </w:rPr>
              <w:t>The power to add, change, evolve, or self-organ</w:t>
            </w:r>
            <w:r w:rsidR="00ED3846">
              <w:rPr>
                <w:rFonts w:ascii="Times New Roman" w:eastAsia="Times New Roman" w:hAnsi="Times New Roman" w:cs="Times New Roman"/>
                <w:i/>
                <w:iCs/>
                <w:color w:val="000000" w:themeColor="text1"/>
                <w:sz w:val="16"/>
                <w:szCs w:val="16"/>
                <w:lang w:eastAsia="en-GB"/>
              </w:rPr>
              <w:t>is</w:t>
            </w:r>
            <w:r w:rsidRPr="008C1952">
              <w:rPr>
                <w:rFonts w:ascii="Times New Roman" w:eastAsia="Times New Roman" w:hAnsi="Times New Roman" w:cs="Times New Roman"/>
                <w:i/>
                <w:iCs/>
                <w:color w:val="000000" w:themeColor="text1"/>
                <w:sz w:val="16"/>
                <w:szCs w:val="16"/>
                <w:lang w:eastAsia="en-GB"/>
              </w:rPr>
              <w:t>e system structure changing physical structures, adding new loops, and rules)</w:t>
            </w:r>
          </w:p>
        </w:tc>
        <w:tc>
          <w:tcPr>
            <w:tcW w:w="0" w:type="auto"/>
            <w:tcBorders>
              <w:top w:val="single" w:sz="4" w:space="0" w:color="auto"/>
              <w:bottom w:val="single" w:sz="4" w:space="0" w:color="auto"/>
            </w:tcBorders>
            <w:vAlign w:val="center"/>
          </w:tcPr>
          <w:p w14:paraId="5D815887" w14:textId="72114209" w:rsidR="009C5AE9" w:rsidRPr="008C1952" w:rsidRDefault="009C5AE9" w:rsidP="00AA6B37">
            <w:pPr>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Meadows (1999)</w:t>
            </w:r>
          </w:p>
        </w:tc>
      </w:tr>
    </w:tbl>
    <w:p w14:paraId="319A9DD1" w14:textId="2DBA60B8" w:rsidR="008727A7"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681F7BF7" w14:textId="5EE34B44" w:rsidR="00123754" w:rsidRPr="008C1952" w:rsidRDefault="00123754" w:rsidP="00123754">
      <w:pPr>
        <w:pStyle w:val="Didascalia"/>
        <w:keepNext/>
        <w:rPr>
          <w:rFonts w:ascii="Times New Roman" w:hAnsi="Times New Roman" w:cs="Times New Roman"/>
          <w:i w:val="0"/>
          <w:iCs w:val="0"/>
          <w:color w:val="auto"/>
          <w:sz w:val="16"/>
          <w:szCs w:val="16"/>
        </w:rPr>
      </w:pPr>
      <w:bookmarkStart w:id="14" w:name="_Toc166589554"/>
      <w:r w:rsidRPr="008C1952">
        <w:rPr>
          <w:rFonts w:ascii="Times New Roman" w:hAnsi="Times New Roman" w:cs="Times New Roman"/>
          <w:b/>
          <w:bCs/>
          <w:i w:val="0"/>
          <w:iCs w:val="0"/>
          <w:color w:val="auto"/>
          <w:sz w:val="16"/>
          <w:szCs w:val="16"/>
        </w:rPr>
        <w:t xml:space="preserve">Supplementary Figure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Supplementary_Figure_ \* ALPHABETIC </w:instrText>
      </w:r>
      <w:r w:rsidR="00F60EFC">
        <w:rPr>
          <w:rFonts w:ascii="Times New Roman" w:hAnsi="Times New Roman" w:cs="Times New Roman"/>
          <w:b/>
          <w:bCs/>
          <w:i w:val="0"/>
          <w:iCs w:val="0"/>
          <w:color w:val="auto"/>
          <w:sz w:val="16"/>
          <w:szCs w:val="16"/>
        </w:rPr>
        <w:fldChar w:fldCharType="separate"/>
      </w:r>
      <w:r w:rsidR="002C4F8E">
        <w:rPr>
          <w:rFonts w:ascii="Times New Roman" w:hAnsi="Times New Roman" w:cs="Times New Roman"/>
          <w:b/>
          <w:bCs/>
          <w:i w:val="0"/>
          <w:iCs w:val="0"/>
          <w:noProof/>
          <w:color w:val="auto"/>
          <w:sz w:val="16"/>
          <w:szCs w:val="16"/>
        </w:rPr>
        <w:t>C</w:t>
      </w:r>
      <w:r w:rsidR="00F60EFC">
        <w:rPr>
          <w:rFonts w:ascii="Times New Roman" w:hAnsi="Times New Roman" w:cs="Times New Roman"/>
          <w:b/>
          <w:bCs/>
          <w:i w:val="0"/>
          <w:iCs w:val="0"/>
          <w:color w:val="auto"/>
          <w:sz w:val="16"/>
          <w:szCs w:val="16"/>
        </w:rPr>
        <w:fldChar w:fldCharType="end"/>
      </w:r>
      <w:r w:rsidRPr="008C1952">
        <w:rPr>
          <w:rFonts w:ascii="Times New Roman" w:hAnsi="Times New Roman" w:cs="Times New Roman"/>
          <w:b/>
          <w:bCs/>
          <w:i w:val="0"/>
          <w:iCs w:val="0"/>
          <w:color w:val="auto"/>
          <w:sz w:val="16"/>
          <w:szCs w:val="16"/>
        </w:rPr>
        <w:t>.</w:t>
      </w:r>
      <w:r w:rsidRPr="008C1952">
        <w:rPr>
          <w:rFonts w:ascii="Times New Roman" w:hAnsi="Times New Roman" w:cs="Times New Roman"/>
          <w:i w:val="0"/>
          <w:iCs w:val="0"/>
          <w:color w:val="auto"/>
          <w:sz w:val="16"/>
          <w:szCs w:val="16"/>
        </w:rPr>
        <w:t xml:space="preserve"> Framework for lock-ins classification based on </w:t>
      </w:r>
      <w:r w:rsidR="00446E57">
        <w:rPr>
          <w:rFonts w:ascii="Times New Roman" w:hAnsi="Times New Roman" w:cs="Times New Roman"/>
          <w:i w:val="0"/>
          <w:iCs w:val="0"/>
          <w:color w:val="auto"/>
          <w:sz w:val="16"/>
          <w:szCs w:val="16"/>
        </w:rPr>
        <w:fldChar w:fldCharType="begin" w:fldLock="1"/>
      </w:r>
      <w:r w:rsidR="0000565E">
        <w:rPr>
          <w:rFonts w:ascii="Times New Roman" w:hAnsi="Times New Roman" w:cs="Times New Roman"/>
          <w:i w:val="0"/>
          <w:iCs w:val="0"/>
          <w:color w:val="auto"/>
          <w:sz w:val="16"/>
          <w:szCs w:val="16"/>
        </w:rPr>
        <w:instrText>ADDIN CSL_CITATION {"citationItems":[{"id":"ITEM-1","itemData":{"DOI":"10.1016/j.cosust.2019.06.009","ISSN":"18773435","abstract":"This article discusses the socio-technical transition literature, particularly the Multi-Level Perspective, which investigates the fundamental changes in (energy, transport, housing, agro-food) systems that are needed to address persistent sustainability problems. The article positions the MLP within the wider academic debate on sustainability transformations, and reviews criticisms and seven recent elaborations of the MLP with regard to: (1) politics and power, (2) cultural discourse and framing struggles, (3) grassroots innovation, (4) multiple transition pathways, (5) incumbent firm resistance and reorientation, (6) destabilization and decline, (7) policy analysis. Mobilizing insights from the wider social sciences, these elaborations have nuanced and differentiated the understanding of socio-technical transitions to sustainability and made the MLP the central pillar of a multi-facetted, cumulative research programme with a broad empirical evidence base.","author":[{"dropping-particle":"","family":"Geels","given":"Frank W.","non-dropping-particle":"","parse-names":false,"suffix":""}],"container-title":"Current Opinion in Environmental Sustainability","id":"ITEM-1","issued":{"date-parts":[["2019"]]},"title":"Socio-technical transitions to sustainability: a review of criticisms and elaborations of the Multi-Level Perspective","type":"article"},"uris":["http://www.mendeley.com/documents/?uuid=5c8c2394-d659-482e-a8dc-41df41dcd924"]},{"id":"ITEM-2","itemData":{"DOI":"10.1016/j.respol.2011.10.015","ISSN":"00487333","abstract":"The recent policy debates about orientating research, technology and innovation policy towards societal challenges, rather than economic growth objectives only, call for new lines of argumentation to systematically legitimize policy interventions. While the multi-level perspective on long-term transitions has attracted quite some interest over the past years as a framework for dealing with long-term processes of transformative change, but the innovation systems approach is still the dominant perspective for devising innovation policy. Innovation systems approaches stress the importance of improving innovation capabilities of firms and the institutional settings to support them, but they are less suited for dealing with the strategic challenges of transforming systems of innovation, production and consumption, and thus with long-term challenges such as climate change or resource depletion. It is therefore suggested to consider insights from transition studies more prominently in a policy framework that is based on the innovation systems approach and the associated notion of 'failures'. We propose a comprehensive framework that allows legitimizing and devising policies for transformative change that draws on a combination of market failures, structural system failures and transformational system failures. © 2012 Elsevier B.V. All rights reserved.","author":[{"dropping-particle":"","family":"Weber","given":"K. Matthias","non-dropping-particle":"","parse-names":false,"suffix":""},{"dropping-particle":"","family":"Rohracher","given":"Harald","non-dropping-particle":"","parse-names":false,"suffix":""}],"container-title":"Research Policy","id":"ITEM-2","issued":{"date-parts":[["2012"]]},"title":"Legitimizing research, technology and innovation policies for transformative change: Combining insights from innovation systems and multi-level perspective in a comprehensive 'failures' framework","type":"article-journal"},"uris":["http://www.mendeley.com/documents/?uuid=450e08e9-4bfc-4443-9591-a82e2af60795"]}],"mendeley":{"formattedCitation":"(Geels, 2019; Weber and Rohracher, 2012)","plainTextFormattedCitation":"(Geels, 2019; Weber and Rohracher, 2012)","previouslyFormattedCitation":"(Geels, 2019; Weber and Rohracher, 2012)"},"properties":{"noteIndex":0},"schema":"https://github.com/citation-style-language/schema/raw/master/csl-citation.json"}</w:instrText>
      </w:r>
      <w:r w:rsidR="00446E57">
        <w:rPr>
          <w:rFonts w:ascii="Times New Roman" w:hAnsi="Times New Roman" w:cs="Times New Roman"/>
          <w:i w:val="0"/>
          <w:iCs w:val="0"/>
          <w:color w:val="auto"/>
          <w:sz w:val="16"/>
          <w:szCs w:val="16"/>
        </w:rPr>
        <w:fldChar w:fldCharType="separate"/>
      </w:r>
      <w:r w:rsidR="00446E57" w:rsidRPr="00446E57">
        <w:rPr>
          <w:rFonts w:ascii="Times New Roman" w:hAnsi="Times New Roman" w:cs="Times New Roman"/>
          <w:i w:val="0"/>
          <w:iCs w:val="0"/>
          <w:noProof/>
          <w:color w:val="auto"/>
          <w:sz w:val="16"/>
          <w:szCs w:val="16"/>
        </w:rPr>
        <w:t>(Geels, 2019; Weber and Rohracher, 2012)</w:t>
      </w:r>
      <w:bookmarkEnd w:id="14"/>
      <w:r w:rsidR="00446E57">
        <w:rPr>
          <w:rFonts w:ascii="Times New Roman" w:hAnsi="Times New Roman" w:cs="Times New Roman"/>
          <w:i w:val="0"/>
          <w:iCs w:val="0"/>
          <w:color w:val="auto"/>
          <w:sz w:val="16"/>
          <w:szCs w:val="16"/>
        </w:rPr>
        <w:fldChar w:fldCharType="end"/>
      </w:r>
    </w:p>
    <w:p w14:paraId="6690C09F" w14:textId="305B1DCD" w:rsidR="008D5259" w:rsidRDefault="008D5259" w:rsidP="00123754">
      <w:pP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noProof/>
          <w:color w:val="000000" w:themeColor="text1"/>
          <w:sz w:val="16"/>
          <w:szCs w:val="16"/>
          <w:lang w:eastAsia="en-GB"/>
        </w:rPr>
        <w:drawing>
          <wp:inline distT="0" distB="0" distL="0" distR="0" wp14:anchorId="74E994C8" wp14:editId="5B402826">
            <wp:extent cx="5819524" cy="2333625"/>
            <wp:effectExtent l="0" t="0" r="0" b="0"/>
            <wp:docPr id="575580413" name="Immagine 2" descr="Immagine che contiene testo, schermata, Carattere,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580413" name="Immagine 2" descr="Immagine che contiene testo, schermata, Carattere, design&#10;&#10;Descrizione generata automaticament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31601" cy="2338468"/>
                    </a:xfrm>
                    <a:prstGeom prst="rect">
                      <a:avLst/>
                    </a:prstGeom>
                    <a:noFill/>
                  </pic:spPr>
                </pic:pic>
              </a:graphicData>
            </a:graphic>
          </wp:inline>
        </w:drawing>
      </w:r>
    </w:p>
    <w:p w14:paraId="3F6B0623" w14:textId="7B02AC0C" w:rsidR="00311827"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554966C4" w14:textId="6CE1494E" w:rsidR="00123754" w:rsidRPr="008C1952" w:rsidRDefault="00123754" w:rsidP="00123754">
      <w:pPr>
        <w:pStyle w:val="Didascalia"/>
        <w:keepNext/>
        <w:rPr>
          <w:rFonts w:ascii="Times New Roman" w:hAnsi="Times New Roman" w:cs="Times New Roman"/>
          <w:i w:val="0"/>
          <w:iCs w:val="0"/>
          <w:color w:val="auto"/>
          <w:sz w:val="16"/>
          <w:szCs w:val="16"/>
        </w:rPr>
      </w:pPr>
      <w:bookmarkStart w:id="15" w:name="_Toc166589546"/>
      <w:r w:rsidRPr="008C1952">
        <w:rPr>
          <w:rFonts w:ascii="Times New Roman" w:hAnsi="Times New Roman" w:cs="Times New Roman"/>
          <w:b/>
          <w:bCs/>
          <w:i w:val="0"/>
          <w:iCs w:val="0"/>
          <w:color w:val="auto"/>
          <w:sz w:val="16"/>
          <w:szCs w:val="16"/>
        </w:rPr>
        <w:t xml:space="preserve">Supplementary Table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Supplementary_Table \* ALPHABETIC </w:instrText>
      </w:r>
      <w:r w:rsidR="00F60EFC">
        <w:rPr>
          <w:rFonts w:ascii="Times New Roman" w:hAnsi="Times New Roman" w:cs="Times New Roman"/>
          <w:b/>
          <w:bCs/>
          <w:i w:val="0"/>
          <w:iCs w:val="0"/>
          <w:color w:val="auto"/>
          <w:sz w:val="16"/>
          <w:szCs w:val="16"/>
        </w:rPr>
        <w:fldChar w:fldCharType="separate"/>
      </w:r>
      <w:r w:rsidR="00F60EFC">
        <w:rPr>
          <w:rFonts w:ascii="Times New Roman" w:hAnsi="Times New Roman" w:cs="Times New Roman"/>
          <w:b/>
          <w:bCs/>
          <w:i w:val="0"/>
          <w:iCs w:val="0"/>
          <w:noProof/>
          <w:color w:val="auto"/>
          <w:sz w:val="16"/>
          <w:szCs w:val="16"/>
        </w:rPr>
        <w:t>G</w:t>
      </w:r>
      <w:r w:rsidR="00F60EFC">
        <w:rPr>
          <w:rFonts w:ascii="Times New Roman" w:hAnsi="Times New Roman" w:cs="Times New Roman"/>
          <w:b/>
          <w:bCs/>
          <w:i w:val="0"/>
          <w:iCs w:val="0"/>
          <w:color w:val="auto"/>
          <w:sz w:val="16"/>
          <w:szCs w:val="16"/>
        </w:rPr>
        <w:fldChar w:fldCharType="end"/>
      </w:r>
      <w:r w:rsidRPr="008C1952">
        <w:rPr>
          <w:rFonts w:ascii="Times New Roman" w:hAnsi="Times New Roman" w:cs="Times New Roman"/>
          <w:b/>
          <w:bCs/>
          <w:i w:val="0"/>
          <w:iCs w:val="0"/>
          <w:color w:val="auto"/>
          <w:sz w:val="16"/>
          <w:szCs w:val="16"/>
        </w:rPr>
        <w:t>.</w:t>
      </w:r>
      <w:r w:rsidRPr="008C1952">
        <w:rPr>
          <w:rFonts w:ascii="Times New Roman" w:hAnsi="Times New Roman" w:cs="Times New Roman"/>
          <w:i w:val="0"/>
          <w:iCs w:val="0"/>
          <w:color w:val="auto"/>
          <w:sz w:val="16"/>
          <w:szCs w:val="16"/>
        </w:rPr>
        <w:t xml:space="preserve"> Description of failures based on</w:t>
      </w:r>
      <w:r w:rsidR="00446E57">
        <w:rPr>
          <w:rFonts w:ascii="Times New Roman" w:hAnsi="Times New Roman" w:cs="Times New Roman"/>
          <w:i w:val="0"/>
          <w:iCs w:val="0"/>
          <w:color w:val="auto"/>
          <w:sz w:val="16"/>
          <w:szCs w:val="16"/>
        </w:rPr>
        <w:t xml:space="preserve"> </w:t>
      </w:r>
      <w:r w:rsidR="00446E57">
        <w:rPr>
          <w:rFonts w:ascii="Times New Roman" w:hAnsi="Times New Roman" w:cs="Times New Roman"/>
          <w:i w:val="0"/>
          <w:iCs w:val="0"/>
          <w:color w:val="auto"/>
          <w:sz w:val="16"/>
          <w:szCs w:val="16"/>
        </w:rPr>
        <w:fldChar w:fldCharType="begin" w:fldLock="1"/>
      </w:r>
      <w:r w:rsidR="00446E57">
        <w:rPr>
          <w:rFonts w:ascii="Times New Roman" w:hAnsi="Times New Roman" w:cs="Times New Roman"/>
          <w:i w:val="0"/>
          <w:iCs w:val="0"/>
          <w:color w:val="auto"/>
          <w:sz w:val="16"/>
          <w:szCs w:val="16"/>
        </w:rPr>
        <w:instrText>ADDIN CSL_CITATION {"citationItems":[{"id":"ITEM-1","itemData":{"DOI":"10.1016/j.technovation.2003.11.002","ISSN":"01664972","abstract":"This article sets out a policy framework for implementing 'system of innovation' (SI)-based strategies. On the basis of a literature review on system failures, the study designs an SI-policy framework that can provide policy makers with practical leads how to design, analyse and evaluate policy measures in the field of innovation. The functioning of the framework is illustrated on the basis of an evaluation of Dutch cluster policy. From this illustration, it can be concluded that the SI-framework provides helpful leads for policy design and evaluation and renders more specific policy recommendations than the generally used market failure approach. © 2004 Elsevier Ltd. All rights reserved.","author":[{"dropping-particle":"","family":"Klein Woolthuis","given":"Rosalinde","non-dropping-particle":"","parse-names":false,"suffix":""},{"dropping-particle":"","family":"Lankhuizen","given":"Maureen","non-dropping-particle":"","parse-names":false,"suffix":""},{"dropping-particle":"","family":"Gilsing","given":"Victor","non-dropping-particle":"","parse-names":false,"suffix":""}],"container-title":"Technovation","id":"ITEM-1","issued":{"date-parts":[["2005"]]},"title":"A system failure framework for innovation policy design","type":"article-journal"},"uris":["http://www.mendeley.com/documents/?uuid=25699681-2eab-4aa2-b152-d720c946199c"]},{"id":"ITEM-2","itemData":{"DOI":"10.1016/j.respol.2011.10.015","ISSN":"00487333","abstract":"The recent policy debates about orientating research, technology and innovation policy towards societal challenges, rather than economic growth objectives only, call for new lines of argumentation to systematically legitimize policy interventions. While the multi-level perspective on long-term transitions has attracted quite some interest over the past years as a framework for dealing with long-term processes of transformative change, but the innovation systems approach is still the dominant perspective for devising innovation policy. Innovation systems approaches stress the importance of improving innovation capabilities of firms and the institutional settings to support them, but they are less suited for dealing with the strategic challenges of transforming systems of innovation, production and consumption, and thus with long-term challenges such as climate change or resource depletion. It is therefore suggested to consider insights from transition studies more prominently in a policy framework that is based on the innovation systems approach and the associated notion of 'failures'. We propose a comprehensive framework that allows legitimizing and devising policies for transformative change that draws on a combination of market failures, structural system failures and transformational system failures. © 2012 Elsevier B.V. All rights reserved.","author":[{"dropping-particle":"","family":"Weber","given":"K. Matthias","non-dropping-particle":"","parse-names":false,"suffix":""},{"dropping-particle":"","family":"Rohracher","given":"Harald","non-dropping-particle":"","parse-names":false,"suffix":""}],"container-title":"Research Policy","id":"ITEM-2","issued":{"date-parts":[["2012"]]},"title":"Legitimizing research, technology and innovation policies for transformative change: Combining insights from innovation systems and multi-level perspective in a comprehensive 'failures' framework","type":"article-journal"},"uris":["http://www.mendeley.com/documents/?uuid=450e08e9-4bfc-4443-9591-a82e2af60795"]}],"mendeley":{"formattedCitation":"(Klein Woolthuis et al., 2005; Weber and Rohracher, 2012)","plainTextFormattedCitation":"(Klein Woolthuis et al., 2005; Weber and Rohracher, 2012)","previouslyFormattedCitation":"(Klein Woolthuis et al., 2005; Weber and Rohracher, 2012)"},"properties":{"noteIndex":0},"schema":"https://github.com/citation-style-language/schema/raw/master/csl-citation.json"}</w:instrText>
      </w:r>
      <w:r w:rsidR="00446E57">
        <w:rPr>
          <w:rFonts w:ascii="Times New Roman" w:hAnsi="Times New Roman" w:cs="Times New Roman"/>
          <w:i w:val="0"/>
          <w:iCs w:val="0"/>
          <w:color w:val="auto"/>
          <w:sz w:val="16"/>
          <w:szCs w:val="16"/>
        </w:rPr>
        <w:fldChar w:fldCharType="separate"/>
      </w:r>
      <w:r w:rsidR="00446E57" w:rsidRPr="00446E57">
        <w:rPr>
          <w:rFonts w:ascii="Times New Roman" w:hAnsi="Times New Roman" w:cs="Times New Roman"/>
          <w:i w:val="0"/>
          <w:iCs w:val="0"/>
          <w:noProof/>
          <w:color w:val="auto"/>
          <w:sz w:val="16"/>
          <w:szCs w:val="16"/>
        </w:rPr>
        <w:t>(Klein Woolthuis et al., 2005; Weber and Rohracher, 2012)</w:t>
      </w:r>
      <w:bookmarkEnd w:id="15"/>
      <w:r w:rsidR="00446E57">
        <w:rPr>
          <w:rFonts w:ascii="Times New Roman" w:hAnsi="Times New Roman" w:cs="Times New Roman"/>
          <w:i w:val="0"/>
          <w:iCs w:val="0"/>
          <w:color w:val="auto"/>
          <w:sz w:val="16"/>
          <w:szCs w:val="16"/>
        </w:rPr>
        <w:fldChar w:fldCharType="end"/>
      </w:r>
      <w:r w:rsidRPr="008C1952">
        <w:rPr>
          <w:rFonts w:ascii="Times New Roman" w:hAnsi="Times New Roman" w:cs="Times New Roman"/>
          <w:i w:val="0"/>
          <w:iCs w:val="0"/>
          <w:color w:val="auto"/>
          <w:sz w:val="16"/>
          <w:szCs w:val="16"/>
        </w:rPr>
        <w:t xml:space="preserve"> </w:t>
      </w:r>
    </w:p>
    <w:tbl>
      <w:tblPr>
        <w:tblW w:w="5000" w:type="pct"/>
        <w:tblCellMar>
          <w:left w:w="0" w:type="dxa"/>
          <w:right w:w="0" w:type="dxa"/>
        </w:tblCellMar>
        <w:tblLook w:val="04A0" w:firstRow="1" w:lastRow="0" w:firstColumn="1" w:lastColumn="0" w:noHBand="0" w:noVBand="1"/>
      </w:tblPr>
      <w:tblGrid>
        <w:gridCol w:w="2325"/>
        <w:gridCol w:w="2105"/>
        <w:gridCol w:w="4596"/>
      </w:tblGrid>
      <w:tr w:rsidR="00282C6E" w:rsidRPr="008C1952" w14:paraId="362CB60E" w14:textId="77777777" w:rsidTr="003375CC">
        <w:trPr>
          <w:trHeight w:val="20"/>
        </w:trPr>
        <w:tc>
          <w:tcPr>
            <w:tcW w:w="1288" w:type="pct"/>
            <w:tcBorders>
              <w:top w:val="single" w:sz="4" w:space="0" w:color="000000"/>
              <w:bottom w:val="single" w:sz="4" w:space="0" w:color="000000"/>
            </w:tcBorders>
            <w:shd w:val="clear" w:color="auto" w:fill="auto"/>
            <w:tcMar>
              <w:top w:w="15" w:type="dxa"/>
              <w:left w:w="108" w:type="dxa"/>
              <w:bottom w:w="0" w:type="dxa"/>
              <w:right w:w="108" w:type="dxa"/>
            </w:tcMar>
            <w:vAlign w:val="center"/>
            <w:hideMark/>
          </w:tcPr>
          <w:p w14:paraId="78D1CF2D"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b/>
                <w:bCs/>
                <w:kern w:val="2"/>
                <w:sz w:val="16"/>
                <w:szCs w:val="16"/>
                <w:lang w:eastAsia="en-GB"/>
              </w:rPr>
              <w:t> </w:t>
            </w:r>
          </w:p>
        </w:tc>
        <w:tc>
          <w:tcPr>
            <w:tcW w:w="1166" w:type="pct"/>
            <w:tcBorders>
              <w:top w:val="single" w:sz="4" w:space="0" w:color="000000"/>
              <w:bottom w:val="single" w:sz="4" w:space="0" w:color="000000"/>
            </w:tcBorders>
            <w:shd w:val="clear" w:color="auto" w:fill="auto"/>
            <w:tcMar>
              <w:top w:w="15" w:type="dxa"/>
              <w:left w:w="108" w:type="dxa"/>
              <w:bottom w:w="0" w:type="dxa"/>
              <w:right w:w="108" w:type="dxa"/>
            </w:tcMar>
            <w:vAlign w:val="center"/>
            <w:hideMark/>
          </w:tcPr>
          <w:p w14:paraId="2405EFAE"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b/>
                <w:bCs/>
                <w:kern w:val="2"/>
                <w:sz w:val="16"/>
                <w:szCs w:val="16"/>
                <w:lang w:eastAsia="en-GB"/>
              </w:rPr>
              <w:t>Type of failure</w:t>
            </w:r>
          </w:p>
        </w:tc>
        <w:tc>
          <w:tcPr>
            <w:tcW w:w="2546" w:type="pct"/>
            <w:tcBorders>
              <w:top w:val="single" w:sz="4" w:space="0" w:color="000000"/>
              <w:bottom w:val="single" w:sz="4" w:space="0" w:color="000000"/>
            </w:tcBorders>
            <w:shd w:val="clear" w:color="auto" w:fill="auto"/>
            <w:tcMar>
              <w:top w:w="15" w:type="dxa"/>
              <w:left w:w="108" w:type="dxa"/>
              <w:bottom w:w="0" w:type="dxa"/>
              <w:right w:w="108" w:type="dxa"/>
            </w:tcMar>
            <w:vAlign w:val="center"/>
            <w:hideMark/>
          </w:tcPr>
          <w:p w14:paraId="12C8A348"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b/>
                <w:bCs/>
                <w:kern w:val="2"/>
                <w:sz w:val="16"/>
                <w:szCs w:val="16"/>
                <w:lang w:eastAsia="en-GB"/>
              </w:rPr>
              <w:t>Mechanism</w:t>
            </w:r>
          </w:p>
        </w:tc>
      </w:tr>
      <w:tr w:rsidR="00282C6E" w:rsidRPr="008C1952" w14:paraId="6AB0F10A" w14:textId="77777777" w:rsidTr="003375CC">
        <w:trPr>
          <w:trHeight w:val="20"/>
        </w:trPr>
        <w:tc>
          <w:tcPr>
            <w:tcW w:w="1288" w:type="pct"/>
            <w:tcBorders>
              <w:top w:val="single" w:sz="4" w:space="0" w:color="000000"/>
              <w:bottom w:val="single" w:sz="4" w:space="0" w:color="000000"/>
            </w:tcBorders>
            <w:shd w:val="clear" w:color="auto" w:fill="auto"/>
            <w:tcMar>
              <w:top w:w="15" w:type="dxa"/>
              <w:left w:w="108" w:type="dxa"/>
              <w:bottom w:w="0" w:type="dxa"/>
              <w:right w:w="108" w:type="dxa"/>
            </w:tcMar>
            <w:vAlign w:val="center"/>
            <w:hideMark/>
          </w:tcPr>
          <w:p w14:paraId="6C511A10"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b/>
                <w:bCs/>
                <w:kern w:val="2"/>
                <w:sz w:val="16"/>
                <w:szCs w:val="16"/>
                <w:lang w:eastAsia="en-GB"/>
              </w:rPr>
              <w:t>Market Failures</w:t>
            </w:r>
          </w:p>
        </w:tc>
        <w:tc>
          <w:tcPr>
            <w:tcW w:w="1166" w:type="pct"/>
            <w:tcBorders>
              <w:top w:val="single" w:sz="4" w:space="0" w:color="000000"/>
              <w:bottom w:val="single" w:sz="4" w:space="0" w:color="000000"/>
            </w:tcBorders>
            <w:shd w:val="clear" w:color="auto" w:fill="auto"/>
            <w:tcMar>
              <w:top w:w="15" w:type="dxa"/>
              <w:left w:w="108" w:type="dxa"/>
              <w:bottom w:w="0" w:type="dxa"/>
              <w:right w:w="108" w:type="dxa"/>
            </w:tcMar>
            <w:vAlign w:val="center"/>
            <w:hideMark/>
          </w:tcPr>
          <w:p w14:paraId="7E61D5FD" w14:textId="217533A3"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External</w:t>
            </w:r>
            <w:r w:rsidR="00ED3846">
              <w:rPr>
                <w:rFonts w:ascii="Times New Roman" w:eastAsia="Times New Roman" w:hAnsi="Times New Roman" w:cs="Times New Roman"/>
                <w:kern w:val="2"/>
                <w:sz w:val="16"/>
                <w:szCs w:val="16"/>
                <w:lang w:eastAsia="en-GB"/>
              </w:rPr>
              <w:t>is</w:t>
            </w:r>
            <w:r w:rsidRPr="008C1952">
              <w:rPr>
                <w:rFonts w:ascii="Times New Roman" w:eastAsia="Times New Roman" w:hAnsi="Times New Roman" w:cs="Times New Roman"/>
                <w:kern w:val="2"/>
                <w:sz w:val="16"/>
                <w:szCs w:val="16"/>
                <w:lang w:eastAsia="en-GB"/>
              </w:rPr>
              <w:t>ation Costs</w:t>
            </w:r>
          </w:p>
        </w:tc>
        <w:tc>
          <w:tcPr>
            <w:tcW w:w="2546" w:type="pct"/>
            <w:tcBorders>
              <w:top w:val="single" w:sz="4" w:space="0" w:color="000000"/>
              <w:bottom w:val="single" w:sz="4" w:space="0" w:color="000000"/>
            </w:tcBorders>
            <w:shd w:val="clear" w:color="auto" w:fill="auto"/>
            <w:tcMar>
              <w:top w:w="15" w:type="dxa"/>
              <w:left w:w="108" w:type="dxa"/>
              <w:bottom w:w="0" w:type="dxa"/>
              <w:right w:w="108" w:type="dxa"/>
            </w:tcMar>
            <w:vAlign w:val="center"/>
            <w:hideMark/>
          </w:tcPr>
          <w:p w14:paraId="0A5B469F" w14:textId="54ADF059"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The possibility to external</w:t>
            </w:r>
            <w:r w:rsidR="00ED3846">
              <w:rPr>
                <w:rFonts w:ascii="Times New Roman" w:eastAsia="Times New Roman" w:hAnsi="Times New Roman" w:cs="Times New Roman"/>
                <w:kern w:val="2"/>
                <w:sz w:val="16"/>
                <w:szCs w:val="16"/>
                <w:lang w:eastAsia="en-GB"/>
              </w:rPr>
              <w:t>is</w:t>
            </w:r>
            <w:r w:rsidRPr="008C1952">
              <w:rPr>
                <w:rFonts w:ascii="Times New Roman" w:eastAsia="Times New Roman" w:hAnsi="Times New Roman" w:cs="Times New Roman"/>
                <w:kern w:val="2"/>
                <w:sz w:val="16"/>
                <w:szCs w:val="16"/>
                <w:lang w:eastAsia="en-GB"/>
              </w:rPr>
              <w:t>e costs leads to innovations that can damage the environment or other social agents.</w:t>
            </w:r>
          </w:p>
        </w:tc>
      </w:tr>
      <w:tr w:rsidR="00282C6E" w:rsidRPr="008C1952" w14:paraId="6D5F27CA" w14:textId="77777777" w:rsidTr="003375CC">
        <w:trPr>
          <w:trHeight w:val="20"/>
        </w:trPr>
        <w:tc>
          <w:tcPr>
            <w:tcW w:w="1288" w:type="pct"/>
            <w:vMerge w:val="restart"/>
            <w:tcBorders>
              <w:top w:val="single" w:sz="4" w:space="0" w:color="000000"/>
            </w:tcBorders>
            <w:shd w:val="clear" w:color="auto" w:fill="auto"/>
            <w:tcMar>
              <w:top w:w="15" w:type="dxa"/>
              <w:left w:w="108" w:type="dxa"/>
              <w:bottom w:w="0" w:type="dxa"/>
              <w:right w:w="108" w:type="dxa"/>
            </w:tcMar>
            <w:vAlign w:val="center"/>
            <w:hideMark/>
          </w:tcPr>
          <w:p w14:paraId="211BFE14"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b/>
                <w:bCs/>
                <w:kern w:val="2"/>
                <w:sz w:val="16"/>
                <w:szCs w:val="16"/>
                <w:lang w:eastAsia="en-GB"/>
              </w:rPr>
              <w:t>Structural System Failures</w:t>
            </w:r>
          </w:p>
          <w:p w14:paraId="49EEF8E4" w14:textId="0CB4828F" w:rsidR="00282C6E" w:rsidRPr="008C1952" w:rsidRDefault="00282C6E" w:rsidP="00446E57">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 xml:space="preserve"> </w:t>
            </w:r>
            <w:r w:rsidR="00446E57">
              <w:rPr>
                <w:rFonts w:ascii="Times New Roman" w:eastAsia="Times New Roman" w:hAnsi="Times New Roman" w:cs="Times New Roman"/>
                <w:i/>
                <w:iCs/>
                <w:kern w:val="2"/>
                <w:sz w:val="16"/>
                <w:szCs w:val="16"/>
                <w:lang w:eastAsia="en-GB"/>
              </w:rPr>
              <w:fldChar w:fldCharType="begin" w:fldLock="1"/>
            </w:r>
            <w:r w:rsidR="00446E57">
              <w:rPr>
                <w:rFonts w:ascii="Times New Roman" w:eastAsia="Times New Roman" w:hAnsi="Times New Roman" w:cs="Times New Roman"/>
                <w:i/>
                <w:iCs/>
                <w:kern w:val="2"/>
                <w:sz w:val="16"/>
                <w:szCs w:val="16"/>
                <w:lang w:eastAsia="en-GB"/>
              </w:rPr>
              <w:instrText>ADDIN CSL_CITATION {"citationItems":[{"id":"ITEM-1","itemData":{"DOI":"10.1016/j.technovation.2003.11.002","ISSN":"01664972","abstract":"This article sets out a policy framework for implementing 'system of innovation' (SI)-based strategies. On the basis of a literature review on system failures, the study designs an SI-policy framework that can provide policy makers with practical leads how to design, analyse and evaluate policy measures in the field of innovation. The functioning of the framework is illustrated on the basis of an evaluation of Dutch cluster policy. From this illustration, it can be concluded that the SI-framework provides helpful leads for policy design and evaluation and renders more specific policy recommendations than the generally used market failure approach. © 2004 Elsevier Ltd. All rights reserved.","author":[{"dropping-particle":"","family":"Klein Woolthuis","given":"Rosalinde","non-dropping-particle":"","parse-names":false,"suffix":""},{"dropping-particle":"","family":"Lankhuizen","given":"Maureen","non-dropping-particle":"","parse-names":false,"suffix":""},{"dropping-particle":"","family":"Gilsing","given":"Victor","non-dropping-particle":"","parse-names":false,"suffix":""}],"container-title":"Technovation","id":"ITEM-1","issued":{"date-parts":[["2005"]]},"title":"A system failure framework for innovation policy design","type":"article-journal"},"uris":["http://www.mendeley.com/documents/?uuid=25699681-2eab-4aa2-b152-d720c946199c"]}],"mendeley":{"formattedCitation":"(Klein Woolthuis et al., 2005)","plainTextFormattedCitation":"(Klein Woolthuis et al., 2005)","previouslyFormattedCitation":"(Klein Woolthuis et al., 2005)"},"properties":{"noteIndex":0},"schema":"https://github.com/citation-style-language/schema/raw/master/csl-citation.json"}</w:instrText>
            </w:r>
            <w:r w:rsidR="00446E57">
              <w:rPr>
                <w:rFonts w:ascii="Times New Roman" w:eastAsia="Times New Roman" w:hAnsi="Times New Roman" w:cs="Times New Roman"/>
                <w:i/>
                <w:iCs/>
                <w:kern w:val="2"/>
                <w:sz w:val="16"/>
                <w:szCs w:val="16"/>
                <w:lang w:eastAsia="en-GB"/>
              </w:rPr>
              <w:fldChar w:fldCharType="separate"/>
            </w:r>
            <w:r w:rsidR="00446E57" w:rsidRPr="00446E57">
              <w:rPr>
                <w:rFonts w:ascii="Times New Roman" w:eastAsia="Times New Roman" w:hAnsi="Times New Roman" w:cs="Times New Roman"/>
                <w:iCs/>
                <w:noProof/>
                <w:kern w:val="2"/>
                <w:sz w:val="16"/>
                <w:szCs w:val="16"/>
                <w:lang w:eastAsia="en-GB"/>
              </w:rPr>
              <w:t>(Klein Woolthuis et al., 2005)</w:t>
            </w:r>
            <w:r w:rsidR="00446E57">
              <w:rPr>
                <w:rFonts w:ascii="Times New Roman" w:eastAsia="Times New Roman" w:hAnsi="Times New Roman" w:cs="Times New Roman"/>
                <w:i/>
                <w:iCs/>
                <w:kern w:val="2"/>
                <w:sz w:val="16"/>
                <w:szCs w:val="16"/>
                <w:lang w:eastAsia="en-GB"/>
              </w:rPr>
              <w:fldChar w:fldCharType="end"/>
            </w:r>
          </w:p>
        </w:tc>
        <w:tc>
          <w:tcPr>
            <w:tcW w:w="1166" w:type="pct"/>
            <w:tcBorders>
              <w:top w:val="single" w:sz="4" w:space="0" w:color="000000"/>
            </w:tcBorders>
            <w:shd w:val="clear" w:color="auto" w:fill="auto"/>
            <w:tcMar>
              <w:top w:w="15" w:type="dxa"/>
              <w:left w:w="108" w:type="dxa"/>
              <w:bottom w:w="0" w:type="dxa"/>
              <w:right w:w="108" w:type="dxa"/>
            </w:tcMar>
            <w:vAlign w:val="center"/>
            <w:hideMark/>
          </w:tcPr>
          <w:p w14:paraId="6FCF226F"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Infrastructural Failure</w:t>
            </w:r>
          </w:p>
        </w:tc>
        <w:tc>
          <w:tcPr>
            <w:tcW w:w="2546" w:type="pct"/>
            <w:tcBorders>
              <w:top w:val="single" w:sz="4" w:space="0" w:color="000000"/>
            </w:tcBorders>
            <w:shd w:val="clear" w:color="auto" w:fill="auto"/>
            <w:tcMar>
              <w:top w:w="15" w:type="dxa"/>
              <w:left w:w="108" w:type="dxa"/>
              <w:bottom w:w="0" w:type="dxa"/>
              <w:right w:w="108" w:type="dxa"/>
            </w:tcMar>
            <w:vAlign w:val="center"/>
            <w:hideMark/>
          </w:tcPr>
          <w:p w14:paraId="7868F3D5"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Lack or deficits in the existing physical and knowledge infrastructures</w:t>
            </w:r>
          </w:p>
        </w:tc>
      </w:tr>
      <w:tr w:rsidR="00282C6E" w:rsidRPr="008C1952" w14:paraId="04A3022D" w14:textId="77777777" w:rsidTr="003375CC">
        <w:trPr>
          <w:trHeight w:val="20"/>
        </w:trPr>
        <w:tc>
          <w:tcPr>
            <w:tcW w:w="1288" w:type="pct"/>
            <w:vMerge/>
            <w:shd w:val="clear" w:color="auto" w:fill="auto"/>
            <w:vAlign w:val="center"/>
            <w:hideMark/>
          </w:tcPr>
          <w:p w14:paraId="7686627F" w14:textId="77777777" w:rsidR="00282C6E" w:rsidRPr="008C1952" w:rsidRDefault="00282C6E" w:rsidP="00BB4F49">
            <w:pPr>
              <w:spacing w:after="0" w:line="240" w:lineRule="auto"/>
              <w:rPr>
                <w:rFonts w:ascii="Times New Roman" w:eastAsia="Times New Roman" w:hAnsi="Times New Roman" w:cs="Times New Roman"/>
                <w:sz w:val="16"/>
                <w:szCs w:val="16"/>
                <w:lang w:eastAsia="en-GB"/>
              </w:rPr>
            </w:pPr>
          </w:p>
        </w:tc>
        <w:tc>
          <w:tcPr>
            <w:tcW w:w="1166" w:type="pct"/>
            <w:shd w:val="clear" w:color="auto" w:fill="auto"/>
            <w:tcMar>
              <w:top w:w="15" w:type="dxa"/>
              <w:left w:w="108" w:type="dxa"/>
              <w:bottom w:w="0" w:type="dxa"/>
              <w:right w:w="108" w:type="dxa"/>
            </w:tcMar>
            <w:vAlign w:val="center"/>
            <w:hideMark/>
          </w:tcPr>
          <w:p w14:paraId="1C7D948E"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Institutional Failure</w:t>
            </w:r>
          </w:p>
        </w:tc>
        <w:tc>
          <w:tcPr>
            <w:tcW w:w="2546" w:type="pct"/>
            <w:shd w:val="clear" w:color="auto" w:fill="auto"/>
            <w:tcMar>
              <w:top w:w="15" w:type="dxa"/>
              <w:left w:w="108" w:type="dxa"/>
              <w:bottom w:w="0" w:type="dxa"/>
              <w:right w:w="108" w:type="dxa"/>
            </w:tcMar>
            <w:vAlign w:val="center"/>
            <w:hideMark/>
          </w:tcPr>
          <w:p w14:paraId="18B8CD27"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Absence, excess, or shortcomings of formal (regulations, and standards) or informal institutions (social norms).</w:t>
            </w:r>
          </w:p>
        </w:tc>
      </w:tr>
      <w:tr w:rsidR="00282C6E" w:rsidRPr="008C1952" w14:paraId="04ADB93B" w14:textId="77777777" w:rsidTr="003375CC">
        <w:trPr>
          <w:trHeight w:val="20"/>
        </w:trPr>
        <w:tc>
          <w:tcPr>
            <w:tcW w:w="1288" w:type="pct"/>
            <w:vMerge/>
            <w:shd w:val="clear" w:color="auto" w:fill="auto"/>
            <w:vAlign w:val="center"/>
            <w:hideMark/>
          </w:tcPr>
          <w:p w14:paraId="7C9723E1" w14:textId="77777777" w:rsidR="00282C6E" w:rsidRPr="008C1952" w:rsidRDefault="00282C6E" w:rsidP="00BB4F49">
            <w:pPr>
              <w:spacing w:after="0" w:line="240" w:lineRule="auto"/>
              <w:rPr>
                <w:rFonts w:ascii="Times New Roman" w:eastAsia="Times New Roman" w:hAnsi="Times New Roman" w:cs="Times New Roman"/>
                <w:sz w:val="16"/>
                <w:szCs w:val="16"/>
                <w:lang w:eastAsia="en-GB"/>
              </w:rPr>
            </w:pPr>
          </w:p>
        </w:tc>
        <w:tc>
          <w:tcPr>
            <w:tcW w:w="1166" w:type="pct"/>
            <w:shd w:val="clear" w:color="auto" w:fill="auto"/>
            <w:tcMar>
              <w:top w:w="15" w:type="dxa"/>
              <w:left w:w="108" w:type="dxa"/>
              <w:bottom w:w="0" w:type="dxa"/>
              <w:right w:w="108" w:type="dxa"/>
            </w:tcMar>
            <w:vAlign w:val="center"/>
            <w:hideMark/>
          </w:tcPr>
          <w:p w14:paraId="4D485D08"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Capabilities Failure</w:t>
            </w:r>
          </w:p>
        </w:tc>
        <w:tc>
          <w:tcPr>
            <w:tcW w:w="2546" w:type="pct"/>
            <w:shd w:val="clear" w:color="auto" w:fill="auto"/>
            <w:tcMar>
              <w:top w:w="15" w:type="dxa"/>
              <w:left w:w="108" w:type="dxa"/>
              <w:bottom w:w="0" w:type="dxa"/>
              <w:right w:w="108" w:type="dxa"/>
            </w:tcMar>
            <w:vAlign w:val="center"/>
            <w:hideMark/>
          </w:tcPr>
          <w:p w14:paraId="6C25E421"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Absence of the necessary capabilities to adapt to new and changing circumstances and opportunities.</w:t>
            </w:r>
          </w:p>
        </w:tc>
      </w:tr>
      <w:tr w:rsidR="00282C6E" w:rsidRPr="008C1952" w14:paraId="5F77E945" w14:textId="77777777" w:rsidTr="003375CC">
        <w:trPr>
          <w:trHeight w:val="20"/>
        </w:trPr>
        <w:tc>
          <w:tcPr>
            <w:tcW w:w="1288" w:type="pct"/>
            <w:vMerge/>
            <w:tcBorders>
              <w:bottom w:val="single" w:sz="4" w:space="0" w:color="000000"/>
            </w:tcBorders>
            <w:shd w:val="clear" w:color="auto" w:fill="auto"/>
            <w:vAlign w:val="center"/>
            <w:hideMark/>
          </w:tcPr>
          <w:p w14:paraId="17A7CE00" w14:textId="77777777" w:rsidR="00282C6E" w:rsidRPr="008C1952" w:rsidRDefault="00282C6E" w:rsidP="00BB4F49">
            <w:pPr>
              <w:spacing w:after="0" w:line="240" w:lineRule="auto"/>
              <w:rPr>
                <w:rFonts w:ascii="Times New Roman" w:eastAsia="Times New Roman" w:hAnsi="Times New Roman" w:cs="Times New Roman"/>
                <w:sz w:val="16"/>
                <w:szCs w:val="16"/>
                <w:lang w:eastAsia="en-GB"/>
              </w:rPr>
            </w:pPr>
          </w:p>
        </w:tc>
        <w:tc>
          <w:tcPr>
            <w:tcW w:w="1166" w:type="pct"/>
            <w:tcBorders>
              <w:bottom w:val="single" w:sz="4" w:space="0" w:color="000000"/>
            </w:tcBorders>
            <w:shd w:val="clear" w:color="auto" w:fill="auto"/>
            <w:tcMar>
              <w:top w:w="15" w:type="dxa"/>
              <w:left w:w="108" w:type="dxa"/>
              <w:bottom w:w="0" w:type="dxa"/>
              <w:right w:w="108" w:type="dxa"/>
            </w:tcMar>
            <w:vAlign w:val="center"/>
            <w:hideMark/>
          </w:tcPr>
          <w:p w14:paraId="1B968701"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Network Failures</w:t>
            </w:r>
          </w:p>
        </w:tc>
        <w:tc>
          <w:tcPr>
            <w:tcW w:w="2546" w:type="pct"/>
            <w:tcBorders>
              <w:bottom w:val="single" w:sz="4" w:space="0" w:color="000000"/>
            </w:tcBorders>
            <w:shd w:val="clear" w:color="auto" w:fill="auto"/>
            <w:tcMar>
              <w:top w:w="15" w:type="dxa"/>
              <w:left w:w="108" w:type="dxa"/>
              <w:bottom w:w="0" w:type="dxa"/>
              <w:right w:w="108" w:type="dxa"/>
            </w:tcMar>
            <w:vAlign w:val="center"/>
            <w:hideMark/>
          </w:tcPr>
          <w:p w14:paraId="78C60342"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Closely tied networks, lack of weak ties to third actors and dependence on dominant partner</w:t>
            </w:r>
          </w:p>
        </w:tc>
      </w:tr>
      <w:tr w:rsidR="00282C6E" w:rsidRPr="008C1952" w14:paraId="2BB0CFF4" w14:textId="77777777" w:rsidTr="003375CC">
        <w:trPr>
          <w:trHeight w:val="20"/>
        </w:trPr>
        <w:tc>
          <w:tcPr>
            <w:tcW w:w="1288" w:type="pct"/>
            <w:vMerge w:val="restart"/>
            <w:tcBorders>
              <w:top w:val="single" w:sz="4" w:space="0" w:color="000000"/>
            </w:tcBorders>
            <w:shd w:val="clear" w:color="auto" w:fill="auto"/>
            <w:tcMar>
              <w:top w:w="15" w:type="dxa"/>
              <w:left w:w="108" w:type="dxa"/>
              <w:bottom w:w="0" w:type="dxa"/>
              <w:right w:w="108" w:type="dxa"/>
            </w:tcMar>
            <w:vAlign w:val="center"/>
            <w:hideMark/>
          </w:tcPr>
          <w:p w14:paraId="163CE44B"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b/>
                <w:bCs/>
                <w:kern w:val="2"/>
                <w:sz w:val="16"/>
                <w:szCs w:val="16"/>
                <w:lang w:eastAsia="en-GB"/>
              </w:rPr>
              <w:t>Transformational System Failures</w:t>
            </w:r>
          </w:p>
          <w:p w14:paraId="390EDE20" w14:textId="0F288FC6" w:rsidR="00282C6E" w:rsidRPr="008C1952" w:rsidRDefault="00446E57" w:rsidP="00BB4F49">
            <w:pPr>
              <w:spacing w:after="0" w:line="256" w:lineRule="auto"/>
              <w:jc w:val="center"/>
              <w:rPr>
                <w:rFonts w:ascii="Times New Roman" w:eastAsia="Times New Roman" w:hAnsi="Times New Roman" w:cs="Times New Roman"/>
                <w:sz w:val="16"/>
                <w:szCs w:val="16"/>
                <w:lang w:eastAsia="en-GB"/>
              </w:rPr>
            </w:pPr>
            <w:r>
              <w:rPr>
                <w:rFonts w:ascii="Times New Roman" w:eastAsia="Times New Roman" w:hAnsi="Times New Roman" w:cs="Times New Roman"/>
                <w:kern w:val="2"/>
                <w:sz w:val="16"/>
                <w:szCs w:val="16"/>
                <w:lang w:eastAsia="en-GB"/>
              </w:rPr>
              <w:fldChar w:fldCharType="begin" w:fldLock="1"/>
            </w:r>
            <w:r>
              <w:rPr>
                <w:rFonts w:ascii="Times New Roman" w:eastAsia="Times New Roman" w:hAnsi="Times New Roman" w:cs="Times New Roman"/>
                <w:kern w:val="2"/>
                <w:sz w:val="16"/>
                <w:szCs w:val="16"/>
                <w:lang w:eastAsia="en-GB"/>
              </w:rPr>
              <w:instrText>ADDIN CSL_CITATION {"citationItems":[{"id":"ITEM-1","itemData":{"DOI":"10.1016/j.respol.2011.10.015","ISSN":"00487333","abstract":"The recent policy debates about orientating research, technology and innovation policy towards societal challenges, rather than economic growth objectives only, call for new lines of argumentation to systematically legitimize policy interventions. While the multi-level perspective on long-term transitions has attracted quite some interest over the past years as a framework for dealing with long-term processes of transformative change, but the innovation systems approach is still the dominant perspective for devising innovation policy. Innovation systems approaches stress the importance of improving innovation capabilities of firms and the institutional settings to support them, but they are less suited for dealing with the strategic challenges of transforming systems of innovation, production and consumption, and thus with long-term challenges such as climate change or resource depletion. It is therefore suggested to consider insights from transition studies more prominently in a policy framework that is based on the innovation systems approach and the associated notion of 'failures'. We propose a comprehensive framework that allows legitimizing and devising policies for transformative change that draws on a combination of market failures, structural system failures and transformational system failures. © 2012 Elsevier B.V. All rights reserved.","author":[{"dropping-particle":"","family":"Weber","given":"K. Matthias","non-dropping-particle":"","parse-names":false,"suffix":""},{"dropping-particle":"","family":"Rohracher","given":"Harald","non-dropping-particle":"","parse-names":false,"suffix":""}],"container-title":"Research Policy","id":"ITEM-1","issued":{"date-parts":[["2012"]]},"title":"Legitimizing research, technology and innovation policies for transformative change: Combining insights from innovation systems and multi-level perspective in a comprehensive 'failures' framework","type":"article-journal"},"uris":["http://www.mendeley.com/documents/?uuid=450e08e9-4bfc-4443-9591-a82e2af60795"]}],"mendeley":{"formattedCitation":"(Weber and Rohracher, 2012)","plainTextFormattedCitation":"(Weber and Rohracher, 2012)","previouslyFormattedCitation":"(Weber and Rohracher, 2012)"},"properties":{"noteIndex":0},"schema":"https://github.com/citation-style-language/schema/raw/master/csl-citation.json"}</w:instrText>
            </w:r>
            <w:r>
              <w:rPr>
                <w:rFonts w:ascii="Times New Roman" w:eastAsia="Times New Roman" w:hAnsi="Times New Roman" w:cs="Times New Roman"/>
                <w:kern w:val="2"/>
                <w:sz w:val="16"/>
                <w:szCs w:val="16"/>
                <w:lang w:eastAsia="en-GB"/>
              </w:rPr>
              <w:fldChar w:fldCharType="separate"/>
            </w:r>
            <w:r w:rsidRPr="00446E57">
              <w:rPr>
                <w:rFonts w:ascii="Times New Roman" w:eastAsia="Times New Roman" w:hAnsi="Times New Roman" w:cs="Times New Roman"/>
                <w:noProof/>
                <w:kern w:val="2"/>
                <w:sz w:val="16"/>
                <w:szCs w:val="16"/>
                <w:lang w:eastAsia="en-GB"/>
              </w:rPr>
              <w:t>(Weber and Rohracher, 2012)</w:t>
            </w:r>
            <w:r>
              <w:rPr>
                <w:rFonts w:ascii="Times New Roman" w:eastAsia="Times New Roman" w:hAnsi="Times New Roman" w:cs="Times New Roman"/>
                <w:kern w:val="2"/>
                <w:sz w:val="16"/>
                <w:szCs w:val="16"/>
                <w:lang w:eastAsia="en-GB"/>
              </w:rPr>
              <w:fldChar w:fldCharType="end"/>
            </w:r>
          </w:p>
        </w:tc>
        <w:tc>
          <w:tcPr>
            <w:tcW w:w="1166" w:type="pct"/>
            <w:tcBorders>
              <w:top w:val="single" w:sz="4" w:space="0" w:color="000000"/>
            </w:tcBorders>
            <w:shd w:val="clear" w:color="auto" w:fill="auto"/>
            <w:tcMar>
              <w:top w:w="15" w:type="dxa"/>
              <w:left w:w="108" w:type="dxa"/>
              <w:bottom w:w="0" w:type="dxa"/>
              <w:right w:w="108" w:type="dxa"/>
            </w:tcMar>
            <w:vAlign w:val="center"/>
            <w:hideMark/>
          </w:tcPr>
          <w:p w14:paraId="0A6C330A"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Directionality Failure</w:t>
            </w:r>
          </w:p>
        </w:tc>
        <w:tc>
          <w:tcPr>
            <w:tcW w:w="2546" w:type="pct"/>
            <w:tcBorders>
              <w:top w:val="single" w:sz="4" w:space="0" w:color="000000"/>
            </w:tcBorders>
            <w:shd w:val="clear" w:color="auto" w:fill="auto"/>
            <w:tcMar>
              <w:top w:w="15" w:type="dxa"/>
              <w:left w:w="108" w:type="dxa"/>
              <w:bottom w:w="0" w:type="dxa"/>
              <w:right w:w="108" w:type="dxa"/>
            </w:tcMar>
            <w:vAlign w:val="center"/>
            <w:hideMark/>
          </w:tcPr>
          <w:p w14:paraId="73EED00F"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Lack of shared vision and of collective coordination of agents in shaping systemic change</w:t>
            </w:r>
          </w:p>
        </w:tc>
      </w:tr>
      <w:tr w:rsidR="00282C6E" w:rsidRPr="008C1952" w14:paraId="7D69B4B7" w14:textId="77777777" w:rsidTr="003375CC">
        <w:trPr>
          <w:trHeight w:val="20"/>
        </w:trPr>
        <w:tc>
          <w:tcPr>
            <w:tcW w:w="1288" w:type="pct"/>
            <w:vMerge/>
            <w:shd w:val="clear" w:color="auto" w:fill="auto"/>
            <w:vAlign w:val="center"/>
            <w:hideMark/>
          </w:tcPr>
          <w:p w14:paraId="39268AE6" w14:textId="77777777" w:rsidR="00282C6E" w:rsidRPr="008C1952" w:rsidRDefault="00282C6E" w:rsidP="00BB4F49">
            <w:pPr>
              <w:spacing w:after="0" w:line="240" w:lineRule="auto"/>
              <w:rPr>
                <w:rFonts w:ascii="Times New Roman" w:eastAsia="Times New Roman" w:hAnsi="Times New Roman" w:cs="Times New Roman"/>
                <w:sz w:val="16"/>
                <w:szCs w:val="16"/>
                <w:lang w:eastAsia="en-GB"/>
              </w:rPr>
            </w:pPr>
          </w:p>
        </w:tc>
        <w:tc>
          <w:tcPr>
            <w:tcW w:w="1166" w:type="pct"/>
            <w:shd w:val="clear" w:color="auto" w:fill="auto"/>
            <w:tcMar>
              <w:top w:w="15" w:type="dxa"/>
              <w:left w:w="108" w:type="dxa"/>
              <w:bottom w:w="0" w:type="dxa"/>
              <w:right w:w="108" w:type="dxa"/>
            </w:tcMar>
            <w:vAlign w:val="center"/>
            <w:hideMark/>
          </w:tcPr>
          <w:p w14:paraId="16AB696E"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Policy coordination Failure</w:t>
            </w:r>
          </w:p>
        </w:tc>
        <w:tc>
          <w:tcPr>
            <w:tcW w:w="2546" w:type="pct"/>
            <w:shd w:val="clear" w:color="auto" w:fill="auto"/>
            <w:tcMar>
              <w:top w:w="15" w:type="dxa"/>
              <w:left w:w="108" w:type="dxa"/>
              <w:bottom w:w="0" w:type="dxa"/>
              <w:right w:w="108" w:type="dxa"/>
            </w:tcMar>
            <w:vAlign w:val="center"/>
            <w:hideMark/>
          </w:tcPr>
          <w:p w14:paraId="48F86C90"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Lack of multi-level policy coordination across different systemic levels</w:t>
            </w:r>
          </w:p>
        </w:tc>
      </w:tr>
      <w:tr w:rsidR="00282C6E" w:rsidRPr="008C1952" w14:paraId="1C4AF276" w14:textId="77777777" w:rsidTr="003375CC">
        <w:trPr>
          <w:trHeight w:val="20"/>
        </w:trPr>
        <w:tc>
          <w:tcPr>
            <w:tcW w:w="1288" w:type="pct"/>
            <w:vMerge/>
            <w:shd w:val="clear" w:color="auto" w:fill="auto"/>
            <w:vAlign w:val="center"/>
            <w:hideMark/>
          </w:tcPr>
          <w:p w14:paraId="5B46B99B" w14:textId="77777777" w:rsidR="00282C6E" w:rsidRPr="008C1952" w:rsidRDefault="00282C6E" w:rsidP="00BB4F49">
            <w:pPr>
              <w:spacing w:after="0" w:line="240" w:lineRule="auto"/>
              <w:rPr>
                <w:rFonts w:ascii="Times New Roman" w:eastAsia="Times New Roman" w:hAnsi="Times New Roman" w:cs="Times New Roman"/>
                <w:sz w:val="16"/>
                <w:szCs w:val="16"/>
                <w:lang w:eastAsia="en-GB"/>
              </w:rPr>
            </w:pPr>
          </w:p>
        </w:tc>
        <w:tc>
          <w:tcPr>
            <w:tcW w:w="1166" w:type="pct"/>
            <w:shd w:val="clear" w:color="auto" w:fill="auto"/>
            <w:tcMar>
              <w:top w:w="15" w:type="dxa"/>
              <w:left w:w="108" w:type="dxa"/>
              <w:bottom w:w="0" w:type="dxa"/>
              <w:right w:w="108" w:type="dxa"/>
            </w:tcMar>
            <w:vAlign w:val="center"/>
            <w:hideMark/>
          </w:tcPr>
          <w:p w14:paraId="434B4327"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Demand articulation Failure</w:t>
            </w:r>
          </w:p>
        </w:tc>
        <w:tc>
          <w:tcPr>
            <w:tcW w:w="2546" w:type="pct"/>
            <w:shd w:val="clear" w:color="auto" w:fill="auto"/>
            <w:tcMar>
              <w:top w:w="15" w:type="dxa"/>
              <w:left w:w="108" w:type="dxa"/>
              <w:bottom w:w="0" w:type="dxa"/>
              <w:right w:w="108" w:type="dxa"/>
            </w:tcMar>
            <w:vAlign w:val="center"/>
            <w:hideMark/>
          </w:tcPr>
          <w:p w14:paraId="395C12D3" w14:textId="19417ED0"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Deficit in anticipating and learning about food actors needs</w:t>
            </w:r>
          </w:p>
        </w:tc>
      </w:tr>
      <w:tr w:rsidR="00282C6E" w:rsidRPr="008C1952" w14:paraId="3BDE179A" w14:textId="77777777" w:rsidTr="003375CC">
        <w:trPr>
          <w:trHeight w:val="20"/>
        </w:trPr>
        <w:tc>
          <w:tcPr>
            <w:tcW w:w="1288" w:type="pct"/>
            <w:vMerge/>
            <w:tcBorders>
              <w:bottom w:val="single" w:sz="4" w:space="0" w:color="000000"/>
            </w:tcBorders>
            <w:shd w:val="clear" w:color="auto" w:fill="auto"/>
            <w:vAlign w:val="center"/>
            <w:hideMark/>
          </w:tcPr>
          <w:p w14:paraId="02444920" w14:textId="77777777" w:rsidR="00282C6E" w:rsidRPr="008C1952" w:rsidRDefault="00282C6E" w:rsidP="00BB4F49">
            <w:pPr>
              <w:spacing w:after="0" w:line="240" w:lineRule="auto"/>
              <w:rPr>
                <w:rFonts w:ascii="Times New Roman" w:eastAsia="Times New Roman" w:hAnsi="Times New Roman" w:cs="Times New Roman"/>
                <w:sz w:val="16"/>
                <w:szCs w:val="16"/>
                <w:lang w:eastAsia="en-GB"/>
              </w:rPr>
            </w:pPr>
          </w:p>
        </w:tc>
        <w:tc>
          <w:tcPr>
            <w:tcW w:w="1166" w:type="pct"/>
            <w:tcBorders>
              <w:bottom w:val="single" w:sz="4" w:space="0" w:color="000000"/>
            </w:tcBorders>
            <w:shd w:val="clear" w:color="auto" w:fill="auto"/>
            <w:tcMar>
              <w:top w:w="15" w:type="dxa"/>
              <w:left w:w="108" w:type="dxa"/>
              <w:bottom w:w="0" w:type="dxa"/>
              <w:right w:w="108" w:type="dxa"/>
            </w:tcMar>
            <w:vAlign w:val="center"/>
            <w:hideMark/>
          </w:tcPr>
          <w:p w14:paraId="10B60334"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Reflexivity failure</w:t>
            </w:r>
          </w:p>
        </w:tc>
        <w:tc>
          <w:tcPr>
            <w:tcW w:w="2546" w:type="pct"/>
            <w:tcBorders>
              <w:bottom w:val="single" w:sz="4" w:space="0" w:color="000000"/>
            </w:tcBorders>
            <w:shd w:val="clear" w:color="auto" w:fill="auto"/>
            <w:tcMar>
              <w:top w:w="15" w:type="dxa"/>
              <w:left w:w="108" w:type="dxa"/>
              <w:bottom w:w="0" w:type="dxa"/>
              <w:right w:w="108" w:type="dxa"/>
            </w:tcMar>
            <w:vAlign w:val="center"/>
            <w:hideMark/>
          </w:tcPr>
          <w:p w14:paraId="31A5ACAC" w14:textId="77777777" w:rsidR="00282C6E" w:rsidRPr="008C1952" w:rsidRDefault="00282C6E" w:rsidP="00BB4F49">
            <w:pPr>
              <w:spacing w:after="0" w:line="256" w:lineRule="auto"/>
              <w:jc w:val="center"/>
              <w:rPr>
                <w:rFonts w:ascii="Times New Roman" w:eastAsia="Times New Roman" w:hAnsi="Times New Roman" w:cs="Times New Roman"/>
                <w:sz w:val="16"/>
                <w:szCs w:val="16"/>
                <w:lang w:eastAsia="en-GB"/>
              </w:rPr>
            </w:pPr>
            <w:r w:rsidRPr="008C1952">
              <w:rPr>
                <w:rFonts w:ascii="Times New Roman" w:eastAsia="Times New Roman" w:hAnsi="Times New Roman" w:cs="Times New Roman"/>
                <w:kern w:val="2"/>
                <w:sz w:val="16"/>
                <w:szCs w:val="16"/>
                <w:lang w:eastAsia="en-GB"/>
              </w:rPr>
              <w:t>Insufficient ability of the system to monitor, anticipate and involve actors in processes of self-governance</w:t>
            </w:r>
          </w:p>
        </w:tc>
      </w:tr>
    </w:tbl>
    <w:p w14:paraId="6F146777" w14:textId="77777777" w:rsidR="00311827"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052EFBA9" w14:textId="77777777" w:rsidR="0045658D" w:rsidRPr="008C1952" w:rsidRDefault="0045658D" w:rsidP="008D5259">
      <w:pPr>
        <w:rPr>
          <w:rFonts w:ascii="Times New Roman" w:eastAsia="Times New Roman" w:hAnsi="Times New Roman" w:cs="Times New Roman"/>
          <w:b/>
          <w:bCs/>
          <w:color w:val="000000" w:themeColor="text1"/>
          <w:sz w:val="16"/>
          <w:szCs w:val="16"/>
          <w:lang w:eastAsia="en-GB"/>
        </w:rPr>
      </w:pPr>
    </w:p>
    <w:p w14:paraId="2FA227DD" w14:textId="1B1F5965" w:rsidR="001111B8" w:rsidRPr="008C1952" w:rsidRDefault="001111B8" w:rsidP="001111B8">
      <w:pPr>
        <w:pStyle w:val="Didascalia"/>
        <w:keepNext/>
        <w:rPr>
          <w:rFonts w:ascii="Times New Roman" w:hAnsi="Times New Roman" w:cs="Times New Roman"/>
          <w:i w:val="0"/>
          <w:iCs w:val="0"/>
          <w:color w:val="auto"/>
          <w:sz w:val="16"/>
          <w:szCs w:val="16"/>
        </w:rPr>
      </w:pPr>
      <w:bookmarkStart w:id="16" w:name="_Toc166589547"/>
      <w:r w:rsidRPr="008C1952">
        <w:rPr>
          <w:rFonts w:ascii="Times New Roman" w:hAnsi="Times New Roman" w:cs="Times New Roman"/>
          <w:b/>
          <w:bCs/>
          <w:i w:val="0"/>
          <w:iCs w:val="0"/>
          <w:color w:val="auto"/>
          <w:sz w:val="16"/>
          <w:szCs w:val="16"/>
        </w:rPr>
        <w:t xml:space="preserve">Supplementary Table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Supplementary_Table \* ALPHABETIC </w:instrText>
      </w:r>
      <w:r w:rsidR="00F60EFC">
        <w:rPr>
          <w:rFonts w:ascii="Times New Roman" w:hAnsi="Times New Roman" w:cs="Times New Roman"/>
          <w:b/>
          <w:bCs/>
          <w:i w:val="0"/>
          <w:iCs w:val="0"/>
          <w:color w:val="auto"/>
          <w:sz w:val="16"/>
          <w:szCs w:val="16"/>
        </w:rPr>
        <w:fldChar w:fldCharType="separate"/>
      </w:r>
      <w:r w:rsidR="00F60EFC">
        <w:rPr>
          <w:rFonts w:ascii="Times New Roman" w:hAnsi="Times New Roman" w:cs="Times New Roman"/>
          <w:b/>
          <w:bCs/>
          <w:i w:val="0"/>
          <w:iCs w:val="0"/>
          <w:noProof/>
          <w:color w:val="auto"/>
          <w:sz w:val="16"/>
          <w:szCs w:val="16"/>
        </w:rPr>
        <w:t>H</w:t>
      </w:r>
      <w:r w:rsidR="00F60EFC">
        <w:rPr>
          <w:rFonts w:ascii="Times New Roman" w:hAnsi="Times New Roman" w:cs="Times New Roman"/>
          <w:b/>
          <w:bCs/>
          <w:i w:val="0"/>
          <w:iCs w:val="0"/>
          <w:color w:val="auto"/>
          <w:sz w:val="16"/>
          <w:szCs w:val="16"/>
        </w:rPr>
        <w:fldChar w:fldCharType="end"/>
      </w:r>
      <w:r w:rsidRPr="008C1952">
        <w:rPr>
          <w:rFonts w:ascii="Times New Roman" w:hAnsi="Times New Roman" w:cs="Times New Roman"/>
          <w:b/>
          <w:bCs/>
          <w:i w:val="0"/>
          <w:iCs w:val="0"/>
          <w:color w:val="auto"/>
          <w:sz w:val="16"/>
          <w:szCs w:val="16"/>
        </w:rPr>
        <w:t>.</w:t>
      </w:r>
      <w:r w:rsidRPr="008C1952">
        <w:rPr>
          <w:rFonts w:ascii="Times New Roman" w:hAnsi="Times New Roman" w:cs="Times New Roman"/>
          <w:i w:val="0"/>
          <w:iCs w:val="0"/>
          <w:color w:val="auto"/>
          <w:sz w:val="16"/>
          <w:szCs w:val="16"/>
        </w:rPr>
        <w:t xml:space="preserve"> Description of Leverage Points</w:t>
      </w:r>
      <w:r w:rsidR="00423BD8" w:rsidRPr="008C1952">
        <w:rPr>
          <w:rFonts w:ascii="Times New Roman" w:hAnsi="Times New Roman" w:cs="Times New Roman"/>
          <w:i w:val="0"/>
          <w:iCs w:val="0"/>
          <w:color w:val="auto"/>
          <w:sz w:val="16"/>
          <w:szCs w:val="16"/>
        </w:rPr>
        <w:t xml:space="preserve"> for systemic interventions</w:t>
      </w:r>
      <w:r w:rsidRPr="008C1952">
        <w:rPr>
          <w:rFonts w:ascii="Times New Roman" w:hAnsi="Times New Roman" w:cs="Times New Roman"/>
          <w:i w:val="0"/>
          <w:iCs w:val="0"/>
          <w:color w:val="auto"/>
          <w:sz w:val="16"/>
          <w:szCs w:val="16"/>
        </w:rPr>
        <w:t xml:space="preserve"> </w:t>
      </w:r>
      <w:r w:rsidR="00423BD8" w:rsidRPr="008C1952">
        <w:rPr>
          <w:rFonts w:ascii="Times New Roman" w:hAnsi="Times New Roman" w:cs="Times New Roman"/>
          <w:i w:val="0"/>
          <w:iCs w:val="0"/>
          <w:color w:val="auto"/>
          <w:sz w:val="16"/>
          <w:szCs w:val="16"/>
        </w:rPr>
        <w:t>from the least to the most effective based</w:t>
      </w:r>
      <w:r w:rsidRPr="008C1952">
        <w:rPr>
          <w:rFonts w:ascii="Times New Roman" w:hAnsi="Times New Roman" w:cs="Times New Roman"/>
          <w:i w:val="0"/>
          <w:iCs w:val="0"/>
          <w:color w:val="auto"/>
          <w:sz w:val="16"/>
          <w:szCs w:val="16"/>
        </w:rPr>
        <w:t xml:space="preserve"> </w:t>
      </w:r>
      <w:r w:rsidR="00423BD8" w:rsidRPr="008C1952">
        <w:rPr>
          <w:rFonts w:ascii="Times New Roman" w:hAnsi="Times New Roman" w:cs="Times New Roman"/>
          <w:i w:val="0"/>
          <w:iCs w:val="0"/>
          <w:color w:val="auto"/>
          <w:sz w:val="16"/>
          <w:szCs w:val="16"/>
        </w:rPr>
        <w:t>on</w:t>
      </w:r>
      <w:r w:rsidRPr="008C1952">
        <w:rPr>
          <w:rFonts w:ascii="Times New Roman" w:hAnsi="Times New Roman" w:cs="Times New Roman"/>
          <w:i w:val="0"/>
          <w:iCs w:val="0"/>
          <w:color w:val="auto"/>
          <w:sz w:val="16"/>
          <w:szCs w:val="16"/>
        </w:rPr>
        <w:t xml:space="preserve"> </w:t>
      </w:r>
      <w:r w:rsidR="0000565E">
        <w:rPr>
          <w:rFonts w:ascii="Times New Roman" w:hAnsi="Times New Roman" w:cs="Times New Roman"/>
          <w:i w:val="0"/>
          <w:iCs w:val="0"/>
          <w:color w:val="auto"/>
          <w:sz w:val="16"/>
          <w:szCs w:val="16"/>
        </w:rPr>
        <w:fldChar w:fldCharType="begin" w:fldLock="1"/>
      </w:r>
      <w:r w:rsidR="0000565E">
        <w:rPr>
          <w:rFonts w:ascii="Times New Roman" w:hAnsi="Times New Roman" w:cs="Times New Roman"/>
          <w:i w:val="0"/>
          <w:iCs w:val="0"/>
          <w:color w:val="auto"/>
          <w:sz w:val="16"/>
          <w:szCs w:val="16"/>
        </w:rPr>
        <w:instrText>ADDIN CSL_CITATION {"citationItems":[{"id":"ITEM-1","itemData":{"abstract":"By Donella Meadows~ Folks who do systems analysis have a great belief in “leverage points.” These are places within a complex system (a corporation, an economy, a living body, a city, an ecosystem) where a small shift in one thing can produce big changes in everything. This idea is not unique to systems analysis — …","author":[{"dropping-particle":"","family":"Meadows","given":"Donella","non-dropping-particle":"","parse-names":false,"suffix":""}],"container-title":"Academy for Systems Change","id":"ITEM-1","issued":{"date-parts":[["1999"]]},"title":"Leverage Points: Places to Intervene in a System - The Donella Meadows Project","type":"article-journal"},"uris":["http://www.mendeley.com/documents/?uuid=648e3d43-bef5-4dd5-84dd-63c8e09c548a"]}],"mendeley":{"formattedCitation":"(Meadows, 1999)","plainTextFormattedCitation":"(Meadows, 1999)","previouslyFormattedCitation":"(Meadows, 1999)"},"properties":{"noteIndex":0},"schema":"https://github.com/citation-style-language/schema/raw/master/csl-citation.json"}</w:instrText>
      </w:r>
      <w:r w:rsidR="0000565E">
        <w:rPr>
          <w:rFonts w:ascii="Times New Roman" w:hAnsi="Times New Roman" w:cs="Times New Roman"/>
          <w:i w:val="0"/>
          <w:iCs w:val="0"/>
          <w:color w:val="auto"/>
          <w:sz w:val="16"/>
          <w:szCs w:val="16"/>
        </w:rPr>
        <w:fldChar w:fldCharType="separate"/>
      </w:r>
      <w:r w:rsidR="0000565E" w:rsidRPr="0000565E">
        <w:rPr>
          <w:rFonts w:ascii="Times New Roman" w:hAnsi="Times New Roman" w:cs="Times New Roman"/>
          <w:i w:val="0"/>
          <w:iCs w:val="0"/>
          <w:noProof/>
          <w:color w:val="auto"/>
          <w:sz w:val="16"/>
          <w:szCs w:val="16"/>
        </w:rPr>
        <w:t>(Meadows, 1999)</w:t>
      </w:r>
      <w:bookmarkEnd w:id="16"/>
      <w:r w:rsidR="0000565E">
        <w:rPr>
          <w:rFonts w:ascii="Times New Roman" w:hAnsi="Times New Roman" w:cs="Times New Roman"/>
          <w:i w:val="0"/>
          <w:iCs w:val="0"/>
          <w:color w:val="auto"/>
          <w:sz w:val="16"/>
          <w:szCs w:val="16"/>
        </w:rPr>
        <w:fldChar w:fldCharType="end"/>
      </w:r>
    </w:p>
    <w:tbl>
      <w:tblPr>
        <w:tblW w:w="0" w:type="auto"/>
        <w:tblCellMar>
          <w:top w:w="15" w:type="dxa"/>
          <w:bottom w:w="15" w:type="dxa"/>
        </w:tblCellMar>
        <w:tblLook w:val="04A0" w:firstRow="1" w:lastRow="0" w:firstColumn="1" w:lastColumn="0" w:noHBand="0" w:noVBand="1"/>
      </w:tblPr>
      <w:tblGrid>
        <w:gridCol w:w="1167"/>
        <w:gridCol w:w="3225"/>
        <w:gridCol w:w="4634"/>
      </w:tblGrid>
      <w:tr w:rsidR="0045658D" w:rsidRPr="008C1952" w14:paraId="4091D67A" w14:textId="77777777" w:rsidTr="001111B8">
        <w:trPr>
          <w:trHeight w:val="20"/>
        </w:trPr>
        <w:tc>
          <w:tcPr>
            <w:tcW w:w="1167" w:type="dxa"/>
            <w:tcBorders>
              <w:top w:val="single" w:sz="4" w:space="0" w:color="auto"/>
              <w:bottom w:val="single" w:sz="4" w:space="0" w:color="auto"/>
            </w:tcBorders>
            <w:shd w:val="clear" w:color="auto" w:fill="auto"/>
            <w:vAlign w:val="center"/>
            <w:hideMark/>
          </w:tcPr>
          <w:p w14:paraId="7987E320" w14:textId="76793498" w:rsidR="0045658D" w:rsidRPr="008C1952" w:rsidRDefault="0045658D" w:rsidP="0045658D">
            <w:pPr>
              <w:spacing w:after="0"/>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Order of effectiveness</w:t>
            </w:r>
          </w:p>
        </w:tc>
        <w:tc>
          <w:tcPr>
            <w:tcW w:w="3225" w:type="dxa"/>
            <w:tcBorders>
              <w:top w:val="single" w:sz="4" w:space="0" w:color="auto"/>
              <w:bottom w:val="single" w:sz="4" w:space="0" w:color="auto"/>
            </w:tcBorders>
            <w:shd w:val="clear" w:color="auto" w:fill="auto"/>
            <w:vAlign w:val="center"/>
            <w:hideMark/>
          </w:tcPr>
          <w:p w14:paraId="6D214AAF" w14:textId="22E39FE2" w:rsidR="0045658D" w:rsidRPr="008C1952" w:rsidRDefault="0045658D" w:rsidP="0045658D">
            <w:pPr>
              <w:spacing w:after="0"/>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Leverage Points</w:t>
            </w:r>
          </w:p>
        </w:tc>
        <w:tc>
          <w:tcPr>
            <w:tcW w:w="0" w:type="auto"/>
            <w:tcBorders>
              <w:top w:val="single" w:sz="4" w:space="0" w:color="auto"/>
              <w:bottom w:val="single" w:sz="4" w:space="0" w:color="auto"/>
            </w:tcBorders>
            <w:shd w:val="clear" w:color="auto" w:fill="auto"/>
            <w:noWrap/>
            <w:vAlign w:val="center"/>
            <w:hideMark/>
          </w:tcPr>
          <w:p w14:paraId="313B073F" w14:textId="117973E7" w:rsidR="0045658D" w:rsidRPr="008C1952" w:rsidRDefault="0045658D" w:rsidP="0045658D">
            <w:pPr>
              <w:spacing w:after="0"/>
              <w:jc w:val="center"/>
              <w:rPr>
                <w:rFonts w:ascii="Times New Roman" w:eastAsia="Times New Roman" w:hAnsi="Times New Roman" w:cs="Times New Roman"/>
                <w:b/>
                <w:bCs/>
                <w:color w:val="000000" w:themeColor="text1"/>
                <w:sz w:val="16"/>
                <w:szCs w:val="16"/>
                <w:lang w:eastAsia="en-GB"/>
              </w:rPr>
            </w:pPr>
            <w:r w:rsidRPr="008C1952">
              <w:rPr>
                <w:rFonts w:ascii="Times New Roman" w:eastAsia="Times New Roman" w:hAnsi="Times New Roman" w:cs="Times New Roman"/>
                <w:b/>
                <w:bCs/>
                <w:color w:val="000000" w:themeColor="text1"/>
                <w:sz w:val="16"/>
                <w:szCs w:val="16"/>
                <w:lang w:eastAsia="en-GB"/>
              </w:rPr>
              <w:t>Description</w:t>
            </w:r>
          </w:p>
        </w:tc>
      </w:tr>
      <w:tr w:rsidR="0045658D" w:rsidRPr="008C1952" w14:paraId="4AEA0B3D" w14:textId="77777777" w:rsidTr="001111B8">
        <w:trPr>
          <w:trHeight w:val="379"/>
        </w:trPr>
        <w:tc>
          <w:tcPr>
            <w:tcW w:w="1167" w:type="dxa"/>
            <w:tcBorders>
              <w:top w:val="single" w:sz="4" w:space="0" w:color="auto"/>
              <w:bottom w:val="single" w:sz="4" w:space="0" w:color="auto"/>
            </w:tcBorders>
            <w:shd w:val="clear" w:color="auto" w:fill="auto"/>
            <w:noWrap/>
            <w:vAlign w:val="center"/>
            <w:hideMark/>
          </w:tcPr>
          <w:p w14:paraId="35DDD0F3"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12</w:t>
            </w:r>
          </w:p>
        </w:tc>
        <w:tc>
          <w:tcPr>
            <w:tcW w:w="3225" w:type="dxa"/>
            <w:tcBorders>
              <w:top w:val="single" w:sz="4" w:space="0" w:color="auto"/>
              <w:bottom w:val="single" w:sz="4" w:space="0" w:color="auto"/>
            </w:tcBorders>
            <w:shd w:val="clear" w:color="auto" w:fill="auto"/>
            <w:hideMark/>
          </w:tcPr>
          <w:p w14:paraId="19A5D0D2" w14:textId="7DACAFA4" w:rsidR="0045658D" w:rsidRPr="008C1952" w:rsidRDefault="0045658D" w:rsidP="001111B8">
            <w:pPr>
              <w:spacing w:after="0" w:line="240" w:lineRule="auto"/>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Constants, parameters, numbers (such as subsidies, taxes, standards)</w:t>
            </w:r>
          </w:p>
        </w:tc>
        <w:tc>
          <w:tcPr>
            <w:tcW w:w="0" w:type="auto"/>
            <w:tcBorders>
              <w:top w:val="single" w:sz="4" w:space="0" w:color="auto"/>
              <w:bottom w:val="single" w:sz="4" w:space="0" w:color="auto"/>
            </w:tcBorders>
            <w:shd w:val="clear" w:color="auto" w:fill="auto"/>
            <w:vAlign w:val="bottom"/>
            <w:hideMark/>
          </w:tcPr>
          <w:p w14:paraId="0948DA44" w14:textId="523896B5" w:rsidR="0045658D" w:rsidRPr="008C1952" w:rsidRDefault="0045658D" w:rsidP="0045658D">
            <w:pPr>
              <w:spacing w:after="0" w:line="240" w:lineRule="auto"/>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Establishing limits on parameters to regulate the system. This does not alter the behaviour of stagnant systems. </w:t>
            </w:r>
          </w:p>
        </w:tc>
      </w:tr>
      <w:tr w:rsidR="0045658D" w:rsidRPr="008C1952" w14:paraId="5D621861"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0FBE0745"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11</w:t>
            </w:r>
          </w:p>
        </w:tc>
        <w:tc>
          <w:tcPr>
            <w:tcW w:w="3225" w:type="dxa"/>
            <w:tcBorders>
              <w:top w:val="single" w:sz="4" w:space="0" w:color="auto"/>
              <w:bottom w:val="single" w:sz="4" w:space="0" w:color="auto"/>
            </w:tcBorders>
            <w:shd w:val="clear" w:color="auto" w:fill="auto"/>
            <w:hideMark/>
          </w:tcPr>
          <w:p w14:paraId="082988F5" w14:textId="5074E741" w:rsidR="0045658D" w:rsidRPr="008C1952" w:rsidRDefault="0045658D" w:rsidP="001111B8">
            <w:pPr>
              <w:spacing w:after="0" w:line="240" w:lineRule="auto"/>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sizes of buffers and other stabil</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 xml:space="preserve">ing stocks, relative to their flows. </w:t>
            </w:r>
          </w:p>
        </w:tc>
        <w:tc>
          <w:tcPr>
            <w:tcW w:w="0" w:type="auto"/>
            <w:tcBorders>
              <w:top w:val="single" w:sz="4" w:space="0" w:color="auto"/>
              <w:bottom w:val="single" w:sz="4" w:space="0" w:color="auto"/>
            </w:tcBorders>
            <w:shd w:val="clear" w:color="auto" w:fill="auto"/>
            <w:vAlign w:val="bottom"/>
            <w:hideMark/>
          </w:tcPr>
          <w:p w14:paraId="3C77DCE5" w14:textId="2272D266" w:rsidR="0045658D" w:rsidRPr="008C1952" w:rsidRDefault="0045658D" w:rsidP="0045658D">
            <w:pPr>
              <w:spacing w:after="0" w:line="240" w:lineRule="auto"/>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Adjusting the buffer size to stabil</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 xml:space="preserve">e stocks within the system, </w:t>
            </w:r>
            <w:r w:rsidR="001111B8" w:rsidRPr="008C1952">
              <w:rPr>
                <w:rFonts w:ascii="Times New Roman" w:eastAsia="Times New Roman" w:hAnsi="Times New Roman" w:cs="Times New Roman"/>
                <w:color w:val="000000" w:themeColor="text1"/>
                <w:sz w:val="16"/>
                <w:szCs w:val="16"/>
                <w:lang w:eastAsia="en-GB"/>
              </w:rPr>
              <w:t>(</w:t>
            </w:r>
            <w:r w:rsidR="001111B8" w:rsidRPr="008C1952">
              <w:rPr>
                <w:rFonts w:ascii="Times New Roman" w:eastAsia="Times New Roman" w:hAnsi="Times New Roman" w:cs="Times New Roman"/>
                <w:i/>
                <w:iCs/>
                <w:color w:val="000000" w:themeColor="text1"/>
                <w:sz w:val="16"/>
                <w:szCs w:val="16"/>
                <w:lang w:eastAsia="en-GB"/>
              </w:rPr>
              <w:t>e.g.,</w:t>
            </w:r>
            <w:r w:rsidR="001111B8" w:rsidRPr="008C1952">
              <w:rPr>
                <w:rFonts w:ascii="Times New Roman" w:eastAsia="Times New Roman" w:hAnsi="Times New Roman" w:cs="Times New Roman"/>
                <w:color w:val="000000" w:themeColor="text1"/>
                <w:sz w:val="16"/>
                <w:szCs w:val="16"/>
                <w:lang w:eastAsia="en-GB"/>
              </w:rPr>
              <w:t xml:space="preserve"> </w:t>
            </w:r>
            <w:r w:rsidRPr="008C1952">
              <w:rPr>
                <w:rFonts w:ascii="Times New Roman" w:eastAsia="Times New Roman" w:hAnsi="Times New Roman" w:cs="Times New Roman"/>
                <w:color w:val="000000" w:themeColor="text1"/>
                <w:sz w:val="16"/>
                <w:szCs w:val="16"/>
                <w:lang w:eastAsia="en-GB"/>
              </w:rPr>
              <w:t>minimum breeding population for an endangered species</w:t>
            </w:r>
            <w:r w:rsidR="001111B8" w:rsidRPr="008C1952">
              <w:rPr>
                <w:rFonts w:ascii="Times New Roman" w:eastAsia="Times New Roman" w:hAnsi="Times New Roman" w:cs="Times New Roman"/>
                <w:color w:val="000000" w:themeColor="text1"/>
                <w:sz w:val="16"/>
                <w:szCs w:val="16"/>
                <w:lang w:eastAsia="en-GB"/>
              </w:rPr>
              <w:t>)</w:t>
            </w:r>
            <w:r w:rsidRPr="008C1952">
              <w:rPr>
                <w:rFonts w:ascii="Times New Roman" w:eastAsia="Times New Roman" w:hAnsi="Times New Roman" w:cs="Times New Roman"/>
                <w:color w:val="000000" w:themeColor="text1"/>
                <w:sz w:val="16"/>
                <w:szCs w:val="16"/>
                <w:lang w:eastAsia="en-GB"/>
              </w:rPr>
              <w:t>.</w:t>
            </w:r>
          </w:p>
        </w:tc>
      </w:tr>
      <w:tr w:rsidR="0045658D" w:rsidRPr="008C1952" w14:paraId="70FC78DE"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174E1D41"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10</w:t>
            </w:r>
          </w:p>
        </w:tc>
        <w:tc>
          <w:tcPr>
            <w:tcW w:w="3225" w:type="dxa"/>
            <w:tcBorders>
              <w:top w:val="single" w:sz="4" w:space="0" w:color="auto"/>
              <w:bottom w:val="single" w:sz="4" w:space="0" w:color="auto"/>
            </w:tcBorders>
            <w:shd w:val="clear" w:color="auto" w:fill="auto"/>
            <w:hideMark/>
          </w:tcPr>
          <w:p w14:paraId="2AC4FC30" w14:textId="77777777"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structure of material stocks and flows (such as transport networks, population age structures)</w:t>
            </w:r>
          </w:p>
        </w:tc>
        <w:tc>
          <w:tcPr>
            <w:tcW w:w="0" w:type="auto"/>
            <w:tcBorders>
              <w:top w:val="single" w:sz="4" w:space="0" w:color="auto"/>
              <w:bottom w:val="single" w:sz="4" w:space="0" w:color="auto"/>
            </w:tcBorders>
            <w:shd w:val="clear" w:color="auto" w:fill="auto"/>
            <w:vAlign w:val="bottom"/>
            <w:hideMark/>
          </w:tcPr>
          <w:p w14:paraId="620B9268" w14:textId="7F9F1F84" w:rsidR="0045658D" w:rsidRPr="008C1952" w:rsidRDefault="001111B8" w:rsidP="0045658D">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configuration of the system, including its structure, stocks, and flows. It has a low leverage impact because it is challenging to modify.</w:t>
            </w:r>
            <w:r w:rsidR="0045658D" w:rsidRPr="008C1952">
              <w:rPr>
                <w:rFonts w:ascii="Times New Roman" w:eastAsia="Times New Roman" w:hAnsi="Times New Roman" w:cs="Times New Roman"/>
                <w:color w:val="000000" w:themeColor="text1"/>
                <w:sz w:val="16"/>
                <w:szCs w:val="16"/>
                <w:lang w:eastAsia="en-GB"/>
              </w:rPr>
              <w:t xml:space="preserve"> </w:t>
            </w:r>
          </w:p>
        </w:tc>
      </w:tr>
      <w:tr w:rsidR="0045658D" w:rsidRPr="008C1952" w14:paraId="1C7A28F8"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20B5DBBB"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9</w:t>
            </w:r>
          </w:p>
        </w:tc>
        <w:tc>
          <w:tcPr>
            <w:tcW w:w="3225" w:type="dxa"/>
            <w:tcBorders>
              <w:top w:val="single" w:sz="4" w:space="0" w:color="auto"/>
              <w:bottom w:val="single" w:sz="4" w:space="0" w:color="auto"/>
            </w:tcBorders>
            <w:shd w:val="clear" w:color="auto" w:fill="auto"/>
            <w:hideMark/>
          </w:tcPr>
          <w:p w14:paraId="7BBB4ACE" w14:textId="77777777"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lengths of delays, relative to the rate of system change</w:t>
            </w:r>
          </w:p>
        </w:tc>
        <w:tc>
          <w:tcPr>
            <w:tcW w:w="0" w:type="auto"/>
            <w:tcBorders>
              <w:top w:val="single" w:sz="4" w:space="0" w:color="auto"/>
              <w:bottom w:val="single" w:sz="4" w:space="0" w:color="auto"/>
            </w:tcBorders>
            <w:shd w:val="clear" w:color="auto" w:fill="auto"/>
            <w:vAlign w:val="bottom"/>
            <w:hideMark/>
          </w:tcPr>
          <w:p w14:paraId="4BED407B" w14:textId="168D979C" w:rsidR="001111B8" w:rsidRPr="008C1952" w:rsidRDefault="001111B8"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time delay between intervention and its effectiveness.</w:t>
            </w:r>
          </w:p>
          <w:p w14:paraId="5B31B1AD" w14:textId="12600D40"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 </w:t>
            </w:r>
          </w:p>
        </w:tc>
      </w:tr>
      <w:tr w:rsidR="0045658D" w:rsidRPr="008C1952" w14:paraId="26591E2F" w14:textId="77777777" w:rsidTr="001111B8">
        <w:trPr>
          <w:trHeight w:val="20"/>
        </w:trPr>
        <w:tc>
          <w:tcPr>
            <w:tcW w:w="1167" w:type="dxa"/>
            <w:tcBorders>
              <w:top w:val="single" w:sz="4" w:space="0" w:color="auto"/>
            </w:tcBorders>
            <w:shd w:val="clear" w:color="auto" w:fill="auto"/>
            <w:noWrap/>
            <w:vAlign w:val="center"/>
            <w:hideMark/>
          </w:tcPr>
          <w:p w14:paraId="158273E2"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lastRenderedPageBreak/>
              <w:t>8</w:t>
            </w:r>
          </w:p>
        </w:tc>
        <w:tc>
          <w:tcPr>
            <w:tcW w:w="3225" w:type="dxa"/>
            <w:tcBorders>
              <w:top w:val="single" w:sz="4" w:space="0" w:color="auto"/>
            </w:tcBorders>
            <w:shd w:val="clear" w:color="auto" w:fill="auto"/>
            <w:hideMark/>
          </w:tcPr>
          <w:p w14:paraId="48A46B02" w14:textId="77777777"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strength of negative feedback loops, relative to the impacts they are trying to correct against</w:t>
            </w:r>
          </w:p>
        </w:tc>
        <w:tc>
          <w:tcPr>
            <w:tcW w:w="0" w:type="auto"/>
            <w:tcBorders>
              <w:top w:val="single" w:sz="4" w:space="0" w:color="auto"/>
            </w:tcBorders>
            <w:shd w:val="clear" w:color="auto" w:fill="auto"/>
            <w:vAlign w:val="bottom"/>
            <w:hideMark/>
          </w:tcPr>
          <w:p w14:paraId="66AA179F" w14:textId="1C20D2DB" w:rsidR="0045658D" w:rsidRPr="008C1952" w:rsidRDefault="001111B8"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Enhancing negative feedback controls, like monitoring systems and internal</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ing externalities through taxes, improves the system's self-correcting capabilities.</w:t>
            </w:r>
          </w:p>
        </w:tc>
      </w:tr>
      <w:tr w:rsidR="0045658D" w:rsidRPr="008C1952" w14:paraId="06AC94B3"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43E7A85F"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7</w:t>
            </w:r>
          </w:p>
        </w:tc>
        <w:tc>
          <w:tcPr>
            <w:tcW w:w="3225" w:type="dxa"/>
            <w:tcBorders>
              <w:top w:val="single" w:sz="4" w:space="0" w:color="auto"/>
              <w:bottom w:val="single" w:sz="4" w:space="0" w:color="auto"/>
            </w:tcBorders>
            <w:shd w:val="clear" w:color="auto" w:fill="auto"/>
            <w:hideMark/>
          </w:tcPr>
          <w:p w14:paraId="2933204D" w14:textId="77777777"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gain around driving positive feedback loops</w:t>
            </w:r>
          </w:p>
        </w:tc>
        <w:tc>
          <w:tcPr>
            <w:tcW w:w="0" w:type="auto"/>
            <w:tcBorders>
              <w:top w:val="single" w:sz="4" w:space="0" w:color="auto"/>
              <w:bottom w:val="single" w:sz="4" w:space="0" w:color="auto"/>
            </w:tcBorders>
            <w:shd w:val="clear" w:color="auto" w:fill="auto"/>
            <w:vAlign w:val="bottom"/>
            <w:hideMark/>
          </w:tcPr>
          <w:p w14:paraId="296AF102" w14:textId="4A0877E3" w:rsidR="0045658D" w:rsidRPr="008C1952" w:rsidRDefault="001111B8"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Implementing interventions to diminish self-reinforcing mechanisms (</w:t>
            </w:r>
            <w:r w:rsidRPr="008C1952">
              <w:rPr>
                <w:rFonts w:ascii="Times New Roman" w:eastAsia="Times New Roman" w:hAnsi="Times New Roman" w:cs="Times New Roman"/>
                <w:i/>
                <w:iCs/>
                <w:color w:val="000000" w:themeColor="text1"/>
                <w:sz w:val="16"/>
                <w:szCs w:val="16"/>
                <w:lang w:eastAsia="en-GB"/>
              </w:rPr>
              <w:t>e.g.,</w:t>
            </w:r>
            <w:r w:rsidRPr="008C1952">
              <w:rPr>
                <w:rFonts w:ascii="Times New Roman" w:eastAsia="Times New Roman" w:hAnsi="Times New Roman" w:cs="Times New Roman"/>
                <w:color w:val="000000" w:themeColor="text1"/>
                <w:sz w:val="16"/>
                <w:szCs w:val="16"/>
                <w:lang w:eastAsia="en-GB"/>
              </w:rPr>
              <w:t xml:space="preserve"> progressive income tax) reduces their self-multiplying impact.</w:t>
            </w:r>
          </w:p>
        </w:tc>
      </w:tr>
      <w:tr w:rsidR="0045658D" w:rsidRPr="008C1952" w14:paraId="3757A30D"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25D148A2"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6</w:t>
            </w:r>
          </w:p>
        </w:tc>
        <w:tc>
          <w:tcPr>
            <w:tcW w:w="3225" w:type="dxa"/>
            <w:tcBorders>
              <w:top w:val="single" w:sz="4" w:space="0" w:color="auto"/>
              <w:bottom w:val="single" w:sz="4" w:space="0" w:color="auto"/>
            </w:tcBorders>
            <w:shd w:val="clear" w:color="auto" w:fill="auto"/>
            <w:hideMark/>
          </w:tcPr>
          <w:p w14:paraId="68DC2BC4" w14:textId="77777777"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structure of information flows (who does and does not have access to what kinds of information)</w:t>
            </w:r>
          </w:p>
        </w:tc>
        <w:tc>
          <w:tcPr>
            <w:tcW w:w="0" w:type="auto"/>
            <w:tcBorders>
              <w:top w:val="single" w:sz="4" w:space="0" w:color="auto"/>
              <w:bottom w:val="single" w:sz="4" w:space="0" w:color="auto"/>
            </w:tcBorders>
            <w:shd w:val="clear" w:color="auto" w:fill="auto"/>
            <w:vAlign w:val="bottom"/>
            <w:hideMark/>
          </w:tcPr>
          <w:p w14:paraId="6187F1E4" w14:textId="6B8D3827" w:rsidR="0045658D" w:rsidRPr="008C1952" w:rsidRDefault="001111B8"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Introducing or restoring information can create new feedback loops in areas where information is lacking, serving as a potent intervention because missing information is a common cause of system malfunction.</w:t>
            </w:r>
          </w:p>
        </w:tc>
      </w:tr>
      <w:tr w:rsidR="0045658D" w:rsidRPr="008C1952" w14:paraId="1F1135EA"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381700CA"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5</w:t>
            </w:r>
          </w:p>
        </w:tc>
        <w:tc>
          <w:tcPr>
            <w:tcW w:w="3225" w:type="dxa"/>
            <w:tcBorders>
              <w:top w:val="single" w:sz="4" w:space="0" w:color="auto"/>
              <w:bottom w:val="single" w:sz="4" w:space="0" w:color="auto"/>
            </w:tcBorders>
            <w:shd w:val="clear" w:color="auto" w:fill="auto"/>
            <w:hideMark/>
          </w:tcPr>
          <w:p w14:paraId="658621C4" w14:textId="77777777"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rules of the system (such as incentives, punishments, constraints)</w:t>
            </w:r>
          </w:p>
        </w:tc>
        <w:tc>
          <w:tcPr>
            <w:tcW w:w="0" w:type="auto"/>
            <w:tcBorders>
              <w:top w:val="single" w:sz="4" w:space="0" w:color="auto"/>
              <w:bottom w:val="single" w:sz="4" w:space="0" w:color="auto"/>
            </w:tcBorders>
            <w:shd w:val="clear" w:color="auto" w:fill="auto"/>
            <w:vAlign w:val="bottom"/>
            <w:hideMark/>
          </w:tcPr>
          <w:p w14:paraId="65CA5AFB" w14:textId="066D3247" w:rsidR="0045658D" w:rsidRPr="008C1952" w:rsidRDefault="001111B8"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Modifying the rules of the system, including laws, punishments, incentives, social norms, and informal agreements.</w:t>
            </w:r>
          </w:p>
        </w:tc>
      </w:tr>
      <w:tr w:rsidR="0045658D" w:rsidRPr="008C1952" w14:paraId="0CABC9F0"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724E069B"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4</w:t>
            </w:r>
          </w:p>
        </w:tc>
        <w:tc>
          <w:tcPr>
            <w:tcW w:w="3225" w:type="dxa"/>
            <w:tcBorders>
              <w:top w:val="single" w:sz="4" w:space="0" w:color="auto"/>
              <w:bottom w:val="single" w:sz="4" w:space="0" w:color="auto"/>
            </w:tcBorders>
            <w:shd w:val="clear" w:color="auto" w:fill="auto"/>
            <w:hideMark/>
          </w:tcPr>
          <w:p w14:paraId="366055C8" w14:textId="3C215290"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The power to add, change, evolve, or </w:t>
            </w:r>
            <w:r w:rsidR="001111B8" w:rsidRPr="008C1952">
              <w:rPr>
                <w:rFonts w:ascii="Times New Roman" w:eastAsia="Times New Roman" w:hAnsi="Times New Roman" w:cs="Times New Roman"/>
                <w:color w:val="000000" w:themeColor="text1"/>
                <w:sz w:val="16"/>
                <w:szCs w:val="16"/>
                <w:lang w:eastAsia="en-GB"/>
              </w:rPr>
              <w:t>self-organ</w:t>
            </w:r>
            <w:r w:rsidR="00ED3846">
              <w:rPr>
                <w:rFonts w:ascii="Times New Roman" w:eastAsia="Times New Roman" w:hAnsi="Times New Roman" w:cs="Times New Roman"/>
                <w:color w:val="000000" w:themeColor="text1"/>
                <w:sz w:val="16"/>
                <w:szCs w:val="16"/>
                <w:lang w:eastAsia="en-GB"/>
              </w:rPr>
              <w:t>is</w:t>
            </w:r>
            <w:r w:rsidR="001111B8" w:rsidRPr="008C1952">
              <w:rPr>
                <w:rFonts w:ascii="Times New Roman" w:eastAsia="Times New Roman" w:hAnsi="Times New Roman" w:cs="Times New Roman"/>
                <w:color w:val="000000" w:themeColor="text1"/>
                <w:sz w:val="16"/>
                <w:szCs w:val="16"/>
                <w:lang w:eastAsia="en-GB"/>
              </w:rPr>
              <w:t>e</w:t>
            </w:r>
            <w:r w:rsidRPr="008C1952">
              <w:rPr>
                <w:rFonts w:ascii="Times New Roman" w:eastAsia="Times New Roman" w:hAnsi="Times New Roman" w:cs="Times New Roman"/>
                <w:color w:val="000000" w:themeColor="text1"/>
                <w:sz w:val="16"/>
                <w:szCs w:val="16"/>
                <w:lang w:eastAsia="en-GB"/>
              </w:rPr>
              <w:t xml:space="preserve"> system structure</w:t>
            </w:r>
          </w:p>
        </w:tc>
        <w:tc>
          <w:tcPr>
            <w:tcW w:w="0" w:type="auto"/>
            <w:tcBorders>
              <w:top w:val="single" w:sz="4" w:space="0" w:color="auto"/>
              <w:bottom w:val="single" w:sz="4" w:space="0" w:color="auto"/>
            </w:tcBorders>
            <w:shd w:val="clear" w:color="auto" w:fill="auto"/>
            <w:vAlign w:val="bottom"/>
            <w:hideMark/>
          </w:tcPr>
          <w:p w14:paraId="28C79BAB" w14:textId="0DEFE09F" w:rsidR="0045658D" w:rsidRPr="008C1952" w:rsidRDefault="001111B8"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Self-organ</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ation involves altering any aspect of the system lower on this list, such as physical structures or adding new loops.</w:t>
            </w:r>
          </w:p>
        </w:tc>
      </w:tr>
      <w:tr w:rsidR="0045658D" w:rsidRPr="008C1952" w14:paraId="16594969"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356EB55C"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3</w:t>
            </w:r>
          </w:p>
        </w:tc>
        <w:tc>
          <w:tcPr>
            <w:tcW w:w="3225" w:type="dxa"/>
            <w:tcBorders>
              <w:top w:val="single" w:sz="4" w:space="0" w:color="auto"/>
              <w:bottom w:val="single" w:sz="4" w:space="0" w:color="auto"/>
            </w:tcBorders>
            <w:shd w:val="clear" w:color="auto" w:fill="auto"/>
            <w:hideMark/>
          </w:tcPr>
          <w:p w14:paraId="73305499" w14:textId="77777777"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goals of the system</w:t>
            </w:r>
          </w:p>
        </w:tc>
        <w:tc>
          <w:tcPr>
            <w:tcW w:w="0" w:type="auto"/>
            <w:tcBorders>
              <w:top w:val="single" w:sz="4" w:space="0" w:color="auto"/>
              <w:bottom w:val="single" w:sz="4" w:space="0" w:color="auto"/>
            </w:tcBorders>
            <w:shd w:val="clear" w:color="auto" w:fill="auto"/>
            <w:vAlign w:val="bottom"/>
            <w:hideMark/>
          </w:tcPr>
          <w:p w14:paraId="202A6B0B" w14:textId="104C3C1B" w:rsidR="0045658D" w:rsidRPr="008C1952" w:rsidRDefault="001111B8"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Changing the goal of the system necessitates adjustments in everything on the list—self-organ</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ing behaviour, feedback loops, physical stocks, and information flows—to align with the new objective.</w:t>
            </w:r>
          </w:p>
        </w:tc>
      </w:tr>
      <w:tr w:rsidR="0045658D" w:rsidRPr="008C1952" w14:paraId="428519BF"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7A61EE66"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2</w:t>
            </w:r>
          </w:p>
        </w:tc>
        <w:tc>
          <w:tcPr>
            <w:tcW w:w="3225" w:type="dxa"/>
            <w:tcBorders>
              <w:top w:val="single" w:sz="4" w:space="0" w:color="auto"/>
              <w:bottom w:val="single" w:sz="4" w:space="0" w:color="auto"/>
            </w:tcBorders>
            <w:shd w:val="clear" w:color="auto" w:fill="auto"/>
            <w:hideMark/>
          </w:tcPr>
          <w:p w14:paraId="1A03B42C" w14:textId="7BE3B073"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 xml:space="preserve">The mindset or paradigm out of which the system—its goals, </w:t>
            </w:r>
            <w:r w:rsidR="001111B8" w:rsidRPr="008C1952">
              <w:rPr>
                <w:rFonts w:ascii="Times New Roman" w:eastAsia="Times New Roman" w:hAnsi="Times New Roman" w:cs="Times New Roman"/>
                <w:color w:val="000000" w:themeColor="text1"/>
                <w:sz w:val="16"/>
                <w:szCs w:val="16"/>
                <w:lang w:eastAsia="en-GB"/>
              </w:rPr>
              <w:t>structure, rules</w:t>
            </w:r>
            <w:r w:rsidRPr="008C1952">
              <w:rPr>
                <w:rFonts w:ascii="Times New Roman" w:eastAsia="Times New Roman" w:hAnsi="Times New Roman" w:cs="Times New Roman"/>
                <w:color w:val="000000" w:themeColor="text1"/>
                <w:sz w:val="16"/>
                <w:szCs w:val="16"/>
                <w:lang w:eastAsia="en-GB"/>
              </w:rPr>
              <w:t xml:space="preserve">, delays, parameters—arises </w:t>
            </w:r>
          </w:p>
        </w:tc>
        <w:tc>
          <w:tcPr>
            <w:tcW w:w="0" w:type="auto"/>
            <w:tcBorders>
              <w:top w:val="single" w:sz="4" w:space="0" w:color="auto"/>
              <w:bottom w:val="single" w:sz="4" w:space="0" w:color="auto"/>
            </w:tcBorders>
            <w:shd w:val="clear" w:color="auto" w:fill="auto"/>
            <w:vAlign w:val="bottom"/>
            <w:hideMark/>
          </w:tcPr>
          <w:p w14:paraId="1B23ABDE" w14:textId="4F1DFDF3" w:rsidR="0045658D" w:rsidRPr="008C1952" w:rsidRDefault="001111B8" w:rsidP="001111B8">
            <w:pP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Altering the shared societal ideas, the paradigm, and the deepest beliefs about how the world works.</w:t>
            </w:r>
          </w:p>
        </w:tc>
      </w:tr>
      <w:tr w:rsidR="0045658D" w:rsidRPr="008C1952" w14:paraId="574781BD" w14:textId="77777777" w:rsidTr="001111B8">
        <w:trPr>
          <w:trHeight w:val="20"/>
        </w:trPr>
        <w:tc>
          <w:tcPr>
            <w:tcW w:w="1167" w:type="dxa"/>
            <w:tcBorders>
              <w:top w:val="single" w:sz="4" w:space="0" w:color="auto"/>
              <w:bottom w:val="single" w:sz="4" w:space="0" w:color="auto"/>
            </w:tcBorders>
            <w:shd w:val="clear" w:color="auto" w:fill="auto"/>
            <w:noWrap/>
            <w:vAlign w:val="center"/>
            <w:hideMark/>
          </w:tcPr>
          <w:p w14:paraId="073993C6" w14:textId="77777777" w:rsidR="0045658D" w:rsidRPr="008C1952" w:rsidRDefault="0045658D" w:rsidP="0045658D">
            <w:pPr>
              <w:spacing w:after="0"/>
              <w:jc w:val="center"/>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1</w:t>
            </w:r>
          </w:p>
        </w:tc>
        <w:tc>
          <w:tcPr>
            <w:tcW w:w="3225" w:type="dxa"/>
            <w:tcBorders>
              <w:top w:val="single" w:sz="4" w:space="0" w:color="auto"/>
              <w:bottom w:val="single" w:sz="4" w:space="0" w:color="auto"/>
            </w:tcBorders>
            <w:shd w:val="clear" w:color="auto" w:fill="auto"/>
            <w:hideMark/>
          </w:tcPr>
          <w:p w14:paraId="46E6CF2C" w14:textId="77777777"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The power to transcend paradigms</w:t>
            </w:r>
          </w:p>
        </w:tc>
        <w:tc>
          <w:tcPr>
            <w:tcW w:w="0" w:type="auto"/>
            <w:tcBorders>
              <w:top w:val="single" w:sz="4" w:space="0" w:color="auto"/>
              <w:bottom w:val="single" w:sz="4" w:space="0" w:color="auto"/>
            </w:tcBorders>
            <w:shd w:val="clear" w:color="auto" w:fill="auto"/>
            <w:vAlign w:val="bottom"/>
            <w:hideMark/>
          </w:tcPr>
          <w:p w14:paraId="1FA6A653" w14:textId="47716161" w:rsidR="0045658D" w:rsidRPr="008C1952" w:rsidRDefault="0045658D" w:rsidP="001111B8">
            <w:pPr>
              <w:spacing w:after="0"/>
              <w:rPr>
                <w:rFonts w:ascii="Times New Roman" w:eastAsia="Times New Roman" w:hAnsi="Times New Roman" w:cs="Times New Roman"/>
                <w:color w:val="000000" w:themeColor="text1"/>
                <w:sz w:val="16"/>
                <w:szCs w:val="16"/>
                <w:lang w:eastAsia="en-GB"/>
              </w:rPr>
            </w:pPr>
            <w:r w:rsidRPr="008C1952">
              <w:rPr>
                <w:rFonts w:ascii="Times New Roman" w:eastAsia="Times New Roman" w:hAnsi="Times New Roman" w:cs="Times New Roman"/>
                <w:color w:val="000000" w:themeColor="text1"/>
                <w:sz w:val="16"/>
                <w:szCs w:val="16"/>
                <w:lang w:eastAsia="en-GB"/>
              </w:rPr>
              <w:t>Recogn</w:t>
            </w:r>
            <w:r w:rsidR="00ED3846">
              <w:rPr>
                <w:rFonts w:ascii="Times New Roman" w:eastAsia="Times New Roman" w:hAnsi="Times New Roman" w:cs="Times New Roman"/>
                <w:color w:val="000000" w:themeColor="text1"/>
                <w:sz w:val="16"/>
                <w:szCs w:val="16"/>
                <w:lang w:eastAsia="en-GB"/>
              </w:rPr>
              <w:t>is</w:t>
            </w:r>
            <w:r w:rsidRPr="008C1952">
              <w:rPr>
                <w:rFonts w:ascii="Times New Roman" w:eastAsia="Times New Roman" w:hAnsi="Times New Roman" w:cs="Times New Roman"/>
                <w:color w:val="000000" w:themeColor="text1"/>
                <w:sz w:val="16"/>
                <w:szCs w:val="16"/>
                <w:lang w:eastAsia="en-GB"/>
              </w:rPr>
              <w:t>ing that no paradigm is inherently true.</w:t>
            </w:r>
          </w:p>
        </w:tc>
      </w:tr>
    </w:tbl>
    <w:p w14:paraId="443C50FF" w14:textId="1B0377B7" w:rsidR="008727A7"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5C73EB8E" w14:textId="77777777" w:rsidR="003375CC" w:rsidRPr="008C1952" w:rsidRDefault="003375CC" w:rsidP="003375CC">
      <w:pPr>
        <w:rPr>
          <w:rFonts w:ascii="Times New Roman" w:hAnsi="Times New Roman" w:cs="Times New Roman"/>
        </w:rPr>
        <w:sectPr w:rsidR="003375CC" w:rsidRPr="008C1952" w:rsidSect="00EB48E7">
          <w:pgSz w:w="11906" w:h="16838"/>
          <w:pgMar w:top="1440" w:right="1440" w:bottom="1440" w:left="1440" w:header="708" w:footer="708" w:gutter="0"/>
          <w:cols w:space="708"/>
          <w:docGrid w:linePitch="360"/>
        </w:sectPr>
      </w:pPr>
    </w:p>
    <w:p w14:paraId="3E653072" w14:textId="55E4C0B0" w:rsidR="00DF20B9" w:rsidRPr="008C1952" w:rsidRDefault="00A438D3" w:rsidP="00DF20B9">
      <w:pPr>
        <w:pStyle w:val="Titolo1"/>
        <w:rPr>
          <w:rFonts w:ascii="Times New Roman" w:hAnsi="Times New Roman" w:cs="Times New Roman"/>
          <w:b/>
          <w:bCs/>
          <w:color w:val="auto"/>
          <w:sz w:val="24"/>
          <w:szCs w:val="24"/>
        </w:rPr>
      </w:pPr>
      <w:bookmarkStart w:id="17" w:name="_Toc161844662"/>
      <w:r w:rsidRPr="008C1952">
        <w:rPr>
          <w:rFonts w:ascii="Times New Roman" w:hAnsi="Times New Roman" w:cs="Times New Roman"/>
          <w:b/>
          <w:bCs/>
          <w:color w:val="auto"/>
          <w:sz w:val="24"/>
          <w:szCs w:val="24"/>
        </w:rPr>
        <w:lastRenderedPageBreak/>
        <w:t xml:space="preserve">Section 3. </w:t>
      </w:r>
      <w:r w:rsidR="00174492">
        <w:rPr>
          <w:rFonts w:ascii="Times New Roman" w:hAnsi="Times New Roman" w:cs="Times New Roman"/>
          <w:b/>
          <w:bCs/>
          <w:color w:val="auto"/>
          <w:sz w:val="24"/>
          <w:szCs w:val="24"/>
        </w:rPr>
        <w:t>Extent, range and nature of the collected evidence</w:t>
      </w:r>
      <w:bookmarkEnd w:id="17"/>
    </w:p>
    <w:p w14:paraId="3FB20CCB" w14:textId="43ACB25D" w:rsidR="00DF20B9" w:rsidRPr="008C1952" w:rsidRDefault="00DF20B9" w:rsidP="00DF20B9">
      <w:pPr>
        <w:pStyle w:val="Didascalia"/>
        <w:keepNext/>
        <w:rPr>
          <w:rFonts w:ascii="Times New Roman" w:hAnsi="Times New Roman" w:cs="Times New Roman"/>
          <w:i w:val="0"/>
          <w:iCs w:val="0"/>
          <w:color w:val="auto"/>
        </w:rPr>
      </w:pPr>
      <w:bookmarkStart w:id="18" w:name="_Toc166589548"/>
      <w:r w:rsidRPr="008C1952">
        <w:rPr>
          <w:rFonts w:ascii="Times New Roman" w:hAnsi="Times New Roman" w:cs="Times New Roman"/>
          <w:b/>
          <w:bCs/>
          <w:i w:val="0"/>
          <w:iCs w:val="0"/>
          <w:color w:val="auto"/>
        </w:rPr>
        <w:t xml:space="preserve">Supplementary Table </w:t>
      </w:r>
      <w:r w:rsidR="00F60EFC">
        <w:rPr>
          <w:rFonts w:ascii="Times New Roman" w:hAnsi="Times New Roman" w:cs="Times New Roman"/>
          <w:b/>
          <w:bCs/>
          <w:i w:val="0"/>
          <w:iCs w:val="0"/>
          <w:color w:val="auto"/>
        </w:rPr>
        <w:fldChar w:fldCharType="begin"/>
      </w:r>
      <w:r w:rsidR="00F60EFC">
        <w:rPr>
          <w:rFonts w:ascii="Times New Roman" w:hAnsi="Times New Roman" w:cs="Times New Roman"/>
          <w:b/>
          <w:bCs/>
          <w:i w:val="0"/>
          <w:iCs w:val="0"/>
          <w:color w:val="auto"/>
        </w:rPr>
        <w:instrText xml:space="preserve"> SEQ Supplementary_Table \* ALPHABETIC </w:instrText>
      </w:r>
      <w:r w:rsidR="00F60EFC">
        <w:rPr>
          <w:rFonts w:ascii="Times New Roman" w:hAnsi="Times New Roman" w:cs="Times New Roman"/>
          <w:b/>
          <w:bCs/>
          <w:i w:val="0"/>
          <w:iCs w:val="0"/>
          <w:color w:val="auto"/>
        </w:rPr>
        <w:fldChar w:fldCharType="separate"/>
      </w:r>
      <w:r w:rsidR="00F60EFC">
        <w:rPr>
          <w:rFonts w:ascii="Times New Roman" w:hAnsi="Times New Roman" w:cs="Times New Roman"/>
          <w:b/>
          <w:bCs/>
          <w:i w:val="0"/>
          <w:iCs w:val="0"/>
          <w:noProof/>
          <w:color w:val="auto"/>
        </w:rPr>
        <w:t>I</w:t>
      </w:r>
      <w:r w:rsidR="00F60EFC">
        <w:rPr>
          <w:rFonts w:ascii="Times New Roman" w:hAnsi="Times New Roman" w:cs="Times New Roman"/>
          <w:b/>
          <w:bCs/>
          <w:i w:val="0"/>
          <w:iCs w:val="0"/>
          <w:color w:val="auto"/>
        </w:rPr>
        <w:fldChar w:fldCharType="end"/>
      </w:r>
      <w:r w:rsidRPr="008C1952">
        <w:rPr>
          <w:rFonts w:ascii="Times New Roman" w:hAnsi="Times New Roman" w:cs="Times New Roman"/>
          <w:b/>
          <w:bCs/>
          <w:i w:val="0"/>
          <w:iCs w:val="0"/>
          <w:color w:val="auto"/>
        </w:rPr>
        <w:t>.</w:t>
      </w:r>
      <w:r w:rsidRPr="008C1952">
        <w:rPr>
          <w:rFonts w:ascii="Times New Roman" w:hAnsi="Times New Roman" w:cs="Times New Roman"/>
          <w:i w:val="0"/>
          <w:iCs w:val="0"/>
          <w:color w:val="auto"/>
        </w:rPr>
        <w:t xml:space="preserve"> Records information (type of documents, geographical scope, methodology)</w:t>
      </w:r>
      <w:r w:rsidR="00F55AC0">
        <w:rPr>
          <w:rFonts w:ascii="Times New Roman" w:hAnsi="Times New Roman" w:cs="Times New Roman"/>
          <w:i w:val="0"/>
          <w:iCs w:val="0"/>
          <w:color w:val="auto"/>
        </w:rPr>
        <w:t>.</w:t>
      </w:r>
      <w:bookmarkEnd w:id="18"/>
      <w:r w:rsidR="00F55AC0">
        <w:rPr>
          <w:rFonts w:ascii="Times New Roman" w:hAnsi="Times New Roman" w:cs="Times New Roman"/>
          <w:i w:val="0"/>
          <w:iCs w:val="0"/>
          <w:color w:val="auto"/>
        </w:rPr>
        <w:t xml:space="preserve"> </w:t>
      </w:r>
    </w:p>
    <w:tbl>
      <w:tblPr>
        <w:tblW w:w="5000" w:type="pct"/>
        <w:tblCellMar>
          <w:top w:w="15" w:type="dxa"/>
          <w:bottom w:w="15" w:type="dxa"/>
        </w:tblCellMar>
        <w:tblLook w:val="04A0" w:firstRow="1" w:lastRow="0" w:firstColumn="1" w:lastColumn="0" w:noHBand="0" w:noVBand="1"/>
      </w:tblPr>
      <w:tblGrid>
        <w:gridCol w:w="1654"/>
        <w:gridCol w:w="1632"/>
        <w:gridCol w:w="1193"/>
        <w:gridCol w:w="910"/>
        <w:gridCol w:w="1610"/>
        <w:gridCol w:w="2027"/>
      </w:tblGrid>
      <w:tr w:rsidR="00DF20B9" w:rsidRPr="008C1952" w14:paraId="6163074C" w14:textId="4E0A1C65" w:rsidTr="00DF20B9">
        <w:trPr>
          <w:trHeight w:val="20"/>
        </w:trPr>
        <w:tc>
          <w:tcPr>
            <w:tcW w:w="939" w:type="pct"/>
            <w:tcBorders>
              <w:top w:val="single" w:sz="4" w:space="0" w:color="auto"/>
              <w:bottom w:val="single" w:sz="4" w:space="0" w:color="auto"/>
            </w:tcBorders>
            <w:vAlign w:val="center"/>
          </w:tcPr>
          <w:p w14:paraId="429141E6" w14:textId="7C540913" w:rsidR="00B67790" w:rsidRPr="008C1952" w:rsidRDefault="00B67790" w:rsidP="00B67790">
            <w:pPr>
              <w:spacing w:after="0" w:line="240" w:lineRule="auto"/>
              <w:jc w:val="center"/>
              <w:rPr>
                <w:rFonts w:ascii="Times New Roman" w:eastAsia="Times New Roman" w:hAnsi="Times New Roman" w:cs="Times New Roman"/>
                <w:b/>
                <w:bCs/>
                <w:color w:val="000000"/>
                <w:sz w:val="12"/>
                <w:szCs w:val="12"/>
                <w:lang w:eastAsia="en-GB"/>
              </w:rPr>
            </w:pPr>
            <w:r w:rsidRPr="005D37B7">
              <w:rPr>
                <w:rFonts w:ascii="Times New Roman" w:eastAsia="Times New Roman" w:hAnsi="Times New Roman" w:cs="Times New Roman"/>
                <w:b/>
                <w:bCs/>
                <w:color w:val="000000"/>
                <w:sz w:val="12"/>
                <w:szCs w:val="12"/>
                <w:lang w:eastAsia="en-GB"/>
              </w:rPr>
              <w:t>Group</w:t>
            </w:r>
          </w:p>
        </w:tc>
        <w:tc>
          <w:tcPr>
            <w:tcW w:w="926" w:type="pct"/>
            <w:tcBorders>
              <w:top w:val="single" w:sz="4" w:space="0" w:color="auto"/>
              <w:bottom w:val="single" w:sz="4" w:space="0" w:color="auto"/>
            </w:tcBorders>
            <w:shd w:val="clear" w:color="auto" w:fill="auto"/>
            <w:noWrap/>
            <w:vAlign w:val="center"/>
            <w:hideMark/>
          </w:tcPr>
          <w:p w14:paraId="5FACAABF" w14:textId="414E3EAA" w:rsidR="00B67790" w:rsidRPr="005D37B7" w:rsidRDefault="00B67790" w:rsidP="00B67790">
            <w:pPr>
              <w:spacing w:after="0" w:line="240" w:lineRule="auto"/>
              <w:jc w:val="center"/>
              <w:rPr>
                <w:rFonts w:ascii="Times New Roman" w:eastAsia="Times New Roman" w:hAnsi="Times New Roman" w:cs="Times New Roman"/>
                <w:b/>
                <w:bCs/>
                <w:color w:val="000000"/>
                <w:sz w:val="12"/>
                <w:szCs w:val="12"/>
                <w:lang w:eastAsia="en-GB"/>
              </w:rPr>
            </w:pPr>
            <w:r w:rsidRPr="005D37B7">
              <w:rPr>
                <w:rFonts w:ascii="Times New Roman" w:eastAsia="Times New Roman" w:hAnsi="Times New Roman" w:cs="Times New Roman"/>
                <w:b/>
                <w:bCs/>
                <w:color w:val="000000"/>
                <w:sz w:val="12"/>
                <w:szCs w:val="12"/>
                <w:lang w:eastAsia="en-GB"/>
              </w:rPr>
              <w:t>Methodology</w:t>
            </w:r>
          </w:p>
        </w:tc>
        <w:tc>
          <w:tcPr>
            <w:tcW w:w="683" w:type="pct"/>
            <w:tcBorders>
              <w:top w:val="single" w:sz="4" w:space="0" w:color="auto"/>
              <w:bottom w:val="single" w:sz="4" w:space="0" w:color="auto"/>
            </w:tcBorders>
            <w:shd w:val="clear" w:color="auto" w:fill="auto"/>
            <w:noWrap/>
            <w:vAlign w:val="center"/>
            <w:hideMark/>
          </w:tcPr>
          <w:p w14:paraId="7E1F5359" w14:textId="77777777" w:rsidR="00B67790" w:rsidRPr="005D37B7" w:rsidRDefault="00B67790" w:rsidP="00B67790">
            <w:pPr>
              <w:spacing w:after="0" w:line="240" w:lineRule="auto"/>
              <w:jc w:val="center"/>
              <w:rPr>
                <w:rFonts w:ascii="Times New Roman" w:eastAsia="Times New Roman" w:hAnsi="Times New Roman" w:cs="Times New Roman"/>
                <w:b/>
                <w:bCs/>
                <w:color w:val="000000"/>
                <w:sz w:val="12"/>
                <w:szCs w:val="12"/>
                <w:lang w:eastAsia="en-GB"/>
              </w:rPr>
            </w:pPr>
            <w:r w:rsidRPr="005D37B7">
              <w:rPr>
                <w:rFonts w:ascii="Times New Roman" w:eastAsia="Times New Roman" w:hAnsi="Times New Roman" w:cs="Times New Roman"/>
                <w:b/>
                <w:bCs/>
                <w:color w:val="000000"/>
                <w:sz w:val="12"/>
                <w:szCs w:val="12"/>
                <w:lang w:eastAsia="en-GB"/>
              </w:rPr>
              <w:t>Type of Document</w:t>
            </w:r>
          </w:p>
        </w:tc>
        <w:tc>
          <w:tcPr>
            <w:tcW w:w="393" w:type="pct"/>
            <w:tcBorders>
              <w:top w:val="single" w:sz="4" w:space="0" w:color="auto"/>
              <w:bottom w:val="single" w:sz="4" w:space="0" w:color="auto"/>
            </w:tcBorders>
            <w:shd w:val="clear" w:color="auto" w:fill="auto"/>
            <w:noWrap/>
            <w:vAlign w:val="center"/>
            <w:hideMark/>
          </w:tcPr>
          <w:p w14:paraId="6B6390DB" w14:textId="77777777" w:rsidR="00B539AF" w:rsidRPr="008C1952" w:rsidRDefault="00B539AF" w:rsidP="00B67790">
            <w:pPr>
              <w:spacing w:after="0" w:line="240" w:lineRule="auto"/>
              <w:jc w:val="center"/>
              <w:rPr>
                <w:rFonts w:ascii="Times New Roman" w:eastAsia="Times New Roman" w:hAnsi="Times New Roman" w:cs="Times New Roman"/>
                <w:b/>
                <w:bCs/>
                <w:color w:val="000000"/>
                <w:sz w:val="12"/>
                <w:szCs w:val="12"/>
                <w:lang w:eastAsia="en-GB"/>
              </w:rPr>
            </w:pPr>
            <w:r w:rsidRPr="008C1952">
              <w:rPr>
                <w:rFonts w:ascii="Times New Roman" w:eastAsia="Times New Roman" w:hAnsi="Times New Roman" w:cs="Times New Roman"/>
                <w:b/>
                <w:bCs/>
                <w:color w:val="000000"/>
                <w:sz w:val="12"/>
                <w:szCs w:val="12"/>
                <w:lang w:eastAsia="en-GB"/>
              </w:rPr>
              <w:t>Geographical</w:t>
            </w:r>
          </w:p>
          <w:p w14:paraId="7336E403" w14:textId="5C8B69B8" w:rsidR="00B67790" w:rsidRPr="005D37B7" w:rsidRDefault="00B539AF" w:rsidP="00B67790">
            <w:pPr>
              <w:spacing w:after="0" w:line="240" w:lineRule="auto"/>
              <w:jc w:val="center"/>
              <w:rPr>
                <w:rFonts w:ascii="Times New Roman" w:eastAsia="Times New Roman" w:hAnsi="Times New Roman" w:cs="Times New Roman"/>
                <w:b/>
                <w:bCs/>
                <w:color w:val="000000"/>
                <w:sz w:val="12"/>
                <w:szCs w:val="12"/>
                <w:lang w:eastAsia="en-GB"/>
              </w:rPr>
            </w:pPr>
            <w:r w:rsidRPr="008C1952">
              <w:rPr>
                <w:rFonts w:ascii="Times New Roman" w:eastAsia="Times New Roman" w:hAnsi="Times New Roman" w:cs="Times New Roman"/>
                <w:b/>
                <w:bCs/>
                <w:color w:val="000000"/>
                <w:sz w:val="12"/>
                <w:szCs w:val="12"/>
                <w:lang w:eastAsia="en-GB"/>
              </w:rPr>
              <w:t xml:space="preserve"> Scope</w:t>
            </w:r>
          </w:p>
        </w:tc>
        <w:tc>
          <w:tcPr>
            <w:tcW w:w="914" w:type="pct"/>
            <w:tcBorders>
              <w:top w:val="single" w:sz="4" w:space="0" w:color="auto"/>
              <w:bottom w:val="single" w:sz="4" w:space="0" w:color="auto"/>
            </w:tcBorders>
            <w:shd w:val="clear" w:color="auto" w:fill="auto"/>
            <w:noWrap/>
            <w:vAlign w:val="center"/>
            <w:hideMark/>
          </w:tcPr>
          <w:p w14:paraId="1BD64951" w14:textId="62311D1C" w:rsidR="00B67790" w:rsidRPr="005D37B7" w:rsidRDefault="00B539AF" w:rsidP="00DF20B9">
            <w:pPr>
              <w:spacing w:after="0" w:line="240" w:lineRule="auto"/>
              <w:jc w:val="center"/>
              <w:rPr>
                <w:rFonts w:ascii="Times New Roman" w:eastAsia="Times New Roman" w:hAnsi="Times New Roman" w:cs="Times New Roman"/>
                <w:b/>
                <w:bCs/>
                <w:color w:val="000000"/>
                <w:sz w:val="12"/>
                <w:szCs w:val="12"/>
                <w:lang w:eastAsia="en-GB"/>
              </w:rPr>
            </w:pPr>
            <w:r w:rsidRPr="008C1952">
              <w:rPr>
                <w:rFonts w:ascii="Times New Roman" w:eastAsia="Times New Roman" w:hAnsi="Times New Roman" w:cs="Times New Roman"/>
                <w:b/>
                <w:bCs/>
                <w:color w:val="000000"/>
                <w:sz w:val="12"/>
                <w:szCs w:val="12"/>
                <w:lang w:eastAsia="en-GB"/>
              </w:rPr>
              <w:t>EU Z</w:t>
            </w:r>
            <w:r w:rsidR="00B67790" w:rsidRPr="005D37B7">
              <w:rPr>
                <w:rFonts w:ascii="Times New Roman" w:eastAsia="Times New Roman" w:hAnsi="Times New Roman" w:cs="Times New Roman"/>
                <w:b/>
                <w:bCs/>
                <w:color w:val="000000"/>
                <w:sz w:val="12"/>
                <w:szCs w:val="12"/>
                <w:lang w:eastAsia="en-GB"/>
              </w:rPr>
              <w:t>one</w:t>
            </w:r>
            <w:r w:rsidR="00DF20B9" w:rsidRPr="008C1952">
              <w:rPr>
                <w:rFonts w:ascii="Times New Roman" w:eastAsia="Times New Roman" w:hAnsi="Times New Roman" w:cs="Times New Roman"/>
                <w:b/>
                <w:bCs/>
                <w:color w:val="000000"/>
                <w:sz w:val="12"/>
                <w:szCs w:val="12"/>
                <w:lang w:eastAsia="en-GB"/>
              </w:rPr>
              <w:t xml:space="preserve"> </w:t>
            </w:r>
            <w:r w:rsidR="00B67790" w:rsidRPr="005D37B7">
              <w:rPr>
                <w:rFonts w:ascii="Times New Roman" w:eastAsia="Times New Roman" w:hAnsi="Times New Roman" w:cs="Times New Roman"/>
                <w:b/>
                <w:bCs/>
                <w:color w:val="000000"/>
                <w:sz w:val="12"/>
                <w:szCs w:val="12"/>
                <w:lang w:eastAsia="en-GB"/>
              </w:rPr>
              <w:t>(EuroVOC)</w:t>
            </w:r>
          </w:p>
        </w:tc>
        <w:tc>
          <w:tcPr>
            <w:tcW w:w="1145" w:type="pct"/>
            <w:tcBorders>
              <w:top w:val="single" w:sz="4" w:space="0" w:color="auto"/>
              <w:bottom w:val="single" w:sz="4" w:space="0" w:color="auto"/>
            </w:tcBorders>
            <w:vAlign w:val="center"/>
          </w:tcPr>
          <w:p w14:paraId="699E3413" w14:textId="0EB942B8" w:rsidR="00B67790" w:rsidRPr="008C1952" w:rsidRDefault="00B67790" w:rsidP="00B67790">
            <w:pPr>
              <w:spacing w:after="0" w:line="240" w:lineRule="auto"/>
              <w:jc w:val="center"/>
              <w:rPr>
                <w:rFonts w:ascii="Times New Roman" w:eastAsia="Times New Roman" w:hAnsi="Times New Roman" w:cs="Times New Roman"/>
                <w:b/>
                <w:bCs/>
                <w:color w:val="000000"/>
                <w:sz w:val="12"/>
                <w:szCs w:val="12"/>
                <w:lang w:eastAsia="en-GB"/>
              </w:rPr>
            </w:pPr>
            <w:r w:rsidRPr="005D37B7">
              <w:rPr>
                <w:rFonts w:ascii="Times New Roman" w:eastAsia="Times New Roman" w:hAnsi="Times New Roman" w:cs="Times New Roman"/>
                <w:b/>
                <w:bCs/>
                <w:color w:val="000000"/>
                <w:sz w:val="12"/>
                <w:szCs w:val="12"/>
                <w:lang w:eastAsia="en-GB"/>
              </w:rPr>
              <w:t>Authors</w:t>
            </w:r>
          </w:p>
        </w:tc>
      </w:tr>
      <w:tr w:rsidR="00DF20B9" w:rsidRPr="008C1952" w14:paraId="1F08855C" w14:textId="3D10526A" w:rsidTr="00DF20B9">
        <w:trPr>
          <w:trHeight w:val="20"/>
        </w:trPr>
        <w:tc>
          <w:tcPr>
            <w:tcW w:w="939" w:type="pct"/>
            <w:tcBorders>
              <w:top w:val="single" w:sz="4" w:space="0" w:color="auto"/>
            </w:tcBorders>
            <w:vAlign w:val="center"/>
          </w:tcPr>
          <w:p w14:paraId="021641F6" w14:textId="211614E4"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tcBorders>
              <w:top w:val="single" w:sz="4" w:space="0" w:color="auto"/>
            </w:tcBorders>
            <w:shd w:val="clear" w:color="auto" w:fill="auto"/>
            <w:vAlign w:val="center"/>
            <w:hideMark/>
          </w:tcPr>
          <w:p w14:paraId="57A0B88D" w14:textId="263CC21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Law Review</w:t>
            </w:r>
          </w:p>
        </w:tc>
        <w:tc>
          <w:tcPr>
            <w:tcW w:w="683" w:type="pct"/>
            <w:tcBorders>
              <w:top w:val="single" w:sz="4" w:space="0" w:color="auto"/>
            </w:tcBorders>
            <w:shd w:val="clear" w:color="auto" w:fill="auto"/>
            <w:noWrap/>
            <w:vAlign w:val="center"/>
            <w:hideMark/>
          </w:tcPr>
          <w:p w14:paraId="4BD4E8CA" w14:textId="03EF595C"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tcBorders>
              <w:top w:val="single" w:sz="4" w:space="0" w:color="auto"/>
            </w:tcBorders>
            <w:shd w:val="clear" w:color="auto" w:fill="auto"/>
            <w:vAlign w:val="center"/>
            <w:hideMark/>
          </w:tcPr>
          <w:p w14:paraId="163407C6"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tcBorders>
              <w:top w:val="single" w:sz="4" w:space="0" w:color="auto"/>
            </w:tcBorders>
            <w:shd w:val="clear" w:color="auto" w:fill="auto"/>
            <w:vAlign w:val="center"/>
            <w:hideMark/>
          </w:tcPr>
          <w:p w14:paraId="651AE5AF"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N/A</w:t>
            </w:r>
          </w:p>
        </w:tc>
        <w:tc>
          <w:tcPr>
            <w:tcW w:w="1145" w:type="pct"/>
            <w:tcBorders>
              <w:top w:val="single" w:sz="4" w:space="0" w:color="auto"/>
            </w:tcBorders>
            <w:vAlign w:val="center"/>
          </w:tcPr>
          <w:p w14:paraId="4A4B440A" w14:textId="74414F01"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Adamczak-Retecka and Śniadach, 2021</w:t>
            </w:r>
          </w:p>
        </w:tc>
      </w:tr>
      <w:tr w:rsidR="00DF20B9" w:rsidRPr="008C1952" w14:paraId="79D288BF" w14:textId="639C23B6" w:rsidTr="00DF20B9">
        <w:trPr>
          <w:trHeight w:val="20"/>
        </w:trPr>
        <w:tc>
          <w:tcPr>
            <w:tcW w:w="939" w:type="pct"/>
            <w:vAlign w:val="center"/>
          </w:tcPr>
          <w:p w14:paraId="680D28C1" w14:textId="12237566"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47D522AC" w14:textId="4C640F34"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Multi-Criteria Decision-Making (MCDM)</w:t>
            </w:r>
          </w:p>
        </w:tc>
        <w:tc>
          <w:tcPr>
            <w:tcW w:w="683" w:type="pct"/>
            <w:shd w:val="clear" w:color="auto" w:fill="auto"/>
            <w:vAlign w:val="center"/>
            <w:hideMark/>
          </w:tcPr>
          <w:p w14:paraId="569FF1C8" w14:textId="755B78C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7EE72964" w14:textId="779F56C1"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vAlign w:val="center"/>
            <w:hideMark/>
          </w:tcPr>
          <w:p w14:paraId="052BDC84" w14:textId="0B11A771"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338FA45A" w14:textId="337B759F"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Agyemang et al., 2022</w:t>
            </w:r>
          </w:p>
        </w:tc>
      </w:tr>
      <w:tr w:rsidR="00DF20B9" w:rsidRPr="008C1952" w14:paraId="7C91DF45" w14:textId="07F52DD9" w:rsidTr="00DF20B9">
        <w:trPr>
          <w:trHeight w:val="20"/>
        </w:trPr>
        <w:tc>
          <w:tcPr>
            <w:tcW w:w="939" w:type="pct"/>
            <w:vAlign w:val="center"/>
          </w:tcPr>
          <w:p w14:paraId="6EFF49B9" w14:textId="225C125B"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302CE4A9" w14:textId="4138EC60"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w:t>
            </w:r>
          </w:p>
        </w:tc>
        <w:tc>
          <w:tcPr>
            <w:tcW w:w="683" w:type="pct"/>
            <w:shd w:val="clear" w:color="auto" w:fill="auto"/>
            <w:noWrap/>
            <w:vAlign w:val="center"/>
            <w:hideMark/>
          </w:tcPr>
          <w:p w14:paraId="454CF253" w14:textId="3FD0E50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hideMark/>
          </w:tcPr>
          <w:p w14:paraId="6E2A0A53" w14:textId="7E7CCC2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5DDB070A" w14:textId="0949ABE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40F913F1" w14:textId="4EA3A9FA"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Allievi et al., 2019</w:t>
            </w:r>
          </w:p>
        </w:tc>
      </w:tr>
      <w:tr w:rsidR="00DF20B9" w:rsidRPr="008C1952" w14:paraId="41B7AD63" w14:textId="07ABBD10" w:rsidTr="00DF20B9">
        <w:trPr>
          <w:trHeight w:val="20"/>
        </w:trPr>
        <w:tc>
          <w:tcPr>
            <w:tcW w:w="939" w:type="pct"/>
            <w:vAlign w:val="center"/>
          </w:tcPr>
          <w:p w14:paraId="1720FD05" w14:textId="11B9265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492B6BE2" w14:textId="7415822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 </w:t>
            </w:r>
            <w:r w:rsidRPr="008C1952">
              <w:rPr>
                <w:rFonts w:ascii="Times New Roman" w:eastAsia="Times New Roman" w:hAnsi="Times New Roman" w:cs="Times New Roman"/>
                <w:color w:val="000000"/>
                <w:sz w:val="12"/>
                <w:szCs w:val="12"/>
                <w:lang w:eastAsia="en-GB"/>
              </w:rPr>
              <w:t>Q</w:t>
            </w:r>
            <w:r w:rsidRPr="005D37B7">
              <w:rPr>
                <w:rFonts w:ascii="Times New Roman" w:eastAsia="Times New Roman" w:hAnsi="Times New Roman" w:cs="Times New Roman"/>
                <w:color w:val="000000"/>
                <w:sz w:val="12"/>
                <w:szCs w:val="12"/>
                <w:lang w:eastAsia="en-GB"/>
              </w:rPr>
              <w:t>uestionnaires</w:t>
            </w:r>
          </w:p>
        </w:tc>
        <w:tc>
          <w:tcPr>
            <w:tcW w:w="683" w:type="pct"/>
            <w:shd w:val="clear" w:color="auto" w:fill="auto"/>
            <w:noWrap/>
            <w:vAlign w:val="center"/>
            <w:hideMark/>
          </w:tcPr>
          <w:p w14:paraId="21D6A45B" w14:textId="06FFA9D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hideMark/>
          </w:tcPr>
          <w:p w14:paraId="1CDB45C1" w14:textId="3FD86E3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230FBCA8" w14:textId="238AFEE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52C20409" w14:textId="77BCB4AF"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Alonso et al., 2023</w:t>
            </w:r>
          </w:p>
        </w:tc>
      </w:tr>
      <w:tr w:rsidR="00DF20B9" w:rsidRPr="008C1952" w14:paraId="612E7A31" w14:textId="7F79B042" w:rsidTr="00DF20B9">
        <w:trPr>
          <w:trHeight w:val="20"/>
        </w:trPr>
        <w:tc>
          <w:tcPr>
            <w:tcW w:w="939" w:type="pct"/>
            <w:vAlign w:val="center"/>
          </w:tcPr>
          <w:p w14:paraId="36A24510" w14:textId="6D0A4086"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54107BF1" w14:textId="1923BB0F"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w:t>
            </w:r>
          </w:p>
        </w:tc>
        <w:tc>
          <w:tcPr>
            <w:tcW w:w="683" w:type="pct"/>
            <w:shd w:val="clear" w:color="auto" w:fill="auto"/>
            <w:vAlign w:val="center"/>
            <w:hideMark/>
          </w:tcPr>
          <w:p w14:paraId="176FB694" w14:textId="0ACBDE0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hideMark/>
          </w:tcPr>
          <w:p w14:paraId="24A31A0B" w14:textId="2EF4376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202AE360" w14:textId="2661A73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3FDADA69" w14:textId="4A11997F"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Anderson et al., 2019</w:t>
            </w:r>
          </w:p>
        </w:tc>
      </w:tr>
      <w:tr w:rsidR="00DF20B9" w:rsidRPr="008C1952" w14:paraId="620430E9" w14:textId="17DFA1A1" w:rsidTr="00DF20B9">
        <w:trPr>
          <w:trHeight w:val="20"/>
        </w:trPr>
        <w:tc>
          <w:tcPr>
            <w:tcW w:w="939" w:type="pct"/>
            <w:vAlign w:val="center"/>
          </w:tcPr>
          <w:p w14:paraId="5F6E9355" w14:textId="203A66A5"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160BA856" w14:textId="6B718EF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w:t>
            </w:r>
          </w:p>
        </w:tc>
        <w:tc>
          <w:tcPr>
            <w:tcW w:w="683" w:type="pct"/>
            <w:shd w:val="clear" w:color="auto" w:fill="auto"/>
            <w:vAlign w:val="center"/>
            <w:hideMark/>
          </w:tcPr>
          <w:p w14:paraId="5845AFCD" w14:textId="7B8082AF"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Review</w:t>
            </w:r>
          </w:p>
        </w:tc>
        <w:tc>
          <w:tcPr>
            <w:tcW w:w="393" w:type="pct"/>
            <w:shd w:val="clear" w:color="auto" w:fill="auto"/>
            <w:hideMark/>
          </w:tcPr>
          <w:p w14:paraId="0E46BB0D" w14:textId="7D341A8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4A829C04" w14:textId="0B58541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E90DF30" w14:textId="67A0930F"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Arthur et al., 2022</w:t>
            </w:r>
          </w:p>
        </w:tc>
      </w:tr>
      <w:tr w:rsidR="00DF20B9" w:rsidRPr="008C1952" w14:paraId="51EB6B16" w14:textId="697BC130" w:rsidTr="00DF20B9">
        <w:trPr>
          <w:trHeight w:val="20"/>
        </w:trPr>
        <w:tc>
          <w:tcPr>
            <w:tcW w:w="939" w:type="pct"/>
            <w:vAlign w:val="center"/>
          </w:tcPr>
          <w:p w14:paraId="7DBFA5A0" w14:textId="4A0D5B2A"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73AC5847" w14:textId="3E75D50D"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Foresight</w:t>
            </w:r>
          </w:p>
        </w:tc>
        <w:tc>
          <w:tcPr>
            <w:tcW w:w="683" w:type="pct"/>
            <w:shd w:val="clear" w:color="auto" w:fill="auto"/>
            <w:vAlign w:val="center"/>
            <w:hideMark/>
          </w:tcPr>
          <w:p w14:paraId="35C39F98" w14:textId="1D56925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619EF4CC"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2A221DF6" w14:textId="1D39803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2B618525" w14:textId="16369D23"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Aubert et al., 2021</w:t>
            </w:r>
          </w:p>
        </w:tc>
      </w:tr>
      <w:tr w:rsidR="00DF20B9" w:rsidRPr="008C1952" w14:paraId="61BEEE8E" w14:textId="1EEA40F1" w:rsidTr="00DF20B9">
        <w:trPr>
          <w:trHeight w:val="20"/>
        </w:trPr>
        <w:tc>
          <w:tcPr>
            <w:tcW w:w="939" w:type="pct"/>
            <w:vAlign w:val="center"/>
          </w:tcPr>
          <w:p w14:paraId="44AF0CB6" w14:textId="7D6F2D6D"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4B8363DC" w14:textId="0DB6753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noWrap/>
            <w:vAlign w:val="center"/>
            <w:hideMark/>
          </w:tcPr>
          <w:p w14:paraId="0A9AC9F7" w14:textId="2BBAAC0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Review</w:t>
            </w:r>
          </w:p>
        </w:tc>
        <w:tc>
          <w:tcPr>
            <w:tcW w:w="393" w:type="pct"/>
            <w:shd w:val="clear" w:color="auto" w:fill="auto"/>
            <w:noWrap/>
            <w:vAlign w:val="center"/>
            <w:hideMark/>
          </w:tcPr>
          <w:p w14:paraId="3B6900BF" w14:textId="7777777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464E7DCC" w14:textId="37B5887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4F1408D" w14:textId="483716C4"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Bach-Faig et al., 2022</w:t>
            </w:r>
          </w:p>
        </w:tc>
      </w:tr>
      <w:tr w:rsidR="00DF20B9" w:rsidRPr="008C1952" w14:paraId="6391BB8F" w14:textId="36181BE2" w:rsidTr="00DF20B9">
        <w:trPr>
          <w:trHeight w:val="20"/>
        </w:trPr>
        <w:tc>
          <w:tcPr>
            <w:tcW w:w="939" w:type="pct"/>
            <w:vAlign w:val="center"/>
          </w:tcPr>
          <w:p w14:paraId="0CF2BD6D" w14:textId="15757D44"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530FC855" w14:textId="575346F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w:t>
            </w:r>
          </w:p>
        </w:tc>
        <w:tc>
          <w:tcPr>
            <w:tcW w:w="683" w:type="pct"/>
            <w:shd w:val="clear" w:color="auto" w:fill="auto"/>
            <w:noWrap/>
            <w:vAlign w:val="center"/>
            <w:hideMark/>
          </w:tcPr>
          <w:p w14:paraId="1F8539A0" w14:textId="30D61A1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289F55D4" w14:textId="20B4C71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03AC5FCA" w14:textId="5EBA67A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32A1C08A" w14:textId="047128E2"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Baldi et al., 2023</w:t>
            </w:r>
          </w:p>
        </w:tc>
      </w:tr>
      <w:tr w:rsidR="00DF20B9" w:rsidRPr="008C1952" w14:paraId="18C6FC76" w14:textId="524CB2F3" w:rsidTr="00DF20B9">
        <w:trPr>
          <w:trHeight w:val="20"/>
        </w:trPr>
        <w:tc>
          <w:tcPr>
            <w:tcW w:w="939" w:type="pct"/>
            <w:vAlign w:val="center"/>
          </w:tcPr>
          <w:p w14:paraId="281CA88C" w14:textId="5245ACAB"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59A33286" w14:textId="55FDFFA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64D62448" w14:textId="0C447F5C"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72BFEB36"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47AF5C72" w14:textId="3AD6A4E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59CB686A" w14:textId="5781A390"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Baldy and Kruse, 2019</w:t>
            </w:r>
          </w:p>
        </w:tc>
      </w:tr>
      <w:tr w:rsidR="00DF20B9" w:rsidRPr="008C1952" w14:paraId="388C690F" w14:textId="57E4843E" w:rsidTr="00DF20B9">
        <w:trPr>
          <w:trHeight w:val="20"/>
        </w:trPr>
        <w:tc>
          <w:tcPr>
            <w:tcW w:w="939" w:type="pct"/>
            <w:vAlign w:val="center"/>
          </w:tcPr>
          <w:p w14:paraId="7A6EB0D3" w14:textId="236C9D23"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5B784F4A" w14:textId="7093CDF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w:t>
            </w:r>
          </w:p>
        </w:tc>
        <w:tc>
          <w:tcPr>
            <w:tcW w:w="683" w:type="pct"/>
            <w:shd w:val="clear" w:color="auto" w:fill="auto"/>
            <w:vAlign w:val="center"/>
            <w:hideMark/>
          </w:tcPr>
          <w:p w14:paraId="3186B5DB"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Development Review</w:t>
            </w:r>
          </w:p>
        </w:tc>
        <w:tc>
          <w:tcPr>
            <w:tcW w:w="393" w:type="pct"/>
            <w:shd w:val="clear" w:color="auto" w:fill="auto"/>
            <w:vAlign w:val="center"/>
            <w:hideMark/>
          </w:tcPr>
          <w:p w14:paraId="2ACAFF08" w14:textId="29CCF2B4"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vAlign w:val="center"/>
            <w:hideMark/>
          </w:tcPr>
          <w:p w14:paraId="48A6A2A2" w14:textId="3027267E"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0B227B0" w14:textId="4694B62D"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Béné et al., 2017</w:t>
            </w:r>
          </w:p>
        </w:tc>
      </w:tr>
      <w:tr w:rsidR="00DF20B9" w:rsidRPr="008C1952" w14:paraId="05776AB9" w14:textId="6FADF5D5" w:rsidTr="00DF20B9">
        <w:trPr>
          <w:trHeight w:val="20"/>
        </w:trPr>
        <w:tc>
          <w:tcPr>
            <w:tcW w:w="939" w:type="pct"/>
            <w:vAlign w:val="center"/>
          </w:tcPr>
          <w:p w14:paraId="433EF2D7" w14:textId="7A9267AA"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11F106DF" w14:textId="68D2158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66A153AE" w14:textId="5D9FD00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vAlign w:val="center"/>
            <w:hideMark/>
          </w:tcPr>
          <w:p w14:paraId="523ACF2C"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352AA7D2" w14:textId="56FD871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Southern Europe</w:t>
            </w:r>
          </w:p>
        </w:tc>
        <w:tc>
          <w:tcPr>
            <w:tcW w:w="1145" w:type="pct"/>
            <w:vAlign w:val="center"/>
          </w:tcPr>
          <w:p w14:paraId="6F7349B3" w14:textId="521DB07E"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Bernaschi and Crisci, 2018</w:t>
            </w:r>
          </w:p>
        </w:tc>
      </w:tr>
      <w:tr w:rsidR="00DF20B9" w:rsidRPr="008C1952" w14:paraId="339432EB" w14:textId="0DB5E2EA" w:rsidTr="00DF20B9">
        <w:trPr>
          <w:trHeight w:val="20"/>
        </w:trPr>
        <w:tc>
          <w:tcPr>
            <w:tcW w:w="939" w:type="pct"/>
            <w:vAlign w:val="center"/>
          </w:tcPr>
          <w:p w14:paraId="7D0431E7" w14:textId="414E99AE"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03C876E7" w14:textId="4BDE1B7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w:t>
            </w:r>
          </w:p>
        </w:tc>
        <w:tc>
          <w:tcPr>
            <w:tcW w:w="683" w:type="pct"/>
            <w:shd w:val="clear" w:color="auto" w:fill="auto"/>
            <w:noWrap/>
            <w:vAlign w:val="center"/>
            <w:hideMark/>
          </w:tcPr>
          <w:p w14:paraId="3C863E88" w14:textId="3BC37BD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hideMark/>
          </w:tcPr>
          <w:p w14:paraId="58FC93B1" w14:textId="5990BD6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6CBACC9B" w14:textId="4445D14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28E77B3" w14:textId="5808AAF0"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Biesbroek et al., 2023</w:t>
            </w:r>
          </w:p>
        </w:tc>
      </w:tr>
      <w:tr w:rsidR="00DF20B9" w:rsidRPr="008C1952" w14:paraId="52F9872D" w14:textId="3C680AA6" w:rsidTr="00DF20B9">
        <w:trPr>
          <w:trHeight w:val="20"/>
        </w:trPr>
        <w:tc>
          <w:tcPr>
            <w:tcW w:w="939" w:type="pct"/>
            <w:vAlign w:val="center"/>
          </w:tcPr>
          <w:p w14:paraId="5C96F297" w14:textId="7F6A784E"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511D5D68" w14:textId="5E90F30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6E9531A6" w14:textId="2448A9D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hideMark/>
          </w:tcPr>
          <w:p w14:paraId="432A8DF4" w14:textId="01064B7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52948FFF" w14:textId="457AB8B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4825FB52" w14:textId="5F9298DF"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Bignet et al., 2020</w:t>
            </w:r>
          </w:p>
        </w:tc>
      </w:tr>
      <w:tr w:rsidR="00DF20B9" w:rsidRPr="008C1952" w14:paraId="188BD1DC" w14:textId="46017744" w:rsidTr="00DF20B9">
        <w:trPr>
          <w:trHeight w:val="20"/>
        </w:trPr>
        <w:tc>
          <w:tcPr>
            <w:tcW w:w="939" w:type="pct"/>
            <w:vAlign w:val="center"/>
          </w:tcPr>
          <w:p w14:paraId="6EECD476" w14:textId="32964F35"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72FEC718" w14:textId="79C8073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3328EB7D"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095F4EA4"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vAlign w:val="center"/>
            <w:hideMark/>
          </w:tcPr>
          <w:p w14:paraId="2858AC0B" w14:textId="12A8D92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Central and Eastern Europe</w:t>
            </w:r>
          </w:p>
        </w:tc>
        <w:tc>
          <w:tcPr>
            <w:tcW w:w="1145" w:type="pct"/>
            <w:vAlign w:val="center"/>
          </w:tcPr>
          <w:p w14:paraId="21A87289" w14:textId="15FF7B21"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Blumberg et al., 2020</w:t>
            </w:r>
          </w:p>
        </w:tc>
      </w:tr>
      <w:tr w:rsidR="00DF20B9" w:rsidRPr="008C1952" w14:paraId="2EF9259B" w14:textId="33EF2C4E" w:rsidTr="00DF20B9">
        <w:trPr>
          <w:trHeight w:val="20"/>
        </w:trPr>
        <w:tc>
          <w:tcPr>
            <w:tcW w:w="939" w:type="pct"/>
            <w:vAlign w:val="center"/>
          </w:tcPr>
          <w:p w14:paraId="1AE5A1EB" w14:textId="0F10E18B"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32D573F3" w14:textId="09CABC1B"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41CDF4F0" w14:textId="15A9582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hideMark/>
          </w:tcPr>
          <w:p w14:paraId="58CB6EF7" w14:textId="7C29F18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0F6CEB7A" w14:textId="3A26A7B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3FA34D89" w14:textId="05236BD8"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Boylan et al., 2020</w:t>
            </w:r>
          </w:p>
        </w:tc>
      </w:tr>
      <w:tr w:rsidR="00DF20B9" w:rsidRPr="008C1952" w14:paraId="299F6EE6" w14:textId="458B8059" w:rsidTr="00DF20B9">
        <w:trPr>
          <w:trHeight w:val="20"/>
        </w:trPr>
        <w:tc>
          <w:tcPr>
            <w:tcW w:w="939" w:type="pct"/>
            <w:vAlign w:val="center"/>
          </w:tcPr>
          <w:p w14:paraId="5FEF452E" w14:textId="68D86D63"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3B158284" w14:textId="419EFE8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433CE4A2" w14:textId="51E9505F"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hideMark/>
          </w:tcPr>
          <w:p w14:paraId="7675B1F7" w14:textId="1042B97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1C395AE7" w14:textId="28B7DAD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6710C971" w14:textId="3AED028E"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Brower et al., 2020</w:t>
            </w:r>
          </w:p>
        </w:tc>
      </w:tr>
      <w:tr w:rsidR="00DF20B9" w:rsidRPr="008C1952" w14:paraId="06299CBD" w14:textId="6E4B5ED4" w:rsidTr="00DF20B9">
        <w:trPr>
          <w:trHeight w:val="20"/>
        </w:trPr>
        <w:tc>
          <w:tcPr>
            <w:tcW w:w="939" w:type="pct"/>
            <w:vAlign w:val="center"/>
          </w:tcPr>
          <w:p w14:paraId="55FC471D" w14:textId="27823C4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7120F420" w14:textId="5E56082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184268C9" w14:textId="4A4E58E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024D224C" w14:textId="3AB4DD0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6429726F" w14:textId="6498E63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2BFDCA91" w14:textId="3187C732"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Bui et al., 2019</w:t>
            </w:r>
          </w:p>
        </w:tc>
      </w:tr>
      <w:tr w:rsidR="00DF20B9" w:rsidRPr="008C1952" w14:paraId="4AA7C6AD" w14:textId="7B0D846C" w:rsidTr="00DF20B9">
        <w:trPr>
          <w:trHeight w:val="20"/>
        </w:trPr>
        <w:tc>
          <w:tcPr>
            <w:tcW w:w="939" w:type="pct"/>
            <w:vAlign w:val="center"/>
          </w:tcPr>
          <w:p w14:paraId="3CB2019D" w14:textId="785FED33"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0286BC76" w14:textId="0B98172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05F8A31C" w14:textId="1EFBA04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13EA6657" w14:textId="6F4F9DFF"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2264CA09" w14:textId="0EE5CF4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332B645F" w14:textId="40F19930"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Byaruhanga et al., 2023</w:t>
            </w:r>
          </w:p>
        </w:tc>
      </w:tr>
      <w:tr w:rsidR="00DF20B9" w:rsidRPr="008C1952" w14:paraId="7E70A22C" w14:textId="5ACE535F" w:rsidTr="00DF20B9">
        <w:trPr>
          <w:trHeight w:val="20"/>
        </w:trPr>
        <w:tc>
          <w:tcPr>
            <w:tcW w:w="939" w:type="pct"/>
            <w:vAlign w:val="center"/>
          </w:tcPr>
          <w:p w14:paraId="2DE8DA46" w14:textId="131BB770"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6F754B01" w14:textId="4AA8370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01CB461A" w14:textId="657C5D96"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26BFE279"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2A5FF13C" w14:textId="6F1F28C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4C00C605" w14:textId="0F8E9FFB"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Cerrada-Serra et al., 2018</w:t>
            </w:r>
          </w:p>
        </w:tc>
      </w:tr>
      <w:tr w:rsidR="00DF20B9" w:rsidRPr="008C1952" w14:paraId="6B6AE4E2" w14:textId="06DD0777" w:rsidTr="00DF20B9">
        <w:trPr>
          <w:trHeight w:val="20"/>
        </w:trPr>
        <w:tc>
          <w:tcPr>
            <w:tcW w:w="939" w:type="pct"/>
            <w:vAlign w:val="center"/>
          </w:tcPr>
          <w:p w14:paraId="03217AAD" w14:textId="016A9EF6"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245B7DBD" w14:textId="64BDFCC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 a</w:t>
            </w:r>
          </w:p>
        </w:tc>
        <w:tc>
          <w:tcPr>
            <w:tcW w:w="683" w:type="pct"/>
            <w:shd w:val="clear" w:color="auto" w:fill="auto"/>
            <w:vAlign w:val="center"/>
            <w:hideMark/>
          </w:tcPr>
          <w:p w14:paraId="64F3926D" w14:textId="7261052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vAlign w:val="center"/>
            <w:hideMark/>
          </w:tcPr>
          <w:p w14:paraId="6C955E11" w14:textId="219041FB"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vAlign w:val="center"/>
            <w:hideMark/>
          </w:tcPr>
          <w:p w14:paraId="3946A557" w14:textId="12686D3D"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6EDAAF94" w14:textId="63E4E132"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Clancy (2022)</w:t>
            </w:r>
          </w:p>
        </w:tc>
      </w:tr>
      <w:tr w:rsidR="00DF20B9" w:rsidRPr="008C1952" w14:paraId="3513ED60" w14:textId="46DA474C" w:rsidTr="00DF20B9">
        <w:trPr>
          <w:trHeight w:val="20"/>
        </w:trPr>
        <w:tc>
          <w:tcPr>
            <w:tcW w:w="939" w:type="pct"/>
            <w:vAlign w:val="center"/>
          </w:tcPr>
          <w:p w14:paraId="64AF7DAC" w14:textId="581CB4C0"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4D5FAB91" w14:textId="5EA0308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6A45A99F" w14:textId="42718993"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1606ECC2"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vAlign w:val="center"/>
            <w:hideMark/>
          </w:tcPr>
          <w:p w14:paraId="22B5968F" w14:textId="18B79589"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39776AEA" w14:textId="1804280F"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Connolly et al., (2022)</w:t>
            </w:r>
          </w:p>
        </w:tc>
      </w:tr>
      <w:tr w:rsidR="00DF20B9" w:rsidRPr="008C1952" w14:paraId="124FAF6C" w14:textId="4EBDFED1" w:rsidTr="00DF20B9">
        <w:trPr>
          <w:trHeight w:val="20"/>
        </w:trPr>
        <w:tc>
          <w:tcPr>
            <w:tcW w:w="939" w:type="pct"/>
            <w:vAlign w:val="center"/>
          </w:tcPr>
          <w:p w14:paraId="16520B8A" w14:textId="55F06709"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3431638D" w14:textId="2C0ED5BD"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65C4E446" w14:textId="02AD9BF1"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79E791DD"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vAlign w:val="center"/>
            <w:hideMark/>
          </w:tcPr>
          <w:p w14:paraId="43D3B708" w14:textId="59440D9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77E52086" w14:textId="7281943F"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Coppo et al., 2017</w:t>
            </w:r>
          </w:p>
        </w:tc>
      </w:tr>
      <w:tr w:rsidR="00DF20B9" w:rsidRPr="008C1952" w14:paraId="0C243C61" w14:textId="23611155" w:rsidTr="00DF20B9">
        <w:trPr>
          <w:trHeight w:val="20"/>
        </w:trPr>
        <w:tc>
          <w:tcPr>
            <w:tcW w:w="939" w:type="pct"/>
            <w:vAlign w:val="center"/>
          </w:tcPr>
          <w:p w14:paraId="3A0E5D01" w14:textId="56B61692"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0474131A" w14:textId="6797398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740D89F5" w14:textId="48863345"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59826DD0" w14:textId="5F69BA2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7BBBB7F3" w14:textId="76174D12"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Central and Eastern Europe</w:t>
            </w:r>
          </w:p>
        </w:tc>
        <w:tc>
          <w:tcPr>
            <w:tcW w:w="1145" w:type="pct"/>
            <w:vAlign w:val="center"/>
          </w:tcPr>
          <w:p w14:paraId="0B047007" w14:textId="2214794B"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Daněk et al., 2022</w:t>
            </w:r>
          </w:p>
        </w:tc>
      </w:tr>
      <w:tr w:rsidR="00DF20B9" w:rsidRPr="008C1952" w14:paraId="795476FC" w14:textId="5CFFF818" w:rsidTr="00DF20B9">
        <w:trPr>
          <w:trHeight w:val="20"/>
        </w:trPr>
        <w:tc>
          <w:tcPr>
            <w:tcW w:w="939" w:type="pct"/>
            <w:vAlign w:val="center"/>
          </w:tcPr>
          <w:p w14:paraId="7141B01A" w14:textId="228CD25B"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0DED4C8D" w14:textId="0A98957F"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639E65E8" w14:textId="067DE820"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noWrap/>
            <w:vAlign w:val="center"/>
            <w:hideMark/>
          </w:tcPr>
          <w:p w14:paraId="316D30B3" w14:textId="273EB7B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hideMark/>
          </w:tcPr>
          <w:p w14:paraId="44F21C44" w14:textId="5A061F7B"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5FD69E4" w14:textId="2C1BBCA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De Bernardi and Azucar, 2020</w:t>
            </w:r>
          </w:p>
        </w:tc>
      </w:tr>
      <w:tr w:rsidR="00DF20B9" w:rsidRPr="008C1952" w14:paraId="5A11A2F4" w14:textId="6C499161" w:rsidTr="00DF20B9">
        <w:trPr>
          <w:trHeight w:val="20"/>
        </w:trPr>
        <w:tc>
          <w:tcPr>
            <w:tcW w:w="939" w:type="pct"/>
            <w:vAlign w:val="center"/>
          </w:tcPr>
          <w:p w14:paraId="2AD614FE" w14:textId="3F2046B4"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2D9F18A3" w14:textId="57B8B68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4B80EFFE" w14:textId="5445358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2FBA11F6" w14:textId="7E23DA4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hideMark/>
          </w:tcPr>
          <w:p w14:paraId="104FD4C6" w14:textId="735D319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CE3F685" w14:textId="4079CC4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De Schutter et al., 2020</w:t>
            </w:r>
          </w:p>
        </w:tc>
      </w:tr>
      <w:tr w:rsidR="00DF20B9" w:rsidRPr="008C1952" w14:paraId="5C1B748A" w14:textId="0ECE842E" w:rsidTr="00DF20B9">
        <w:trPr>
          <w:trHeight w:val="20"/>
        </w:trPr>
        <w:tc>
          <w:tcPr>
            <w:tcW w:w="939" w:type="pct"/>
            <w:vAlign w:val="center"/>
          </w:tcPr>
          <w:p w14:paraId="21C7C027" w14:textId="1B9DBA33"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6DE4A179" w14:textId="5AC3B211"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Thermodynamic</w:t>
            </w:r>
            <w:r w:rsidR="00B67790" w:rsidRPr="008C1952">
              <w:rPr>
                <w:rFonts w:ascii="Times New Roman" w:eastAsia="Times New Roman" w:hAnsi="Times New Roman" w:cs="Times New Roman"/>
                <w:color w:val="000000"/>
                <w:sz w:val="12"/>
                <w:szCs w:val="12"/>
                <w:lang w:eastAsia="en-GB"/>
              </w:rPr>
              <w:t xml:space="preserve"> Model</w:t>
            </w:r>
          </w:p>
        </w:tc>
        <w:tc>
          <w:tcPr>
            <w:tcW w:w="683" w:type="pct"/>
            <w:shd w:val="clear" w:color="auto" w:fill="auto"/>
            <w:vAlign w:val="center"/>
            <w:hideMark/>
          </w:tcPr>
          <w:p w14:paraId="7713847B" w14:textId="5E70511C"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47E9F8E7" w14:textId="15E48F1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vAlign w:val="center"/>
            <w:hideMark/>
          </w:tcPr>
          <w:p w14:paraId="75FE86EA" w14:textId="7C53339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46F858B7" w14:textId="00FE3FC8"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de Vries et al., 2021</w:t>
            </w:r>
          </w:p>
        </w:tc>
      </w:tr>
      <w:tr w:rsidR="00DF20B9" w:rsidRPr="008C1952" w14:paraId="0F6D621F" w14:textId="6BF48F46" w:rsidTr="00DF20B9">
        <w:trPr>
          <w:trHeight w:val="20"/>
        </w:trPr>
        <w:tc>
          <w:tcPr>
            <w:tcW w:w="939" w:type="pct"/>
            <w:vAlign w:val="center"/>
          </w:tcPr>
          <w:p w14:paraId="74E81342" w14:textId="70975C79"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12B61FF8" w14:textId="48E50C9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Thermodynamic model</w:t>
            </w:r>
          </w:p>
        </w:tc>
        <w:tc>
          <w:tcPr>
            <w:tcW w:w="683" w:type="pct"/>
            <w:shd w:val="clear" w:color="auto" w:fill="auto"/>
            <w:vAlign w:val="center"/>
            <w:hideMark/>
          </w:tcPr>
          <w:p w14:paraId="6FF52164" w14:textId="5B9F4A5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69FE4ED7" w14:textId="7777777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5C238457" w14:textId="0ECD448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2D2200D1" w14:textId="34E18EB0"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de Vries et al., 2022</w:t>
            </w:r>
          </w:p>
        </w:tc>
      </w:tr>
      <w:tr w:rsidR="00DF20B9" w:rsidRPr="008C1952" w14:paraId="3E6262F6" w14:textId="6D774F30" w:rsidTr="00DF20B9">
        <w:trPr>
          <w:trHeight w:val="20"/>
        </w:trPr>
        <w:tc>
          <w:tcPr>
            <w:tcW w:w="939" w:type="pct"/>
            <w:vAlign w:val="center"/>
          </w:tcPr>
          <w:p w14:paraId="258BB4AF" w14:textId="7F25FF9E"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002F496C" w14:textId="1896B35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3120641D" w14:textId="6FCC3FF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hideMark/>
          </w:tcPr>
          <w:p w14:paraId="1DEA3D95" w14:textId="0471870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3E493BEB" w14:textId="73CA2F4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F221438" w14:textId="4C2BB4CC"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Dìaz-Mendez and Lonzano-Cabedo, 2019</w:t>
            </w:r>
          </w:p>
        </w:tc>
      </w:tr>
      <w:tr w:rsidR="00DF20B9" w:rsidRPr="008C1952" w14:paraId="35DDF45D" w14:textId="6A5F5249" w:rsidTr="00DF20B9">
        <w:trPr>
          <w:trHeight w:val="20"/>
        </w:trPr>
        <w:tc>
          <w:tcPr>
            <w:tcW w:w="939" w:type="pct"/>
            <w:vAlign w:val="center"/>
          </w:tcPr>
          <w:p w14:paraId="2CFA6E9B" w14:textId="789A940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163B1A2C" w14:textId="29C2287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7467CAB8" w14:textId="5D2CDB5B"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hideMark/>
          </w:tcPr>
          <w:p w14:paraId="637BC83C" w14:textId="0B6C90F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1EBD95E4" w14:textId="2E84A0E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AC52D74" w14:textId="43C3CC04"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Eakin et al., 2016</w:t>
            </w:r>
          </w:p>
        </w:tc>
      </w:tr>
      <w:tr w:rsidR="00DF20B9" w:rsidRPr="008C1952" w14:paraId="13459A84" w14:textId="0FA8E1BD" w:rsidTr="00DF20B9">
        <w:trPr>
          <w:trHeight w:val="20"/>
        </w:trPr>
        <w:tc>
          <w:tcPr>
            <w:tcW w:w="939" w:type="pct"/>
            <w:vAlign w:val="center"/>
          </w:tcPr>
          <w:p w14:paraId="18861F46" w14:textId="323C1ABC"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22CADD0A" w14:textId="6EB17AD5"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5B8E90F0"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Review</w:t>
            </w:r>
          </w:p>
        </w:tc>
        <w:tc>
          <w:tcPr>
            <w:tcW w:w="393" w:type="pct"/>
            <w:shd w:val="clear" w:color="auto" w:fill="auto"/>
            <w:vAlign w:val="center"/>
            <w:hideMark/>
          </w:tcPr>
          <w:p w14:paraId="17C0C624" w14:textId="0C9ECDEC"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597E12EA"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N/A</w:t>
            </w:r>
          </w:p>
        </w:tc>
        <w:tc>
          <w:tcPr>
            <w:tcW w:w="1145" w:type="pct"/>
            <w:vAlign w:val="center"/>
          </w:tcPr>
          <w:p w14:paraId="08AEF8C0" w14:textId="497685C7"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Enthoven L. and Van den Broeck G., 2021</w:t>
            </w:r>
          </w:p>
        </w:tc>
      </w:tr>
      <w:tr w:rsidR="00DF20B9" w:rsidRPr="008C1952" w14:paraId="49D7F166" w14:textId="6C0B1F6C" w:rsidTr="00DF20B9">
        <w:trPr>
          <w:trHeight w:val="20"/>
        </w:trPr>
        <w:tc>
          <w:tcPr>
            <w:tcW w:w="939" w:type="pct"/>
            <w:vAlign w:val="center"/>
          </w:tcPr>
          <w:p w14:paraId="49F62813" w14:textId="35755E2C"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329AE599" w14:textId="72AA8B3C"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Multiple Criteria Decision Aiding (MCDA)</w:t>
            </w:r>
          </w:p>
        </w:tc>
        <w:tc>
          <w:tcPr>
            <w:tcW w:w="683" w:type="pct"/>
            <w:shd w:val="clear" w:color="auto" w:fill="auto"/>
            <w:vAlign w:val="center"/>
            <w:hideMark/>
          </w:tcPr>
          <w:p w14:paraId="7B66FD83" w14:textId="13AC610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501E9BE4"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414F66C6" w14:textId="57140B0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Southern Europe</w:t>
            </w:r>
          </w:p>
        </w:tc>
        <w:tc>
          <w:tcPr>
            <w:tcW w:w="1145" w:type="pct"/>
            <w:vAlign w:val="center"/>
          </w:tcPr>
          <w:p w14:paraId="2A3E7118" w14:textId="62F6F257"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Fagioli et al., 2017</w:t>
            </w:r>
          </w:p>
        </w:tc>
      </w:tr>
      <w:tr w:rsidR="00DF20B9" w:rsidRPr="008C1952" w14:paraId="446A73F0" w14:textId="74223216" w:rsidTr="00DF20B9">
        <w:trPr>
          <w:trHeight w:val="20"/>
        </w:trPr>
        <w:tc>
          <w:tcPr>
            <w:tcW w:w="939" w:type="pct"/>
            <w:vAlign w:val="center"/>
          </w:tcPr>
          <w:p w14:paraId="6B63CDB1" w14:textId="4523153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560F8B55" w14:textId="686B2290"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2D610ED3" w14:textId="0F8FA4C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hideMark/>
          </w:tcPr>
          <w:p w14:paraId="2D898BD7" w14:textId="5290615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10C68EDA" w14:textId="5C00A0CB"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1C6A1C9" w14:textId="36BBE5A6"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Fanzo (2019)</w:t>
            </w:r>
          </w:p>
        </w:tc>
      </w:tr>
      <w:tr w:rsidR="00DF20B9" w:rsidRPr="008C1952" w14:paraId="1BCE3804" w14:textId="14EBFD5C" w:rsidTr="00DF20B9">
        <w:trPr>
          <w:trHeight w:val="20"/>
        </w:trPr>
        <w:tc>
          <w:tcPr>
            <w:tcW w:w="939" w:type="pct"/>
            <w:vAlign w:val="center"/>
          </w:tcPr>
          <w:p w14:paraId="465D28E8" w14:textId="4619E0A4"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5470CB8D" w14:textId="7119E83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063DD56A" w14:textId="69CBC97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Review</w:t>
            </w:r>
          </w:p>
        </w:tc>
        <w:tc>
          <w:tcPr>
            <w:tcW w:w="393" w:type="pct"/>
            <w:shd w:val="clear" w:color="auto" w:fill="auto"/>
            <w:noWrap/>
            <w:hideMark/>
          </w:tcPr>
          <w:p w14:paraId="4BE8B771" w14:textId="0B157B7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39D25AAB" w14:textId="1F25834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875F086" w14:textId="62C1E8AE"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Fanzo et al., 2020</w:t>
            </w:r>
          </w:p>
        </w:tc>
      </w:tr>
      <w:tr w:rsidR="00DF20B9" w:rsidRPr="008C1952" w14:paraId="368DD16E" w14:textId="4DA4CA94" w:rsidTr="00DF20B9">
        <w:trPr>
          <w:trHeight w:val="20"/>
        </w:trPr>
        <w:tc>
          <w:tcPr>
            <w:tcW w:w="939" w:type="pct"/>
            <w:vAlign w:val="center"/>
          </w:tcPr>
          <w:p w14:paraId="6B7579CF" w14:textId="44083BF2"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469D1877" w14:textId="0AF07980"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w:t>
            </w:r>
          </w:p>
        </w:tc>
        <w:tc>
          <w:tcPr>
            <w:tcW w:w="683" w:type="pct"/>
            <w:shd w:val="clear" w:color="auto" w:fill="auto"/>
            <w:noWrap/>
            <w:vAlign w:val="center"/>
            <w:hideMark/>
          </w:tcPr>
          <w:p w14:paraId="13C073BC" w14:textId="4671DB0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254EDFD5" w14:textId="18EC3F8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5DEDA3BB" w14:textId="3406DA5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148FF3E3" w14:textId="1ADBA012"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Fesenfeld et al., 2023</w:t>
            </w:r>
          </w:p>
        </w:tc>
      </w:tr>
      <w:tr w:rsidR="00DF20B9" w:rsidRPr="008C1952" w14:paraId="163641BF" w14:textId="7F5DD1A0" w:rsidTr="00DF20B9">
        <w:trPr>
          <w:trHeight w:val="20"/>
        </w:trPr>
        <w:tc>
          <w:tcPr>
            <w:tcW w:w="939" w:type="pct"/>
            <w:vAlign w:val="center"/>
          </w:tcPr>
          <w:p w14:paraId="61F923B7" w14:textId="4080A96F"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460F100B" w14:textId="169503C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noWrap/>
            <w:vAlign w:val="center"/>
            <w:hideMark/>
          </w:tcPr>
          <w:p w14:paraId="4AE74B0A" w14:textId="22F0D4B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Narrative Review</w:t>
            </w:r>
          </w:p>
        </w:tc>
        <w:tc>
          <w:tcPr>
            <w:tcW w:w="393" w:type="pct"/>
            <w:shd w:val="clear" w:color="auto" w:fill="auto"/>
            <w:vAlign w:val="center"/>
            <w:hideMark/>
          </w:tcPr>
          <w:p w14:paraId="25D5BECC" w14:textId="6CF1F75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14054C1D" w14:textId="05F377E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2591B4C4" w14:textId="7698805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Friel (2020)</w:t>
            </w:r>
          </w:p>
        </w:tc>
      </w:tr>
      <w:tr w:rsidR="00DF20B9" w:rsidRPr="008C1952" w14:paraId="71A13D8A" w14:textId="24DFD29E" w:rsidTr="00DF20B9">
        <w:trPr>
          <w:trHeight w:val="20"/>
        </w:trPr>
        <w:tc>
          <w:tcPr>
            <w:tcW w:w="939" w:type="pct"/>
            <w:vAlign w:val="center"/>
          </w:tcPr>
          <w:p w14:paraId="70DBE78C" w14:textId="0C1DAF67"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18408AFA" w14:textId="08AEF7E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Ecological Footprint Accounting and Policy Analysis</w:t>
            </w:r>
          </w:p>
        </w:tc>
        <w:tc>
          <w:tcPr>
            <w:tcW w:w="683" w:type="pct"/>
            <w:shd w:val="clear" w:color="auto" w:fill="auto"/>
            <w:noWrap/>
            <w:vAlign w:val="center"/>
            <w:hideMark/>
          </w:tcPr>
          <w:p w14:paraId="7F20652B" w14:textId="69DEAF0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2D094F09"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5929CCB5" w14:textId="1EEC6FC3"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Southern Europe</w:t>
            </w:r>
          </w:p>
        </w:tc>
        <w:tc>
          <w:tcPr>
            <w:tcW w:w="1145" w:type="pct"/>
            <w:vAlign w:val="center"/>
          </w:tcPr>
          <w:p w14:paraId="158E0113" w14:textId="6E2945A7"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Galli A. et al., 2020</w:t>
            </w:r>
          </w:p>
        </w:tc>
      </w:tr>
      <w:tr w:rsidR="00DF20B9" w:rsidRPr="008C1952" w14:paraId="110C6C3C" w14:textId="3DF23EF8" w:rsidTr="00DF20B9">
        <w:trPr>
          <w:trHeight w:val="20"/>
        </w:trPr>
        <w:tc>
          <w:tcPr>
            <w:tcW w:w="939" w:type="pct"/>
            <w:vAlign w:val="center"/>
          </w:tcPr>
          <w:p w14:paraId="4D5ECDB4" w14:textId="3C344E43"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3A3C1675" w14:textId="671CF9B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2E364EBC" w14:textId="5DF3DE6B"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1CDC6A92" w14:textId="6FA88BB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4EF12F3E" w14:textId="6DCB425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438DDFD6" w14:textId="629B4A79"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Galli et al., 2020</w:t>
            </w:r>
          </w:p>
        </w:tc>
      </w:tr>
      <w:tr w:rsidR="00DF20B9" w:rsidRPr="008C1952" w14:paraId="7628093D" w14:textId="256D4B82" w:rsidTr="00DF20B9">
        <w:trPr>
          <w:trHeight w:val="20"/>
        </w:trPr>
        <w:tc>
          <w:tcPr>
            <w:tcW w:w="939" w:type="pct"/>
            <w:vAlign w:val="center"/>
          </w:tcPr>
          <w:p w14:paraId="13EECADB" w14:textId="36E0CD8D"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4EFD2E1B" w14:textId="09EE9A7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61DEAADB" w14:textId="693A5F0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hideMark/>
          </w:tcPr>
          <w:p w14:paraId="30FBF321" w14:textId="564F90D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4CAB03B1" w14:textId="29BC061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505D44C8" w14:textId="7A84EA02"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Gjerris M. et al., 2015</w:t>
            </w:r>
          </w:p>
        </w:tc>
      </w:tr>
      <w:tr w:rsidR="00DF20B9" w:rsidRPr="008C1952" w14:paraId="49469BF8" w14:textId="46AFEEFB" w:rsidTr="00DF20B9">
        <w:trPr>
          <w:trHeight w:val="20"/>
        </w:trPr>
        <w:tc>
          <w:tcPr>
            <w:tcW w:w="939" w:type="pct"/>
            <w:vAlign w:val="center"/>
          </w:tcPr>
          <w:p w14:paraId="64FF69EA" w14:textId="6EAFB3B0"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43504C09" w14:textId="7FCD72E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7A81DB8B" w14:textId="5969F6EF"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hideMark/>
          </w:tcPr>
          <w:p w14:paraId="3C6E4FF6" w14:textId="3DF8555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6EFE6422" w14:textId="2D42E3D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485109B" w14:textId="51331926"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Gliessman et al., 2019</w:t>
            </w:r>
          </w:p>
        </w:tc>
      </w:tr>
      <w:tr w:rsidR="00DF20B9" w:rsidRPr="008C1952" w14:paraId="7F781B1F" w14:textId="71A7F109" w:rsidTr="00DF20B9">
        <w:trPr>
          <w:trHeight w:val="20"/>
        </w:trPr>
        <w:tc>
          <w:tcPr>
            <w:tcW w:w="939" w:type="pct"/>
            <w:vAlign w:val="center"/>
          </w:tcPr>
          <w:p w14:paraId="4C5CE9A2" w14:textId="305896FB"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378F8248" w14:textId="113696E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1785CAE4" w14:textId="51A4DC4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noWrap/>
            <w:hideMark/>
          </w:tcPr>
          <w:p w14:paraId="3E19B4CA" w14:textId="2B39CB1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7B39913B" w14:textId="785EA1F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75EC64C" w14:textId="4DEFBA4C"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Gomiero et al., 2017</w:t>
            </w:r>
          </w:p>
        </w:tc>
      </w:tr>
      <w:tr w:rsidR="00DF20B9" w:rsidRPr="008C1952" w14:paraId="412D2AAE" w14:textId="16D09EAD" w:rsidTr="00DF20B9">
        <w:trPr>
          <w:trHeight w:val="20"/>
        </w:trPr>
        <w:tc>
          <w:tcPr>
            <w:tcW w:w="939" w:type="pct"/>
            <w:vAlign w:val="center"/>
          </w:tcPr>
          <w:p w14:paraId="5EE8C2A2" w14:textId="7B956F03"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76755D36" w14:textId="7FF3DCAA"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0F85DB5A" w14:textId="496551C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00108E9E"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163BE9FD" w14:textId="4F0022FA"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0119F6F2" w14:textId="00CAE183"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Gonzalez and Lorenzini, 2021</w:t>
            </w:r>
          </w:p>
        </w:tc>
      </w:tr>
      <w:tr w:rsidR="00DF20B9" w:rsidRPr="008C1952" w14:paraId="3D6E4AC2" w14:textId="05A98070" w:rsidTr="00DF20B9">
        <w:trPr>
          <w:trHeight w:val="20"/>
        </w:trPr>
        <w:tc>
          <w:tcPr>
            <w:tcW w:w="939" w:type="pct"/>
            <w:vAlign w:val="center"/>
          </w:tcPr>
          <w:p w14:paraId="1888B9FF" w14:textId="2ED0CB2A"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18B3A497" w14:textId="0449618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3EBDE63C" w14:textId="73EEF6A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hideMark/>
          </w:tcPr>
          <w:p w14:paraId="3561A0C3" w14:textId="1E1671F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7D612650" w14:textId="5E1E5E8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51C6780E" w14:textId="023A0149"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Gonzalez De Molina and Lopez-Garcia, 2021</w:t>
            </w:r>
          </w:p>
        </w:tc>
      </w:tr>
      <w:tr w:rsidR="00DF20B9" w:rsidRPr="008C1952" w14:paraId="29717F29" w14:textId="6BF47B59" w:rsidTr="00DF20B9">
        <w:trPr>
          <w:trHeight w:val="20"/>
        </w:trPr>
        <w:tc>
          <w:tcPr>
            <w:tcW w:w="939" w:type="pct"/>
            <w:vAlign w:val="center"/>
          </w:tcPr>
          <w:p w14:paraId="4700C449" w14:textId="1B0ED484"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12255920" w14:textId="041D62A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3DD8D646" w14:textId="765E798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1C2853A1" w14:textId="21694095"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521CFD5C" w14:textId="5DDF567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Central and Eastern Europe</w:t>
            </w:r>
          </w:p>
        </w:tc>
        <w:tc>
          <w:tcPr>
            <w:tcW w:w="1145" w:type="pct"/>
            <w:vAlign w:val="center"/>
          </w:tcPr>
          <w:p w14:paraId="69D9E492" w14:textId="065004D2"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Goszczyński et al., 2019</w:t>
            </w:r>
          </w:p>
        </w:tc>
      </w:tr>
      <w:tr w:rsidR="00DF20B9" w:rsidRPr="008C1952" w14:paraId="3C57D0E7" w14:textId="618DDDDC" w:rsidTr="00DF20B9">
        <w:trPr>
          <w:trHeight w:val="20"/>
        </w:trPr>
        <w:tc>
          <w:tcPr>
            <w:tcW w:w="939" w:type="pct"/>
            <w:vAlign w:val="center"/>
          </w:tcPr>
          <w:p w14:paraId="04991D29" w14:textId="22FB7FA8"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557E1F2E" w14:textId="201C1AE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noWrap/>
            <w:vAlign w:val="center"/>
            <w:hideMark/>
          </w:tcPr>
          <w:p w14:paraId="627F0419" w14:textId="7141C1C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Review</w:t>
            </w:r>
          </w:p>
        </w:tc>
        <w:tc>
          <w:tcPr>
            <w:tcW w:w="393" w:type="pct"/>
            <w:shd w:val="clear" w:color="auto" w:fill="auto"/>
            <w:noWrap/>
            <w:hideMark/>
          </w:tcPr>
          <w:p w14:paraId="29A5169C" w14:textId="4216BFF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3D6130A5" w14:textId="7DCF665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37651628" w14:textId="46D5AD36"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Hatt et al., 2016</w:t>
            </w:r>
          </w:p>
        </w:tc>
      </w:tr>
      <w:tr w:rsidR="00DF20B9" w:rsidRPr="008C1952" w14:paraId="0442A61B" w14:textId="016E84D9" w:rsidTr="00DF20B9">
        <w:trPr>
          <w:trHeight w:val="20"/>
        </w:trPr>
        <w:tc>
          <w:tcPr>
            <w:tcW w:w="939" w:type="pct"/>
            <w:vAlign w:val="center"/>
          </w:tcPr>
          <w:p w14:paraId="085C1767" w14:textId="255D103F"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6CC82CD1" w14:textId="02B3B44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566C503A" w14:textId="4318D30D"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6BB33D2C"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vAlign w:val="center"/>
            <w:hideMark/>
          </w:tcPr>
          <w:p w14:paraId="563EAE4E" w14:textId="41C8828D"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4504BEAD" w14:textId="0E62D5AC"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Jarzebrowski et al., 2020</w:t>
            </w:r>
          </w:p>
        </w:tc>
      </w:tr>
      <w:tr w:rsidR="00DF20B9" w:rsidRPr="008C1952" w14:paraId="5DA27F4B" w14:textId="65F56E84" w:rsidTr="00DF20B9">
        <w:trPr>
          <w:trHeight w:val="20"/>
        </w:trPr>
        <w:tc>
          <w:tcPr>
            <w:tcW w:w="939" w:type="pct"/>
            <w:vAlign w:val="center"/>
          </w:tcPr>
          <w:p w14:paraId="552A54FB" w14:textId="7E450DE9"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52D401EA" w14:textId="1A1179B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2A5A5DE1" w14:textId="114021C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63489C57"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73A2AB64" w14:textId="645D195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Northen Europe</w:t>
            </w:r>
          </w:p>
        </w:tc>
        <w:tc>
          <w:tcPr>
            <w:tcW w:w="1145" w:type="pct"/>
            <w:vAlign w:val="center"/>
          </w:tcPr>
          <w:p w14:paraId="2EA2D676" w14:textId="00ABD4D2"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Jurgilevich et al., 2016</w:t>
            </w:r>
          </w:p>
        </w:tc>
      </w:tr>
      <w:tr w:rsidR="00DF20B9" w:rsidRPr="008C1952" w14:paraId="33039E77" w14:textId="2099FF86" w:rsidTr="00DF20B9">
        <w:trPr>
          <w:trHeight w:val="20"/>
        </w:trPr>
        <w:tc>
          <w:tcPr>
            <w:tcW w:w="939" w:type="pct"/>
            <w:vAlign w:val="center"/>
          </w:tcPr>
          <w:p w14:paraId="4421C8CB" w14:textId="2DD912C9"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45595B3B" w14:textId="7BB2690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Modellling</w:t>
            </w:r>
          </w:p>
        </w:tc>
        <w:tc>
          <w:tcPr>
            <w:tcW w:w="683" w:type="pct"/>
            <w:shd w:val="clear" w:color="auto" w:fill="auto"/>
            <w:noWrap/>
            <w:vAlign w:val="center"/>
            <w:hideMark/>
          </w:tcPr>
          <w:p w14:paraId="100DC0E0" w14:textId="0673503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34B40CAB" w14:textId="10D9036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7A56DEF3" w14:textId="217A036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BE5CF54" w14:textId="5B102BA4"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Kaufmann et al., 2022</w:t>
            </w:r>
          </w:p>
        </w:tc>
      </w:tr>
      <w:tr w:rsidR="00DF20B9" w:rsidRPr="008C1952" w14:paraId="21C9873B" w14:textId="61F10B82" w:rsidTr="00DF20B9">
        <w:trPr>
          <w:trHeight w:val="20"/>
        </w:trPr>
        <w:tc>
          <w:tcPr>
            <w:tcW w:w="939" w:type="pct"/>
            <w:vAlign w:val="center"/>
          </w:tcPr>
          <w:p w14:paraId="0AFA1FAE" w14:textId="688F1FAF"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1F419E7D" w14:textId="0E3014C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3369E452" w14:textId="7777777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Summary of a Special Collection</w:t>
            </w:r>
          </w:p>
        </w:tc>
        <w:tc>
          <w:tcPr>
            <w:tcW w:w="393" w:type="pct"/>
            <w:shd w:val="clear" w:color="auto" w:fill="auto"/>
            <w:noWrap/>
            <w:vAlign w:val="center"/>
            <w:hideMark/>
          </w:tcPr>
          <w:p w14:paraId="59AFCD6C" w14:textId="6EB7417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48687D0E" w14:textId="60E0F37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23227C59" w14:textId="38BCD03C"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Kennedy et al., 2020</w:t>
            </w:r>
          </w:p>
        </w:tc>
      </w:tr>
      <w:tr w:rsidR="00DF20B9" w:rsidRPr="008C1952" w14:paraId="235E6DBB" w14:textId="54C10B58" w:rsidTr="00DF20B9">
        <w:trPr>
          <w:trHeight w:val="20"/>
        </w:trPr>
        <w:tc>
          <w:tcPr>
            <w:tcW w:w="939" w:type="pct"/>
            <w:vAlign w:val="center"/>
          </w:tcPr>
          <w:p w14:paraId="21F4D5F7" w14:textId="55BF5E6E"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2FC08229" w14:textId="3E8D51A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Participatory spatial assessment</w:t>
            </w:r>
          </w:p>
        </w:tc>
        <w:tc>
          <w:tcPr>
            <w:tcW w:w="683" w:type="pct"/>
            <w:shd w:val="clear" w:color="auto" w:fill="auto"/>
            <w:vAlign w:val="center"/>
            <w:hideMark/>
          </w:tcPr>
          <w:p w14:paraId="074E22DC" w14:textId="4E836FC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160E9C70"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49943A5F" w14:textId="236410E4"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623D04DC" w14:textId="0EE90D3F"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Klebl et al., 2022</w:t>
            </w:r>
          </w:p>
        </w:tc>
      </w:tr>
      <w:tr w:rsidR="00DF20B9" w:rsidRPr="008C1952" w14:paraId="5D36C02D" w14:textId="185CAB37" w:rsidTr="00DF20B9">
        <w:trPr>
          <w:trHeight w:val="20"/>
        </w:trPr>
        <w:tc>
          <w:tcPr>
            <w:tcW w:w="939" w:type="pct"/>
            <w:vAlign w:val="center"/>
          </w:tcPr>
          <w:p w14:paraId="35627D0D" w14:textId="0E4200A9"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54B7E3C5" w14:textId="15200753"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Socio-ecological system (SES) frameworks</w:t>
            </w:r>
          </w:p>
        </w:tc>
        <w:tc>
          <w:tcPr>
            <w:tcW w:w="683" w:type="pct"/>
            <w:shd w:val="clear" w:color="auto" w:fill="auto"/>
            <w:vAlign w:val="center"/>
            <w:hideMark/>
          </w:tcPr>
          <w:p w14:paraId="2DA9E372" w14:textId="08C5A9E9"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7F9293CE"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353D4D02" w14:textId="2214104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72D64E51" w14:textId="1DADDB7E"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Kopainsky et al., (2015)</w:t>
            </w:r>
          </w:p>
        </w:tc>
      </w:tr>
      <w:tr w:rsidR="00DF20B9" w:rsidRPr="008C1952" w14:paraId="10D0B1B6" w14:textId="314CBE77" w:rsidTr="00DF20B9">
        <w:trPr>
          <w:trHeight w:val="20"/>
        </w:trPr>
        <w:tc>
          <w:tcPr>
            <w:tcW w:w="939" w:type="pct"/>
            <w:vAlign w:val="center"/>
          </w:tcPr>
          <w:p w14:paraId="06677B7A" w14:textId="1D62AFF9"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3972CD96" w14:textId="6599AC6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0445D414" w14:textId="6E05A6F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hideMark/>
          </w:tcPr>
          <w:p w14:paraId="5499DB4D" w14:textId="6EB7717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2D7EFE47" w14:textId="0E891EA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427FE52A" w14:textId="69E344D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Kuchler et al., 2021</w:t>
            </w:r>
          </w:p>
        </w:tc>
      </w:tr>
      <w:tr w:rsidR="00DF20B9" w:rsidRPr="008C1952" w14:paraId="39A4F5B4" w14:textId="20DEDA6C" w:rsidTr="00DF20B9">
        <w:trPr>
          <w:trHeight w:val="20"/>
        </w:trPr>
        <w:tc>
          <w:tcPr>
            <w:tcW w:w="939" w:type="pct"/>
            <w:vAlign w:val="center"/>
          </w:tcPr>
          <w:p w14:paraId="4332A975" w14:textId="4ED40621"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3E913699" w14:textId="53778EE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63E85070" w14:textId="36FBF1A9"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7572008C" w14:textId="7A72B9C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vAlign w:val="center"/>
            <w:hideMark/>
          </w:tcPr>
          <w:p w14:paraId="318BFC30" w14:textId="1E4E223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Northen Europe</w:t>
            </w:r>
          </w:p>
        </w:tc>
        <w:tc>
          <w:tcPr>
            <w:tcW w:w="1145" w:type="pct"/>
            <w:vAlign w:val="center"/>
          </w:tcPr>
          <w:p w14:paraId="4896D0E1" w14:textId="3447ACA1"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Kugelberg et al. 2021</w:t>
            </w:r>
          </w:p>
        </w:tc>
      </w:tr>
      <w:tr w:rsidR="00DF20B9" w:rsidRPr="008C1952" w14:paraId="3316FEA0" w14:textId="3D9873B3" w:rsidTr="00DF20B9">
        <w:trPr>
          <w:trHeight w:val="20"/>
        </w:trPr>
        <w:tc>
          <w:tcPr>
            <w:tcW w:w="939" w:type="pct"/>
            <w:vAlign w:val="center"/>
          </w:tcPr>
          <w:p w14:paraId="3AE48DFE" w14:textId="54C885B8"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34CF54F0" w14:textId="2CB34469"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10FA57E1" w14:textId="1793DD8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7D2C6260" w14:textId="1EA7717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2AC708B1" w14:textId="18B8DD1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Northen Europe</w:t>
            </w:r>
          </w:p>
        </w:tc>
        <w:tc>
          <w:tcPr>
            <w:tcW w:w="1145" w:type="pct"/>
            <w:vAlign w:val="center"/>
          </w:tcPr>
          <w:p w14:paraId="6B8CD0ED" w14:textId="3CB66159"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Kuokkaken et al., 2018</w:t>
            </w:r>
          </w:p>
        </w:tc>
      </w:tr>
      <w:tr w:rsidR="00DF20B9" w:rsidRPr="008C1952" w14:paraId="344D9267" w14:textId="10ECF204" w:rsidTr="00DF20B9">
        <w:trPr>
          <w:trHeight w:val="20"/>
        </w:trPr>
        <w:tc>
          <w:tcPr>
            <w:tcW w:w="939" w:type="pct"/>
            <w:vAlign w:val="center"/>
          </w:tcPr>
          <w:p w14:paraId="35232060" w14:textId="2BBEC421"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08A2DCF5" w14:textId="5FD5E03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6B034F6F" w14:textId="4473EACA"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7BAD314C"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3E493190" w14:textId="2E03216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432565B0" w14:textId="3BC16A66"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Lang and Mason, 2017</w:t>
            </w:r>
          </w:p>
        </w:tc>
      </w:tr>
      <w:tr w:rsidR="00DF20B9" w:rsidRPr="008C1952" w14:paraId="4D80EE72" w14:textId="3003CE7F" w:rsidTr="00DF20B9">
        <w:trPr>
          <w:trHeight w:val="20"/>
        </w:trPr>
        <w:tc>
          <w:tcPr>
            <w:tcW w:w="939" w:type="pct"/>
            <w:vAlign w:val="center"/>
          </w:tcPr>
          <w:p w14:paraId="0576F22D" w14:textId="5076E920"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6BE79102" w14:textId="355CB67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2DB2DFDB" w14:textId="4924191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7768A7CB" w14:textId="08E48B6A"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vAlign w:val="center"/>
            <w:hideMark/>
          </w:tcPr>
          <w:p w14:paraId="04FA0246" w14:textId="3F72B8FE"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8CDD179" w14:textId="42C50A1E"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Levidow (2015)</w:t>
            </w:r>
          </w:p>
        </w:tc>
      </w:tr>
      <w:tr w:rsidR="00DF20B9" w:rsidRPr="008C1952" w14:paraId="56DA7A30" w14:textId="6157707F" w:rsidTr="00DF20B9">
        <w:trPr>
          <w:trHeight w:val="20"/>
        </w:trPr>
        <w:tc>
          <w:tcPr>
            <w:tcW w:w="939" w:type="pct"/>
            <w:vAlign w:val="center"/>
          </w:tcPr>
          <w:p w14:paraId="7B0B1699" w14:textId="1C220BF9"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012ACE42" w14:textId="61321896"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62375DB7" w14:textId="59E6171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5D42FFA5" w14:textId="6B11D7ED"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vAlign w:val="center"/>
            <w:hideMark/>
          </w:tcPr>
          <w:p w14:paraId="6E565247" w14:textId="26958CD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4DBC6771" w14:textId="6DF37277"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Lòpez Cifuentes et al., 2021</w:t>
            </w:r>
          </w:p>
        </w:tc>
      </w:tr>
      <w:tr w:rsidR="00DF20B9" w:rsidRPr="008C1952" w14:paraId="4021650F" w14:textId="3EA61CEC" w:rsidTr="00DF20B9">
        <w:trPr>
          <w:trHeight w:val="20"/>
        </w:trPr>
        <w:tc>
          <w:tcPr>
            <w:tcW w:w="939" w:type="pct"/>
            <w:vAlign w:val="center"/>
          </w:tcPr>
          <w:p w14:paraId="03357A4D" w14:textId="5BF79974"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706649E6" w14:textId="745444F6"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1F2DF93D" w14:textId="7B9E3CFD"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074A2CBE" w14:textId="69B73FB8" w:rsidR="00B67790" w:rsidRPr="005D37B7" w:rsidRDefault="00DF20B9" w:rsidP="00B67790">
            <w:pPr>
              <w:spacing w:after="0" w:line="240" w:lineRule="auto"/>
              <w:jc w:val="center"/>
              <w:rPr>
                <w:rFonts w:ascii="Times New Roman" w:eastAsia="Times New Roman" w:hAnsi="Times New Roman" w:cs="Times New Roman"/>
                <w:color w:val="0563C1"/>
                <w:sz w:val="12"/>
                <w:szCs w:val="12"/>
                <w:u w:val="single"/>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vAlign w:val="center"/>
            <w:hideMark/>
          </w:tcPr>
          <w:p w14:paraId="43A32401" w14:textId="358FAD97"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59863090" w14:textId="2F7B25F5"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Marsdent et al., 2018</w:t>
            </w:r>
          </w:p>
        </w:tc>
      </w:tr>
      <w:tr w:rsidR="00DF20B9" w:rsidRPr="008C1952" w14:paraId="3F76D6D8" w14:textId="587BEC02" w:rsidTr="00DF20B9">
        <w:trPr>
          <w:trHeight w:val="20"/>
        </w:trPr>
        <w:tc>
          <w:tcPr>
            <w:tcW w:w="939" w:type="pct"/>
            <w:vAlign w:val="center"/>
          </w:tcPr>
          <w:p w14:paraId="13FD29F4" w14:textId="7BB69818"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094CF37B" w14:textId="32BBAC34"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68257884" w14:textId="26F5D81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149B2A48"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1FB1CBFF" w14:textId="4070B311"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3DC5BA93" w14:textId="3E92678C"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Maughan et al., 2020</w:t>
            </w:r>
          </w:p>
        </w:tc>
      </w:tr>
      <w:tr w:rsidR="00DF20B9" w:rsidRPr="008C1952" w14:paraId="178BC63D" w14:textId="6E2F59AC" w:rsidTr="00DF20B9">
        <w:trPr>
          <w:trHeight w:val="20"/>
        </w:trPr>
        <w:tc>
          <w:tcPr>
            <w:tcW w:w="939" w:type="pct"/>
            <w:vAlign w:val="center"/>
          </w:tcPr>
          <w:p w14:paraId="7B80DC6C" w14:textId="119B2D92"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69E014DA" w14:textId="22F47083"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548CF025" w14:textId="092FE70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4DBE34A9" w14:textId="0DBD9DE1"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14F71B80" w14:textId="3E5E810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642C0988" w14:textId="24BD8B13"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Mazac, et al., 2021</w:t>
            </w:r>
          </w:p>
        </w:tc>
      </w:tr>
      <w:tr w:rsidR="00DF20B9" w:rsidRPr="008C1952" w14:paraId="09614D0B" w14:textId="1569A462" w:rsidTr="00DF20B9">
        <w:trPr>
          <w:trHeight w:val="20"/>
        </w:trPr>
        <w:tc>
          <w:tcPr>
            <w:tcW w:w="939" w:type="pct"/>
            <w:vAlign w:val="center"/>
          </w:tcPr>
          <w:p w14:paraId="0678BE64" w14:textId="21021F67"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183B4C45" w14:textId="5FE682E2"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35E9A5CB" w14:textId="7ADC225C"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02AEC97E" w14:textId="37C1CCE3"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vAlign w:val="center"/>
            <w:hideMark/>
          </w:tcPr>
          <w:p w14:paraId="06749AA1" w14:textId="5A4DF7D5"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469591E0" w14:textId="44032CC6"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Mehrabi et al., 2022</w:t>
            </w:r>
          </w:p>
        </w:tc>
      </w:tr>
      <w:tr w:rsidR="00DF20B9" w:rsidRPr="008C1952" w14:paraId="132DA2CB" w14:textId="2DAF37F7" w:rsidTr="00DF20B9">
        <w:trPr>
          <w:trHeight w:val="20"/>
        </w:trPr>
        <w:tc>
          <w:tcPr>
            <w:tcW w:w="939" w:type="pct"/>
            <w:vAlign w:val="center"/>
          </w:tcPr>
          <w:p w14:paraId="08D1EDD5" w14:textId="48D980CB"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3603668E" w14:textId="2937F923"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3B82187F" w14:textId="5B2ED5E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069072C7"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6E8FEF9E" w14:textId="2ED180F9"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Southern Europe</w:t>
            </w:r>
          </w:p>
        </w:tc>
        <w:tc>
          <w:tcPr>
            <w:tcW w:w="1145" w:type="pct"/>
            <w:vAlign w:val="center"/>
          </w:tcPr>
          <w:p w14:paraId="66105EFC" w14:textId="3D870810"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Mendez et al., 2020</w:t>
            </w:r>
          </w:p>
        </w:tc>
      </w:tr>
      <w:tr w:rsidR="00DF20B9" w:rsidRPr="008C1952" w14:paraId="1C27D3F1" w14:textId="261B8C23" w:rsidTr="00DF20B9">
        <w:trPr>
          <w:trHeight w:val="20"/>
        </w:trPr>
        <w:tc>
          <w:tcPr>
            <w:tcW w:w="939" w:type="pct"/>
            <w:vAlign w:val="center"/>
          </w:tcPr>
          <w:p w14:paraId="58971C37" w14:textId="405998D6"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01E1022E" w14:textId="635D6FC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301D49B9" w14:textId="364D99D0"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63CA837E" w14:textId="3AEDDBA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6B235B27" w14:textId="4B903DCF"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5E9B8A21" w14:textId="004D2DF3"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Milićević et al., 2023</w:t>
            </w:r>
          </w:p>
        </w:tc>
      </w:tr>
      <w:tr w:rsidR="00DF20B9" w:rsidRPr="008C1952" w14:paraId="75B575FC" w14:textId="517C1438" w:rsidTr="00DF20B9">
        <w:trPr>
          <w:trHeight w:val="20"/>
        </w:trPr>
        <w:tc>
          <w:tcPr>
            <w:tcW w:w="939" w:type="pct"/>
            <w:vAlign w:val="center"/>
          </w:tcPr>
          <w:p w14:paraId="19CF3014" w14:textId="15BA5E9A"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2C371B0F" w14:textId="4908FDF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5915D268" w14:textId="29CC027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3A77115E" w14:textId="7777777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hideMark/>
          </w:tcPr>
          <w:p w14:paraId="04E208D6" w14:textId="4F5EC77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29EE96DC" w14:textId="2BE8787A"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Minotti and Zagata (2020)</w:t>
            </w:r>
          </w:p>
        </w:tc>
      </w:tr>
      <w:tr w:rsidR="00DF20B9" w:rsidRPr="008C1952" w14:paraId="6201D0AF" w14:textId="1DE0CC33" w:rsidTr="00DF20B9">
        <w:trPr>
          <w:trHeight w:val="20"/>
        </w:trPr>
        <w:tc>
          <w:tcPr>
            <w:tcW w:w="939" w:type="pct"/>
            <w:vAlign w:val="center"/>
          </w:tcPr>
          <w:p w14:paraId="50990B59" w14:textId="0018EDF4"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3418837B" w14:textId="576D47B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2B78CCB8" w14:textId="1663FE9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03FE8B8F"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573C926A" w14:textId="1529905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Southern Europe</w:t>
            </w:r>
          </w:p>
        </w:tc>
        <w:tc>
          <w:tcPr>
            <w:tcW w:w="1145" w:type="pct"/>
            <w:vAlign w:val="center"/>
          </w:tcPr>
          <w:p w14:paraId="3F3DA7AC" w14:textId="1062B8D1"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Minotti et al., 2022</w:t>
            </w:r>
          </w:p>
        </w:tc>
      </w:tr>
      <w:tr w:rsidR="00DF20B9" w:rsidRPr="008C1952" w14:paraId="2E42F9BF" w14:textId="1A54913B" w:rsidTr="00DF20B9">
        <w:trPr>
          <w:trHeight w:val="20"/>
        </w:trPr>
        <w:tc>
          <w:tcPr>
            <w:tcW w:w="939" w:type="pct"/>
            <w:vAlign w:val="center"/>
          </w:tcPr>
          <w:p w14:paraId="509DC10D" w14:textId="76930BA8"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lastRenderedPageBreak/>
              <w:t>Governance</w:t>
            </w:r>
          </w:p>
        </w:tc>
        <w:tc>
          <w:tcPr>
            <w:tcW w:w="926" w:type="pct"/>
            <w:shd w:val="clear" w:color="auto" w:fill="auto"/>
            <w:vAlign w:val="center"/>
            <w:hideMark/>
          </w:tcPr>
          <w:p w14:paraId="3F8FE602" w14:textId="4F17B8D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0E77A8E1" w14:textId="023312C3"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0251D284"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1805D5D7" w14:textId="7C637783"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78A0004E" w14:textId="3658D948"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Moragues-Faus and Carroll, 2018</w:t>
            </w:r>
          </w:p>
        </w:tc>
      </w:tr>
      <w:tr w:rsidR="00DF20B9" w:rsidRPr="008C1952" w14:paraId="3807BD14" w14:textId="716CFABC" w:rsidTr="00DF20B9">
        <w:trPr>
          <w:trHeight w:val="20"/>
        </w:trPr>
        <w:tc>
          <w:tcPr>
            <w:tcW w:w="939" w:type="pct"/>
            <w:vAlign w:val="center"/>
          </w:tcPr>
          <w:p w14:paraId="67D2E090" w14:textId="25901575"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2C955819" w14:textId="2E1BF4C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78617BDD" w14:textId="018B2E9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04849694" w14:textId="53875A0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6D914EFB" w14:textId="109F9C3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04FCD1B" w14:textId="508F91BE"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Moragues-Faus et al., 2017</w:t>
            </w:r>
          </w:p>
        </w:tc>
      </w:tr>
      <w:tr w:rsidR="00DF20B9" w:rsidRPr="008C1952" w14:paraId="44BCE132" w14:textId="1A6C981D" w:rsidTr="00DF20B9">
        <w:trPr>
          <w:trHeight w:val="20"/>
        </w:trPr>
        <w:tc>
          <w:tcPr>
            <w:tcW w:w="939" w:type="pct"/>
            <w:vAlign w:val="center"/>
          </w:tcPr>
          <w:p w14:paraId="6B300DEB" w14:textId="2ED6FB38"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033A6540" w14:textId="149EBC2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724AF5A7" w14:textId="08705AFB"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Perspective</w:t>
            </w:r>
          </w:p>
        </w:tc>
        <w:tc>
          <w:tcPr>
            <w:tcW w:w="393" w:type="pct"/>
            <w:shd w:val="clear" w:color="auto" w:fill="auto"/>
            <w:noWrap/>
            <w:vAlign w:val="center"/>
            <w:hideMark/>
          </w:tcPr>
          <w:p w14:paraId="04A07F40" w14:textId="01706BF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1C3E5AC5" w14:textId="5638AF4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0DA1A5D" w14:textId="1EC7ADC3"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Nicholls and Drewnowski, 2021</w:t>
            </w:r>
          </w:p>
        </w:tc>
      </w:tr>
      <w:tr w:rsidR="00DF20B9" w:rsidRPr="008C1952" w14:paraId="31DA50D1" w14:textId="4F9849B0" w:rsidTr="00DF20B9">
        <w:trPr>
          <w:trHeight w:val="20"/>
        </w:trPr>
        <w:tc>
          <w:tcPr>
            <w:tcW w:w="939" w:type="pct"/>
            <w:vAlign w:val="center"/>
          </w:tcPr>
          <w:p w14:paraId="7666A8B4" w14:textId="595EF52C"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3D32F855" w14:textId="2AF07659"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676DAE1E" w14:textId="65F8F43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70281FD5" w14:textId="1ABEEC6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4E5A27FD" w14:textId="29800B41"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Northen Europe</w:t>
            </w:r>
          </w:p>
        </w:tc>
        <w:tc>
          <w:tcPr>
            <w:tcW w:w="1145" w:type="pct"/>
            <w:vAlign w:val="center"/>
          </w:tcPr>
          <w:p w14:paraId="00A28348" w14:textId="6D61CB75"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Olssonn, 2018</w:t>
            </w:r>
          </w:p>
        </w:tc>
      </w:tr>
      <w:tr w:rsidR="00DF20B9" w:rsidRPr="008C1952" w14:paraId="3F15F5F5" w14:textId="2DAFF178" w:rsidTr="00DF20B9">
        <w:trPr>
          <w:trHeight w:val="20"/>
        </w:trPr>
        <w:tc>
          <w:tcPr>
            <w:tcW w:w="939" w:type="pct"/>
            <w:vAlign w:val="center"/>
          </w:tcPr>
          <w:p w14:paraId="7CB1BF09" w14:textId="5C5A1714"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07C63A43" w14:textId="28A5F2F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5AB5CC11" w14:textId="1B797EF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hideMark/>
          </w:tcPr>
          <w:p w14:paraId="0495FEE2" w14:textId="77E66DE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095FC42D" w14:textId="5E0B169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2607227A" w14:textId="0F79751B"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Paloviita et al., 2017</w:t>
            </w:r>
          </w:p>
        </w:tc>
      </w:tr>
      <w:tr w:rsidR="00DF20B9" w:rsidRPr="008C1952" w14:paraId="2179C6F6" w14:textId="178241BB" w:rsidTr="00DF20B9">
        <w:trPr>
          <w:trHeight w:val="20"/>
        </w:trPr>
        <w:tc>
          <w:tcPr>
            <w:tcW w:w="939" w:type="pct"/>
            <w:vAlign w:val="center"/>
          </w:tcPr>
          <w:p w14:paraId="2FB08739" w14:textId="07344D22"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5F3CEDB1" w14:textId="01661DA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3F779577" w14:textId="418E339F"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hideMark/>
          </w:tcPr>
          <w:p w14:paraId="6299B291" w14:textId="165AFA9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3D6455F8" w14:textId="6A6F0C9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DB57586" w14:textId="05423183"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Pires et al., 2020</w:t>
            </w:r>
          </w:p>
        </w:tc>
      </w:tr>
      <w:tr w:rsidR="00DF20B9" w:rsidRPr="008C1952" w14:paraId="33545769" w14:textId="22608EAA" w:rsidTr="00DF20B9">
        <w:trPr>
          <w:trHeight w:val="20"/>
        </w:trPr>
        <w:tc>
          <w:tcPr>
            <w:tcW w:w="939" w:type="pct"/>
            <w:vAlign w:val="center"/>
          </w:tcPr>
          <w:p w14:paraId="1DADB7E7" w14:textId="075F380D"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445B537B" w14:textId="273A2FD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w:t>
            </w:r>
          </w:p>
        </w:tc>
        <w:tc>
          <w:tcPr>
            <w:tcW w:w="683" w:type="pct"/>
            <w:shd w:val="clear" w:color="auto" w:fill="auto"/>
            <w:noWrap/>
            <w:vAlign w:val="center"/>
            <w:hideMark/>
          </w:tcPr>
          <w:p w14:paraId="7E9E7729" w14:textId="7777777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Note</w:t>
            </w:r>
          </w:p>
        </w:tc>
        <w:tc>
          <w:tcPr>
            <w:tcW w:w="393" w:type="pct"/>
            <w:shd w:val="clear" w:color="auto" w:fill="auto"/>
            <w:vAlign w:val="center"/>
            <w:hideMark/>
          </w:tcPr>
          <w:p w14:paraId="266214E3" w14:textId="6AF603A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1BC80443" w14:textId="4F6F3EC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5B514082" w14:textId="57720ECF"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Poppe (2023)</w:t>
            </w:r>
          </w:p>
        </w:tc>
      </w:tr>
      <w:tr w:rsidR="00DF20B9" w:rsidRPr="008C1952" w14:paraId="7982231E" w14:textId="5D4D0F30" w:rsidTr="00DF20B9">
        <w:trPr>
          <w:trHeight w:val="20"/>
        </w:trPr>
        <w:tc>
          <w:tcPr>
            <w:tcW w:w="939" w:type="pct"/>
            <w:vAlign w:val="center"/>
          </w:tcPr>
          <w:p w14:paraId="1B8F454D" w14:textId="06C5FC04"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2D4883AB" w14:textId="458BA30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51F0056C" w14:textId="7461C95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4923A05D" w14:textId="7777777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76CBF195" w14:textId="3291286B"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361209D3" w14:textId="66760F08"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Rahman et al., 2021</w:t>
            </w:r>
          </w:p>
        </w:tc>
      </w:tr>
      <w:tr w:rsidR="00DF20B9" w:rsidRPr="008C1952" w14:paraId="38B7295E" w14:textId="455B1003" w:rsidTr="00DF20B9">
        <w:trPr>
          <w:trHeight w:val="20"/>
        </w:trPr>
        <w:tc>
          <w:tcPr>
            <w:tcW w:w="939" w:type="pct"/>
            <w:vAlign w:val="center"/>
          </w:tcPr>
          <w:p w14:paraId="71A77517" w14:textId="46B8FBED"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1D92DFED" w14:textId="18F9E87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26A54F7B" w14:textId="5A2B8CA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Review</w:t>
            </w:r>
          </w:p>
        </w:tc>
        <w:tc>
          <w:tcPr>
            <w:tcW w:w="393" w:type="pct"/>
            <w:shd w:val="clear" w:color="auto" w:fill="auto"/>
            <w:vAlign w:val="center"/>
            <w:hideMark/>
          </w:tcPr>
          <w:p w14:paraId="44F4FDBC" w14:textId="65A61AF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05B6EDF1" w14:textId="712C026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F94E012" w14:textId="4C968B52"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Reckinger, 2022</w:t>
            </w:r>
          </w:p>
        </w:tc>
      </w:tr>
      <w:tr w:rsidR="00DF20B9" w:rsidRPr="008C1952" w14:paraId="74E31FAB" w14:textId="07072EDD" w:rsidTr="00DF20B9">
        <w:trPr>
          <w:trHeight w:val="20"/>
        </w:trPr>
        <w:tc>
          <w:tcPr>
            <w:tcW w:w="939" w:type="pct"/>
            <w:vAlign w:val="center"/>
          </w:tcPr>
          <w:p w14:paraId="0A42625B" w14:textId="41A592DB"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4CDFD031" w14:textId="4658B10B"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4142C982" w14:textId="611C020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6235B755" w14:textId="7777777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41C71B02" w14:textId="76DD218F"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E0D591F" w14:textId="466BA9D2"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Rio et al., 2022</w:t>
            </w:r>
          </w:p>
        </w:tc>
      </w:tr>
      <w:tr w:rsidR="00DF20B9" w:rsidRPr="008C1952" w14:paraId="0C6E9D9C" w14:textId="68FB71B4" w:rsidTr="00DF20B9">
        <w:trPr>
          <w:trHeight w:val="20"/>
        </w:trPr>
        <w:tc>
          <w:tcPr>
            <w:tcW w:w="939" w:type="pct"/>
            <w:vAlign w:val="center"/>
          </w:tcPr>
          <w:p w14:paraId="0D7C0C16" w14:textId="07FFBAA5"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49513650" w14:textId="538CBE3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4B9D75BA" w14:textId="71AE261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Review</w:t>
            </w:r>
          </w:p>
        </w:tc>
        <w:tc>
          <w:tcPr>
            <w:tcW w:w="393" w:type="pct"/>
            <w:shd w:val="clear" w:color="auto" w:fill="auto"/>
            <w:noWrap/>
            <w:vAlign w:val="center"/>
            <w:hideMark/>
          </w:tcPr>
          <w:p w14:paraId="3732F16C" w14:textId="40F870B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386492B4" w14:textId="44D0C0E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492439C1" w14:textId="2B5EBFBF"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Sacchi et al.,  2018</w:t>
            </w:r>
          </w:p>
        </w:tc>
      </w:tr>
      <w:tr w:rsidR="00DF20B9" w:rsidRPr="008C1952" w14:paraId="461CAAD9" w14:textId="430DEE35" w:rsidTr="00DF20B9">
        <w:trPr>
          <w:trHeight w:val="20"/>
        </w:trPr>
        <w:tc>
          <w:tcPr>
            <w:tcW w:w="939" w:type="pct"/>
            <w:vAlign w:val="center"/>
          </w:tcPr>
          <w:p w14:paraId="7282144D" w14:textId="78A812AC"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60CE5926" w14:textId="1609CC9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673EF46C" w14:textId="10FB879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6C0D11B0" w14:textId="7777777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4C6C82F3" w14:textId="7F42A9A1"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5E10A099" w14:textId="6CEECFC9"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Säumel et al. 2022</w:t>
            </w:r>
          </w:p>
        </w:tc>
      </w:tr>
      <w:tr w:rsidR="00DF20B9" w:rsidRPr="008C1952" w14:paraId="55F56FEA" w14:textId="065ADEEF" w:rsidTr="00DF20B9">
        <w:trPr>
          <w:trHeight w:val="20"/>
        </w:trPr>
        <w:tc>
          <w:tcPr>
            <w:tcW w:w="939" w:type="pct"/>
            <w:vAlign w:val="center"/>
          </w:tcPr>
          <w:p w14:paraId="7334738B" w14:textId="7AF01F1C"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44C6DF11" w14:textId="0A12640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Socio-ecological system framework (SES)</w:t>
            </w:r>
          </w:p>
        </w:tc>
        <w:tc>
          <w:tcPr>
            <w:tcW w:w="683" w:type="pct"/>
            <w:shd w:val="clear" w:color="auto" w:fill="auto"/>
            <w:vAlign w:val="center"/>
            <w:hideMark/>
          </w:tcPr>
          <w:p w14:paraId="1C686EB6" w14:textId="68E678F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4E1576E1"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287E647D" w14:textId="6CBBAF69"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Southern Europe</w:t>
            </w:r>
          </w:p>
        </w:tc>
        <w:tc>
          <w:tcPr>
            <w:tcW w:w="1145" w:type="pct"/>
            <w:vAlign w:val="center"/>
          </w:tcPr>
          <w:p w14:paraId="48F07F1A" w14:textId="3915FA40"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Scaramuzzi et al., 2021</w:t>
            </w:r>
          </w:p>
        </w:tc>
      </w:tr>
      <w:tr w:rsidR="00DF20B9" w:rsidRPr="008C1952" w14:paraId="682B0AB2" w14:textId="61E83C2A" w:rsidTr="00DF20B9">
        <w:trPr>
          <w:trHeight w:val="20"/>
        </w:trPr>
        <w:tc>
          <w:tcPr>
            <w:tcW w:w="939" w:type="pct"/>
            <w:vAlign w:val="center"/>
          </w:tcPr>
          <w:p w14:paraId="7236565B" w14:textId="1B2E33CE"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Governance</w:t>
            </w:r>
          </w:p>
        </w:tc>
        <w:tc>
          <w:tcPr>
            <w:tcW w:w="926" w:type="pct"/>
            <w:shd w:val="clear" w:color="auto" w:fill="auto"/>
            <w:vAlign w:val="center"/>
            <w:hideMark/>
          </w:tcPr>
          <w:p w14:paraId="1AB916D7" w14:textId="4D5BB6A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vAlign w:val="center"/>
            <w:hideMark/>
          </w:tcPr>
          <w:p w14:paraId="49AE07ED" w14:textId="5686356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31DFACC9" w14:textId="75BBD33C"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hideMark/>
          </w:tcPr>
          <w:p w14:paraId="6CF4790D" w14:textId="7EB589D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22624CA" w14:textId="25939E9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Smaal et al., 2020</w:t>
            </w:r>
          </w:p>
        </w:tc>
      </w:tr>
      <w:tr w:rsidR="00DF20B9" w:rsidRPr="008C1952" w14:paraId="47D6634B" w14:textId="621A4740" w:rsidTr="00DF20B9">
        <w:trPr>
          <w:trHeight w:val="20"/>
        </w:trPr>
        <w:tc>
          <w:tcPr>
            <w:tcW w:w="939" w:type="pct"/>
            <w:vAlign w:val="center"/>
          </w:tcPr>
          <w:p w14:paraId="5CE3F016" w14:textId="49D134AC"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604FA336" w14:textId="596A78A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6A352887" w14:textId="3C4BB63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Mini-Review</w:t>
            </w:r>
          </w:p>
        </w:tc>
        <w:tc>
          <w:tcPr>
            <w:tcW w:w="393" w:type="pct"/>
            <w:shd w:val="clear" w:color="auto" w:fill="auto"/>
            <w:vAlign w:val="center"/>
            <w:hideMark/>
          </w:tcPr>
          <w:p w14:paraId="00C24097" w14:textId="341A7DB0"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3734983A" w14:textId="1575CF7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C8263BC" w14:textId="044425FD"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Smetana et al., 2019</w:t>
            </w:r>
          </w:p>
        </w:tc>
      </w:tr>
      <w:tr w:rsidR="00DF20B9" w:rsidRPr="008C1952" w14:paraId="60B416E8" w14:textId="2EBEFC5F" w:rsidTr="00DF20B9">
        <w:trPr>
          <w:trHeight w:val="20"/>
        </w:trPr>
        <w:tc>
          <w:tcPr>
            <w:tcW w:w="939" w:type="pct"/>
            <w:vAlign w:val="center"/>
          </w:tcPr>
          <w:p w14:paraId="1FFF97E7" w14:textId="79DE81EC"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1193F471" w14:textId="64A2B63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74155ECD" w14:textId="4571FAF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vAlign w:val="center"/>
            <w:hideMark/>
          </w:tcPr>
          <w:p w14:paraId="71937B1E"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41E732F9" w14:textId="40B63F22"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7A6078F6" w14:textId="71E5C8CB"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Triboulet et al., 2019</w:t>
            </w:r>
          </w:p>
        </w:tc>
      </w:tr>
      <w:tr w:rsidR="00DF20B9" w:rsidRPr="008C1952" w14:paraId="12DD83CF" w14:textId="2F40FEDF" w:rsidTr="00DF20B9">
        <w:trPr>
          <w:trHeight w:val="20"/>
        </w:trPr>
        <w:tc>
          <w:tcPr>
            <w:tcW w:w="939" w:type="pct"/>
            <w:vAlign w:val="center"/>
          </w:tcPr>
          <w:p w14:paraId="7E32BC93" w14:textId="2AA0CDED"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5CA272D3" w14:textId="43579E2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Policy Analysis</w:t>
            </w:r>
          </w:p>
        </w:tc>
        <w:tc>
          <w:tcPr>
            <w:tcW w:w="683" w:type="pct"/>
            <w:shd w:val="clear" w:color="auto" w:fill="auto"/>
            <w:noWrap/>
            <w:vAlign w:val="center"/>
            <w:hideMark/>
          </w:tcPr>
          <w:p w14:paraId="5F1BE3B0" w14:textId="7608B704"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47065F78"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5A895A28"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3A6F3736" w14:textId="17550C3C"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Venn et al., 2023</w:t>
            </w:r>
          </w:p>
        </w:tc>
      </w:tr>
      <w:tr w:rsidR="00DF20B9" w:rsidRPr="008C1952" w14:paraId="234A3EAE" w14:textId="6ECA3413" w:rsidTr="00DF20B9">
        <w:trPr>
          <w:trHeight w:val="20"/>
        </w:trPr>
        <w:tc>
          <w:tcPr>
            <w:tcW w:w="939" w:type="pct"/>
            <w:vAlign w:val="center"/>
          </w:tcPr>
          <w:p w14:paraId="75F6F0BE" w14:textId="4761FDF4"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0F9F1EA4" w14:textId="3417DF1D"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Interviews</w:t>
            </w:r>
          </w:p>
        </w:tc>
        <w:tc>
          <w:tcPr>
            <w:tcW w:w="683" w:type="pct"/>
            <w:shd w:val="clear" w:color="auto" w:fill="auto"/>
            <w:noWrap/>
            <w:vAlign w:val="center"/>
            <w:hideMark/>
          </w:tcPr>
          <w:p w14:paraId="666738BE" w14:textId="155849E4"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4073F6B1" w14:textId="771777E8"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3BCBB85F"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12F17BBD" w14:textId="34C31045"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Verfuerth et al., 2023</w:t>
            </w:r>
          </w:p>
        </w:tc>
      </w:tr>
      <w:tr w:rsidR="00DF20B9" w:rsidRPr="008C1952" w14:paraId="146E2F64" w14:textId="58F0A06B" w:rsidTr="00DF20B9">
        <w:trPr>
          <w:trHeight w:val="20"/>
        </w:trPr>
        <w:tc>
          <w:tcPr>
            <w:tcW w:w="939" w:type="pct"/>
            <w:vAlign w:val="center"/>
          </w:tcPr>
          <w:p w14:paraId="1EE9EAEC" w14:textId="5A5FF571"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00AC0DDF" w14:textId="4951522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Modelling</w:t>
            </w:r>
          </w:p>
        </w:tc>
        <w:tc>
          <w:tcPr>
            <w:tcW w:w="683" w:type="pct"/>
            <w:shd w:val="clear" w:color="auto" w:fill="auto"/>
            <w:noWrap/>
            <w:vAlign w:val="center"/>
            <w:hideMark/>
          </w:tcPr>
          <w:p w14:paraId="639CDF47" w14:textId="2E57DB2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0DA04E66" w14:textId="7B7E23C0"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59EC5D05" w14:textId="312E87B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7FC3C92A" w14:textId="4B3F3C94"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Verger et al., 2018</w:t>
            </w:r>
          </w:p>
        </w:tc>
      </w:tr>
      <w:tr w:rsidR="00DF20B9" w:rsidRPr="008C1952" w14:paraId="3500FFB6" w14:textId="1D02C678" w:rsidTr="00DF20B9">
        <w:trPr>
          <w:trHeight w:val="20"/>
        </w:trPr>
        <w:tc>
          <w:tcPr>
            <w:tcW w:w="939" w:type="pct"/>
            <w:vAlign w:val="center"/>
          </w:tcPr>
          <w:p w14:paraId="2FC8BEC2" w14:textId="2A8DA36F"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06F98D06" w14:textId="5889D35D"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Modelling</w:t>
            </w:r>
          </w:p>
        </w:tc>
        <w:tc>
          <w:tcPr>
            <w:tcW w:w="683" w:type="pct"/>
            <w:shd w:val="clear" w:color="auto" w:fill="auto"/>
            <w:vAlign w:val="center"/>
            <w:hideMark/>
          </w:tcPr>
          <w:p w14:paraId="2EA3E5B0" w14:textId="5403D374"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1A6A9195"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055FBCC7" w14:textId="31D3F33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1EF68C59" w14:textId="44013276"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Vicente-Vicente et al., 2020</w:t>
            </w:r>
          </w:p>
        </w:tc>
      </w:tr>
      <w:tr w:rsidR="00DF20B9" w:rsidRPr="008C1952" w14:paraId="1D00A917" w14:textId="108D6D16" w:rsidTr="00DF20B9">
        <w:trPr>
          <w:trHeight w:val="20"/>
        </w:trPr>
        <w:tc>
          <w:tcPr>
            <w:tcW w:w="939" w:type="pct"/>
            <w:vAlign w:val="center"/>
          </w:tcPr>
          <w:p w14:paraId="2C5BC951" w14:textId="16C3AD3F"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Food and Nutrition</w:t>
            </w:r>
          </w:p>
        </w:tc>
        <w:tc>
          <w:tcPr>
            <w:tcW w:w="926" w:type="pct"/>
            <w:shd w:val="clear" w:color="auto" w:fill="auto"/>
            <w:vAlign w:val="center"/>
            <w:hideMark/>
          </w:tcPr>
          <w:p w14:paraId="07EB885F" w14:textId="12D71B74"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vAlign w:val="center"/>
            <w:hideMark/>
          </w:tcPr>
          <w:p w14:paraId="71DB4D0C" w14:textId="1DB9D539"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hideMark/>
          </w:tcPr>
          <w:p w14:paraId="2C39C1C8" w14:textId="25A1DD1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noWrap/>
            <w:hideMark/>
          </w:tcPr>
          <w:p w14:paraId="3ECBEB60" w14:textId="4DABA8D3"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1A62A250" w14:textId="11DA29B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Villamiel and Mendez-Albinana, 2020</w:t>
            </w:r>
          </w:p>
        </w:tc>
      </w:tr>
      <w:tr w:rsidR="00DF20B9" w:rsidRPr="008C1952" w14:paraId="4F389C53" w14:textId="0A9CAD28" w:rsidTr="00DF20B9">
        <w:trPr>
          <w:trHeight w:val="20"/>
        </w:trPr>
        <w:tc>
          <w:tcPr>
            <w:tcW w:w="939" w:type="pct"/>
            <w:vAlign w:val="center"/>
          </w:tcPr>
          <w:p w14:paraId="34297F2A" w14:textId="6BDA0E25"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2FDA5327" w14:textId="797E2212"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65B4DD0D" w14:textId="76EE044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2376B542" w14:textId="2426D57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hideMark/>
          </w:tcPr>
          <w:p w14:paraId="1C1470CE" w14:textId="330D965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666C93D" w14:textId="12CAF59C"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Vittersø et al., 2019</w:t>
            </w:r>
          </w:p>
        </w:tc>
      </w:tr>
      <w:tr w:rsidR="00DF20B9" w:rsidRPr="008C1952" w14:paraId="256B12D1" w14:textId="4E1CD993" w:rsidTr="00DF20B9">
        <w:trPr>
          <w:trHeight w:val="20"/>
        </w:trPr>
        <w:tc>
          <w:tcPr>
            <w:tcW w:w="939" w:type="pct"/>
            <w:vAlign w:val="center"/>
          </w:tcPr>
          <w:p w14:paraId="20312063" w14:textId="7342380C"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1749DDC6" w14:textId="6A07E2CB"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Literature Review</w:t>
            </w:r>
          </w:p>
        </w:tc>
        <w:tc>
          <w:tcPr>
            <w:tcW w:w="683" w:type="pct"/>
            <w:shd w:val="clear" w:color="auto" w:fill="auto"/>
            <w:noWrap/>
            <w:vAlign w:val="center"/>
            <w:hideMark/>
          </w:tcPr>
          <w:p w14:paraId="07CDC2EF" w14:textId="4E6D216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Book Chapter</w:t>
            </w:r>
          </w:p>
        </w:tc>
        <w:tc>
          <w:tcPr>
            <w:tcW w:w="393" w:type="pct"/>
            <w:shd w:val="clear" w:color="auto" w:fill="auto"/>
            <w:vAlign w:val="center"/>
            <w:hideMark/>
          </w:tcPr>
          <w:p w14:paraId="6969542C" w14:textId="018F8A0E"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08CF0BEE" w14:textId="45BC388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DAA46D3" w14:textId="0F3D1B25"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von Braun et al., 2023</w:t>
            </w:r>
          </w:p>
        </w:tc>
      </w:tr>
      <w:tr w:rsidR="00DF20B9" w:rsidRPr="008C1952" w14:paraId="78B832F0" w14:textId="2D594ACF" w:rsidTr="00DF20B9">
        <w:trPr>
          <w:trHeight w:val="20"/>
        </w:trPr>
        <w:tc>
          <w:tcPr>
            <w:tcW w:w="939" w:type="pct"/>
            <w:vAlign w:val="center"/>
          </w:tcPr>
          <w:p w14:paraId="7786B01F" w14:textId="4B09CB8D"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5F4CF5CD" w14:textId="6144E24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267EA034" w14:textId="7F24BE7B"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0100767B"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09CE09FB" w14:textId="3FAC66F3"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Western Europe</w:t>
            </w:r>
          </w:p>
        </w:tc>
        <w:tc>
          <w:tcPr>
            <w:tcW w:w="1145" w:type="pct"/>
            <w:vAlign w:val="center"/>
          </w:tcPr>
          <w:p w14:paraId="39D036FD" w14:textId="36471A22"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Weithuschat et al., 2022</w:t>
            </w:r>
          </w:p>
        </w:tc>
      </w:tr>
      <w:tr w:rsidR="00DF20B9" w:rsidRPr="008C1952" w14:paraId="7BD9A8E8" w14:textId="354382F1" w:rsidTr="00DF20B9">
        <w:trPr>
          <w:trHeight w:val="20"/>
        </w:trPr>
        <w:tc>
          <w:tcPr>
            <w:tcW w:w="939" w:type="pct"/>
            <w:vAlign w:val="center"/>
          </w:tcPr>
          <w:p w14:paraId="27FDA4AC" w14:textId="2BBEDA50"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shd w:val="clear" w:color="auto" w:fill="auto"/>
            <w:vAlign w:val="center"/>
            <w:hideMark/>
          </w:tcPr>
          <w:p w14:paraId="52557F74" w14:textId="53CA003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noWrap/>
            <w:vAlign w:val="center"/>
            <w:hideMark/>
          </w:tcPr>
          <w:p w14:paraId="3507674C" w14:textId="0776E69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272D38A7" w14:textId="777919E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hideMark/>
          </w:tcPr>
          <w:p w14:paraId="0CE319DD" w14:textId="7F7BC25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68CB781D" w14:textId="60C24CF6"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Wezel et al., 2018</w:t>
            </w:r>
          </w:p>
        </w:tc>
      </w:tr>
      <w:tr w:rsidR="00DF20B9" w:rsidRPr="008C1952" w14:paraId="3A9A8E7E" w14:textId="65DE4E44" w:rsidTr="00DF20B9">
        <w:trPr>
          <w:trHeight w:val="20"/>
        </w:trPr>
        <w:tc>
          <w:tcPr>
            <w:tcW w:w="939" w:type="pct"/>
            <w:vAlign w:val="center"/>
          </w:tcPr>
          <w:p w14:paraId="3418F3FF" w14:textId="1DA5D910"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5B503961" w14:textId="2AAA3715"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 xml:space="preserve">Literature Review </w:t>
            </w:r>
          </w:p>
        </w:tc>
        <w:tc>
          <w:tcPr>
            <w:tcW w:w="683" w:type="pct"/>
            <w:shd w:val="clear" w:color="auto" w:fill="auto"/>
            <w:noWrap/>
            <w:vAlign w:val="center"/>
            <w:hideMark/>
          </w:tcPr>
          <w:p w14:paraId="2FB6347A" w14:textId="77777777"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Review</w:t>
            </w:r>
          </w:p>
        </w:tc>
        <w:tc>
          <w:tcPr>
            <w:tcW w:w="393" w:type="pct"/>
            <w:shd w:val="clear" w:color="auto" w:fill="auto"/>
            <w:vAlign w:val="center"/>
            <w:hideMark/>
          </w:tcPr>
          <w:p w14:paraId="144CDBE1" w14:textId="052E367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914" w:type="pct"/>
            <w:shd w:val="clear" w:color="auto" w:fill="auto"/>
            <w:hideMark/>
          </w:tcPr>
          <w:p w14:paraId="639BFD0F" w14:textId="074DB780"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08C8AC64" w14:textId="190F6591"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Wezel et al., 2020</w:t>
            </w:r>
          </w:p>
        </w:tc>
      </w:tr>
      <w:tr w:rsidR="00DF20B9" w:rsidRPr="008C1952" w14:paraId="2251B04F" w14:textId="30D78437" w:rsidTr="00DF20B9">
        <w:trPr>
          <w:trHeight w:val="20"/>
        </w:trPr>
        <w:tc>
          <w:tcPr>
            <w:tcW w:w="939" w:type="pct"/>
            <w:vAlign w:val="center"/>
          </w:tcPr>
          <w:p w14:paraId="2D3B40D6" w14:textId="7E84FB8C"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Transition</w:t>
            </w:r>
          </w:p>
        </w:tc>
        <w:tc>
          <w:tcPr>
            <w:tcW w:w="926" w:type="pct"/>
            <w:shd w:val="clear" w:color="auto" w:fill="auto"/>
            <w:vAlign w:val="center"/>
            <w:hideMark/>
          </w:tcPr>
          <w:p w14:paraId="3C54BD6E" w14:textId="7BE48896"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vAlign w:val="center"/>
            <w:hideMark/>
          </w:tcPr>
          <w:p w14:paraId="19F40326" w14:textId="0958ED7D"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noWrap/>
            <w:vAlign w:val="center"/>
            <w:hideMark/>
          </w:tcPr>
          <w:p w14:paraId="749C9A9C" w14:textId="339B85CA"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noWrap/>
            <w:hideMark/>
          </w:tcPr>
          <w:p w14:paraId="36E44D1B" w14:textId="589FB9B8" w:rsidR="00DF20B9" w:rsidRPr="005D37B7"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vAlign w:val="center"/>
          </w:tcPr>
          <w:p w14:paraId="70915193" w14:textId="7EB82A3D" w:rsidR="00DF20B9" w:rsidRPr="008C1952" w:rsidRDefault="00DF20B9" w:rsidP="00DF20B9">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Zawalinska et al., 2022</w:t>
            </w:r>
          </w:p>
        </w:tc>
      </w:tr>
      <w:tr w:rsidR="00DF20B9" w:rsidRPr="008C1952" w14:paraId="6561D501" w14:textId="00557DBB" w:rsidTr="00DF20B9">
        <w:trPr>
          <w:trHeight w:val="20"/>
        </w:trPr>
        <w:tc>
          <w:tcPr>
            <w:tcW w:w="939" w:type="pct"/>
            <w:vAlign w:val="center"/>
          </w:tcPr>
          <w:p w14:paraId="23AF0C3F" w14:textId="4EB327AA"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Alternative Food Networks</w:t>
            </w:r>
          </w:p>
        </w:tc>
        <w:tc>
          <w:tcPr>
            <w:tcW w:w="926" w:type="pct"/>
            <w:shd w:val="clear" w:color="auto" w:fill="auto"/>
            <w:vAlign w:val="center"/>
            <w:hideMark/>
          </w:tcPr>
          <w:p w14:paraId="2C023A30" w14:textId="6FEE402A"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Interviews</w:t>
            </w:r>
          </w:p>
        </w:tc>
        <w:tc>
          <w:tcPr>
            <w:tcW w:w="683" w:type="pct"/>
            <w:shd w:val="clear" w:color="auto" w:fill="auto"/>
            <w:noWrap/>
            <w:vAlign w:val="center"/>
            <w:hideMark/>
          </w:tcPr>
          <w:p w14:paraId="6C7F1987" w14:textId="2220756F"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shd w:val="clear" w:color="auto" w:fill="auto"/>
            <w:vAlign w:val="center"/>
            <w:hideMark/>
          </w:tcPr>
          <w:p w14:paraId="01D8B638" w14:textId="77777777"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shd w:val="clear" w:color="auto" w:fill="auto"/>
            <w:vAlign w:val="center"/>
            <w:hideMark/>
          </w:tcPr>
          <w:p w14:paraId="71D32269" w14:textId="5245E5A3"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Southern Europe</w:t>
            </w:r>
          </w:p>
        </w:tc>
        <w:tc>
          <w:tcPr>
            <w:tcW w:w="1145" w:type="pct"/>
            <w:vAlign w:val="center"/>
          </w:tcPr>
          <w:p w14:paraId="421E0374" w14:textId="7A3959B2"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Zollet and Maharjan, 2021</w:t>
            </w:r>
          </w:p>
        </w:tc>
      </w:tr>
      <w:tr w:rsidR="00DF20B9" w:rsidRPr="008C1952" w14:paraId="792FE604" w14:textId="26B7B3FA" w:rsidTr="00DF20B9">
        <w:trPr>
          <w:trHeight w:val="20"/>
        </w:trPr>
        <w:tc>
          <w:tcPr>
            <w:tcW w:w="939" w:type="pct"/>
            <w:tcBorders>
              <w:bottom w:val="single" w:sz="4" w:space="0" w:color="auto"/>
            </w:tcBorders>
            <w:vAlign w:val="center"/>
          </w:tcPr>
          <w:p w14:paraId="741CEFAA" w14:textId="0CA87330"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Overarching framework</w:t>
            </w:r>
          </w:p>
        </w:tc>
        <w:tc>
          <w:tcPr>
            <w:tcW w:w="926" w:type="pct"/>
            <w:tcBorders>
              <w:bottom w:val="single" w:sz="4" w:space="0" w:color="auto"/>
            </w:tcBorders>
            <w:shd w:val="clear" w:color="auto" w:fill="auto"/>
            <w:vAlign w:val="center"/>
            <w:hideMark/>
          </w:tcPr>
          <w:p w14:paraId="202EA7E7" w14:textId="00FE3E5C"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Modelling (MAGNET, DIET, CAPRI, GLOBIOM, SHARP)</w:t>
            </w:r>
          </w:p>
        </w:tc>
        <w:tc>
          <w:tcPr>
            <w:tcW w:w="683" w:type="pct"/>
            <w:tcBorders>
              <w:bottom w:val="single" w:sz="4" w:space="0" w:color="auto"/>
            </w:tcBorders>
            <w:shd w:val="clear" w:color="auto" w:fill="auto"/>
            <w:vAlign w:val="center"/>
            <w:hideMark/>
          </w:tcPr>
          <w:p w14:paraId="38EC18DE" w14:textId="35579DC1"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Article</w:t>
            </w:r>
          </w:p>
        </w:tc>
        <w:tc>
          <w:tcPr>
            <w:tcW w:w="393" w:type="pct"/>
            <w:tcBorders>
              <w:bottom w:val="single" w:sz="4" w:space="0" w:color="auto"/>
            </w:tcBorders>
            <w:shd w:val="clear" w:color="auto" w:fill="auto"/>
            <w:vAlign w:val="center"/>
            <w:hideMark/>
          </w:tcPr>
          <w:p w14:paraId="1969B060" w14:textId="7D4BBA1E" w:rsidR="00B67790" w:rsidRPr="005D37B7"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EU</w:t>
            </w:r>
          </w:p>
        </w:tc>
        <w:tc>
          <w:tcPr>
            <w:tcW w:w="914" w:type="pct"/>
            <w:tcBorders>
              <w:bottom w:val="single" w:sz="4" w:space="0" w:color="auto"/>
            </w:tcBorders>
            <w:shd w:val="clear" w:color="auto" w:fill="auto"/>
            <w:vAlign w:val="center"/>
            <w:hideMark/>
          </w:tcPr>
          <w:p w14:paraId="06A01B09" w14:textId="5198A063" w:rsidR="00B67790" w:rsidRPr="005D37B7" w:rsidRDefault="00DF20B9" w:rsidP="00B67790">
            <w:pPr>
              <w:spacing w:after="0" w:line="240" w:lineRule="auto"/>
              <w:jc w:val="center"/>
              <w:rPr>
                <w:rFonts w:ascii="Times New Roman" w:eastAsia="Times New Roman" w:hAnsi="Times New Roman" w:cs="Times New Roman"/>
                <w:color w:val="000000"/>
                <w:sz w:val="12"/>
                <w:szCs w:val="12"/>
                <w:lang w:eastAsia="en-GB"/>
              </w:rPr>
            </w:pPr>
            <w:r w:rsidRPr="008C1952">
              <w:rPr>
                <w:rFonts w:ascii="Times New Roman" w:eastAsia="Times New Roman" w:hAnsi="Times New Roman" w:cs="Times New Roman"/>
                <w:color w:val="000000"/>
                <w:sz w:val="12"/>
                <w:szCs w:val="12"/>
                <w:lang w:eastAsia="en-GB"/>
              </w:rPr>
              <w:t>N.S.</w:t>
            </w:r>
          </w:p>
        </w:tc>
        <w:tc>
          <w:tcPr>
            <w:tcW w:w="1145" w:type="pct"/>
            <w:tcBorders>
              <w:bottom w:val="single" w:sz="4" w:space="0" w:color="auto"/>
            </w:tcBorders>
            <w:vAlign w:val="center"/>
          </w:tcPr>
          <w:p w14:paraId="4258061A" w14:textId="05330578" w:rsidR="00B67790" w:rsidRPr="008C1952" w:rsidRDefault="00B67790" w:rsidP="00B67790">
            <w:pPr>
              <w:spacing w:after="0" w:line="240" w:lineRule="auto"/>
              <w:jc w:val="center"/>
              <w:rPr>
                <w:rFonts w:ascii="Times New Roman" w:eastAsia="Times New Roman" w:hAnsi="Times New Roman" w:cs="Times New Roman"/>
                <w:color w:val="000000"/>
                <w:sz w:val="12"/>
                <w:szCs w:val="12"/>
                <w:lang w:eastAsia="en-GB"/>
              </w:rPr>
            </w:pPr>
            <w:r w:rsidRPr="005D37B7">
              <w:rPr>
                <w:rFonts w:ascii="Times New Roman" w:eastAsia="Times New Roman" w:hAnsi="Times New Roman" w:cs="Times New Roman"/>
                <w:color w:val="000000"/>
                <w:sz w:val="12"/>
                <w:szCs w:val="12"/>
                <w:lang w:eastAsia="en-GB"/>
              </w:rPr>
              <w:t>Zurek et al., 2018</w:t>
            </w:r>
          </w:p>
        </w:tc>
      </w:tr>
    </w:tbl>
    <w:p w14:paraId="392F3530" w14:textId="1BDBB46E" w:rsidR="005D37B7" w:rsidRDefault="00DF20B9" w:rsidP="005D37B7">
      <w:pPr>
        <w:rPr>
          <w:rFonts w:ascii="Times New Roman" w:hAnsi="Times New Roman" w:cs="Times New Roman"/>
          <w:sz w:val="12"/>
          <w:szCs w:val="12"/>
        </w:rPr>
      </w:pPr>
      <w:r w:rsidRPr="008C1952">
        <w:rPr>
          <w:rFonts w:ascii="Times New Roman" w:hAnsi="Times New Roman" w:cs="Times New Roman"/>
          <w:sz w:val="12"/>
          <w:szCs w:val="12"/>
          <w:vertAlign w:val="superscript"/>
        </w:rPr>
        <w:t>1</w:t>
      </w:r>
      <w:r w:rsidR="00B539AF" w:rsidRPr="008C1952">
        <w:rPr>
          <w:rFonts w:ascii="Times New Roman" w:hAnsi="Times New Roman" w:cs="Times New Roman"/>
          <w:sz w:val="12"/>
          <w:szCs w:val="12"/>
        </w:rPr>
        <w:t>N.S.= Not Specified</w:t>
      </w:r>
    </w:p>
    <w:p w14:paraId="42FB58B1" w14:textId="0078835C" w:rsidR="00311827" w:rsidRPr="008C1952" w:rsidRDefault="00311827" w:rsidP="00311827">
      <w:pPr>
        <w:jc w:val="center"/>
        <w:rPr>
          <w:rFonts w:ascii="Times New Roman" w:hAnsi="Times New Roman" w:cs="Times New Roman"/>
          <w:sz w:val="12"/>
          <w:szCs w:val="12"/>
        </w:rPr>
      </w:pPr>
      <w:r w:rsidRPr="00311827">
        <w:rPr>
          <w:rFonts w:ascii="Times New Roman" w:hAnsi="Times New Roman" w:cs="Times New Roman"/>
          <w:sz w:val="12"/>
          <w:szCs w:val="12"/>
        </w:rPr>
        <w:t xml:space="preserve">Source: </w:t>
      </w:r>
      <w:r w:rsidRPr="00311827">
        <w:rPr>
          <w:rFonts w:ascii="Times New Roman" w:hAnsi="Times New Roman" w:cs="Times New Roman"/>
          <w:i/>
          <w:iCs/>
          <w:sz w:val="12"/>
          <w:szCs w:val="12"/>
        </w:rPr>
        <w:t>Authors own elaboration</w:t>
      </w:r>
    </w:p>
    <w:p w14:paraId="5E11BC24" w14:textId="3964A06A" w:rsidR="00174492" w:rsidRPr="00F55AC0" w:rsidRDefault="00174492" w:rsidP="00F55AC0">
      <w:pPr>
        <w:pStyle w:val="Titolo1"/>
        <w:spacing w:after="240"/>
        <w:rPr>
          <w:rFonts w:ascii="Times New Roman" w:hAnsi="Times New Roman" w:cs="Times New Roman"/>
          <w:b/>
          <w:bCs/>
          <w:color w:val="auto"/>
          <w:sz w:val="24"/>
          <w:szCs w:val="24"/>
        </w:rPr>
      </w:pPr>
      <w:bookmarkStart w:id="19" w:name="_Toc161844663"/>
      <w:r w:rsidRPr="00174492">
        <w:rPr>
          <w:rFonts w:ascii="Times New Roman" w:hAnsi="Times New Roman" w:cs="Times New Roman"/>
          <w:b/>
          <w:bCs/>
          <w:color w:val="auto"/>
          <w:sz w:val="24"/>
          <w:szCs w:val="24"/>
        </w:rPr>
        <w:t>Section 4. How the literature envision</w:t>
      </w:r>
      <w:r>
        <w:rPr>
          <w:rFonts w:ascii="Times New Roman" w:hAnsi="Times New Roman" w:cs="Times New Roman"/>
          <w:b/>
          <w:bCs/>
          <w:color w:val="auto"/>
          <w:sz w:val="24"/>
          <w:szCs w:val="24"/>
        </w:rPr>
        <w:t>s the concept of SFS after 2015?</w:t>
      </w:r>
      <w:bookmarkEnd w:id="19"/>
    </w:p>
    <w:p w14:paraId="50F4D13F" w14:textId="1651CDEB" w:rsidR="00174492" w:rsidRPr="00F55AC0" w:rsidRDefault="00174492" w:rsidP="00174492">
      <w:pPr>
        <w:pStyle w:val="Didascalia"/>
        <w:keepNext/>
        <w:jc w:val="center"/>
        <w:rPr>
          <w:rFonts w:ascii="Times New Roman" w:hAnsi="Times New Roman" w:cs="Times New Roman"/>
          <w:i w:val="0"/>
          <w:iCs w:val="0"/>
          <w:color w:val="auto"/>
          <w:sz w:val="16"/>
          <w:szCs w:val="16"/>
        </w:rPr>
      </w:pPr>
      <w:bookmarkStart w:id="20" w:name="_Toc166589555"/>
      <w:r w:rsidRPr="00F55AC0">
        <w:rPr>
          <w:rFonts w:ascii="Times New Roman" w:hAnsi="Times New Roman" w:cs="Times New Roman"/>
          <w:b/>
          <w:bCs/>
          <w:i w:val="0"/>
          <w:iCs w:val="0"/>
          <w:color w:val="auto"/>
          <w:sz w:val="16"/>
          <w:szCs w:val="16"/>
        </w:rPr>
        <w:t xml:space="preserve">Supplementary Figure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Supplementary_Figure_ \* ALPHABETIC </w:instrText>
      </w:r>
      <w:r w:rsidR="00F60EFC">
        <w:rPr>
          <w:rFonts w:ascii="Times New Roman" w:hAnsi="Times New Roman" w:cs="Times New Roman"/>
          <w:b/>
          <w:bCs/>
          <w:i w:val="0"/>
          <w:iCs w:val="0"/>
          <w:color w:val="auto"/>
          <w:sz w:val="16"/>
          <w:szCs w:val="16"/>
        </w:rPr>
        <w:fldChar w:fldCharType="separate"/>
      </w:r>
      <w:r w:rsidR="002C4F8E">
        <w:rPr>
          <w:rFonts w:ascii="Times New Roman" w:hAnsi="Times New Roman" w:cs="Times New Roman"/>
          <w:b/>
          <w:bCs/>
          <w:i w:val="0"/>
          <w:iCs w:val="0"/>
          <w:noProof/>
          <w:color w:val="auto"/>
          <w:sz w:val="16"/>
          <w:szCs w:val="16"/>
        </w:rPr>
        <w:t>D</w:t>
      </w:r>
      <w:r w:rsidR="00F60EFC">
        <w:rPr>
          <w:rFonts w:ascii="Times New Roman" w:hAnsi="Times New Roman" w:cs="Times New Roman"/>
          <w:b/>
          <w:bCs/>
          <w:i w:val="0"/>
          <w:iCs w:val="0"/>
          <w:color w:val="auto"/>
          <w:sz w:val="16"/>
          <w:szCs w:val="16"/>
        </w:rPr>
        <w:fldChar w:fldCharType="end"/>
      </w:r>
      <w:r w:rsidRPr="00F55AC0">
        <w:rPr>
          <w:rFonts w:ascii="Times New Roman" w:hAnsi="Times New Roman" w:cs="Times New Roman"/>
          <w:b/>
          <w:bCs/>
          <w:i w:val="0"/>
          <w:iCs w:val="0"/>
          <w:color w:val="auto"/>
          <w:sz w:val="16"/>
          <w:szCs w:val="16"/>
        </w:rPr>
        <w:t>.</w:t>
      </w:r>
      <w:r w:rsidRPr="00F55AC0">
        <w:rPr>
          <w:rFonts w:ascii="Times New Roman" w:hAnsi="Times New Roman" w:cs="Times New Roman"/>
          <w:i w:val="0"/>
          <w:iCs w:val="0"/>
          <w:color w:val="auto"/>
          <w:sz w:val="16"/>
          <w:szCs w:val="16"/>
        </w:rPr>
        <w:t xml:space="preserve"> Scientific production trend after 2015. </w:t>
      </w:r>
      <w:r w:rsidRPr="00F55AC0">
        <w:rPr>
          <w:rFonts w:ascii="Times New Roman" w:hAnsi="Times New Roman" w:cs="Times New Roman"/>
          <w:color w:val="auto"/>
          <w:sz w:val="16"/>
          <w:szCs w:val="16"/>
        </w:rPr>
        <w:t>Source: Authors</w:t>
      </w:r>
      <w:bookmarkEnd w:id="20"/>
    </w:p>
    <w:p w14:paraId="6AB1082C" w14:textId="569D7913" w:rsidR="00174492" w:rsidRDefault="00B94413" w:rsidP="00174492">
      <w:pPr>
        <w:jc w:val="center"/>
      </w:pPr>
      <w:r>
        <w:rPr>
          <w:noProof/>
          <w:lang w:eastAsia="en-GB"/>
        </w:rPr>
        <w:drawing>
          <wp:inline distT="0" distB="0" distL="0" distR="0" wp14:anchorId="723AB873" wp14:editId="376ABF07">
            <wp:extent cx="5731510" cy="3164205"/>
            <wp:effectExtent l="0" t="0" r="2540" b="17145"/>
            <wp:docPr id="1374215349" name="Grafico 1">
              <a:extLst xmlns:a="http://schemas.openxmlformats.org/drawingml/2006/main">
                <a:ext uri="{FF2B5EF4-FFF2-40B4-BE49-F238E27FC236}">
                  <a16:creationId xmlns:a16="http://schemas.microsoft.com/office/drawing/2014/main" id="{0F7560B6-19AD-B29B-C7FE-25CD8E3195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B99EA8A" w14:textId="2BE847A0" w:rsidR="00FB3445" w:rsidRDefault="00FB3445" w:rsidP="00174492">
      <w:pPr>
        <w:jc w:val="center"/>
        <w:rPr>
          <w:rFonts w:ascii="Times New Roman" w:hAnsi="Times New Roman" w:cs="Times New Roman"/>
          <w:sz w:val="16"/>
          <w:szCs w:val="16"/>
        </w:rPr>
      </w:pPr>
      <w:r w:rsidRPr="00FB3445">
        <w:rPr>
          <w:rFonts w:ascii="Times New Roman" w:hAnsi="Times New Roman" w:cs="Times New Roman"/>
          <w:sz w:val="16"/>
          <w:szCs w:val="16"/>
        </w:rPr>
        <w:t>*</w:t>
      </w:r>
      <w:r w:rsidR="00B94413">
        <w:rPr>
          <w:rFonts w:ascii="Times New Roman" w:hAnsi="Times New Roman" w:cs="Times New Roman"/>
          <w:sz w:val="16"/>
          <w:szCs w:val="16"/>
        </w:rPr>
        <w:t xml:space="preserve">Year </w:t>
      </w:r>
      <w:r w:rsidRPr="00FB3445">
        <w:rPr>
          <w:rFonts w:ascii="Times New Roman" w:hAnsi="Times New Roman" w:cs="Times New Roman"/>
          <w:sz w:val="16"/>
          <w:szCs w:val="16"/>
        </w:rPr>
        <w:t xml:space="preserve">2023 </w:t>
      </w:r>
      <w:r w:rsidR="00B94413">
        <w:rPr>
          <w:rFonts w:ascii="Times New Roman" w:hAnsi="Times New Roman" w:cs="Times New Roman"/>
          <w:sz w:val="16"/>
          <w:szCs w:val="16"/>
        </w:rPr>
        <w:t>was excluded due to</w:t>
      </w:r>
      <w:r w:rsidRPr="00FB3445">
        <w:rPr>
          <w:rFonts w:ascii="Times New Roman" w:hAnsi="Times New Roman" w:cs="Times New Roman"/>
          <w:sz w:val="16"/>
          <w:szCs w:val="16"/>
        </w:rPr>
        <w:t xml:space="preserve"> </w:t>
      </w:r>
      <w:r w:rsidR="00B94413">
        <w:rPr>
          <w:rFonts w:ascii="Times New Roman" w:hAnsi="Times New Roman" w:cs="Times New Roman"/>
          <w:sz w:val="16"/>
          <w:szCs w:val="16"/>
        </w:rPr>
        <w:t xml:space="preserve">possible </w:t>
      </w:r>
      <w:r w:rsidRPr="00FB3445">
        <w:rPr>
          <w:rFonts w:ascii="Times New Roman" w:hAnsi="Times New Roman" w:cs="Times New Roman"/>
          <w:sz w:val="16"/>
          <w:szCs w:val="16"/>
        </w:rPr>
        <w:t>delay</w:t>
      </w:r>
      <w:r w:rsidR="00B94413">
        <w:rPr>
          <w:rFonts w:ascii="Times New Roman" w:hAnsi="Times New Roman" w:cs="Times New Roman"/>
          <w:sz w:val="16"/>
          <w:szCs w:val="16"/>
        </w:rPr>
        <w:t>s</w:t>
      </w:r>
      <w:r w:rsidRPr="00FB3445">
        <w:rPr>
          <w:rFonts w:ascii="Times New Roman" w:hAnsi="Times New Roman" w:cs="Times New Roman"/>
          <w:sz w:val="16"/>
          <w:szCs w:val="16"/>
        </w:rPr>
        <w:t xml:space="preserve"> in the update of scientific documents in </w:t>
      </w:r>
      <w:r w:rsidR="00B94413">
        <w:rPr>
          <w:rFonts w:ascii="Times New Roman" w:hAnsi="Times New Roman" w:cs="Times New Roman"/>
          <w:sz w:val="16"/>
          <w:szCs w:val="16"/>
        </w:rPr>
        <w:t>databases</w:t>
      </w:r>
      <w:r w:rsidRPr="00FB3445">
        <w:rPr>
          <w:rFonts w:ascii="Times New Roman" w:hAnsi="Times New Roman" w:cs="Times New Roman"/>
          <w:sz w:val="16"/>
          <w:szCs w:val="16"/>
        </w:rPr>
        <w:t xml:space="preserve"> as the searches run in January 2024</w:t>
      </w:r>
    </w:p>
    <w:p w14:paraId="143F3995" w14:textId="609FC58B" w:rsidR="00311827" w:rsidRPr="00FB3445" w:rsidRDefault="00311827" w:rsidP="00174492">
      <w:pPr>
        <w:jc w:val="center"/>
        <w:rPr>
          <w:rFonts w:ascii="Times New Roman" w:hAnsi="Times New Roman" w:cs="Times New Roman"/>
          <w:sz w:val="16"/>
          <w:szCs w:val="16"/>
        </w:rPr>
      </w:pPr>
      <w:r w:rsidRPr="00311827">
        <w:rPr>
          <w:rFonts w:ascii="Times New Roman" w:hAnsi="Times New Roman" w:cs="Times New Roman"/>
          <w:sz w:val="16"/>
          <w:szCs w:val="16"/>
        </w:rPr>
        <w:t xml:space="preserve">Source: </w:t>
      </w:r>
      <w:r w:rsidRPr="00311827">
        <w:rPr>
          <w:rFonts w:ascii="Times New Roman" w:hAnsi="Times New Roman" w:cs="Times New Roman"/>
          <w:i/>
          <w:iCs/>
          <w:sz w:val="16"/>
          <w:szCs w:val="16"/>
        </w:rPr>
        <w:t>Authors own elaboration</w:t>
      </w:r>
    </w:p>
    <w:p w14:paraId="6441DBD8" w14:textId="0D951FB8" w:rsidR="00A438D3" w:rsidRPr="008C1952" w:rsidRDefault="00A438D3" w:rsidP="00A438D3">
      <w:pPr>
        <w:pStyle w:val="Didascalia"/>
        <w:keepNext/>
        <w:rPr>
          <w:rFonts w:ascii="Times New Roman" w:hAnsi="Times New Roman" w:cs="Times New Roman"/>
          <w:i w:val="0"/>
          <w:iCs w:val="0"/>
          <w:color w:val="auto"/>
          <w:sz w:val="16"/>
          <w:szCs w:val="16"/>
        </w:rPr>
      </w:pPr>
      <w:bookmarkStart w:id="21" w:name="_Toc166589549"/>
      <w:r w:rsidRPr="008C1952">
        <w:rPr>
          <w:rFonts w:ascii="Times New Roman" w:hAnsi="Times New Roman" w:cs="Times New Roman"/>
          <w:b/>
          <w:bCs/>
          <w:i w:val="0"/>
          <w:iCs w:val="0"/>
          <w:color w:val="auto"/>
          <w:sz w:val="16"/>
          <w:szCs w:val="16"/>
        </w:rPr>
        <w:t xml:space="preserve">Supplementary Table </w:t>
      </w:r>
      <w:r w:rsidR="00F60EFC">
        <w:rPr>
          <w:rFonts w:ascii="Times New Roman" w:hAnsi="Times New Roman" w:cs="Times New Roman"/>
          <w:b/>
          <w:bCs/>
          <w:i w:val="0"/>
          <w:iCs w:val="0"/>
          <w:color w:val="auto"/>
          <w:sz w:val="16"/>
          <w:szCs w:val="16"/>
        </w:rPr>
        <w:fldChar w:fldCharType="begin"/>
      </w:r>
      <w:r w:rsidR="00F60EFC">
        <w:rPr>
          <w:rFonts w:ascii="Times New Roman" w:hAnsi="Times New Roman" w:cs="Times New Roman"/>
          <w:b/>
          <w:bCs/>
          <w:i w:val="0"/>
          <w:iCs w:val="0"/>
          <w:color w:val="auto"/>
          <w:sz w:val="16"/>
          <w:szCs w:val="16"/>
        </w:rPr>
        <w:instrText xml:space="preserve"> SEQ Supplementary_Table \* ALPHABETIC </w:instrText>
      </w:r>
      <w:r w:rsidR="00F60EFC">
        <w:rPr>
          <w:rFonts w:ascii="Times New Roman" w:hAnsi="Times New Roman" w:cs="Times New Roman"/>
          <w:b/>
          <w:bCs/>
          <w:i w:val="0"/>
          <w:iCs w:val="0"/>
          <w:color w:val="auto"/>
          <w:sz w:val="16"/>
          <w:szCs w:val="16"/>
        </w:rPr>
        <w:fldChar w:fldCharType="separate"/>
      </w:r>
      <w:r w:rsidR="00F60EFC">
        <w:rPr>
          <w:rFonts w:ascii="Times New Roman" w:hAnsi="Times New Roman" w:cs="Times New Roman"/>
          <w:b/>
          <w:bCs/>
          <w:i w:val="0"/>
          <w:iCs w:val="0"/>
          <w:noProof/>
          <w:color w:val="auto"/>
          <w:sz w:val="16"/>
          <w:szCs w:val="16"/>
        </w:rPr>
        <w:t>J</w:t>
      </w:r>
      <w:r w:rsidR="00F60EFC">
        <w:rPr>
          <w:rFonts w:ascii="Times New Roman" w:hAnsi="Times New Roman" w:cs="Times New Roman"/>
          <w:b/>
          <w:bCs/>
          <w:i w:val="0"/>
          <w:iCs w:val="0"/>
          <w:color w:val="auto"/>
          <w:sz w:val="16"/>
          <w:szCs w:val="16"/>
        </w:rPr>
        <w:fldChar w:fldCharType="end"/>
      </w:r>
      <w:r w:rsidRPr="008C1952">
        <w:rPr>
          <w:rFonts w:ascii="Times New Roman" w:hAnsi="Times New Roman" w:cs="Times New Roman"/>
          <w:b/>
          <w:bCs/>
          <w:i w:val="0"/>
          <w:iCs w:val="0"/>
          <w:color w:val="auto"/>
          <w:sz w:val="16"/>
          <w:szCs w:val="16"/>
        </w:rPr>
        <w:t>.</w:t>
      </w:r>
      <w:r w:rsidRPr="008C1952">
        <w:rPr>
          <w:rFonts w:ascii="Times New Roman" w:hAnsi="Times New Roman" w:cs="Times New Roman"/>
          <w:i w:val="0"/>
          <w:iCs w:val="0"/>
          <w:color w:val="auto"/>
          <w:sz w:val="16"/>
          <w:szCs w:val="16"/>
        </w:rPr>
        <w:t xml:space="preserve"> Overview of the sustainability definitions provided in the scientific documents.</w:t>
      </w:r>
      <w:bookmarkEnd w:id="21"/>
    </w:p>
    <w:tbl>
      <w:tblPr>
        <w:tblStyle w:val="Grigliatabel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9"/>
        <w:gridCol w:w="4921"/>
        <w:gridCol w:w="1081"/>
        <w:gridCol w:w="1865"/>
      </w:tblGrid>
      <w:tr w:rsidR="00A438D3" w:rsidRPr="008C1952" w14:paraId="02863AB8" w14:textId="77777777" w:rsidTr="00C44178">
        <w:trPr>
          <w:trHeight w:val="113"/>
          <w:jc w:val="center"/>
        </w:trPr>
        <w:tc>
          <w:tcPr>
            <w:tcW w:w="1159" w:type="dxa"/>
            <w:tcBorders>
              <w:bottom w:val="single" w:sz="4" w:space="0" w:color="000000"/>
            </w:tcBorders>
            <w:tcMar>
              <w:left w:w="108" w:type="dxa"/>
              <w:right w:w="108" w:type="dxa"/>
            </w:tcMar>
            <w:vAlign w:val="center"/>
          </w:tcPr>
          <w:p w14:paraId="4D9BE26E" w14:textId="77777777" w:rsidR="00A438D3" w:rsidRPr="008C1952" w:rsidRDefault="00A438D3" w:rsidP="00BB4F49">
            <w:pPr>
              <w:jc w:val="center"/>
              <w:rPr>
                <w:rFonts w:ascii="Times New Roman" w:hAnsi="Times New Roman" w:cs="Times New Roman"/>
                <w:sz w:val="16"/>
                <w:szCs w:val="16"/>
              </w:rPr>
            </w:pPr>
            <w:r w:rsidRPr="008C1952">
              <w:rPr>
                <w:rFonts w:ascii="Times New Roman" w:eastAsia="Palatino Linotype" w:hAnsi="Times New Roman" w:cs="Times New Roman"/>
                <w:b/>
                <w:bCs/>
                <w:sz w:val="16"/>
                <w:szCs w:val="16"/>
              </w:rPr>
              <w:t>Concept</w:t>
            </w:r>
          </w:p>
        </w:tc>
        <w:tc>
          <w:tcPr>
            <w:tcW w:w="4921" w:type="dxa"/>
            <w:tcBorders>
              <w:bottom w:val="single" w:sz="4" w:space="0" w:color="000000"/>
            </w:tcBorders>
            <w:tcMar>
              <w:left w:w="108" w:type="dxa"/>
              <w:right w:w="108" w:type="dxa"/>
            </w:tcMar>
            <w:vAlign w:val="center"/>
          </w:tcPr>
          <w:p w14:paraId="704A848D" w14:textId="77777777" w:rsidR="00A438D3" w:rsidRPr="008C1952" w:rsidRDefault="00A438D3" w:rsidP="00BB4F49">
            <w:pPr>
              <w:jc w:val="center"/>
              <w:rPr>
                <w:rFonts w:ascii="Times New Roman" w:hAnsi="Times New Roman" w:cs="Times New Roman"/>
                <w:sz w:val="16"/>
                <w:szCs w:val="16"/>
              </w:rPr>
            </w:pPr>
            <w:r w:rsidRPr="008C1952">
              <w:rPr>
                <w:rFonts w:ascii="Times New Roman" w:eastAsia="Palatino Linotype" w:hAnsi="Times New Roman" w:cs="Times New Roman"/>
                <w:b/>
                <w:bCs/>
                <w:sz w:val="16"/>
                <w:szCs w:val="16"/>
              </w:rPr>
              <w:t>Definition</w:t>
            </w:r>
          </w:p>
        </w:tc>
        <w:tc>
          <w:tcPr>
            <w:tcW w:w="1081" w:type="dxa"/>
            <w:tcBorders>
              <w:bottom w:val="single" w:sz="4" w:space="0" w:color="000000"/>
            </w:tcBorders>
            <w:tcMar>
              <w:left w:w="108" w:type="dxa"/>
              <w:right w:w="108" w:type="dxa"/>
            </w:tcMar>
            <w:vAlign w:val="center"/>
          </w:tcPr>
          <w:p w14:paraId="75CC1951" w14:textId="77777777" w:rsidR="00A438D3" w:rsidRPr="008C1952" w:rsidRDefault="00A438D3" w:rsidP="00BB4F49">
            <w:pPr>
              <w:jc w:val="center"/>
              <w:rPr>
                <w:rFonts w:ascii="Times New Roman" w:hAnsi="Times New Roman" w:cs="Times New Roman"/>
                <w:sz w:val="16"/>
                <w:szCs w:val="16"/>
              </w:rPr>
            </w:pPr>
            <w:r w:rsidRPr="008C1952">
              <w:rPr>
                <w:rFonts w:ascii="Times New Roman" w:eastAsia="Palatino Linotype" w:hAnsi="Times New Roman" w:cs="Times New Roman"/>
                <w:b/>
                <w:bCs/>
                <w:sz w:val="16"/>
                <w:szCs w:val="16"/>
              </w:rPr>
              <w:t>Source</w:t>
            </w:r>
          </w:p>
        </w:tc>
        <w:tc>
          <w:tcPr>
            <w:tcW w:w="1865" w:type="dxa"/>
            <w:tcBorders>
              <w:bottom w:val="single" w:sz="4" w:space="0" w:color="000000"/>
            </w:tcBorders>
            <w:tcMar>
              <w:left w:w="108" w:type="dxa"/>
              <w:right w:w="108" w:type="dxa"/>
            </w:tcMar>
            <w:vAlign w:val="center"/>
          </w:tcPr>
          <w:p w14:paraId="31F4419F" w14:textId="77777777" w:rsidR="00A438D3" w:rsidRPr="008C1952" w:rsidRDefault="00A438D3" w:rsidP="00BB4F49">
            <w:pPr>
              <w:jc w:val="center"/>
              <w:rPr>
                <w:rFonts w:ascii="Times New Roman" w:hAnsi="Times New Roman" w:cs="Times New Roman"/>
                <w:sz w:val="16"/>
                <w:szCs w:val="16"/>
              </w:rPr>
            </w:pPr>
            <w:r w:rsidRPr="008C1952">
              <w:rPr>
                <w:rFonts w:ascii="Times New Roman" w:eastAsia="Palatino Linotype" w:hAnsi="Times New Roman" w:cs="Times New Roman"/>
                <w:b/>
                <w:bCs/>
                <w:sz w:val="16"/>
                <w:szCs w:val="16"/>
              </w:rPr>
              <w:t>Provided by</w:t>
            </w:r>
          </w:p>
        </w:tc>
      </w:tr>
      <w:tr w:rsidR="00A438D3" w:rsidRPr="00AA6B37" w14:paraId="08E47ECB" w14:textId="77777777" w:rsidTr="00C44178">
        <w:trPr>
          <w:trHeight w:val="113"/>
          <w:jc w:val="center"/>
        </w:trPr>
        <w:tc>
          <w:tcPr>
            <w:tcW w:w="1159" w:type="dxa"/>
            <w:vMerge w:val="restart"/>
            <w:tcBorders>
              <w:top w:val="single" w:sz="4" w:space="0" w:color="000000"/>
            </w:tcBorders>
            <w:tcMar>
              <w:left w:w="108" w:type="dxa"/>
              <w:right w:w="108" w:type="dxa"/>
            </w:tcMar>
            <w:vAlign w:val="center"/>
          </w:tcPr>
          <w:p w14:paraId="7569041A" w14:textId="77777777" w:rsidR="00A438D3" w:rsidRDefault="00A438D3" w:rsidP="00BB4F49">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lastRenderedPageBreak/>
              <w:t>Food Security</w:t>
            </w:r>
          </w:p>
          <w:p w14:paraId="72876308" w14:textId="2EDBA8D1" w:rsidR="00FB3445" w:rsidRPr="00FB3445" w:rsidRDefault="00FB3445" w:rsidP="00BB4F49">
            <w:pPr>
              <w:jc w:val="center"/>
              <w:rPr>
                <w:rFonts w:ascii="Times New Roman" w:hAnsi="Times New Roman" w:cs="Times New Roman"/>
                <w:i/>
                <w:iCs/>
                <w:sz w:val="16"/>
                <w:szCs w:val="16"/>
              </w:rPr>
            </w:pPr>
            <w:r w:rsidRPr="00FB3445">
              <w:rPr>
                <w:rFonts w:ascii="Times New Roman" w:eastAsia="Palatino Linotype" w:hAnsi="Times New Roman" w:cs="Times New Roman"/>
                <w:b/>
                <w:bCs/>
                <w:i/>
                <w:iCs/>
                <w:sz w:val="16"/>
                <w:szCs w:val="16"/>
              </w:rPr>
              <w:t>(n=7)</w:t>
            </w:r>
          </w:p>
        </w:tc>
        <w:tc>
          <w:tcPr>
            <w:tcW w:w="4921" w:type="dxa"/>
            <w:tcBorders>
              <w:top w:val="single" w:sz="4" w:space="0" w:color="000000"/>
            </w:tcBorders>
            <w:tcMar>
              <w:left w:w="108" w:type="dxa"/>
              <w:right w:w="108" w:type="dxa"/>
            </w:tcMar>
            <w:vAlign w:val="center"/>
          </w:tcPr>
          <w:p w14:paraId="4EEF20F8"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“Food security exists when all people, at all times, have </w:t>
            </w:r>
            <w:r w:rsidRPr="008C1952">
              <w:rPr>
                <w:rFonts w:ascii="Times New Roman" w:eastAsia="Palatino Linotype" w:hAnsi="Times New Roman" w:cs="Times New Roman"/>
                <w:b/>
                <w:bCs/>
                <w:sz w:val="16"/>
                <w:szCs w:val="16"/>
              </w:rPr>
              <w:t xml:space="preserve">physical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 xml:space="preserve">economic </w:t>
            </w:r>
            <w:r w:rsidRPr="008C1952">
              <w:rPr>
                <w:rFonts w:ascii="Times New Roman" w:eastAsia="Palatino Linotype" w:hAnsi="Times New Roman" w:cs="Times New Roman"/>
                <w:sz w:val="16"/>
                <w:szCs w:val="16"/>
              </w:rPr>
              <w:t xml:space="preserve">access to </w:t>
            </w:r>
            <w:r w:rsidRPr="008C1952">
              <w:rPr>
                <w:rFonts w:ascii="Times New Roman" w:eastAsia="Palatino Linotype" w:hAnsi="Times New Roman" w:cs="Times New Roman"/>
                <w:b/>
                <w:bCs/>
                <w:sz w:val="16"/>
                <w:szCs w:val="16"/>
              </w:rPr>
              <w:t>sufficient</w:t>
            </w:r>
            <w:r w:rsidRPr="008C1952">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b/>
                <w:bCs/>
                <w:sz w:val="16"/>
                <w:szCs w:val="16"/>
              </w:rPr>
              <w:t xml:space="preserve">safe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 xml:space="preserve">nutritious </w:t>
            </w:r>
            <w:r w:rsidRPr="008C1952">
              <w:rPr>
                <w:rFonts w:ascii="Times New Roman" w:eastAsia="Palatino Linotype" w:hAnsi="Times New Roman" w:cs="Times New Roman"/>
                <w:sz w:val="16"/>
                <w:szCs w:val="16"/>
              </w:rPr>
              <w:t xml:space="preserve">food that meets their </w:t>
            </w:r>
            <w:r w:rsidRPr="008C1952">
              <w:rPr>
                <w:rFonts w:ascii="Times New Roman" w:eastAsia="Palatino Linotype" w:hAnsi="Times New Roman" w:cs="Times New Roman"/>
                <w:b/>
                <w:bCs/>
                <w:sz w:val="16"/>
                <w:szCs w:val="16"/>
              </w:rPr>
              <w:t>dietary needs</w:t>
            </w:r>
            <w:r w:rsidRPr="008C1952">
              <w:rPr>
                <w:rFonts w:ascii="Times New Roman" w:eastAsia="Palatino Linotype" w:hAnsi="Times New Roman" w:cs="Times New Roman"/>
                <w:sz w:val="16"/>
                <w:szCs w:val="16"/>
              </w:rPr>
              <w:t xml:space="preserve"> and </w:t>
            </w:r>
            <w:r w:rsidRPr="008C1952">
              <w:rPr>
                <w:rFonts w:ascii="Times New Roman" w:eastAsia="Palatino Linotype" w:hAnsi="Times New Roman" w:cs="Times New Roman"/>
                <w:b/>
                <w:bCs/>
                <w:sz w:val="16"/>
                <w:szCs w:val="16"/>
              </w:rPr>
              <w:t>food preferences</w:t>
            </w:r>
            <w:r w:rsidRPr="008C1952">
              <w:rPr>
                <w:rFonts w:ascii="Times New Roman" w:eastAsia="Palatino Linotype" w:hAnsi="Times New Roman" w:cs="Times New Roman"/>
                <w:sz w:val="16"/>
                <w:szCs w:val="16"/>
              </w:rPr>
              <w:t xml:space="preserve"> for an active and healthy life.”</w:t>
            </w:r>
          </w:p>
        </w:tc>
        <w:tc>
          <w:tcPr>
            <w:tcW w:w="1081" w:type="dxa"/>
            <w:tcBorders>
              <w:top w:val="single" w:sz="4" w:space="0" w:color="000000"/>
            </w:tcBorders>
            <w:tcMar>
              <w:left w:w="108" w:type="dxa"/>
              <w:right w:w="108" w:type="dxa"/>
            </w:tcMar>
            <w:vAlign w:val="center"/>
          </w:tcPr>
          <w:p w14:paraId="46D0ACA0" w14:textId="77777777" w:rsidR="00A438D3" w:rsidRPr="008C1952" w:rsidRDefault="00A438D3" w:rsidP="00BB4F49">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World Food Summit, 1996</w:t>
            </w:r>
          </w:p>
          <w:p w14:paraId="4E7B4A7E" w14:textId="77777777" w:rsidR="00A438D3" w:rsidRPr="008C1952" w:rsidRDefault="00A438D3" w:rsidP="00BB4F49">
            <w:pPr>
              <w:jc w:val="center"/>
              <w:rPr>
                <w:rFonts w:ascii="Times New Roman" w:hAnsi="Times New Roman" w:cs="Times New Roman"/>
                <w:sz w:val="16"/>
                <w:szCs w:val="16"/>
              </w:rPr>
            </w:pPr>
          </w:p>
        </w:tc>
        <w:tc>
          <w:tcPr>
            <w:tcW w:w="1865" w:type="dxa"/>
            <w:tcBorders>
              <w:top w:val="single" w:sz="4" w:space="0" w:color="000000"/>
            </w:tcBorders>
            <w:tcMar>
              <w:left w:w="108" w:type="dxa"/>
              <w:right w:w="108" w:type="dxa"/>
            </w:tcMar>
            <w:vAlign w:val="center"/>
          </w:tcPr>
          <w:p w14:paraId="6AE5B1D7" w14:textId="34E303CB" w:rsidR="00A438D3" w:rsidRPr="008C1952" w:rsidRDefault="00A438D3" w:rsidP="00BB4F49">
            <w:pPr>
              <w:jc w:val="center"/>
              <w:rPr>
                <w:rFonts w:ascii="Times New Roman" w:hAnsi="Times New Roman" w:cs="Times New Roman"/>
                <w:sz w:val="16"/>
                <w:szCs w:val="16"/>
                <w:lang w:val="fr-BE"/>
              </w:rPr>
            </w:pPr>
            <w:r w:rsidRPr="008C1952">
              <w:rPr>
                <w:rFonts w:ascii="Times New Roman" w:eastAsia="Palatino Linotype" w:hAnsi="Times New Roman" w:cs="Times New Roman"/>
                <w:sz w:val="16"/>
                <w:szCs w:val="16"/>
                <w:lang w:val="fr-BE"/>
              </w:rPr>
              <w:t>Cerrada-Serra et al.</w:t>
            </w:r>
            <w:r w:rsidR="0007787A">
              <w:rPr>
                <w:rFonts w:ascii="Times New Roman" w:eastAsia="Palatino Linotype" w:hAnsi="Times New Roman" w:cs="Times New Roman"/>
                <w:sz w:val="16"/>
                <w:szCs w:val="16"/>
                <w:lang w:val="fr-BE"/>
              </w:rPr>
              <w:t xml:space="preserve">  (</w:t>
            </w:r>
            <w:r w:rsidRPr="008C1952">
              <w:rPr>
                <w:rFonts w:ascii="Times New Roman" w:eastAsia="Palatino Linotype" w:hAnsi="Times New Roman" w:cs="Times New Roman"/>
                <w:sz w:val="16"/>
                <w:szCs w:val="16"/>
                <w:lang w:val="fr-BE"/>
              </w:rPr>
              <w:t>2018</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 Eakin et al</w:t>
            </w:r>
            <w:r w:rsidR="0007787A">
              <w:rPr>
                <w:rFonts w:ascii="Times New Roman" w:eastAsia="Palatino Linotype" w:hAnsi="Times New Roman" w:cs="Times New Roman"/>
                <w:sz w:val="16"/>
                <w:szCs w:val="16"/>
                <w:lang w:val="fr-BE"/>
              </w:rPr>
              <w:t>. (</w:t>
            </w:r>
            <w:r w:rsidRPr="008C1952">
              <w:rPr>
                <w:rFonts w:ascii="Times New Roman" w:eastAsia="Palatino Linotype" w:hAnsi="Times New Roman" w:cs="Times New Roman"/>
                <w:sz w:val="16"/>
                <w:szCs w:val="16"/>
                <w:lang w:val="fr-BE"/>
              </w:rPr>
              <w:t>2016</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 xml:space="preserve">; Moragues-Faus et al. </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2017</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 xml:space="preserve">; Verger et al. </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2018</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 xml:space="preserve">; Adamczak-Retecka and Śniadach </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202</w:t>
            </w:r>
            <w:r w:rsidR="0007787A">
              <w:rPr>
                <w:rFonts w:ascii="Times New Roman" w:eastAsia="Palatino Linotype" w:hAnsi="Times New Roman" w:cs="Times New Roman"/>
                <w:sz w:val="16"/>
                <w:szCs w:val="16"/>
                <w:lang w:val="fr-BE"/>
              </w:rPr>
              <w:t>1)</w:t>
            </w:r>
            <w:r w:rsidRPr="008C1952">
              <w:rPr>
                <w:rFonts w:ascii="Times New Roman" w:eastAsia="Palatino Linotype" w:hAnsi="Times New Roman" w:cs="Times New Roman"/>
                <w:sz w:val="16"/>
                <w:szCs w:val="16"/>
                <w:lang w:val="fr-BE"/>
              </w:rPr>
              <w:t xml:space="preserve"> ; Olssonn</w:t>
            </w:r>
            <w:r w:rsidR="0007787A">
              <w:rPr>
                <w:rFonts w:ascii="Times New Roman" w:eastAsia="Palatino Linotype" w:hAnsi="Times New Roman" w:cs="Times New Roman"/>
                <w:sz w:val="16"/>
                <w:szCs w:val="16"/>
                <w:lang w:val="fr-BE"/>
              </w:rPr>
              <w:t xml:space="preserve"> (</w:t>
            </w:r>
            <w:r w:rsidRPr="008C1952">
              <w:rPr>
                <w:rFonts w:ascii="Times New Roman" w:eastAsia="Palatino Linotype" w:hAnsi="Times New Roman" w:cs="Times New Roman"/>
                <w:sz w:val="16"/>
                <w:szCs w:val="16"/>
                <w:lang w:val="fr-BE"/>
              </w:rPr>
              <w:t>2018</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 ; Byaruhanga et al.</w:t>
            </w:r>
            <w:r w:rsidR="0007787A">
              <w:rPr>
                <w:rFonts w:ascii="Times New Roman" w:eastAsia="Palatino Linotype" w:hAnsi="Times New Roman" w:cs="Times New Roman"/>
                <w:sz w:val="16"/>
                <w:szCs w:val="16"/>
                <w:lang w:val="fr-BE"/>
              </w:rPr>
              <w:t xml:space="preserve"> (</w:t>
            </w:r>
            <w:r w:rsidRPr="008C1952">
              <w:rPr>
                <w:rFonts w:ascii="Times New Roman" w:eastAsia="Palatino Linotype" w:hAnsi="Times New Roman" w:cs="Times New Roman"/>
                <w:sz w:val="16"/>
                <w:szCs w:val="16"/>
                <w:lang w:val="fr-BE"/>
              </w:rPr>
              <w:t>2023</w:t>
            </w:r>
            <w:r w:rsidR="0007787A">
              <w:rPr>
                <w:rFonts w:ascii="Times New Roman" w:eastAsia="Palatino Linotype" w:hAnsi="Times New Roman" w:cs="Times New Roman"/>
                <w:sz w:val="16"/>
                <w:szCs w:val="16"/>
                <w:lang w:val="fr-BE"/>
              </w:rPr>
              <w:t>)</w:t>
            </w:r>
          </w:p>
        </w:tc>
      </w:tr>
      <w:tr w:rsidR="00A438D3" w:rsidRPr="008C1952" w14:paraId="7AC2A647" w14:textId="77777777" w:rsidTr="00C44178">
        <w:trPr>
          <w:trHeight w:val="113"/>
          <w:jc w:val="center"/>
        </w:trPr>
        <w:tc>
          <w:tcPr>
            <w:tcW w:w="1159" w:type="dxa"/>
            <w:vMerge/>
            <w:tcBorders>
              <w:bottom w:val="single" w:sz="4" w:space="0" w:color="000000"/>
            </w:tcBorders>
            <w:vAlign w:val="center"/>
          </w:tcPr>
          <w:p w14:paraId="40E0E49F" w14:textId="77777777" w:rsidR="00A438D3" w:rsidRPr="008C1952" w:rsidRDefault="00A438D3" w:rsidP="00BB4F49">
            <w:pPr>
              <w:jc w:val="center"/>
              <w:rPr>
                <w:rFonts w:ascii="Times New Roman" w:hAnsi="Times New Roman" w:cs="Times New Roman"/>
                <w:sz w:val="16"/>
                <w:szCs w:val="16"/>
                <w:lang w:val="fr-BE"/>
              </w:rPr>
            </w:pPr>
          </w:p>
        </w:tc>
        <w:tc>
          <w:tcPr>
            <w:tcW w:w="4921" w:type="dxa"/>
            <w:tcBorders>
              <w:bottom w:val="single" w:sz="4" w:space="0" w:color="000000"/>
            </w:tcBorders>
            <w:tcMar>
              <w:left w:w="108" w:type="dxa"/>
              <w:right w:w="108" w:type="dxa"/>
            </w:tcMar>
            <w:vAlign w:val="center"/>
          </w:tcPr>
          <w:p w14:paraId="0EAF8E6B"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“Food security is defined here in terms of a sustainable food system, where the core goal is to feed </w:t>
            </w:r>
            <w:r w:rsidRPr="008C1952">
              <w:rPr>
                <w:rFonts w:ascii="Times New Roman" w:eastAsia="Palatino Linotype" w:hAnsi="Times New Roman" w:cs="Times New Roman"/>
                <w:b/>
                <w:bCs/>
                <w:sz w:val="16"/>
                <w:szCs w:val="16"/>
              </w:rPr>
              <w:t>everyone sustainably, equitably and healthily</w:t>
            </w:r>
            <w:r w:rsidRPr="008C1952">
              <w:rPr>
                <w:rFonts w:ascii="Times New Roman" w:eastAsia="Palatino Linotype" w:hAnsi="Times New Roman" w:cs="Times New Roman"/>
                <w:sz w:val="16"/>
                <w:szCs w:val="16"/>
              </w:rPr>
              <w:t xml:space="preserve">, which addresses needs for </w:t>
            </w:r>
            <w:r w:rsidRPr="008C1952">
              <w:rPr>
                <w:rFonts w:ascii="Times New Roman" w:eastAsia="Palatino Linotype" w:hAnsi="Times New Roman" w:cs="Times New Roman"/>
                <w:b/>
                <w:bCs/>
                <w:sz w:val="16"/>
                <w:szCs w:val="16"/>
              </w:rPr>
              <w:t>availability</w:t>
            </w:r>
            <w:r w:rsidRPr="008C1952">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b/>
                <w:bCs/>
                <w:sz w:val="16"/>
                <w:szCs w:val="16"/>
              </w:rPr>
              <w:t xml:space="preserve">affordability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accessibility</w:t>
            </w:r>
            <w:r w:rsidRPr="008C1952">
              <w:rPr>
                <w:rFonts w:ascii="Times New Roman" w:eastAsia="Palatino Linotype" w:hAnsi="Times New Roman" w:cs="Times New Roman"/>
                <w:sz w:val="16"/>
                <w:szCs w:val="16"/>
              </w:rPr>
              <w:t xml:space="preserve">, is </w:t>
            </w:r>
            <w:r w:rsidRPr="008C1952">
              <w:rPr>
                <w:rFonts w:ascii="Times New Roman" w:eastAsia="Palatino Linotype" w:hAnsi="Times New Roman" w:cs="Times New Roman"/>
                <w:b/>
                <w:bCs/>
                <w:sz w:val="16"/>
                <w:szCs w:val="16"/>
              </w:rPr>
              <w:t>diverse</w:t>
            </w:r>
            <w:r w:rsidRPr="008C1952">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b/>
                <w:bCs/>
                <w:sz w:val="16"/>
                <w:szCs w:val="16"/>
              </w:rPr>
              <w:t xml:space="preserve">ecologically sound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resilient</w:t>
            </w:r>
            <w:r w:rsidRPr="008C1952">
              <w:rPr>
                <w:rFonts w:ascii="Times New Roman" w:eastAsia="Palatino Linotype" w:hAnsi="Times New Roman" w:cs="Times New Roman"/>
                <w:sz w:val="16"/>
                <w:szCs w:val="16"/>
              </w:rPr>
              <w:t xml:space="preserve">, and which builds the capabilities and skills necessary for </w:t>
            </w:r>
            <w:r w:rsidRPr="008C1952">
              <w:rPr>
                <w:rFonts w:ascii="Times New Roman" w:eastAsia="Palatino Linotype" w:hAnsi="Times New Roman" w:cs="Times New Roman"/>
                <w:b/>
                <w:bCs/>
                <w:sz w:val="16"/>
                <w:szCs w:val="16"/>
              </w:rPr>
              <w:t>future generations</w:t>
            </w:r>
            <w:r w:rsidRPr="008C1952">
              <w:rPr>
                <w:rFonts w:ascii="Times New Roman" w:eastAsia="Palatino Linotype" w:hAnsi="Times New Roman" w:cs="Times New Roman"/>
                <w:sz w:val="16"/>
                <w:szCs w:val="16"/>
              </w:rPr>
              <w:t>.”</w:t>
            </w:r>
          </w:p>
        </w:tc>
        <w:tc>
          <w:tcPr>
            <w:tcW w:w="1081" w:type="dxa"/>
            <w:tcBorders>
              <w:bottom w:val="single" w:sz="4" w:space="0" w:color="000000"/>
            </w:tcBorders>
            <w:tcMar>
              <w:left w:w="108" w:type="dxa"/>
              <w:right w:w="108" w:type="dxa"/>
            </w:tcMar>
            <w:vAlign w:val="center"/>
          </w:tcPr>
          <w:p w14:paraId="7FF74C80" w14:textId="75B3F27A" w:rsidR="00A438D3" w:rsidRPr="008C1952" w:rsidRDefault="003631F5" w:rsidP="00BB4F49">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{"citationItems":[{"id":"ITEM-1","itemData":{"abstract":"As advisors to the UK Government, the Sustainable Development Commission (SDC) has both followed and contributed to the reemerging debate about UK food security with great interest. At all levels of UK governance – national, regional and local – there are active discussions about what food security means and how it should or could be delivered. This paper is the SDC’s formal contribution to that process. The paper argues that sense can only be made of the debate if food security policy is based on delivering sustainability. No food policy will deliver what is needed in the twenty-first century unless it re-shapes food systems in line with sustainable development goals. The UK Government has the appropriate framework in Securing the Future, but this is not yet driving top level food policy statements. The message that there is an ideal ‘fit’ between sustainable development and food security is in danger of being submerged in appeals to single-issue solutions. Food security is a complex issue which in future will require the entire food system and consumers to change. This needs championing. To that end, the SDC recommends that: 1. The UK Government adopts a new definition of food security in terms of genuinely sustainable food systems, where the core goal is to feed everyone sustainably, equitably and healthily; which addresses needs for availability, affordability and accessibility; which is diverse, ecologically-sound and resilient; and which builds the capabilities and skills necessary for future generations. 2. The Government makes a clear statement of intent to encourage maximum appropriate and sustainable food production in line with the proposed new definition of sustainable food security. 3. Department for Environment, Food and Rural Affairs (Defra) and Devolved Administration (DA) partners should undertake specific sector assessments for grain, meat and dairy, fruit, vegetables, fibre and forestry, assessing them for their contribution to home consumption, environment, employment, economy and health, and indicating how to deliver optimum levels of home production, sustainably. 4. Defra should give greater urgency to updating its soil strategy and should give food production capacity a high priority in its planning. 5. Defra and Department for Business, Innovation and Skills (BIS) should review food labour requirements giving special attention to four issues: the potential to create new work in primary food production; how to improve labour condi…","author":[{"dropping-particle":"","family":"Sdc","given":"","non-dropping-particle":"","parse-names":false,"suffix":""}],"container-title":"Position Paper","id":"ITEM-1","issued":{"date-parts":[["2009"]]},"title":"Food security and sustainability The perfect fit","type":"article-journal"},"uris":["http://www.mendeley.com/documents/?uuid=1db21291-a8b6-4526-984b-62f75ff5a0b5"]}],"mendeley":{"formattedCitation":"(Sdc, 2009)","manualFormatting":"(Sustainable Development Commission, 2009)","plainTextFormattedCitation":"(Sdc, 2009)","previouslyFormattedCitation":"(Sdc, 2009)"},"properties":{"noteIndex":0},"schema":"https://github.com/citation-style-language/schema/raw/master/csl-citation.json"}</w:instrText>
            </w:r>
            <w:r>
              <w:rPr>
                <w:rFonts w:ascii="Times New Roman" w:eastAsia="Palatino Linotype" w:hAnsi="Times New Roman" w:cs="Times New Roman"/>
                <w:sz w:val="16"/>
                <w:szCs w:val="16"/>
              </w:rPr>
              <w:fldChar w:fldCharType="separate"/>
            </w:r>
            <w:r>
              <w:rPr>
                <w:rFonts w:ascii="Times New Roman" w:eastAsia="Palatino Linotype" w:hAnsi="Times New Roman" w:cs="Times New Roman"/>
                <w:noProof/>
                <w:sz w:val="16"/>
                <w:szCs w:val="16"/>
              </w:rPr>
              <w:t>Sustainable Development Commission</w:t>
            </w:r>
            <w:r w:rsidRPr="003631F5">
              <w:rPr>
                <w:rFonts w:ascii="Times New Roman" w:eastAsia="Palatino Linotype" w:hAnsi="Times New Roman" w:cs="Times New Roman"/>
                <w:noProof/>
                <w:sz w:val="16"/>
                <w:szCs w:val="16"/>
              </w:rPr>
              <w:t xml:space="preserve"> </w:t>
            </w:r>
            <w:r w:rsidR="001A0451">
              <w:rPr>
                <w:rFonts w:ascii="Times New Roman" w:eastAsia="Palatino Linotype" w:hAnsi="Times New Roman" w:cs="Times New Roman"/>
                <w:noProof/>
                <w:sz w:val="16"/>
                <w:szCs w:val="16"/>
              </w:rPr>
              <w:t>(</w:t>
            </w:r>
            <w:r w:rsidRPr="003631F5">
              <w:rPr>
                <w:rFonts w:ascii="Times New Roman" w:eastAsia="Palatino Linotype" w:hAnsi="Times New Roman" w:cs="Times New Roman"/>
                <w:noProof/>
                <w:sz w:val="16"/>
                <w:szCs w:val="16"/>
              </w:rPr>
              <w:t>2009)</w:t>
            </w:r>
            <w:r>
              <w:rPr>
                <w:rFonts w:ascii="Times New Roman" w:eastAsia="Palatino Linotype" w:hAnsi="Times New Roman" w:cs="Times New Roman"/>
                <w:sz w:val="16"/>
                <w:szCs w:val="16"/>
              </w:rPr>
              <w:fldChar w:fldCharType="end"/>
            </w:r>
          </w:p>
        </w:tc>
        <w:tc>
          <w:tcPr>
            <w:tcW w:w="1865" w:type="dxa"/>
            <w:tcBorders>
              <w:bottom w:val="single" w:sz="4" w:space="0" w:color="000000"/>
            </w:tcBorders>
            <w:tcMar>
              <w:left w:w="108" w:type="dxa"/>
              <w:right w:w="108" w:type="dxa"/>
            </w:tcMar>
            <w:vAlign w:val="center"/>
          </w:tcPr>
          <w:p w14:paraId="4D3EBC17" w14:textId="6484FF4B" w:rsidR="00A438D3" w:rsidRPr="008C1952" w:rsidRDefault="00A438D3" w:rsidP="00BB4F49">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 xml:space="preserve">Paloviita et al. </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2017</w:t>
            </w:r>
            <w:r w:rsidR="0007787A">
              <w:rPr>
                <w:rFonts w:ascii="Times New Roman" w:eastAsia="Palatino Linotype" w:hAnsi="Times New Roman" w:cs="Times New Roman"/>
                <w:sz w:val="16"/>
                <w:szCs w:val="16"/>
              </w:rPr>
              <w:t>)</w:t>
            </w:r>
          </w:p>
        </w:tc>
      </w:tr>
      <w:tr w:rsidR="00A438D3" w:rsidRPr="008C1952" w14:paraId="27E73E60" w14:textId="77777777" w:rsidTr="00C44178">
        <w:trPr>
          <w:trHeight w:val="113"/>
          <w:jc w:val="center"/>
        </w:trPr>
        <w:tc>
          <w:tcPr>
            <w:tcW w:w="1159" w:type="dxa"/>
            <w:tcBorders>
              <w:bottom w:val="single" w:sz="4" w:space="0" w:color="000000"/>
            </w:tcBorders>
            <w:vAlign w:val="center"/>
          </w:tcPr>
          <w:p w14:paraId="53FA5030" w14:textId="77777777" w:rsidR="00A438D3" w:rsidRDefault="00A438D3" w:rsidP="00BB4F49">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Sustainable Food Security</w:t>
            </w:r>
          </w:p>
          <w:p w14:paraId="1871EF87" w14:textId="61263959" w:rsidR="00FB3445" w:rsidRPr="002C4F8E" w:rsidRDefault="00FB3445" w:rsidP="00BB4F49">
            <w:pPr>
              <w:jc w:val="center"/>
              <w:rPr>
                <w:rFonts w:ascii="Times New Roman" w:hAnsi="Times New Roman" w:cs="Times New Roman"/>
                <w:b/>
                <w:bCs/>
                <w:i/>
                <w:iCs/>
                <w:sz w:val="16"/>
                <w:szCs w:val="16"/>
              </w:rPr>
            </w:pPr>
            <w:r w:rsidRPr="002C4F8E">
              <w:rPr>
                <w:rFonts w:ascii="Times New Roman" w:hAnsi="Times New Roman" w:cs="Times New Roman"/>
                <w:b/>
                <w:bCs/>
                <w:i/>
                <w:iCs/>
                <w:sz w:val="16"/>
                <w:szCs w:val="16"/>
              </w:rPr>
              <w:t>(n=1)</w:t>
            </w:r>
          </w:p>
        </w:tc>
        <w:tc>
          <w:tcPr>
            <w:tcW w:w="4921" w:type="dxa"/>
            <w:tcBorders>
              <w:bottom w:val="single" w:sz="4" w:space="0" w:color="000000"/>
            </w:tcBorders>
            <w:tcMar>
              <w:left w:w="108" w:type="dxa"/>
              <w:right w:w="108" w:type="dxa"/>
            </w:tcMar>
            <w:vAlign w:val="center"/>
          </w:tcPr>
          <w:p w14:paraId="65FEB9B9"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“The long-term capacity of the</w:t>
            </w:r>
          </w:p>
          <w:p w14:paraId="2E59AAAC" w14:textId="3F14838F" w:rsidR="00A438D3" w:rsidRPr="008C1952" w:rsidRDefault="00A438D3" w:rsidP="006B06BF">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food system to provide an adequate quantity of nutritious food [and] its ability to respond</w:t>
            </w:r>
            <w:r w:rsidR="006B06BF">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to the environmental and socio-economic challenges that threaten its resilience and to minimise</w:t>
            </w:r>
          </w:p>
          <w:p w14:paraId="40F5562F"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its impacts on human and environmental health"</w:t>
            </w:r>
          </w:p>
        </w:tc>
        <w:tc>
          <w:tcPr>
            <w:tcW w:w="1081" w:type="dxa"/>
            <w:tcBorders>
              <w:bottom w:val="single" w:sz="4" w:space="0" w:color="000000"/>
            </w:tcBorders>
            <w:tcMar>
              <w:left w:w="108" w:type="dxa"/>
              <w:right w:w="108" w:type="dxa"/>
            </w:tcMar>
            <w:vAlign w:val="center"/>
          </w:tcPr>
          <w:p w14:paraId="1EF830C7" w14:textId="637470D1" w:rsidR="00A438D3" w:rsidRPr="008C1952" w:rsidRDefault="003631F5" w:rsidP="003631F5">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{"citationItems":[{"id":"ITEM-1","itemData":{"abstract":"Sonnino2016</w:instrText>
            </w:r>
            <w:r>
              <w:rPr>
                <w:rFonts w:ascii="MS Gothic" w:eastAsia="MS Gothic" w:hAnsi="MS Gothic" w:cs="MS Gothic" w:hint="eastAsia"/>
                <w:sz w:val="16"/>
                <w:szCs w:val="16"/>
              </w:rPr>
              <w:instrText>の引用文献</w:instrText>
            </w:r>
            <w:r>
              <w:rPr>
                <w:rFonts w:ascii="Times New Roman" w:eastAsia="Palatino Linotype" w:hAnsi="Times New Roman" w:cs="Times New Roman"/>
                <w:sz w:val="16"/>
                <w:szCs w:val="16"/>
              </w:rPr>
              <w:instrText>","author":[{"dropping-particle":"","family":"Sonnino, Roberta, Moragues Faus, Ana and Maggio","given":"Albino","non-dropping-particle":"","parse-names":false,"suffix":""}],"container-title":"International Journal of Sociology of Agriculture and Food","id":"ITEM-1","issue":"1","issued":{"date-parts":[["2014"]]},"page":"173-188","title":"Sustainable Food Security: An Emerging Research and Policy Agenda International Journal of Sociology of Agriculture and Food","type":"article-journal","volume":"21"},"uris":["http://www.mendeley.com/documents/?uuid=8bdaca32-322b-4f34-b071-8ad0d39d4c82"]}],"mendeley":{"formattedCitation":"(Sonnino, Roberta, Moragues Faus, Ana and Maggio, 2014)","manualFormatting":"(Sonninoet al., 2014)","plainTextFormattedCitation":"(Sonnino, Roberta, Moragues Faus, Ana and Maggio, 2014)","previouslyFormattedCitation":"(Sonnino, Roberta, Moragues Faus, Ana and Maggio, 2014)"},"properties":{"noteIndex":0},"schema":"https://github.com/citation-style-language/schema/raw/master/csl-citation.json"}</w:instrText>
            </w:r>
            <w:r>
              <w:rPr>
                <w:rFonts w:ascii="Times New Roman" w:eastAsia="Palatino Linotype" w:hAnsi="Times New Roman" w:cs="Times New Roman"/>
                <w:sz w:val="16"/>
                <w:szCs w:val="16"/>
              </w:rPr>
              <w:fldChar w:fldCharType="separate"/>
            </w:r>
            <w:r>
              <w:rPr>
                <w:rFonts w:ascii="Times New Roman" w:eastAsia="Palatino Linotype" w:hAnsi="Times New Roman" w:cs="Times New Roman"/>
                <w:noProof/>
                <w:sz w:val="16"/>
                <w:szCs w:val="16"/>
              </w:rPr>
              <w:t>Sonnino</w:t>
            </w:r>
            <w:r w:rsidR="001A0451">
              <w:rPr>
                <w:rFonts w:ascii="Times New Roman" w:eastAsia="Palatino Linotype" w:hAnsi="Times New Roman" w:cs="Times New Roman"/>
                <w:noProof/>
                <w:sz w:val="16"/>
                <w:szCs w:val="16"/>
              </w:rPr>
              <w:t xml:space="preserve"> </w:t>
            </w:r>
            <w:r>
              <w:rPr>
                <w:rFonts w:ascii="Times New Roman" w:eastAsia="Palatino Linotype" w:hAnsi="Times New Roman" w:cs="Times New Roman"/>
                <w:noProof/>
                <w:sz w:val="16"/>
                <w:szCs w:val="16"/>
              </w:rPr>
              <w:t>et al.</w:t>
            </w:r>
            <w:r w:rsidRPr="003631F5">
              <w:rPr>
                <w:rFonts w:ascii="Times New Roman" w:eastAsia="Palatino Linotype" w:hAnsi="Times New Roman" w:cs="Times New Roman"/>
                <w:noProof/>
                <w:sz w:val="16"/>
                <w:szCs w:val="16"/>
              </w:rPr>
              <w:t xml:space="preserve"> </w:t>
            </w:r>
            <w:r w:rsidR="001A0451">
              <w:rPr>
                <w:rFonts w:ascii="Times New Roman" w:eastAsia="Palatino Linotype" w:hAnsi="Times New Roman" w:cs="Times New Roman"/>
                <w:noProof/>
                <w:sz w:val="16"/>
                <w:szCs w:val="16"/>
              </w:rPr>
              <w:t>(</w:t>
            </w:r>
            <w:r w:rsidRPr="003631F5">
              <w:rPr>
                <w:rFonts w:ascii="Times New Roman" w:eastAsia="Palatino Linotype" w:hAnsi="Times New Roman" w:cs="Times New Roman"/>
                <w:noProof/>
                <w:sz w:val="16"/>
                <w:szCs w:val="16"/>
              </w:rPr>
              <w:t>2014)</w:t>
            </w:r>
            <w:r>
              <w:rPr>
                <w:rFonts w:ascii="Times New Roman" w:eastAsia="Palatino Linotype" w:hAnsi="Times New Roman" w:cs="Times New Roman"/>
                <w:sz w:val="16"/>
                <w:szCs w:val="16"/>
              </w:rPr>
              <w:fldChar w:fldCharType="end"/>
            </w:r>
          </w:p>
        </w:tc>
        <w:tc>
          <w:tcPr>
            <w:tcW w:w="1865" w:type="dxa"/>
            <w:tcBorders>
              <w:bottom w:val="single" w:sz="4" w:space="0" w:color="000000"/>
            </w:tcBorders>
            <w:tcMar>
              <w:left w:w="108" w:type="dxa"/>
              <w:right w:w="108" w:type="dxa"/>
            </w:tcMar>
            <w:vAlign w:val="center"/>
          </w:tcPr>
          <w:p w14:paraId="327404C1" w14:textId="42CA434F"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Byaruhanga et al.</w:t>
            </w:r>
            <w:r w:rsidR="0007787A">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2023</w:t>
            </w:r>
            <w:r w:rsidR="0007787A">
              <w:rPr>
                <w:rFonts w:ascii="Times New Roman" w:eastAsia="Palatino Linotype" w:hAnsi="Times New Roman" w:cs="Times New Roman"/>
                <w:sz w:val="16"/>
                <w:szCs w:val="16"/>
              </w:rPr>
              <w:t>)</w:t>
            </w:r>
          </w:p>
        </w:tc>
      </w:tr>
      <w:tr w:rsidR="00A438D3" w:rsidRPr="008C1952" w14:paraId="24653761" w14:textId="77777777" w:rsidTr="00C44178">
        <w:trPr>
          <w:trHeight w:val="113"/>
          <w:jc w:val="center"/>
        </w:trPr>
        <w:tc>
          <w:tcPr>
            <w:tcW w:w="1159" w:type="dxa"/>
            <w:tcBorders>
              <w:top w:val="single" w:sz="4" w:space="0" w:color="000000"/>
              <w:bottom w:val="single" w:sz="4" w:space="0" w:color="000000"/>
            </w:tcBorders>
            <w:tcMar>
              <w:left w:w="108" w:type="dxa"/>
              <w:right w:w="108" w:type="dxa"/>
            </w:tcMar>
            <w:vAlign w:val="center"/>
          </w:tcPr>
          <w:p w14:paraId="5DABF0B2" w14:textId="77777777" w:rsidR="00A438D3" w:rsidRDefault="00A438D3" w:rsidP="00BB4F49">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Sustainable Diets</w:t>
            </w:r>
          </w:p>
          <w:p w14:paraId="6D50AFAE" w14:textId="7858F56F" w:rsidR="00FB3445" w:rsidRPr="00FB3445" w:rsidRDefault="00FB3445" w:rsidP="00BB4F49">
            <w:pPr>
              <w:jc w:val="center"/>
              <w:rPr>
                <w:rFonts w:ascii="Times New Roman" w:hAnsi="Times New Roman" w:cs="Times New Roman"/>
                <w:b/>
                <w:bCs/>
                <w:i/>
                <w:iCs/>
                <w:sz w:val="16"/>
                <w:szCs w:val="16"/>
              </w:rPr>
            </w:pPr>
            <w:r w:rsidRPr="00FB3445">
              <w:rPr>
                <w:rFonts w:ascii="Times New Roman" w:hAnsi="Times New Roman" w:cs="Times New Roman"/>
                <w:b/>
                <w:bCs/>
                <w:i/>
                <w:iCs/>
                <w:sz w:val="16"/>
                <w:szCs w:val="16"/>
              </w:rPr>
              <w:t>(n=7)</w:t>
            </w:r>
          </w:p>
        </w:tc>
        <w:tc>
          <w:tcPr>
            <w:tcW w:w="4921" w:type="dxa"/>
            <w:tcBorders>
              <w:top w:val="single" w:sz="4" w:space="0" w:color="000000"/>
              <w:bottom w:val="single" w:sz="4" w:space="0" w:color="000000"/>
            </w:tcBorders>
            <w:tcMar>
              <w:left w:w="108" w:type="dxa"/>
              <w:right w:w="108" w:type="dxa"/>
            </w:tcMar>
            <w:vAlign w:val="center"/>
          </w:tcPr>
          <w:p w14:paraId="4B709900" w14:textId="2DD30DE8"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“Sustainable diets are those diets with l</w:t>
            </w:r>
            <w:r w:rsidRPr="008C1952">
              <w:rPr>
                <w:rFonts w:ascii="Times New Roman" w:eastAsia="Palatino Linotype" w:hAnsi="Times New Roman" w:cs="Times New Roman"/>
                <w:b/>
                <w:bCs/>
                <w:sz w:val="16"/>
                <w:szCs w:val="16"/>
              </w:rPr>
              <w:t>ow environmental impacts</w:t>
            </w:r>
            <w:r w:rsidRPr="008C1952">
              <w:rPr>
                <w:rFonts w:ascii="Times New Roman" w:eastAsia="Palatino Linotype" w:hAnsi="Times New Roman" w:cs="Times New Roman"/>
                <w:sz w:val="16"/>
                <w:szCs w:val="16"/>
              </w:rPr>
              <w:t xml:space="preserve"> which contribute to f</w:t>
            </w:r>
            <w:r w:rsidRPr="008C1952">
              <w:rPr>
                <w:rFonts w:ascii="Times New Roman" w:eastAsia="Palatino Linotype" w:hAnsi="Times New Roman" w:cs="Times New Roman"/>
                <w:b/>
                <w:bCs/>
                <w:sz w:val="16"/>
                <w:szCs w:val="16"/>
              </w:rPr>
              <w:t>ood and nutrition security</w:t>
            </w:r>
            <w:r w:rsidRPr="008C1952">
              <w:rPr>
                <w:rFonts w:ascii="Times New Roman" w:eastAsia="Palatino Linotype" w:hAnsi="Times New Roman" w:cs="Times New Roman"/>
                <w:sz w:val="16"/>
                <w:szCs w:val="16"/>
              </w:rPr>
              <w:t xml:space="preserve"> and to </w:t>
            </w:r>
            <w:r w:rsidRPr="008C1952">
              <w:rPr>
                <w:rFonts w:ascii="Times New Roman" w:eastAsia="Palatino Linotype" w:hAnsi="Times New Roman" w:cs="Times New Roman"/>
                <w:b/>
                <w:bCs/>
                <w:sz w:val="16"/>
                <w:szCs w:val="16"/>
              </w:rPr>
              <w:t>healthy life</w:t>
            </w:r>
            <w:r w:rsidRPr="008C1952">
              <w:rPr>
                <w:rFonts w:ascii="Times New Roman" w:eastAsia="Palatino Linotype" w:hAnsi="Times New Roman" w:cs="Times New Roman"/>
                <w:sz w:val="16"/>
                <w:szCs w:val="16"/>
              </w:rPr>
              <w:t xml:space="preserve"> for present and</w:t>
            </w:r>
            <w:r w:rsidRPr="008C1952">
              <w:rPr>
                <w:rFonts w:ascii="Times New Roman" w:eastAsia="Palatino Linotype" w:hAnsi="Times New Roman" w:cs="Times New Roman"/>
                <w:b/>
                <w:bCs/>
                <w:sz w:val="16"/>
                <w:szCs w:val="16"/>
              </w:rPr>
              <w:t xml:space="preserve"> future generation</w:t>
            </w:r>
            <w:r w:rsidRPr="008C1952">
              <w:rPr>
                <w:rFonts w:ascii="Times New Roman" w:eastAsia="Palatino Linotype" w:hAnsi="Times New Roman" w:cs="Times New Roman"/>
                <w:sz w:val="16"/>
                <w:szCs w:val="16"/>
              </w:rPr>
              <w:t>s. Sustainable diets are</w:t>
            </w:r>
            <w:r w:rsidRPr="008C1952">
              <w:rPr>
                <w:rFonts w:ascii="Times New Roman" w:eastAsia="Palatino Linotype" w:hAnsi="Times New Roman" w:cs="Times New Roman"/>
                <w:b/>
                <w:bCs/>
                <w:sz w:val="16"/>
                <w:szCs w:val="16"/>
              </w:rPr>
              <w:t xml:space="preserve"> protective and respectful </w:t>
            </w:r>
            <w:r w:rsidRPr="008C1952">
              <w:rPr>
                <w:rFonts w:ascii="Times New Roman" w:eastAsia="Palatino Linotype" w:hAnsi="Times New Roman" w:cs="Times New Roman"/>
                <w:sz w:val="16"/>
                <w:szCs w:val="16"/>
              </w:rPr>
              <w:t xml:space="preserve">of </w:t>
            </w:r>
            <w:r w:rsidRPr="008C1952">
              <w:rPr>
                <w:rFonts w:ascii="Times New Roman" w:eastAsia="Palatino Linotype" w:hAnsi="Times New Roman" w:cs="Times New Roman"/>
                <w:b/>
                <w:bCs/>
                <w:sz w:val="16"/>
                <w:szCs w:val="16"/>
              </w:rPr>
              <w:t xml:space="preserve">biodiversity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ecosystems</w:t>
            </w:r>
            <w:r w:rsidRPr="008C1952">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b/>
                <w:bCs/>
                <w:sz w:val="16"/>
                <w:szCs w:val="16"/>
              </w:rPr>
              <w:t>culturally acceptable, accessible, economically fair and affordable; nutritionally adequate, safe and healthy</w:t>
            </w:r>
            <w:r w:rsidRPr="008C1952">
              <w:rPr>
                <w:rFonts w:ascii="Times New Roman" w:eastAsia="Palatino Linotype" w:hAnsi="Times New Roman" w:cs="Times New Roman"/>
                <w:sz w:val="16"/>
                <w:szCs w:val="16"/>
              </w:rPr>
              <w:t>, while optim</w:t>
            </w:r>
            <w:r w:rsidR="00ED3846">
              <w:rPr>
                <w:rFonts w:ascii="Times New Roman" w:eastAsia="Palatino Linotype" w:hAnsi="Times New Roman" w:cs="Times New Roman"/>
                <w:sz w:val="16"/>
                <w:szCs w:val="16"/>
              </w:rPr>
              <w:t>is</w:t>
            </w:r>
            <w:r w:rsidRPr="008C1952">
              <w:rPr>
                <w:rFonts w:ascii="Times New Roman" w:eastAsia="Palatino Linotype" w:hAnsi="Times New Roman" w:cs="Times New Roman"/>
                <w:sz w:val="16"/>
                <w:szCs w:val="16"/>
              </w:rPr>
              <w:t>ing natural and human resources.”</w:t>
            </w:r>
          </w:p>
        </w:tc>
        <w:tc>
          <w:tcPr>
            <w:tcW w:w="1081" w:type="dxa"/>
            <w:tcBorders>
              <w:top w:val="single" w:sz="4" w:space="0" w:color="000000"/>
              <w:bottom w:val="single" w:sz="4" w:space="0" w:color="000000"/>
            </w:tcBorders>
            <w:tcMar>
              <w:left w:w="108" w:type="dxa"/>
              <w:right w:w="108" w:type="dxa"/>
            </w:tcMar>
            <w:vAlign w:val="center"/>
          </w:tcPr>
          <w:p w14:paraId="39AA7954" w14:textId="2F423CB9" w:rsidR="00A438D3" w:rsidRPr="008C1952" w:rsidRDefault="00C44178" w:rsidP="00BB4F49">
            <w:pPr>
              <w:jc w:val="center"/>
              <w:rPr>
                <w:rFonts w:ascii="Times New Roman"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{"citationItems":[{"id":"ITEM-1","itemData":{"ISBN":"9789251073117","abstract":"One of the first of the specialized agencies of the United Nations to become active, the Food and Agriculture Organization has elicited interest beyond the specialized field of agricultural economists. Attempting as it does to solve one of the very basic problems of the world, that of an adequate food supply, the organization represents a significant and hopeful international attempt to create a world in which there may actually exist “freedom from want.” The objectives of FAO, as formally expressed in the preamble to the constitution, read as follows:","author":[{"dropping-particle":"","family":"FAO","given":"","non-dropping-particle":"","parse-names":false,"suffix":""}],"container-title":"Biodiversity and Sustainable Diets United Against Hunger","id":"ITEM-1","issued":{"date-parts":[["2012"]]},"title":"Sustainable Diets and Biodiversity: Directions and Solutions for Policy, Research and Action (Food and Agriculture Organization and Bioversity International, Rome).","type":"report"},"uris":["http://www.mendeley.com/documents/?uuid=171413f6-d793-4d97-800c-b79dab7354e8"]}],"mendeley":{"formattedCitation":"(FAO, 2012)","plainTextFormattedCitation":"(FAO, 2012)","previouslyFormattedCitation":"(FAO, 2012)"},"properties":{"noteIndex":0},"schema":"https://github.com/citation-style-language/schema/raw/master/csl-citation.json"}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C44178">
              <w:rPr>
                <w:rFonts w:ascii="Times New Roman" w:eastAsia="Palatino Linotype" w:hAnsi="Times New Roman" w:cs="Times New Roman"/>
                <w:noProof/>
                <w:sz w:val="16"/>
                <w:szCs w:val="16"/>
              </w:rPr>
              <w:t>FAO</w:t>
            </w:r>
            <w:r w:rsidR="001A0451">
              <w:rPr>
                <w:rFonts w:ascii="Times New Roman" w:eastAsia="Palatino Linotype" w:hAnsi="Times New Roman" w:cs="Times New Roman"/>
                <w:noProof/>
                <w:sz w:val="16"/>
                <w:szCs w:val="16"/>
              </w:rPr>
              <w:t xml:space="preserve"> (</w:t>
            </w:r>
            <w:r w:rsidRPr="00C44178">
              <w:rPr>
                <w:rFonts w:ascii="Times New Roman" w:eastAsia="Palatino Linotype" w:hAnsi="Times New Roman" w:cs="Times New Roman"/>
                <w:noProof/>
                <w:sz w:val="16"/>
                <w:szCs w:val="16"/>
              </w:rPr>
              <w:t>2012)</w:t>
            </w:r>
            <w:r>
              <w:rPr>
                <w:rFonts w:ascii="Times New Roman" w:eastAsia="Palatino Linotype" w:hAnsi="Times New Roman" w:cs="Times New Roman"/>
                <w:sz w:val="16"/>
                <w:szCs w:val="16"/>
              </w:rPr>
              <w:fldChar w:fldCharType="end"/>
            </w:r>
          </w:p>
        </w:tc>
        <w:tc>
          <w:tcPr>
            <w:tcW w:w="1865" w:type="dxa"/>
            <w:tcBorders>
              <w:top w:val="single" w:sz="4" w:space="0" w:color="000000"/>
              <w:bottom w:val="single" w:sz="4" w:space="0" w:color="000000"/>
            </w:tcBorders>
            <w:tcMar>
              <w:left w:w="108" w:type="dxa"/>
              <w:right w:w="108" w:type="dxa"/>
            </w:tcMar>
            <w:vAlign w:val="center"/>
          </w:tcPr>
          <w:p w14:paraId="5BFD6DAC" w14:textId="154C513D" w:rsidR="00A438D3" w:rsidRPr="008C1952" w:rsidRDefault="00A438D3" w:rsidP="00BB4F49">
            <w:pPr>
              <w:jc w:val="center"/>
              <w:rPr>
                <w:rFonts w:ascii="Times New Roman" w:hAnsi="Times New Roman" w:cs="Times New Roman"/>
                <w:sz w:val="16"/>
                <w:szCs w:val="16"/>
              </w:rPr>
            </w:pPr>
            <w:r w:rsidRPr="006B0C0E">
              <w:rPr>
                <w:rFonts w:ascii="Times New Roman" w:eastAsia="Palatino Linotype" w:hAnsi="Times New Roman" w:cs="Times New Roman"/>
                <w:sz w:val="16"/>
                <w:szCs w:val="16"/>
                <w:lang w:val="fr-BE"/>
              </w:rPr>
              <w:t>Gjerris et al.</w:t>
            </w:r>
            <w:r w:rsidR="0007787A" w:rsidRPr="006B0C0E">
              <w:rPr>
                <w:rFonts w:ascii="Times New Roman" w:eastAsia="Palatino Linotype" w:hAnsi="Times New Roman" w:cs="Times New Roman"/>
                <w:sz w:val="16"/>
                <w:szCs w:val="16"/>
                <w:lang w:val="fr-BE"/>
              </w:rPr>
              <w:t xml:space="preserve"> (</w:t>
            </w:r>
            <w:r w:rsidRPr="006B0C0E">
              <w:rPr>
                <w:rFonts w:ascii="Times New Roman" w:eastAsia="Palatino Linotype" w:hAnsi="Times New Roman" w:cs="Times New Roman"/>
                <w:sz w:val="16"/>
                <w:szCs w:val="16"/>
                <w:lang w:val="fr-BE"/>
              </w:rPr>
              <w:t>2015</w:t>
            </w:r>
            <w:r w:rsidR="0007787A" w:rsidRPr="006B0C0E">
              <w:rPr>
                <w:rFonts w:ascii="Times New Roman" w:eastAsia="Palatino Linotype" w:hAnsi="Times New Roman" w:cs="Times New Roman"/>
                <w:sz w:val="16"/>
                <w:szCs w:val="16"/>
                <w:lang w:val="fr-BE"/>
              </w:rPr>
              <w:t>)</w:t>
            </w:r>
            <w:r w:rsidRPr="006B0C0E">
              <w:rPr>
                <w:rFonts w:ascii="Times New Roman" w:eastAsia="Palatino Linotype" w:hAnsi="Times New Roman" w:cs="Times New Roman"/>
                <w:sz w:val="16"/>
                <w:szCs w:val="16"/>
                <w:lang w:val="fr-BE"/>
              </w:rPr>
              <w:t>; Boylan et al.</w:t>
            </w:r>
            <w:r w:rsidR="0007787A" w:rsidRPr="006B0C0E">
              <w:rPr>
                <w:rFonts w:ascii="Times New Roman" w:eastAsia="Palatino Linotype" w:hAnsi="Times New Roman" w:cs="Times New Roman"/>
                <w:sz w:val="16"/>
                <w:szCs w:val="16"/>
                <w:lang w:val="fr-BE"/>
              </w:rPr>
              <w:t xml:space="preserve"> </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2020</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 Nicholls and Drewnowski</w:t>
            </w:r>
            <w:r w:rsidR="0007787A">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2021</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 xml:space="preserve">; Mazac, et al. </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2021</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 Lang and Mason</w:t>
            </w:r>
            <w:r w:rsidR="0007787A">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2017</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 Bach-Faig et al.</w:t>
            </w:r>
            <w:r w:rsidR="0007787A">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w:t>
            </w:r>
            <w:r w:rsidR="00ED3846">
              <w:rPr>
                <w:rFonts w:ascii="Times New Roman" w:eastAsia="Palatino Linotype" w:hAnsi="Times New Roman" w:cs="Times New Roman"/>
                <w:sz w:val="16"/>
                <w:szCs w:val="16"/>
              </w:rPr>
              <w:t>2</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 Poppe (2023)</w:t>
            </w:r>
          </w:p>
        </w:tc>
      </w:tr>
      <w:tr w:rsidR="00A438D3" w:rsidRPr="008C1952" w14:paraId="644F6D35" w14:textId="77777777" w:rsidTr="00C44178">
        <w:trPr>
          <w:trHeight w:val="113"/>
          <w:jc w:val="center"/>
        </w:trPr>
        <w:tc>
          <w:tcPr>
            <w:tcW w:w="1159" w:type="dxa"/>
            <w:tcBorders>
              <w:top w:val="single" w:sz="4" w:space="0" w:color="000000"/>
              <w:bottom w:val="single" w:sz="4" w:space="0" w:color="auto"/>
            </w:tcBorders>
            <w:tcMar>
              <w:left w:w="108" w:type="dxa"/>
              <w:right w:w="108" w:type="dxa"/>
            </w:tcMar>
            <w:vAlign w:val="center"/>
          </w:tcPr>
          <w:p w14:paraId="4DE7239A" w14:textId="77777777" w:rsidR="00A438D3" w:rsidRDefault="00A438D3" w:rsidP="00BB4F49">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Nutritional Sustainability</w:t>
            </w:r>
          </w:p>
          <w:p w14:paraId="5A0A3A2F" w14:textId="3F454D57" w:rsidR="00FB3445" w:rsidRPr="00FB3445" w:rsidRDefault="00FB3445" w:rsidP="00BB4F49">
            <w:pPr>
              <w:jc w:val="center"/>
              <w:rPr>
                <w:rFonts w:ascii="Times New Roman" w:hAnsi="Times New Roman" w:cs="Times New Roman"/>
                <w:b/>
                <w:bCs/>
                <w:i/>
                <w:iCs/>
                <w:sz w:val="16"/>
                <w:szCs w:val="16"/>
              </w:rPr>
            </w:pPr>
            <w:r w:rsidRPr="00FB3445">
              <w:rPr>
                <w:rFonts w:ascii="Times New Roman" w:hAnsi="Times New Roman" w:cs="Times New Roman"/>
                <w:b/>
                <w:bCs/>
                <w:i/>
                <w:iCs/>
                <w:sz w:val="16"/>
                <w:szCs w:val="16"/>
              </w:rPr>
              <w:t>(n=1)</w:t>
            </w:r>
          </w:p>
        </w:tc>
        <w:tc>
          <w:tcPr>
            <w:tcW w:w="4921" w:type="dxa"/>
            <w:tcBorders>
              <w:top w:val="single" w:sz="4" w:space="0" w:color="000000"/>
              <w:bottom w:val="single" w:sz="4" w:space="0" w:color="auto"/>
            </w:tcBorders>
            <w:tcMar>
              <w:left w:w="108" w:type="dxa"/>
              <w:right w:w="108" w:type="dxa"/>
            </w:tcMar>
            <w:vAlign w:val="center"/>
          </w:tcPr>
          <w:p w14:paraId="556714E2"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“Nutritional sustainability is the ability of a food system to provide </w:t>
            </w:r>
            <w:r w:rsidRPr="008C1952">
              <w:rPr>
                <w:rFonts w:ascii="Times New Roman" w:eastAsia="Palatino Linotype" w:hAnsi="Times New Roman" w:cs="Times New Roman"/>
                <w:b/>
                <w:bCs/>
                <w:sz w:val="16"/>
                <w:szCs w:val="16"/>
              </w:rPr>
              <w:t>sufficient energy</w:t>
            </w:r>
            <w:r w:rsidRPr="008C1952">
              <w:rPr>
                <w:rFonts w:ascii="Times New Roman" w:eastAsia="Palatino Linotype" w:hAnsi="Times New Roman" w:cs="Times New Roman"/>
                <w:sz w:val="16"/>
                <w:szCs w:val="16"/>
              </w:rPr>
              <w:t xml:space="preserve"> and the amounts of </w:t>
            </w:r>
            <w:r w:rsidRPr="008C1952">
              <w:rPr>
                <w:rFonts w:ascii="Times New Roman" w:eastAsia="Palatino Linotype" w:hAnsi="Times New Roman" w:cs="Times New Roman"/>
                <w:b/>
                <w:bCs/>
                <w:sz w:val="16"/>
                <w:szCs w:val="16"/>
              </w:rPr>
              <w:t>essential nutrients</w:t>
            </w:r>
            <w:r w:rsidRPr="008C1952">
              <w:rPr>
                <w:rFonts w:ascii="Times New Roman" w:eastAsia="Palatino Linotype" w:hAnsi="Times New Roman" w:cs="Times New Roman"/>
                <w:sz w:val="16"/>
                <w:szCs w:val="16"/>
              </w:rPr>
              <w:t xml:space="preserve"> required to maintain </w:t>
            </w:r>
            <w:r w:rsidRPr="008C1952">
              <w:rPr>
                <w:rFonts w:ascii="Times New Roman" w:eastAsia="Palatino Linotype" w:hAnsi="Times New Roman" w:cs="Times New Roman"/>
                <w:b/>
                <w:bCs/>
                <w:sz w:val="16"/>
                <w:szCs w:val="16"/>
              </w:rPr>
              <w:t>good health</w:t>
            </w:r>
            <w:r w:rsidRPr="008C1952">
              <w:rPr>
                <w:rFonts w:ascii="Times New Roman" w:eastAsia="Palatino Linotype" w:hAnsi="Times New Roman" w:cs="Times New Roman"/>
                <w:sz w:val="16"/>
                <w:szCs w:val="16"/>
              </w:rPr>
              <w:t xml:space="preserve"> of the population without compromising the ability of </w:t>
            </w:r>
            <w:r w:rsidRPr="008C1952">
              <w:rPr>
                <w:rFonts w:ascii="Times New Roman" w:eastAsia="Palatino Linotype" w:hAnsi="Times New Roman" w:cs="Times New Roman"/>
                <w:b/>
                <w:bCs/>
                <w:sz w:val="16"/>
                <w:szCs w:val="16"/>
              </w:rPr>
              <w:t>future generations</w:t>
            </w:r>
            <w:r w:rsidRPr="008C1952">
              <w:rPr>
                <w:rFonts w:ascii="Times New Roman" w:eastAsia="Palatino Linotype" w:hAnsi="Times New Roman" w:cs="Times New Roman"/>
                <w:sz w:val="16"/>
                <w:szCs w:val="16"/>
              </w:rPr>
              <w:t xml:space="preserve"> to meet their</w:t>
            </w:r>
          </w:p>
          <w:p w14:paraId="6E990CF2"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nutritional needs.”</w:t>
            </w:r>
          </w:p>
        </w:tc>
        <w:tc>
          <w:tcPr>
            <w:tcW w:w="1081" w:type="dxa"/>
            <w:tcBorders>
              <w:top w:val="single" w:sz="4" w:space="0" w:color="000000"/>
              <w:bottom w:val="single" w:sz="4" w:space="0" w:color="auto"/>
            </w:tcBorders>
            <w:tcMar>
              <w:left w:w="108" w:type="dxa"/>
              <w:right w:w="108" w:type="dxa"/>
            </w:tcMar>
            <w:vAlign w:val="center"/>
          </w:tcPr>
          <w:p w14:paraId="0092A0DF" w14:textId="7DDCCF67" w:rsidR="00A438D3" w:rsidRPr="008C1952" w:rsidRDefault="003631F5" w:rsidP="00BB4F49">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{"citationItems":[{"id":"ITEM-1","itemData":{"DOI":"10.3945/an.112.003335","ISSN":"21618313","PMID":"23493530","abstract":"Sustainable practices meet the needs of the present without compromising the ability of future generations to meet their needs. Applying these concepts to food and feed production, nutritional sustainability is the ability of a food system to provide sufficient energy and essential nutrients required to maintain good health in a population without compromising the ability of future generations to meet their nutritional needs. Ecological, social, and economic aspects must be balanced to support the sustainability of the overall food system. The nutritional sustainability of a food system can be influenced by several factors, including the ingredient selection, nutrient composition, digestibility, and consumption rates of a diet. Carbon and water footprints vary greatly among plant- and animal-based ingredients, production strategy, and geographical location. Because the pet food industry is based largely on by-products and is tightly interlinked with livestock production and the human food system, however, it is quite unique with regard to sustainability. Often based on consumer demand rather than nutritional requirements, many commercial pet foods are formulated to provide nutrients in excess of current minimum recommendations, use ingredients that compete directly with the human food system, or are overconsumed by pets, resulting in food wastage and obesity. Pet food professionals have the opportunity to address these challenges and influence the sustainability of pet ownership through product design, manufacturing processes, public education, and policy change. A coordinated effort across the industry that includes ingredient buyers, formulators, and nutritionists may result in a more sustainable pet food system. © 2013 American Society for Nutrition.","author":[{"dropping-particle":"","family":"Swanson","given":"Kelly S.","non-dropping-particle":"","parse-names":false,"suffix":""},{"dropping-particle":"","family":"Carter","given":"Rebecca A.","non-dropping-particle":"","parse-names":false,"suffix":""},{"dropping-particle":"","family":"Yount","given":"Tracy P.","non-dropping-particle":"","parse-names":false,"suffix":""},{"dropping-particle":"","family":"Aretz","given":"Jan","non-dropping-particle":"","parse-names":false,"suffix":""},{"dropping-particle":"","family":"Buff","given":"Preston R.","non-dropping-particle":"","parse-names":false,"suffix":""}],"container-title":"Advances in Nutrition","id":"ITEM-1","issued":{"date-parts":[["2013"]]},"title":"Nutritional sustainability of pet foods","type":"article"},"uris":["http://www.mendeley.com/documents/?uuid=4931a4a5-d6c4-4b5b-8cbd-fd38bc53e1af"]}],"mendeley":{"formattedCitation":"(Swanson et al., 2013)","plainTextFormattedCitation":"(Swanson et al., 2013)","previouslyFormattedCitation":"(Swanson et al., 2013)"},"properties":{"noteIndex":0},"schema":"https://github.com/citation-style-language/schema/raw/master/csl-citation.json"}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3631F5">
              <w:rPr>
                <w:rFonts w:ascii="Times New Roman" w:eastAsia="Palatino Linotype" w:hAnsi="Times New Roman" w:cs="Times New Roman"/>
                <w:noProof/>
                <w:sz w:val="16"/>
                <w:szCs w:val="16"/>
              </w:rPr>
              <w:t>Swanson et al.</w:t>
            </w:r>
            <w:r w:rsidR="001A0451">
              <w:rPr>
                <w:rFonts w:ascii="Times New Roman" w:eastAsia="Palatino Linotype" w:hAnsi="Times New Roman" w:cs="Times New Roman"/>
                <w:noProof/>
                <w:sz w:val="16"/>
                <w:szCs w:val="16"/>
              </w:rPr>
              <w:t xml:space="preserve"> (</w:t>
            </w:r>
            <w:r w:rsidRPr="003631F5">
              <w:rPr>
                <w:rFonts w:ascii="Times New Roman" w:eastAsia="Palatino Linotype" w:hAnsi="Times New Roman" w:cs="Times New Roman"/>
                <w:noProof/>
                <w:sz w:val="16"/>
                <w:szCs w:val="16"/>
              </w:rPr>
              <w:t>2013)</w:t>
            </w:r>
            <w:r>
              <w:rPr>
                <w:rFonts w:ascii="Times New Roman" w:eastAsia="Palatino Linotype" w:hAnsi="Times New Roman" w:cs="Times New Roman"/>
                <w:sz w:val="16"/>
                <w:szCs w:val="16"/>
              </w:rPr>
              <w:fldChar w:fldCharType="end"/>
            </w:r>
          </w:p>
        </w:tc>
        <w:tc>
          <w:tcPr>
            <w:tcW w:w="1865" w:type="dxa"/>
            <w:tcBorders>
              <w:top w:val="single" w:sz="4" w:space="0" w:color="000000"/>
              <w:bottom w:val="single" w:sz="4" w:space="0" w:color="auto"/>
            </w:tcBorders>
            <w:tcMar>
              <w:left w:w="108" w:type="dxa"/>
              <w:right w:w="108" w:type="dxa"/>
            </w:tcMar>
            <w:vAlign w:val="center"/>
          </w:tcPr>
          <w:p w14:paraId="14322F5B" w14:textId="3B3845C4" w:rsidR="00A438D3" w:rsidRPr="008C1952" w:rsidRDefault="00A438D3" w:rsidP="00BB4F49">
            <w:pPr>
              <w:jc w:val="center"/>
              <w:rPr>
                <w:rFonts w:ascii="Times New Roman" w:hAnsi="Times New Roman" w:cs="Times New Roman"/>
                <w:sz w:val="16"/>
                <w:szCs w:val="16"/>
              </w:rPr>
            </w:pPr>
            <w:r w:rsidRPr="002C4F8E">
              <w:rPr>
                <w:rFonts w:ascii="Times New Roman" w:eastAsia="Palatino Linotype" w:hAnsi="Times New Roman" w:cs="Times New Roman"/>
                <w:sz w:val="16"/>
                <w:szCs w:val="16"/>
              </w:rPr>
              <w:t>Smetana et al.</w:t>
            </w:r>
            <w:r w:rsidR="0007787A">
              <w:rPr>
                <w:rFonts w:ascii="Times New Roman" w:eastAsia="Palatino Linotype" w:hAnsi="Times New Roman" w:cs="Times New Roman"/>
                <w:sz w:val="16"/>
                <w:szCs w:val="16"/>
              </w:rPr>
              <w:t xml:space="preserve"> (</w:t>
            </w:r>
            <w:r w:rsidRPr="002C4F8E">
              <w:rPr>
                <w:rFonts w:ascii="Times New Roman" w:eastAsia="Palatino Linotype" w:hAnsi="Times New Roman" w:cs="Times New Roman"/>
                <w:sz w:val="16"/>
                <w:szCs w:val="16"/>
              </w:rPr>
              <w:t>2019</w:t>
            </w:r>
            <w:r w:rsidR="0007787A">
              <w:rPr>
                <w:rFonts w:ascii="Times New Roman" w:eastAsia="Palatino Linotype" w:hAnsi="Times New Roman" w:cs="Times New Roman"/>
                <w:sz w:val="16"/>
                <w:szCs w:val="16"/>
              </w:rPr>
              <w:t>)</w:t>
            </w:r>
          </w:p>
        </w:tc>
      </w:tr>
      <w:tr w:rsidR="00A438D3" w:rsidRPr="008C1952" w14:paraId="791AF816" w14:textId="77777777" w:rsidTr="00C44178">
        <w:trPr>
          <w:trHeight w:val="113"/>
          <w:jc w:val="center"/>
        </w:trPr>
        <w:tc>
          <w:tcPr>
            <w:tcW w:w="1159" w:type="dxa"/>
            <w:vMerge w:val="restart"/>
            <w:tcBorders>
              <w:top w:val="single" w:sz="4" w:space="0" w:color="auto"/>
            </w:tcBorders>
            <w:tcMar>
              <w:left w:w="108" w:type="dxa"/>
              <w:right w:w="108" w:type="dxa"/>
            </w:tcMar>
            <w:vAlign w:val="center"/>
          </w:tcPr>
          <w:p w14:paraId="561D639B" w14:textId="77777777" w:rsidR="00A438D3" w:rsidRDefault="00A438D3" w:rsidP="00BB4F49">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Food Systems</w:t>
            </w:r>
          </w:p>
          <w:p w14:paraId="14715EFD" w14:textId="345E2152" w:rsidR="00FB3445" w:rsidRPr="00FB3445" w:rsidRDefault="00FB3445" w:rsidP="00BB4F49">
            <w:pPr>
              <w:jc w:val="center"/>
              <w:rPr>
                <w:rFonts w:ascii="Times New Roman" w:hAnsi="Times New Roman" w:cs="Times New Roman"/>
                <w:b/>
                <w:bCs/>
                <w:i/>
                <w:iCs/>
                <w:sz w:val="16"/>
                <w:szCs w:val="16"/>
              </w:rPr>
            </w:pPr>
            <w:r w:rsidRPr="00FB3445">
              <w:rPr>
                <w:rFonts w:ascii="Times New Roman" w:hAnsi="Times New Roman" w:cs="Times New Roman"/>
                <w:b/>
                <w:bCs/>
                <w:i/>
                <w:iCs/>
                <w:sz w:val="16"/>
                <w:szCs w:val="16"/>
              </w:rPr>
              <w:t>(n=8)</w:t>
            </w:r>
          </w:p>
          <w:p w14:paraId="40830F45" w14:textId="77777777" w:rsidR="00A438D3" w:rsidRPr="008C1952" w:rsidRDefault="00A438D3" w:rsidP="00BB4F49">
            <w:pPr>
              <w:jc w:val="center"/>
              <w:rPr>
                <w:rFonts w:ascii="Times New Roman" w:hAnsi="Times New Roman" w:cs="Times New Roman"/>
                <w:sz w:val="16"/>
                <w:szCs w:val="16"/>
              </w:rPr>
            </w:pPr>
          </w:p>
        </w:tc>
        <w:tc>
          <w:tcPr>
            <w:tcW w:w="4921" w:type="dxa"/>
            <w:tcBorders>
              <w:top w:val="single" w:sz="4" w:space="0" w:color="auto"/>
              <w:bottom w:val="nil"/>
            </w:tcBorders>
            <w:tcMar>
              <w:left w:w="108" w:type="dxa"/>
              <w:right w:w="108" w:type="dxa"/>
            </w:tcMar>
            <w:vAlign w:val="center"/>
          </w:tcPr>
          <w:p w14:paraId="7EED9B5C"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“Food systems as including all </w:t>
            </w:r>
            <w:r w:rsidRPr="008C1952">
              <w:rPr>
                <w:rFonts w:ascii="Times New Roman" w:eastAsia="Palatino Linotype" w:hAnsi="Times New Roman" w:cs="Times New Roman"/>
                <w:b/>
                <w:bCs/>
                <w:sz w:val="16"/>
                <w:szCs w:val="16"/>
              </w:rPr>
              <w:t xml:space="preserve">elements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 xml:space="preserve">activities </w:t>
            </w:r>
            <w:r w:rsidRPr="008C1952">
              <w:rPr>
                <w:rFonts w:ascii="Times New Roman" w:eastAsia="Palatino Linotype" w:hAnsi="Times New Roman" w:cs="Times New Roman"/>
                <w:sz w:val="16"/>
                <w:szCs w:val="16"/>
              </w:rPr>
              <w:t xml:space="preserve">related to the </w:t>
            </w:r>
            <w:r w:rsidRPr="008C1952">
              <w:rPr>
                <w:rFonts w:ascii="Times New Roman" w:eastAsia="Palatino Linotype" w:hAnsi="Times New Roman" w:cs="Times New Roman"/>
                <w:b/>
                <w:bCs/>
                <w:sz w:val="16"/>
                <w:szCs w:val="16"/>
              </w:rPr>
              <w:t>production, processing, distribution, preparation and consumption of food</w:t>
            </w:r>
            <w:r w:rsidRPr="008C1952">
              <w:rPr>
                <w:rFonts w:ascii="Times New Roman" w:eastAsia="Palatino Linotype" w:hAnsi="Times New Roman" w:cs="Times New Roman"/>
                <w:sz w:val="16"/>
                <w:szCs w:val="16"/>
              </w:rPr>
              <w:t xml:space="preserve">, the </w:t>
            </w:r>
            <w:r w:rsidRPr="008C1952">
              <w:rPr>
                <w:rFonts w:ascii="Times New Roman" w:eastAsia="Palatino Linotype" w:hAnsi="Times New Roman" w:cs="Times New Roman"/>
                <w:b/>
                <w:bCs/>
                <w:sz w:val="16"/>
                <w:szCs w:val="16"/>
              </w:rPr>
              <w:t xml:space="preserve">market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institutional networks</w:t>
            </w:r>
            <w:r w:rsidRPr="008C1952">
              <w:rPr>
                <w:rFonts w:ascii="Times New Roman" w:eastAsia="Palatino Linotype" w:hAnsi="Times New Roman" w:cs="Times New Roman"/>
                <w:sz w:val="16"/>
                <w:szCs w:val="16"/>
              </w:rPr>
              <w:t xml:space="preserve"> for their </w:t>
            </w:r>
            <w:r w:rsidRPr="008C1952">
              <w:rPr>
                <w:rFonts w:ascii="Times New Roman" w:eastAsia="Palatino Linotype" w:hAnsi="Times New Roman" w:cs="Times New Roman"/>
                <w:b/>
                <w:bCs/>
                <w:sz w:val="16"/>
                <w:szCs w:val="16"/>
              </w:rPr>
              <w:t>governance</w:t>
            </w:r>
            <w:r w:rsidRPr="008C1952">
              <w:rPr>
                <w:rFonts w:ascii="Times New Roman" w:eastAsia="Palatino Linotype" w:hAnsi="Times New Roman" w:cs="Times New Roman"/>
                <w:sz w:val="16"/>
                <w:szCs w:val="16"/>
              </w:rPr>
              <w:t xml:space="preserve">, and the </w:t>
            </w:r>
            <w:r w:rsidRPr="008C1952">
              <w:rPr>
                <w:rFonts w:ascii="Times New Roman" w:eastAsia="Palatino Linotype" w:hAnsi="Times New Roman" w:cs="Times New Roman"/>
                <w:b/>
                <w:bCs/>
                <w:sz w:val="16"/>
                <w:szCs w:val="16"/>
              </w:rPr>
              <w:t>socio-economic and environmental outcomes</w:t>
            </w:r>
            <w:r w:rsidRPr="008C1952">
              <w:rPr>
                <w:rFonts w:ascii="Times New Roman" w:eastAsia="Palatino Linotype" w:hAnsi="Times New Roman" w:cs="Times New Roman"/>
                <w:sz w:val="16"/>
                <w:szCs w:val="16"/>
              </w:rPr>
              <w:t xml:space="preserve"> of these activities.”</w:t>
            </w:r>
          </w:p>
        </w:tc>
        <w:tc>
          <w:tcPr>
            <w:tcW w:w="1081" w:type="dxa"/>
            <w:tcBorders>
              <w:top w:val="single" w:sz="4" w:space="0" w:color="auto"/>
              <w:bottom w:val="nil"/>
            </w:tcBorders>
            <w:tcMar>
              <w:left w:w="108" w:type="dxa"/>
              <w:right w:w="108" w:type="dxa"/>
            </w:tcMar>
            <w:vAlign w:val="center"/>
          </w:tcPr>
          <w:p w14:paraId="7C6E1BB1" w14:textId="08C2FDE7" w:rsidR="00A438D3" w:rsidRPr="008C1952" w:rsidRDefault="003631F5" w:rsidP="00BB4F49">
            <w:pPr>
              <w:jc w:val="center"/>
              <w:rPr>
                <w:rFonts w:ascii="Times New Roman"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{"citationItems":[{"id":"ITEM-1","itemData":{"author":[{"dropping-particle":"","family":"HLPE","given":"","non-dropping-particle":"","parse-names":false,"suffix":""}],"container-title":"Committee of World Food Security (CFS)","id":"ITEM-1","issue":"September","issued":{"date-parts":[["2017"]]},"page":"1-152","title":"High Level Panel of Experts. 2017. Nutrition and food systems","type":"article-journal","volume":"44"},"uris":["http://www.mendeley.com/documents/?uuid=bcec92ed-2bf7-45e8-8150-25f843b9aa6c"]}],"mendeley":{"formattedCitation":"(HLPE, 2017)","plainTextFormattedCitation":"(HLPE, 2017)","previouslyFormattedCitation":"(HLPE, 2017)"},"properties":{"noteIndex":0},"schema":"https://github.com/citation-style-language/schema/raw/master/csl-citation.json"}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3631F5">
              <w:rPr>
                <w:rFonts w:ascii="Times New Roman" w:eastAsia="Palatino Linotype" w:hAnsi="Times New Roman" w:cs="Times New Roman"/>
                <w:noProof/>
                <w:sz w:val="16"/>
                <w:szCs w:val="16"/>
              </w:rPr>
              <w:t>HLPE</w:t>
            </w:r>
            <w:r w:rsidR="001A0451">
              <w:rPr>
                <w:rFonts w:ascii="Times New Roman" w:eastAsia="Palatino Linotype" w:hAnsi="Times New Roman" w:cs="Times New Roman"/>
                <w:noProof/>
                <w:sz w:val="16"/>
                <w:szCs w:val="16"/>
              </w:rPr>
              <w:t xml:space="preserve"> (</w:t>
            </w:r>
            <w:r w:rsidRPr="003631F5">
              <w:rPr>
                <w:rFonts w:ascii="Times New Roman" w:eastAsia="Palatino Linotype" w:hAnsi="Times New Roman" w:cs="Times New Roman"/>
                <w:noProof/>
                <w:sz w:val="16"/>
                <w:szCs w:val="16"/>
              </w:rPr>
              <w:t>2017)</w:t>
            </w:r>
            <w:r>
              <w:rPr>
                <w:rFonts w:ascii="Times New Roman" w:eastAsia="Palatino Linotype" w:hAnsi="Times New Roman" w:cs="Times New Roman"/>
                <w:sz w:val="16"/>
                <w:szCs w:val="16"/>
              </w:rPr>
              <w:fldChar w:fldCharType="end"/>
            </w:r>
          </w:p>
        </w:tc>
        <w:tc>
          <w:tcPr>
            <w:tcW w:w="1865" w:type="dxa"/>
            <w:tcBorders>
              <w:top w:val="single" w:sz="4" w:space="0" w:color="auto"/>
              <w:bottom w:val="nil"/>
            </w:tcBorders>
            <w:tcMar>
              <w:left w:w="108" w:type="dxa"/>
              <w:right w:w="108" w:type="dxa"/>
            </w:tcMar>
            <w:vAlign w:val="center"/>
          </w:tcPr>
          <w:p w14:paraId="27295E7F" w14:textId="392490F1" w:rsidR="00A438D3" w:rsidRPr="008C1952" w:rsidRDefault="00A438D3" w:rsidP="00BB4F49">
            <w:pPr>
              <w:jc w:val="center"/>
              <w:rPr>
                <w:rFonts w:ascii="Times New Roman" w:hAnsi="Times New Roman" w:cs="Times New Roman"/>
                <w:sz w:val="16"/>
                <w:szCs w:val="16"/>
              </w:rPr>
            </w:pPr>
            <w:r w:rsidRPr="006B0C0E">
              <w:rPr>
                <w:rFonts w:ascii="Times New Roman" w:eastAsia="Palatino Linotype" w:hAnsi="Times New Roman" w:cs="Times New Roman"/>
                <w:sz w:val="16"/>
                <w:szCs w:val="16"/>
                <w:lang w:val="fr-BE"/>
              </w:rPr>
              <w:t>Brower et al.</w:t>
            </w:r>
            <w:r w:rsidR="0007787A" w:rsidRPr="006B0C0E">
              <w:rPr>
                <w:rFonts w:ascii="Times New Roman" w:eastAsia="Palatino Linotype" w:hAnsi="Times New Roman" w:cs="Times New Roman"/>
                <w:sz w:val="16"/>
                <w:szCs w:val="16"/>
                <w:lang w:val="fr-BE"/>
              </w:rPr>
              <w:t xml:space="preserve"> (</w:t>
            </w:r>
            <w:r w:rsidRPr="006B0C0E">
              <w:rPr>
                <w:rFonts w:ascii="Times New Roman" w:eastAsia="Palatino Linotype" w:hAnsi="Times New Roman" w:cs="Times New Roman"/>
                <w:sz w:val="16"/>
                <w:szCs w:val="16"/>
                <w:lang w:val="fr-BE"/>
              </w:rPr>
              <w:t>2020</w:t>
            </w:r>
            <w:r w:rsidR="0007787A" w:rsidRPr="006B0C0E">
              <w:rPr>
                <w:rFonts w:ascii="Times New Roman" w:eastAsia="Palatino Linotype" w:hAnsi="Times New Roman" w:cs="Times New Roman"/>
                <w:sz w:val="16"/>
                <w:szCs w:val="16"/>
                <w:lang w:val="fr-BE"/>
              </w:rPr>
              <w:t>)</w:t>
            </w:r>
            <w:r w:rsidRPr="006B0C0E">
              <w:rPr>
                <w:rFonts w:ascii="Times New Roman" w:eastAsia="Palatino Linotype" w:hAnsi="Times New Roman" w:cs="Times New Roman"/>
                <w:sz w:val="16"/>
                <w:szCs w:val="16"/>
                <w:lang w:val="fr-BE"/>
              </w:rPr>
              <w:t>; Kennedy et al.</w:t>
            </w:r>
            <w:r w:rsidR="0007787A" w:rsidRPr="006B0C0E">
              <w:rPr>
                <w:rFonts w:ascii="Times New Roman" w:eastAsia="Palatino Linotype" w:hAnsi="Times New Roman" w:cs="Times New Roman"/>
                <w:sz w:val="16"/>
                <w:szCs w:val="16"/>
                <w:lang w:val="fr-BE"/>
              </w:rPr>
              <w:t xml:space="preserve"> </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2020</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 Nicholls and Drewnowski</w:t>
            </w:r>
            <w:r w:rsidR="0007787A">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2021</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 xml:space="preserve">; Fanzo et al. </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2020</w:t>
            </w:r>
            <w:r w:rsidR="0007787A">
              <w:rPr>
                <w:rFonts w:ascii="Times New Roman" w:eastAsia="Palatino Linotype" w:hAnsi="Times New Roman" w:cs="Times New Roman"/>
                <w:sz w:val="16"/>
                <w:szCs w:val="16"/>
              </w:rPr>
              <w:t>)</w:t>
            </w:r>
          </w:p>
        </w:tc>
      </w:tr>
      <w:tr w:rsidR="00A438D3" w:rsidRPr="008C1952" w14:paraId="4D1327B1" w14:textId="77777777" w:rsidTr="00C44178">
        <w:trPr>
          <w:trHeight w:val="113"/>
          <w:jc w:val="center"/>
        </w:trPr>
        <w:tc>
          <w:tcPr>
            <w:tcW w:w="1159" w:type="dxa"/>
            <w:vMerge/>
            <w:vAlign w:val="center"/>
          </w:tcPr>
          <w:p w14:paraId="1AAC6EE9" w14:textId="77777777" w:rsidR="00A438D3" w:rsidRPr="008C1952" w:rsidRDefault="00A438D3" w:rsidP="00BB4F49">
            <w:pPr>
              <w:jc w:val="center"/>
              <w:rPr>
                <w:rFonts w:ascii="Times New Roman" w:hAnsi="Times New Roman" w:cs="Times New Roman"/>
                <w:sz w:val="16"/>
                <w:szCs w:val="16"/>
              </w:rPr>
            </w:pPr>
          </w:p>
        </w:tc>
        <w:tc>
          <w:tcPr>
            <w:tcW w:w="4921" w:type="dxa"/>
            <w:tcBorders>
              <w:top w:val="nil"/>
              <w:bottom w:val="nil"/>
            </w:tcBorders>
            <w:tcMar>
              <w:left w:w="108" w:type="dxa"/>
              <w:right w:w="108" w:type="dxa"/>
            </w:tcMar>
            <w:vAlign w:val="center"/>
          </w:tcPr>
          <w:p w14:paraId="6427B17E"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“Food systems consists of all the </w:t>
            </w:r>
            <w:r w:rsidRPr="008C1952">
              <w:rPr>
                <w:rFonts w:ascii="Times New Roman" w:eastAsia="Palatino Linotype" w:hAnsi="Times New Roman" w:cs="Times New Roman"/>
                <w:b/>
                <w:bCs/>
                <w:sz w:val="16"/>
                <w:szCs w:val="16"/>
              </w:rPr>
              <w:t xml:space="preserve">inputs </w:t>
            </w:r>
            <w:r w:rsidRPr="008C1952">
              <w:rPr>
                <w:rFonts w:ascii="Times New Roman" w:eastAsia="Palatino Linotype" w:hAnsi="Times New Roman" w:cs="Times New Roman"/>
                <w:sz w:val="16"/>
                <w:szCs w:val="16"/>
              </w:rPr>
              <w:t xml:space="preserve">(environment, people, processes, infrastructures, institutions, etc.), </w:t>
            </w:r>
            <w:r w:rsidRPr="008C1952">
              <w:rPr>
                <w:rFonts w:ascii="Times New Roman" w:eastAsia="Palatino Linotype" w:hAnsi="Times New Roman" w:cs="Times New Roman"/>
                <w:b/>
                <w:bCs/>
                <w:sz w:val="16"/>
                <w:szCs w:val="16"/>
              </w:rPr>
              <w:t xml:space="preserve">activities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 xml:space="preserve">actors </w:t>
            </w:r>
            <w:r w:rsidRPr="008C1952">
              <w:rPr>
                <w:rFonts w:ascii="Times New Roman" w:eastAsia="Palatino Linotype" w:hAnsi="Times New Roman" w:cs="Times New Roman"/>
                <w:sz w:val="16"/>
                <w:szCs w:val="16"/>
              </w:rPr>
              <w:t>that relate to the</w:t>
            </w:r>
            <w:r w:rsidRPr="008C1952">
              <w:rPr>
                <w:rFonts w:ascii="Times New Roman" w:eastAsia="Palatino Linotype" w:hAnsi="Times New Roman" w:cs="Times New Roman"/>
                <w:b/>
                <w:bCs/>
                <w:sz w:val="16"/>
                <w:szCs w:val="16"/>
              </w:rPr>
              <w:t xml:space="preserve"> production, processing, distribution, preparation and consumption of food,</w:t>
            </w:r>
            <w:r w:rsidRPr="008C1952">
              <w:rPr>
                <w:rFonts w:ascii="Times New Roman" w:eastAsia="Palatino Linotype" w:hAnsi="Times New Roman" w:cs="Times New Roman"/>
                <w:sz w:val="16"/>
                <w:szCs w:val="16"/>
              </w:rPr>
              <w:t xml:space="preserve"> and the </w:t>
            </w:r>
            <w:r w:rsidRPr="008C1952">
              <w:rPr>
                <w:rFonts w:ascii="Times New Roman" w:eastAsia="Palatino Linotype" w:hAnsi="Times New Roman" w:cs="Times New Roman"/>
                <w:b/>
                <w:bCs/>
                <w:sz w:val="16"/>
                <w:szCs w:val="16"/>
              </w:rPr>
              <w:t xml:space="preserve">outcomes </w:t>
            </w:r>
            <w:r w:rsidRPr="008C1952">
              <w:rPr>
                <w:rFonts w:ascii="Times New Roman" w:eastAsia="Palatino Linotype" w:hAnsi="Times New Roman" w:cs="Times New Roman"/>
                <w:sz w:val="16"/>
                <w:szCs w:val="16"/>
              </w:rPr>
              <w:t xml:space="preserve">of these activities, namely </w:t>
            </w:r>
            <w:r w:rsidRPr="008C1952">
              <w:rPr>
                <w:rFonts w:ascii="Times New Roman" w:eastAsia="Palatino Linotype" w:hAnsi="Times New Roman" w:cs="Times New Roman"/>
                <w:b/>
                <w:bCs/>
                <w:sz w:val="16"/>
                <w:szCs w:val="16"/>
              </w:rPr>
              <w:t>nutrition</w:t>
            </w:r>
            <w:r w:rsidRPr="008C1952">
              <w:rPr>
                <w:rFonts w:ascii="Times New Roman" w:eastAsia="Palatino Linotype" w:hAnsi="Times New Roman" w:cs="Times New Roman"/>
                <w:sz w:val="16"/>
                <w:szCs w:val="16"/>
              </w:rPr>
              <w:t xml:space="preserve">, and </w:t>
            </w:r>
            <w:r w:rsidRPr="008C1952">
              <w:rPr>
                <w:rFonts w:ascii="Times New Roman" w:eastAsia="Palatino Linotype" w:hAnsi="Times New Roman" w:cs="Times New Roman"/>
                <w:b/>
                <w:bCs/>
                <w:sz w:val="16"/>
                <w:szCs w:val="16"/>
              </w:rPr>
              <w:t>health, economic, social and environmental</w:t>
            </w:r>
            <w:r w:rsidRPr="008C1952">
              <w:rPr>
                <w:rFonts w:ascii="Times New Roman" w:eastAsia="Palatino Linotype" w:hAnsi="Times New Roman" w:cs="Times New Roman"/>
                <w:sz w:val="16"/>
                <w:szCs w:val="16"/>
              </w:rPr>
              <w:t xml:space="preserve"> outcomes”</w:t>
            </w:r>
          </w:p>
        </w:tc>
        <w:tc>
          <w:tcPr>
            <w:tcW w:w="1081" w:type="dxa"/>
            <w:tcBorders>
              <w:top w:val="nil"/>
              <w:bottom w:val="nil"/>
            </w:tcBorders>
            <w:tcMar>
              <w:left w:w="108" w:type="dxa"/>
              <w:right w:w="108" w:type="dxa"/>
            </w:tcMar>
            <w:vAlign w:val="center"/>
          </w:tcPr>
          <w:p w14:paraId="61D1083C" w14:textId="7947D7FF" w:rsidR="00A438D3" w:rsidRPr="008C1952" w:rsidRDefault="00C44178" w:rsidP="00BB4F49">
            <w:pPr>
              <w:jc w:val="center"/>
              <w:rPr>
                <w:rFonts w:ascii="Times New Roman"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{"citationItems":[{"id":"ITEM-1","itemData":{"abstract":"The issue of global food losses and waste has recently received much attention and has been given high visibility. According to FAO, almost one-third of food produced for human consumption – approximately 1.3 billion tonnes per year – is either lost or wasted globally: their reduction is now presented as essential to improve food security and to reduce the environmental footprint of food systems. In this context, the Committee on World Food Security (CFS), in its Thirty-ninth Session (October 2012) requested the High Level Panel of Experts on Food Security and Nutrition (HLPE) to undertake a study on “Food losses and waste in the context of sustainable food systems” to be presented to the CFS Plenary in 2014. The very extent of food losses and waste invites to consider them not as an accident but as an integral part of food systems. Food losses and waste are consequences of the way food systems function, technically, culturally and economically. This report analyses food losses and waste in a triple perspective: a systemic perspective, a sustainability perspective, including the environmental, social and economic dimensions of sustainability, and a food security and nutrition perspective, looking at how food losses and waste relate to the various dimensions of food security and nutrition.","author":[{"dropping-particle":"","family":"FAO","given":"","non-dropping-particle":"","parse-names":false,"suffix":""}],"container-title":"High Level Panel of Experts on Food Security and Nutrition of the Committee on World Food Security of Sustainable Food Systems","id":"ITEM-1","issued":{"date-parts":[["2014"]]},"title":"Food Losses and Waste in the Context of Sustainable Food Systems","type":"article-journal"},"uris":["http://www.mendeley.com/documents/?uuid=3c896bc2-ea6c-4c8a-8553-26dbb957f3ea"]}],"mendeley":{"formattedCitation":"(FAO, 2014)","plainTextFormattedCitation":"(FAO, 2014)","previouslyFormattedCitation":"(FAO, 2014)"},"properties":{"noteIndex":0},"schema":"https://github.com/citation-style-language/schema/raw/master/csl-citation.json"}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C44178">
              <w:rPr>
                <w:rFonts w:ascii="Times New Roman" w:eastAsia="Palatino Linotype" w:hAnsi="Times New Roman" w:cs="Times New Roman"/>
                <w:noProof/>
                <w:sz w:val="16"/>
                <w:szCs w:val="16"/>
              </w:rPr>
              <w:t>FAO</w:t>
            </w:r>
            <w:r w:rsidR="001A0451">
              <w:rPr>
                <w:rFonts w:ascii="Times New Roman" w:eastAsia="Palatino Linotype" w:hAnsi="Times New Roman" w:cs="Times New Roman"/>
                <w:noProof/>
                <w:sz w:val="16"/>
                <w:szCs w:val="16"/>
              </w:rPr>
              <w:t xml:space="preserve"> (</w:t>
            </w:r>
            <w:r w:rsidRPr="00C44178">
              <w:rPr>
                <w:rFonts w:ascii="Times New Roman" w:eastAsia="Palatino Linotype" w:hAnsi="Times New Roman" w:cs="Times New Roman"/>
                <w:noProof/>
                <w:sz w:val="16"/>
                <w:szCs w:val="16"/>
              </w:rPr>
              <w:t>2014)</w:t>
            </w:r>
            <w:r>
              <w:rPr>
                <w:rFonts w:ascii="Times New Roman" w:eastAsia="Palatino Linotype" w:hAnsi="Times New Roman" w:cs="Times New Roman"/>
                <w:sz w:val="16"/>
                <w:szCs w:val="16"/>
              </w:rPr>
              <w:fldChar w:fldCharType="end"/>
            </w:r>
          </w:p>
        </w:tc>
        <w:tc>
          <w:tcPr>
            <w:tcW w:w="1865" w:type="dxa"/>
            <w:tcBorders>
              <w:top w:val="nil"/>
              <w:bottom w:val="nil"/>
            </w:tcBorders>
            <w:tcMar>
              <w:left w:w="108" w:type="dxa"/>
              <w:right w:w="108" w:type="dxa"/>
            </w:tcMar>
            <w:vAlign w:val="center"/>
          </w:tcPr>
          <w:p w14:paraId="2B35E15B" w14:textId="77777777" w:rsidR="00A438D3" w:rsidRPr="008C1952" w:rsidRDefault="00A438D3" w:rsidP="00BB4F49">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Fanzo (2019)</w:t>
            </w:r>
          </w:p>
        </w:tc>
      </w:tr>
      <w:tr w:rsidR="00A438D3" w:rsidRPr="00AA6B37" w14:paraId="3A7CC874" w14:textId="77777777" w:rsidTr="00C44178">
        <w:trPr>
          <w:trHeight w:val="113"/>
          <w:jc w:val="center"/>
        </w:trPr>
        <w:tc>
          <w:tcPr>
            <w:tcW w:w="1159" w:type="dxa"/>
            <w:vMerge/>
            <w:vAlign w:val="center"/>
          </w:tcPr>
          <w:p w14:paraId="72E67DA6" w14:textId="77777777" w:rsidR="00A438D3" w:rsidRPr="008C1952" w:rsidRDefault="00A438D3" w:rsidP="00BB4F49">
            <w:pPr>
              <w:jc w:val="center"/>
              <w:rPr>
                <w:rFonts w:ascii="Times New Roman" w:hAnsi="Times New Roman" w:cs="Times New Roman"/>
                <w:sz w:val="16"/>
                <w:szCs w:val="16"/>
              </w:rPr>
            </w:pPr>
          </w:p>
        </w:tc>
        <w:tc>
          <w:tcPr>
            <w:tcW w:w="4921" w:type="dxa"/>
            <w:tcBorders>
              <w:top w:val="nil"/>
              <w:bottom w:val="nil"/>
            </w:tcBorders>
            <w:tcMar>
              <w:left w:w="108" w:type="dxa"/>
              <w:right w:w="108" w:type="dxa"/>
            </w:tcMar>
            <w:vAlign w:val="center"/>
          </w:tcPr>
          <w:p w14:paraId="0F6F4D08"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“Food system as a coupled</w:t>
            </w:r>
            <w:r w:rsidRPr="008C1952">
              <w:rPr>
                <w:rFonts w:ascii="Times New Roman" w:eastAsia="Palatino Linotype" w:hAnsi="Times New Roman" w:cs="Times New Roman"/>
                <w:b/>
                <w:bCs/>
                <w:sz w:val="16"/>
                <w:szCs w:val="16"/>
              </w:rPr>
              <w:t xml:space="preserve"> social-ecological system</w:t>
            </w:r>
            <w:r w:rsidRPr="008C1952">
              <w:rPr>
                <w:rFonts w:ascii="Times New Roman" w:eastAsia="Palatino Linotype" w:hAnsi="Times New Roman" w:cs="Times New Roman"/>
                <w:sz w:val="16"/>
                <w:szCs w:val="16"/>
              </w:rPr>
              <w:t xml:space="preserve">, in which efforts to achieve </w:t>
            </w:r>
            <w:r w:rsidRPr="008C1952">
              <w:rPr>
                <w:rFonts w:ascii="Times New Roman" w:eastAsia="Palatino Linotype" w:hAnsi="Times New Roman" w:cs="Times New Roman"/>
                <w:b/>
                <w:bCs/>
                <w:sz w:val="16"/>
                <w:szCs w:val="16"/>
              </w:rPr>
              <w:t>food security</w:t>
            </w:r>
            <w:r w:rsidRPr="008C1952">
              <w:rPr>
                <w:rFonts w:ascii="Times New Roman" w:eastAsia="Palatino Linotype" w:hAnsi="Times New Roman" w:cs="Times New Roman"/>
                <w:sz w:val="16"/>
                <w:szCs w:val="16"/>
              </w:rPr>
              <w:t xml:space="preserve"> both influence and are influenced by </w:t>
            </w:r>
            <w:r w:rsidRPr="008C1952">
              <w:rPr>
                <w:rFonts w:ascii="Times New Roman" w:eastAsia="Palatino Linotype" w:hAnsi="Times New Roman" w:cs="Times New Roman"/>
                <w:b/>
                <w:bCs/>
                <w:sz w:val="16"/>
                <w:szCs w:val="16"/>
              </w:rPr>
              <w:t>environmental outcomes</w:t>
            </w:r>
            <w:r w:rsidRPr="008C1952">
              <w:rPr>
                <w:rFonts w:ascii="Times New Roman" w:eastAsia="Palatino Linotype" w:hAnsi="Times New Roman" w:cs="Times New Roman"/>
                <w:sz w:val="16"/>
                <w:szCs w:val="16"/>
              </w:rPr>
              <w:t xml:space="preserve"> and broader aspects of </w:t>
            </w:r>
            <w:r w:rsidRPr="008C1952">
              <w:rPr>
                <w:rFonts w:ascii="Times New Roman" w:eastAsia="Palatino Linotype" w:hAnsi="Times New Roman" w:cs="Times New Roman"/>
                <w:b/>
                <w:bCs/>
                <w:sz w:val="16"/>
                <w:szCs w:val="16"/>
              </w:rPr>
              <w:t>social welfare</w:t>
            </w:r>
            <w:r w:rsidRPr="008C1952">
              <w:rPr>
                <w:rFonts w:ascii="Times New Roman" w:eastAsia="Palatino Linotype" w:hAnsi="Times New Roman" w:cs="Times New Roman"/>
                <w:sz w:val="16"/>
                <w:szCs w:val="16"/>
              </w:rPr>
              <w:t xml:space="preserve"> and </w:t>
            </w:r>
            <w:r w:rsidRPr="008C1952">
              <w:rPr>
                <w:rFonts w:ascii="Times New Roman" w:eastAsia="Palatino Linotype" w:hAnsi="Times New Roman" w:cs="Times New Roman"/>
                <w:b/>
                <w:bCs/>
                <w:sz w:val="16"/>
                <w:szCs w:val="16"/>
              </w:rPr>
              <w:t>livelihood security</w:t>
            </w:r>
            <w:r w:rsidRPr="008C1952">
              <w:rPr>
                <w:rFonts w:ascii="Times New Roman" w:eastAsia="Palatino Linotype" w:hAnsi="Times New Roman" w:cs="Times New Roman"/>
                <w:sz w:val="16"/>
                <w:szCs w:val="16"/>
              </w:rPr>
              <w:t>.”</w:t>
            </w:r>
          </w:p>
        </w:tc>
        <w:tc>
          <w:tcPr>
            <w:tcW w:w="1081" w:type="dxa"/>
            <w:tcBorders>
              <w:top w:val="nil"/>
              <w:bottom w:val="nil"/>
            </w:tcBorders>
            <w:tcMar>
              <w:left w:w="108" w:type="dxa"/>
              <w:right w:w="108" w:type="dxa"/>
            </w:tcMar>
            <w:vAlign w:val="center"/>
          </w:tcPr>
          <w:p w14:paraId="3BEAEBF8" w14:textId="6F4AA3DA" w:rsidR="00A438D3" w:rsidRPr="008C1952" w:rsidRDefault="003631F5" w:rsidP="00BB4F49">
            <w:pPr>
              <w:jc w:val="center"/>
              <w:rPr>
                <w:rFonts w:ascii="Times New Roman" w:hAnsi="Times New Roman" w:cs="Times New Roman"/>
                <w:sz w:val="16"/>
                <w:szCs w:val="16"/>
              </w:rPr>
            </w:pPr>
            <w:r>
              <w:rPr>
                <w:rFonts w:ascii="Times New Roman" w:eastAsia="Palatino Linotype" w:hAnsi="Times New Roman" w:cs="Times New Roman"/>
                <w:sz w:val="16"/>
                <w:szCs w:val="16"/>
              </w:rPr>
              <w:fldChar w:fldCharType="begin" w:fldLock="1"/>
            </w:r>
            <w:r w:rsidR="00C44178">
              <w:rPr>
                <w:rFonts w:ascii="Times New Roman" w:eastAsia="Palatino Linotype" w:hAnsi="Times New Roman" w:cs="Times New Roman"/>
                <w:sz w:val="16"/>
                <w:szCs w:val="16"/>
              </w:rPr>
              <w:instrText>ADDIN CSL_CITATION {"citationItems":[{"id":"ITEM-1","itemData":{"DOI":"10.1016/j.gloenvcha.2007.09.002","ISSN":"09593780","abstract":"This paper outlines a framework for studying the multiple interactions of broadly defined food systems with global environmental change and evaluating the major societal outcomes affected by these interactions: food security, ecosystem services and social welfare. In building the framework the paper explores and synthesizes disparate literature on food systems food security and global environmental change, bridging social science and natural science perspectives. This collected evidence justifies a representation of food systems, which can be used to identify key processes and determinants of food security in a given place or time, particularly the impacts of environmental change. It also enables analysis of the feedbacks from food system outcomes to drivers of environmental and social change, as well as tradeoffs among the food system outcomes themselves. In food systems these tradeoffs are often between different scales or levels of decision-making or management, so solutions to manage them must be context-specific. With sufficient empirical evidence, the framework could be used to build a database of typologies of food system interactions useful for different management or analytical purposes. © 2007 Elsevier Ltd. All rights reserved.","author":[{"dropping-particle":"","family":"Ericksen","given":"Polly J.","non-dropping-particle":"","parse-names":false,"suffix":""}],"container-title":"Global Environmental Change","id":"ITEM-1","issued":{"date-parts":[["2008"]]},"title":"Conceptualizing food systems for global environmental change research","type":"article-journal"},"uris":["http://www.mendeley.com/documents/?uuid=74c4942f-7a19-4f1e-8510-3f3db6e04a6e"]}],"mendeley":{"formattedCitation":"(Ericksen, 2008)","plainTextFormattedCitation":"(Ericksen, 2008)","previouslyFormattedCitation":"(Ericksen, 2008)"},"properties":{"noteIndex":0},"schema":"https://github.com/citation-style-language/schema/raw/master/csl-citation.json"}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3631F5">
              <w:rPr>
                <w:rFonts w:ascii="Times New Roman" w:eastAsia="Palatino Linotype" w:hAnsi="Times New Roman" w:cs="Times New Roman"/>
                <w:noProof/>
                <w:sz w:val="16"/>
                <w:szCs w:val="16"/>
              </w:rPr>
              <w:t>Ericksen</w:t>
            </w:r>
            <w:r w:rsidR="001A0451">
              <w:rPr>
                <w:rFonts w:ascii="Times New Roman" w:eastAsia="Palatino Linotype" w:hAnsi="Times New Roman" w:cs="Times New Roman"/>
                <w:noProof/>
                <w:sz w:val="16"/>
                <w:szCs w:val="16"/>
              </w:rPr>
              <w:t xml:space="preserve"> </w:t>
            </w:r>
            <w:r w:rsidRPr="003631F5">
              <w:rPr>
                <w:rFonts w:ascii="Times New Roman" w:eastAsia="Palatino Linotype" w:hAnsi="Times New Roman" w:cs="Times New Roman"/>
                <w:noProof/>
                <w:sz w:val="16"/>
                <w:szCs w:val="16"/>
              </w:rPr>
              <w:t xml:space="preserve"> </w:t>
            </w:r>
            <w:r w:rsidR="001A0451">
              <w:rPr>
                <w:rFonts w:ascii="Times New Roman" w:eastAsia="Palatino Linotype" w:hAnsi="Times New Roman" w:cs="Times New Roman"/>
                <w:noProof/>
                <w:sz w:val="16"/>
                <w:szCs w:val="16"/>
              </w:rPr>
              <w:t>(</w:t>
            </w:r>
            <w:r w:rsidRPr="003631F5">
              <w:rPr>
                <w:rFonts w:ascii="Times New Roman" w:eastAsia="Palatino Linotype" w:hAnsi="Times New Roman" w:cs="Times New Roman"/>
                <w:noProof/>
                <w:sz w:val="16"/>
                <w:szCs w:val="16"/>
              </w:rPr>
              <w:t>2008)</w:t>
            </w:r>
            <w:r>
              <w:rPr>
                <w:rFonts w:ascii="Times New Roman" w:eastAsia="Palatino Linotype" w:hAnsi="Times New Roman" w:cs="Times New Roman"/>
                <w:sz w:val="16"/>
                <w:szCs w:val="16"/>
              </w:rPr>
              <w:fldChar w:fldCharType="end"/>
            </w:r>
          </w:p>
        </w:tc>
        <w:tc>
          <w:tcPr>
            <w:tcW w:w="1865" w:type="dxa"/>
            <w:tcBorders>
              <w:top w:val="nil"/>
              <w:bottom w:val="nil"/>
            </w:tcBorders>
            <w:tcMar>
              <w:left w:w="108" w:type="dxa"/>
              <w:right w:w="108" w:type="dxa"/>
            </w:tcMar>
            <w:vAlign w:val="center"/>
          </w:tcPr>
          <w:p w14:paraId="3E6B6E8C" w14:textId="3B33A04E" w:rsidR="00A438D3" w:rsidRPr="008C1952" w:rsidRDefault="00A438D3" w:rsidP="00BB4F49">
            <w:pPr>
              <w:jc w:val="center"/>
              <w:rPr>
                <w:rFonts w:ascii="Times New Roman" w:hAnsi="Times New Roman" w:cs="Times New Roman"/>
                <w:sz w:val="16"/>
                <w:szCs w:val="16"/>
                <w:lang w:val="fr-BE"/>
              </w:rPr>
            </w:pPr>
            <w:r w:rsidRPr="008C1952">
              <w:rPr>
                <w:rFonts w:ascii="Times New Roman" w:eastAsia="Palatino Linotype" w:hAnsi="Times New Roman" w:cs="Times New Roman"/>
                <w:sz w:val="16"/>
                <w:szCs w:val="16"/>
                <w:lang w:val="fr-BE"/>
              </w:rPr>
              <w:t>Eakin et al.</w:t>
            </w:r>
            <w:r w:rsidR="0007787A">
              <w:rPr>
                <w:rFonts w:ascii="Times New Roman" w:eastAsia="Palatino Linotype" w:hAnsi="Times New Roman" w:cs="Times New Roman"/>
                <w:sz w:val="16"/>
                <w:szCs w:val="16"/>
                <w:lang w:val="fr-BE"/>
              </w:rPr>
              <w:t xml:space="preserve"> (</w:t>
            </w:r>
            <w:r w:rsidRPr="008C1952">
              <w:rPr>
                <w:rFonts w:ascii="Times New Roman" w:eastAsia="Palatino Linotype" w:hAnsi="Times New Roman" w:cs="Times New Roman"/>
                <w:sz w:val="16"/>
                <w:szCs w:val="16"/>
                <w:lang w:val="fr-BE"/>
              </w:rPr>
              <w:t>2016</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 xml:space="preserve">; Verger et al. </w:t>
            </w:r>
            <w:r w:rsidR="0007787A">
              <w:rPr>
                <w:rFonts w:ascii="Times New Roman" w:eastAsia="Palatino Linotype" w:hAnsi="Times New Roman" w:cs="Times New Roman"/>
                <w:sz w:val="16"/>
                <w:szCs w:val="16"/>
                <w:lang w:val="fr-BE"/>
              </w:rPr>
              <w:t>(</w:t>
            </w:r>
            <w:r w:rsidRPr="008C1952">
              <w:rPr>
                <w:rFonts w:ascii="Times New Roman" w:eastAsia="Palatino Linotype" w:hAnsi="Times New Roman" w:cs="Times New Roman"/>
                <w:sz w:val="16"/>
                <w:szCs w:val="16"/>
                <w:lang w:val="fr-BE"/>
              </w:rPr>
              <w:t>2018</w:t>
            </w:r>
            <w:r w:rsidR="0007787A">
              <w:rPr>
                <w:rFonts w:ascii="Times New Roman" w:eastAsia="Palatino Linotype" w:hAnsi="Times New Roman" w:cs="Times New Roman"/>
                <w:sz w:val="16"/>
                <w:szCs w:val="16"/>
                <w:lang w:val="fr-BE"/>
              </w:rPr>
              <w:t>)</w:t>
            </w:r>
          </w:p>
        </w:tc>
      </w:tr>
      <w:tr w:rsidR="00A438D3" w:rsidRPr="008C1952" w14:paraId="646D3986" w14:textId="77777777" w:rsidTr="00C44178">
        <w:trPr>
          <w:trHeight w:val="113"/>
          <w:jc w:val="center"/>
        </w:trPr>
        <w:tc>
          <w:tcPr>
            <w:tcW w:w="1159" w:type="dxa"/>
            <w:vMerge/>
            <w:tcBorders>
              <w:bottom w:val="single" w:sz="4" w:space="0" w:color="auto"/>
            </w:tcBorders>
            <w:vAlign w:val="center"/>
          </w:tcPr>
          <w:p w14:paraId="6022CA94" w14:textId="77777777" w:rsidR="00A438D3" w:rsidRPr="008C1952" w:rsidRDefault="00A438D3" w:rsidP="00BB4F49">
            <w:pPr>
              <w:jc w:val="center"/>
              <w:rPr>
                <w:rFonts w:ascii="Times New Roman" w:hAnsi="Times New Roman" w:cs="Times New Roman"/>
                <w:sz w:val="16"/>
                <w:szCs w:val="16"/>
                <w:lang w:val="fr-BE"/>
              </w:rPr>
            </w:pPr>
          </w:p>
        </w:tc>
        <w:tc>
          <w:tcPr>
            <w:tcW w:w="4921" w:type="dxa"/>
            <w:tcBorders>
              <w:top w:val="nil"/>
              <w:bottom w:val="single" w:sz="4" w:space="0" w:color="auto"/>
            </w:tcBorders>
            <w:tcMar>
              <w:left w:w="108" w:type="dxa"/>
              <w:right w:w="108" w:type="dxa"/>
            </w:tcMar>
            <w:vAlign w:val="center"/>
          </w:tcPr>
          <w:p w14:paraId="31C271B3" w14:textId="77777777" w:rsidR="00A438D3" w:rsidRPr="008C1952"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“Food systems embrace the entire </w:t>
            </w:r>
            <w:r w:rsidRPr="008C1952">
              <w:rPr>
                <w:rFonts w:ascii="Times New Roman" w:eastAsia="Palatino Linotype" w:hAnsi="Times New Roman" w:cs="Times New Roman"/>
                <w:b/>
                <w:sz w:val="16"/>
                <w:szCs w:val="16"/>
              </w:rPr>
              <w:t xml:space="preserve">range of actors </w:t>
            </w:r>
            <w:r w:rsidRPr="008C1952">
              <w:rPr>
                <w:rFonts w:ascii="Times New Roman" w:eastAsia="Palatino Linotype" w:hAnsi="Times New Roman" w:cs="Times New Roman"/>
                <w:sz w:val="16"/>
                <w:szCs w:val="16"/>
              </w:rPr>
              <w:t xml:space="preserve">and their interlinked value adding activities involved in the </w:t>
            </w:r>
            <w:r w:rsidRPr="008C1952">
              <w:rPr>
                <w:rFonts w:ascii="Times New Roman" w:eastAsia="Palatino Linotype" w:hAnsi="Times New Roman" w:cs="Times New Roman"/>
                <w:b/>
                <w:sz w:val="16"/>
                <w:szCs w:val="16"/>
              </w:rPr>
              <w:t>production, aggregation, processing, distribution, consumption, and disposal (loss or waste) of food products</w:t>
            </w:r>
            <w:r w:rsidRPr="008C1952">
              <w:rPr>
                <w:rFonts w:ascii="Times New Roman" w:eastAsia="Palatino Linotype" w:hAnsi="Times New Roman" w:cs="Times New Roman"/>
                <w:sz w:val="16"/>
                <w:szCs w:val="16"/>
              </w:rPr>
              <w:t>, that originate from agriculture (incl. livestock), forestry, fisheries, and food industries, and the broader economic, societal, and physical environments, in which they are embedded”</w:t>
            </w:r>
          </w:p>
        </w:tc>
        <w:tc>
          <w:tcPr>
            <w:tcW w:w="1081" w:type="dxa"/>
            <w:tcBorders>
              <w:top w:val="nil"/>
              <w:bottom w:val="single" w:sz="4" w:space="0" w:color="auto"/>
            </w:tcBorders>
            <w:tcMar>
              <w:left w:w="108" w:type="dxa"/>
              <w:right w:w="108" w:type="dxa"/>
            </w:tcMar>
            <w:vAlign w:val="center"/>
          </w:tcPr>
          <w:p w14:paraId="0B90A304" w14:textId="0728753D" w:rsidR="00A438D3" w:rsidRPr="008C1952" w:rsidRDefault="00C44178" w:rsidP="00BB4F49">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{"citationItems":[{"id":"ITEM-1","itemData":{"ISSN":"CA2079EN/1/10.18","abstract":"Food systems (FS) encompass the entire range of actors and their interlinked value-adding activities involved in the production, aggregation, processing, distribution, consumption and disposal of food products that originate from agriculture, forestry or fisheries, and parts of the broader economic, societal and natural environments in which they are embedded. The food system is composed of subsystems (e.g. farming system, waste management system, input supply system, etc.) and interacts with other key systems (e.g. energy system, trade system, health system, etc.). Therefore, a structural change in the food system might originate from a change in another system; for example, a policy promoting more biofuel in the energy system will have a significant impact on the food system. A sustainable food system (SFS) is a food system that delivers food security and nutrition for all in such a way that the economic, social and environmental bases to generate food security and nutrition for future generations are not compromised. This means that:-It is profitable throughout (economic sustainability);-It has broad-based benefits for society (social sustainability); and-It has a positive or neutral impact on the natural environment (environmental sustainability). A sustainable food system lies at the heart of the United Nations' Sustainable Development Goals (SDGs). Adopted in 2015, the SDGs call for major transformations in agriculture and food systems in order to end hunger, achieve food security and improve nutrition by 2030. To realize the SDGs, the global food system needs to be reshaped to be more productive, more inclusive of poor and marginalized populations, environmentally sustainable and resilient, and able to deliver healthy and nutritious diets to all. These are complex and systemic challenges that require the combination of interconnected actions at the local, national, regional and global levels. A food system must be considered in the context of rapid population growth, urbanization, growing wealth, changing consumption patterns, and globalization as well as climate change and the depletion of natural resources. The developments in food systems have yielded many positive results, especially over the past three decades in developing countries. These results include the expansion of off-farm employment opportunities as food industries have developed, and the widening of food choices beyond local staples, thus satisfying consumers' preferences in terms…","author":[{"dropping-particle":"","family":"FAO","given":"","non-dropping-particle":"","parse-names":false,"suffix":""}],"container-title":"Food and Agriculture Organization of the United Nations","id":"ITEM-1","issued":{"date-parts":[["2018"]]},"title":"Sustainable food systems - Concept and framework - Policy Brief","type":"article-journal"},"uris":["http://www.mendeley.com/documents/?uuid=f178d402-60e4-43f7-b658-6c08f1b263cf"]}],"mendeley":{"formattedCitation":"(FAO, 2018)","plainTextFormattedCitation":"(FAO, 2018)","previouslyFormattedCitation":"(FAO, 2018)"},"properties":{"noteIndex":0},"schema":"https://github.com/citation-style-language/schema/raw/master/csl-citation.json"}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C44178">
              <w:rPr>
                <w:rFonts w:ascii="Times New Roman" w:eastAsia="Palatino Linotype" w:hAnsi="Times New Roman" w:cs="Times New Roman"/>
                <w:noProof/>
                <w:sz w:val="16"/>
                <w:szCs w:val="16"/>
              </w:rPr>
              <w:t xml:space="preserve">FAO </w:t>
            </w:r>
            <w:r w:rsidR="001A0451">
              <w:rPr>
                <w:rFonts w:ascii="Times New Roman" w:eastAsia="Palatino Linotype" w:hAnsi="Times New Roman" w:cs="Times New Roman"/>
                <w:noProof/>
                <w:sz w:val="16"/>
                <w:szCs w:val="16"/>
              </w:rPr>
              <w:t>(</w:t>
            </w:r>
            <w:r w:rsidRPr="00C44178">
              <w:rPr>
                <w:rFonts w:ascii="Times New Roman" w:eastAsia="Palatino Linotype" w:hAnsi="Times New Roman" w:cs="Times New Roman"/>
                <w:noProof/>
                <w:sz w:val="16"/>
                <w:szCs w:val="16"/>
              </w:rPr>
              <w:t>2018)</w:t>
            </w:r>
            <w:r>
              <w:rPr>
                <w:rFonts w:ascii="Times New Roman" w:eastAsia="Palatino Linotype" w:hAnsi="Times New Roman" w:cs="Times New Roman"/>
                <w:sz w:val="16"/>
                <w:szCs w:val="16"/>
              </w:rPr>
              <w:fldChar w:fldCharType="end"/>
            </w:r>
          </w:p>
        </w:tc>
        <w:tc>
          <w:tcPr>
            <w:tcW w:w="1865" w:type="dxa"/>
            <w:tcBorders>
              <w:top w:val="nil"/>
              <w:bottom w:val="single" w:sz="4" w:space="0" w:color="auto"/>
            </w:tcBorders>
            <w:tcMar>
              <w:left w:w="108" w:type="dxa"/>
              <w:right w:w="108" w:type="dxa"/>
            </w:tcMar>
            <w:vAlign w:val="center"/>
          </w:tcPr>
          <w:p w14:paraId="46CA92C4" w14:textId="64871B5D" w:rsidR="00A438D3" w:rsidRPr="002C4F8E" w:rsidRDefault="00A438D3" w:rsidP="00BB4F49">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von Braun et al.</w:t>
            </w:r>
            <w:r w:rsidR="0007787A">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2023</w:t>
            </w:r>
            <w:r w:rsidR="0007787A">
              <w:rPr>
                <w:rFonts w:ascii="Times New Roman" w:eastAsia="Palatino Linotype" w:hAnsi="Times New Roman" w:cs="Times New Roman"/>
                <w:sz w:val="16"/>
                <w:szCs w:val="16"/>
              </w:rPr>
              <w:t>)</w:t>
            </w:r>
          </w:p>
        </w:tc>
      </w:tr>
      <w:tr w:rsidR="00C44178" w:rsidRPr="0007787A" w14:paraId="4A6330B4" w14:textId="77777777" w:rsidTr="00C44178">
        <w:trPr>
          <w:trHeight w:val="113"/>
          <w:jc w:val="center"/>
        </w:trPr>
        <w:tc>
          <w:tcPr>
            <w:tcW w:w="1159" w:type="dxa"/>
            <w:vMerge w:val="restart"/>
            <w:tcBorders>
              <w:top w:val="single" w:sz="4" w:space="0" w:color="auto"/>
            </w:tcBorders>
            <w:tcMar>
              <w:left w:w="108" w:type="dxa"/>
              <w:right w:w="108" w:type="dxa"/>
            </w:tcMar>
            <w:vAlign w:val="center"/>
          </w:tcPr>
          <w:p w14:paraId="4D44BF18" w14:textId="77777777" w:rsidR="00C44178" w:rsidRPr="008C1952"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Sustainable Food Systems</w:t>
            </w:r>
          </w:p>
          <w:p w14:paraId="6163C765" w14:textId="47B55467" w:rsidR="00C44178" w:rsidRPr="00FB3445" w:rsidRDefault="00C44178" w:rsidP="00C44178">
            <w:pPr>
              <w:jc w:val="center"/>
              <w:rPr>
                <w:rFonts w:ascii="Times New Roman" w:eastAsia="Palatino Linotype" w:hAnsi="Times New Roman" w:cs="Times New Roman"/>
                <w:b/>
                <w:bCs/>
                <w:i/>
                <w:iCs/>
                <w:sz w:val="16"/>
                <w:szCs w:val="16"/>
              </w:rPr>
            </w:pPr>
            <w:r w:rsidRPr="00FB3445">
              <w:rPr>
                <w:rFonts w:ascii="Times New Roman" w:eastAsia="Palatino Linotype" w:hAnsi="Times New Roman" w:cs="Times New Roman"/>
                <w:b/>
                <w:bCs/>
                <w:i/>
                <w:iCs/>
                <w:sz w:val="16"/>
                <w:szCs w:val="16"/>
              </w:rPr>
              <w:t>(n=9)</w:t>
            </w:r>
          </w:p>
        </w:tc>
        <w:tc>
          <w:tcPr>
            <w:tcW w:w="4921" w:type="dxa"/>
            <w:tcBorders>
              <w:top w:val="single" w:sz="4" w:space="0" w:color="auto"/>
            </w:tcBorders>
            <w:tcMar>
              <w:left w:w="108" w:type="dxa"/>
              <w:right w:w="108" w:type="dxa"/>
            </w:tcMar>
            <w:vAlign w:val="center"/>
          </w:tcPr>
          <w:p w14:paraId="4BE55910" w14:textId="77777777"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 xml:space="preserve">“A sustainable food system (SFS) is a food system that delivers </w:t>
            </w:r>
            <w:r w:rsidRPr="008C1952">
              <w:rPr>
                <w:rFonts w:ascii="Times New Roman" w:eastAsia="Palatino Linotype" w:hAnsi="Times New Roman" w:cs="Times New Roman"/>
                <w:b/>
                <w:bCs/>
                <w:sz w:val="16"/>
                <w:szCs w:val="16"/>
              </w:rPr>
              <w:t>food security and nutrition for all</w:t>
            </w:r>
            <w:r w:rsidRPr="008C1952">
              <w:rPr>
                <w:rFonts w:ascii="Times New Roman" w:eastAsia="Palatino Linotype" w:hAnsi="Times New Roman" w:cs="Times New Roman"/>
                <w:sz w:val="16"/>
                <w:szCs w:val="16"/>
              </w:rPr>
              <w:t xml:space="preserve"> in such a way that the economic, social and environmental bases to generate food security and nutrition for </w:t>
            </w:r>
            <w:r w:rsidRPr="008C1952">
              <w:rPr>
                <w:rFonts w:ascii="Times New Roman" w:eastAsia="Palatino Linotype" w:hAnsi="Times New Roman" w:cs="Times New Roman"/>
                <w:b/>
                <w:bCs/>
                <w:sz w:val="16"/>
                <w:szCs w:val="16"/>
              </w:rPr>
              <w:t xml:space="preserve">future generations </w:t>
            </w:r>
            <w:r w:rsidRPr="008C1952">
              <w:rPr>
                <w:rFonts w:ascii="Times New Roman" w:eastAsia="Palatino Linotype" w:hAnsi="Times New Roman" w:cs="Times New Roman"/>
                <w:sz w:val="16"/>
                <w:szCs w:val="16"/>
              </w:rPr>
              <w:t xml:space="preserve">are not compromised. This means that: – It is </w:t>
            </w:r>
            <w:r w:rsidRPr="008C1952">
              <w:rPr>
                <w:rFonts w:ascii="Times New Roman" w:eastAsia="Palatino Linotype" w:hAnsi="Times New Roman" w:cs="Times New Roman"/>
                <w:b/>
                <w:bCs/>
                <w:sz w:val="16"/>
                <w:szCs w:val="16"/>
              </w:rPr>
              <w:t xml:space="preserve">profitable </w:t>
            </w:r>
            <w:r w:rsidRPr="008C1952">
              <w:rPr>
                <w:rFonts w:ascii="Times New Roman" w:eastAsia="Palatino Linotype" w:hAnsi="Times New Roman" w:cs="Times New Roman"/>
                <w:sz w:val="16"/>
                <w:szCs w:val="16"/>
              </w:rPr>
              <w:t>throughout (economic sustainability); – It has</w:t>
            </w:r>
            <w:r w:rsidRPr="008C1952">
              <w:rPr>
                <w:rFonts w:ascii="Times New Roman" w:eastAsia="Palatino Linotype" w:hAnsi="Times New Roman" w:cs="Times New Roman"/>
                <w:b/>
                <w:bCs/>
                <w:sz w:val="16"/>
                <w:szCs w:val="16"/>
              </w:rPr>
              <w:t xml:space="preserve"> broad-based benefits for society </w:t>
            </w:r>
            <w:r w:rsidRPr="008C1952">
              <w:rPr>
                <w:rFonts w:ascii="Times New Roman" w:eastAsia="Palatino Linotype" w:hAnsi="Times New Roman" w:cs="Times New Roman"/>
                <w:sz w:val="16"/>
                <w:szCs w:val="16"/>
              </w:rPr>
              <w:t xml:space="preserve">(social sustainability); and – It has a </w:t>
            </w:r>
            <w:r w:rsidRPr="008C1952">
              <w:rPr>
                <w:rFonts w:ascii="Times New Roman" w:eastAsia="Palatino Linotype" w:hAnsi="Times New Roman" w:cs="Times New Roman"/>
                <w:b/>
                <w:bCs/>
                <w:sz w:val="16"/>
                <w:szCs w:val="16"/>
              </w:rPr>
              <w:t>positive or neutral impact on the natural environment</w:t>
            </w:r>
            <w:r w:rsidRPr="008C1952">
              <w:rPr>
                <w:rFonts w:ascii="Times New Roman" w:eastAsia="Palatino Linotype" w:hAnsi="Times New Roman" w:cs="Times New Roman"/>
                <w:sz w:val="16"/>
                <w:szCs w:val="16"/>
              </w:rPr>
              <w:t xml:space="preserve"> (environmental sustainability)”</w:t>
            </w:r>
          </w:p>
        </w:tc>
        <w:tc>
          <w:tcPr>
            <w:tcW w:w="1081" w:type="dxa"/>
            <w:tcBorders>
              <w:top w:val="single" w:sz="4" w:space="0" w:color="auto"/>
            </w:tcBorders>
            <w:tcMar>
              <w:left w:w="108" w:type="dxa"/>
              <w:right w:w="108" w:type="dxa"/>
            </w:tcMar>
            <w:vAlign w:val="center"/>
          </w:tcPr>
          <w:p w14:paraId="38969FD1" w14:textId="3F66D6DE" w:rsidR="00C44178" w:rsidRPr="008C1952" w:rsidRDefault="00C44178" w:rsidP="00C44178">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{"citationItems":[{"id":"ITEM-1","itemData":{"ISSN":"CA2079EN/1/10.18","abstract":"Food systems (FS) encompass the entire range of actors and their interlinked value-adding activities involved in the production, aggregation, processing, distribution, consumption and disposal of food products that originate from agriculture, forestry or fisheries, and parts of the broader economic, societal and natural environments in which they are embedded. The food system is composed of subsystems (e.g. farming system, waste management system, input supply system, etc.) and interacts with other key systems (e.g. energy system, trade system, health system, etc.). Therefore, a structural change in the food system might originate from a change in another system; for example, a policy promoting more biofuel in the energy system will have a significant impact on the food system. A sustainable food system (SFS) is a food system that delivers food security and nutrition for all in such a way that the economic, social and environmental bases to generate food security and nutrition for future generations are not compromised. This means that:-It is profitable throughout (economic sustainability);-It has broad-based benefits for society (social sustainability); and-It has a positive or neutral impact on the natural environment (environmental sustainability). A sustainable food system lies at the heart of the United Nations' Sustainable Development Goals (SDGs). Adopted in 2015, the SDGs call for major transformations in agriculture and food systems in order to end hunger, achieve food security and improve nutrition by 2030. To realize the SDGs, the global food system needs to be reshaped to be more productive, more inclusive of poor and marginalized populations, environmentally sustainable and resilient, and able to deliver healthy and nutritious diets to all. These are complex and systemic challenges that require the combination of interconnected actions at the local, national, regional and global levels. A food system must be considered in the context of rapid population growth, urbanization, growing wealth, changing consumption patterns, and globalization as well as climate change and the depletion of natural resources. The developments in food systems have yielded many positive results, especially over the past three decades in developing countries. These results include the expansion of off-farm employment opportunities as food industries have developed, and the widening of food choices beyond local staples, thus satisfying consumers' preferences in terms…","author":[{"dropping-particle":"","family":"FAO","given":"","non-dropping-particle":"","parse-names":false,"suffix":""}],"container-title":"Food and Agriculture Organization of the United Nations","id":"ITEM-1","issued":{"date-parts":[["2018"]]},"title":"Sustainable food systems - Concept and framework - Policy Brief","type":"article-journal"},"uris":["http://www.mendeley.com/documents/?uuid=f178d402-60e4-43f7-b658-6c08f1b263cf"]}],"mendeley":{"formattedCitation":"(FAO, 2018)","plainTextFormattedCitation":"(FAO, 2018)","previouslyFormattedCitation":"(FAO, 2018)"},"properties":{"noteIndex":0},"schema":"https://github.com/citation-style-language/schema/raw/master/csl-citation.json"}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C44178">
              <w:rPr>
                <w:rFonts w:ascii="Times New Roman" w:eastAsia="Palatino Linotype" w:hAnsi="Times New Roman" w:cs="Times New Roman"/>
                <w:noProof/>
                <w:sz w:val="16"/>
                <w:szCs w:val="16"/>
              </w:rPr>
              <w:t>FAO</w:t>
            </w:r>
            <w:r w:rsidR="001A0451">
              <w:rPr>
                <w:rFonts w:ascii="Times New Roman" w:eastAsia="Palatino Linotype" w:hAnsi="Times New Roman" w:cs="Times New Roman"/>
                <w:noProof/>
                <w:sz w:val="16"/>
                <w:szCs w:val="16"/>
              </w:rPr>
              <w:t xml:space="preserve"> (</w:t>
            </w:r>
            <w:r w:rsidRPr="00C44178">
              <w:rPr>
                <w:rFonts w:ascii="Times New Roman" w:eastAsia="Palatino Linotype" w:hAnsi="Times New Roman" w:cs="Times New Roman"/>
                <w:noProof/>
                <w:sz w:val="16"/>
                <w:szCs w:val="16"/>
              </w:rPr>
              <w:t>2018)</w:t>
            </w:r>
            <w:r>
              <w:rPr>
                <w:rFonts w:ascii="Times New Roman" w:eastAsia="Palatino Linotype" w:hAnsi="Times New Roman" w:cs="Times New Roman"/>
                <w:sz w:val="16"/>
                <w:szCs w:val="16"/>
              </w:rPr>
              <w:fldChar w:fldCharType="end"/>
            </w:r>
          </w:p>
        </w:tc>
        <w:tc>
          <w:tcPr>
            <w:tcW w:w="1865" w:type="dxa"/>
            <w:tcBorders>
              <w:top w:val="single" w:sz="4" w:space="0" w:color="auto"/>
            </w:tcBorders>
            <w:tcMar>
              <w:left w:w="108" w:type="dxa"/>
              <w:right w:w="108" w:type="dxa"/>
            </w:tcMar>
            <w:vAlign w:val="center"/>
          </w:tcPr>
          <w:p w14:paraId="057DE913" w14:textId="43635DD5" w:rsidR="00C44178" w:rsidRPr="006B0C0E" w:rsidRDefault="00C44178" w:rsidP="00C44178">
            <w:pPr>
              <w:jc w:val="center"/>
              <w:rPr>
                <w:rFonts w:ascii="Times New Roman" w:hAnsi="Times New Roman" w:cs="Times New Roman"/>
                <w:sz w:val="16"/>
                <w:szCs w:val="16"/>
              </w:rPr>
            </w:pPr>
            <w:r w:rsidRPr="006B0C0E">
              <w:rPr>
                <w:rFonts w:ascii="Times New Roman" w:eastAsia="Palatino Linotype" w:hAnsi="Times New Roman" w:cs="Times New Roman"/>
                <w:sz w:val="16"/>
                <w:szCs w:val="16"/>
              </w:rPr>
              <w:t>De Bernardi and Azucar</w:t>
            </w:r>
            <w:r w:rsidR="0007787A" w:rsidRPr="006B0C0E">
              <w:rPr>
                <w:rFonts w:ascii="Times New Roman" w:eastAsia="Palatino Linotype" w:hAnsi="Times New Roman" w:cs="Times New Roman"/>
                <w:sz w:val="16"/>
                <w:szCs w:val="16"/>
              </w:rPr>
              <w:t xml:space="preserve"> (</w:t>
            </w:r>
            <w:r w:rsidRPr="006B0C0E">
              <w:rPr>
                <w:rFonts w:ascii="Times New Roman" w:eastAsia="Palatino Linotype" w:hAnsi="Times New Roman" w:cs="Times New Roman"/>
                <w:sz w:val="16"/>
                <w:szCs w:val="16"/>
              </w:rPr>
              <w:t>2020</w:t>
            </w:r>
            <w:r w:rsidR="0007787A" w:rsidRPr="006B0C0E">
              <w:rPr>
                <w:rFonts w:ascii="Times New Roman" w:eastAsia="Palatino Linotype" w:hAnsi="Times New Roman" w:cs="Times New Roman"/>
                <w:sz w:val="16"/>
                <w:szCs w:val="16"/>
              </w:rPr>
              <w:t>)</w:t>
            </w:r>
            <w:r w:rsidRPr="006B0C0E">
              <w:rPr>
                <w:rFonts w:ascii="Times New Roman" w:eastAsia="Palatino Linotype" w:hAnsi="Times New Roman" w:cs="Times New Roman"/>
                <w:sz w:val="16"/>
                <w:szCs w:val="16"/>
              </w:rPr>
              <w:t>; von Braun et al.</w:t>
            </w:r>
            <w:r w:rsidR="0007787A" w:rsidRPr="006B0C0E">
              <w:rPr>
                <w:rFonts w:ascii="Times New Roman" w:eastAsia="Palatino Linotype" w:hAnsi="Times New Roman" w:cs="Times New Roman"/>
                <w:sz w:val="16"/>
                <w:szCs w:val="16"/>
              </w:rPr>
              <w:t xml:space="preserve"> (</w:t>
            </w:r>
            <w:r w:rsidRPr="006B0C0E">
              <w:rPr>
                <w:rFonts w:ascii="Times New Roman" w:eastAsia="Palatino Linotype" w:hAnsi="Times New Roman" w:cs="Times New Roman"/>
                <w:sz w:val="16"/>
                <w:szCs w:val="16"/>
              </w:rPr>
              <w:t>2023</w:t>
            </w:r>
            <w:r w:rsidR="0007787A" w:rsidRPr="006B0C0E">
              <w:rPr>
                <w:rFonts w:ascii="Times New Roman" w:eastAsia="Palatino Linotype" w:hAnsi="Times New Roman" w:cs="Times New Roman"/>
                <w:sz w:val="16"/>
                <w:szCs w:val="16"/>
              </w:rPr>
              <w:t>)</w:t>
            </w:r>
          </w:p>
        </w:tc>
      </w:tr>
      <w:tr w:rsidR="00C44178" w:rsidRPr="008C1952" w14:paraId="274BE968" w14:textId="77777777" w:rsidTr="00C44178">
        <w:trPr>
          <w:trHeight w:val="113"/>
          <w:jc w:val="center"/>
        </w:trPr>
        <w:tc>
          <w:tcPr>
            <w:tcW w:w="1159" w:type="dxa"/>
            <w:vMerge/>
            <w:vAlign w:val="center"/>
          </w:tcPr>
          <w:p w14:paraId="5A504913" w14:textId="77777777" w:rsidR="00C44178" w:rsidRPr="006B0C0E" w:rsidRDefault="00C44178" w:rsidP="00C44178">
            <w:pPr>
              <w:jc w:val="center"/>
              <w:rPr>
                <w:rFonts w:ascii="Times New Roman" w:hAnsi="Times New Roman" w:cs="Times New Roman"/>
                <w:sz w:val="16"/>
                <w:szCs w:val="16"/>
              </w:rPr>
            </w:pPr>
          </w:p>
        </w:tc>
        <w:tc>
          <w:tcPr>
            <w:tcW w:w="4921" w:type="dxa"/>
            <w:tcMar>
              <w:left w:w="108" w:type="dxa"/>
              <w:right w:w="108" w:type="dxa"/>
            </w:tcMar>
            <w:vAlign w:val="center"/>
          </w:tcPr>
          <w:p w14:paraId="55103604" w14:textId="77777777" w:rsidR="00C44178" w:rsidRPr="008C1952"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sz w:val="16"/>
                <w:szCs w:val="16"/>
              </w:rPr>
              <w:t xml:space="preserve">“Sustainable food system as one that </w:t>
            </w:r>
            <w:r w:rsidRPr="008C1952">
              <w:rPr>
                <w:rFonts w:ascii="Times New Roman" w:eastAsia="Palatino Linotype" w:hAnsi="Times New Roman" w:cs="Times New Roman"/>
                <w:b/>
                <w:bCs/>
                <w:sz w:val="16"/>
                <w:szCs w:val="16"/>
              </w:rPr>
              <w:t>achieves and maintains food security</w:t>
            </w:r>
            <w:r w:rsidRPr="008C1952">
              <w:rPr>
                <w:rFonts w:ascii="Times New Roman" w:eastAsia="Palatino Linotype" w:hAnsi="Times New Roman" w:cs="Times New Roman"/>
                <w:sz w:val="16"/>
                <w:szCs w:val="16"/>
              </w:rPr>
              <w:t xml:space="preserve"> under uncertain and dynamic </w:t>
            </w:r>
            <w:r w:rsidRPr="008C1952">
              <w:rPr>
                <w:rFonts w:ascii="Times New Roman" w:eastAsia="Palatino Linotype" w:hAnsi="Times New Roman" w:cs="Times New Roman"/>
                <w:b/>
                <w:bCs/>
                <w:sz w:val="16"/>
                <w:szCs w:val="16"/>
              </w:rPr>
              <w:t>social-ecological</w:t>
            </w:r>
          </w:p>
          <w:p w14:paraId="69F528AB" w14:textId="77777777" w:rsidR="00C44178" w:rsidRPr="008C1952" w:rsidRDefault="00C44178" w:rsidP="00C44178">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b/>
                <w:bCs/>
                <w:sz w:val="16"/>
                <w:szCs w:val="16"/>
              </w:rPr>
              <w:t>conditions</w:t>
            </w:r>
            <w:r w:rsidRPr="008C1952">
              <w:rPr>
                <w:rFonts w:ascii="Times New Roman" w:eastAsia="Palatino Linotype" w:hAnsi="Times New Roman" w:cs="Times New Roman"/>
                <w:sz w:val="16"/>
                <w:szCs w:val="16"/>
              </w:rPr>
              <w:t xml:space="preserve">, through </w:t>
            </w:r>
            <w:r w:rsidRPr="008C1952">
              <w:rPr>
                <w:rFonts w:ascii="Times New Roman" w:eastAsia="Palatino Linotype" w:hAnsi="Times New Roman" w:cs="Times New Roman"/>
                <w:b/>
                <w:bCs/>
                <w:sz w:val="16"/>
                <w:szCs w:val="16"/>
              </w:rPr>
              <w:t>respecting and supporting the context-specific cultural values</w:t>
            </w:r>
            <w:r w:rsidRPr="008C1952">
              <w:rPr>
                <w:rFonts w:ascii="Times New Roman" w:eastAsia="Palatino Linotype" w:hAnsi="Times New Roman" w:cs="Times New Roman"/>
                <w:sz w:val="16"/>
                <w:szCs w:val="16"/>
              </w:rPr>
              <w:t xml:space="preserve"> and decision-processes that give food social meaning, and the integrity of the social-ecological processes necessary for food provisioning today and </w:t>
            </w:r>
            <w:r w:rsidRPr="008C1952">
              <w:rPr>
                <w:rFonts w:ascii="Times New Roman" w:eastAsia="Palatino Linotype" w:hAnsi="Times New Roman" w:cs="Times New Roman"/>
                <w:b/>
                <w:bCs/>
                <w:sz w:val="16"/>
                <w:szCs w:val="16"/>
              </w:rPr>
              <w:t>for future generation</w:t>
            </w:r>
            <w:r w:rsidRPr="008C1952">
              <w:rPr>
                <w:rFonts w:ascii="Times New Roman" w:eastAsia="Palatino Linotype" w:hAnsi="Times New Roman" w:cs="Times New Roman"/>
                <w:sz w:val="16"/>
                <w:szCs w:val="16"/>
              </w:rPr>
              <w:t>s.”</w:t>
            </w:r>
          </w:p>
        </w:tc>
        <w:tc>
          <w:tcPr>
            <w:tcW w:w="1081" w:type="dxa"/>
            <w:tcMar>
              <w:left w:w="108" w:type="dxa"/>
              <w:right w:w="108" w:type="dxa"/>
            </w:tcMar>
            <w:vAlign w:val="center"/>
          </w:tcPr>
          <w:p w14:paraId="7D261391" w14:textId="77777777" w:rsidR="00C44178" w:rsidRPr="008C1952" w:rsidRDefault="00C44178" w:rsidP="00C44178">
            <w:pPr>
              <w:jc w:val="center"/>
              <w:rPr>
                <w:rFonts w:ascii="Times New Roman" w:eastAsia="Palatino Linotype" w:hAnsi="Times New Roman" w:cs="Times New Roman"/>
                <w:sz w:val="16"/>
                <w:szCs w:val="16"/>
              </w:rPr>
            </w:pPr>
          </w:p>
        </w:tc>
        <w:tc>
          <w:tcPr>
            <w:tcW w:w="1865" w:type="dxa"/>
            <w:tcMar>
              <w:left w:w="108" w:type="dxa"/>
              <w:right w:w="108" w:type="dxa"/>
            </w:tcMar>
            <w:vAlign w:val="center"/>
          </w:tcPr>
          <w:p w14:paraId="38C98DA6" w14:textId="42AD84B4"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 xml:space="preserve">Eakin et al. </w:t>
            </w:r>
            <w:r w:rsidR="0007787A">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2016</w:t>
            </w:r>
            <w:r w:rsidR="0007787A">
              <w:rPr>
                <w:rFonts w:ascii="Times New Roman" w:eastAsia="Palatino Linotype" w:hAnsi="Times New Roman" w:cs="Times New Roman"/>
                <w:sz w:val="16"/>
                <w:szCs w:val="16"/>
              </w:rPr>
              <w:t>)</w:t>
            </w:r>
          </w:p>
        </w:tc>
      </w:tr>
      <w:tr w:rsidR="00C44178" w:rsidRPr="008C1952" w14:paraId="6973406B" w14:textId="77777777" w:rsidTr="00C44178">
        <w:trPr>
          <w:trHeight w:val="113"/>
          <w:jc w:val="center"/>
        </w:trPr>
        <w:tc>
          <w:tcPr>
            <w:tcW w:w="1159" w:type="dxa"/>
            <w:vMerge/>
            <w:vAlign w:val="center"/>
          </w:tcPr>
          <w:p w14:paraId="2645F4ED" w14:textId="77777777" w:rsidR="00C44178" w:rsidRPr="008C1952" w:rsidRDefault="00C44178" w:rsidP="00C44178">
            <w:pPr>
              <w:jc w:val="center"/>
              <w:rPr>
                <w:rFonts w:ascii="Times New Roman" w:hAnsi="Times New Roman" w:cs="Times New Roman"/>
                <w:sz w:val="16"/>
                <w:szCs w:val="16"/>
              </w:rPr>
            </w:pPr>
          </w:p>
        </w:tc>
        <w:tc>
          <w:tcPr>
            <w:tcW w:w="4921" w:type="dxa"/>
            <w:tcMar>
              <w:left w:w="108" w:type="dxa"/>
              <w:right w:w="108" w:type="dxa"/>
            </w:tcMar>
            <w:vAlign w:val="center"/>
          </w:tcPr>
          <w:p w14:paraId="64D20023" w14:textId="77777777" w:rsidR="00C44178" w:rsidRPr="008C1952"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sz w:val="16"/>
                <w:szCs w:val="16"/>
              </w:rPr>
              <w:t>“Sustainable food regimes are cross-cutting concept referring to food system that ensure</w:t>
            </w:r>
            <w:r w:rsidRPr="008C1952">
              <w:rPr>
                <w:rFonts w:ascii="Times New Roman" w:eastAsia="Palatino Linotype" w:hAnsi="Times New Roman" w:cs="Times New Roman"/>
                <w:b/>
                <w:bCs/>
                <w:sz w:val="16"/>
                <w:szCs w:val="16"/>
              </w:rPr>
              <w:t xml:space="preserve"> food security health and environmental protection.”</w:t>
            </w:r>
          </w:p>
        </w:tc>
        <w:tc>
          <w:tcPr>
            <w:tcW w:w="1081" w:type="dxa"/>
            <w:tcMar>
              <w:left w:w="108" w:type="dxa"/>
              <w:right w:w="108" w:type="dxa"/>
            </w:tcMar>
            <w:vAlign w:val="center"/>
          </w:tcPr>
          <w:p w14:paraId="675C28F6" w14:textId="4B6F76CF" w:rsidR="00C44178" w:rsidRPr="008C1952" w:rsidRDefault="00DA4917" w:rsidP="00C44178">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sidR="00F7124A">
              <w:rPr>
                <w:rFonts w:ascii="Times New Roman" w:eastAsia="Palatino Linotype" w:hAnsi="Times New Roman" w:cs="Times New Roman"/>
                <w:sz w:val="16"/>
                <w:szCs w:val="16"/>
              </w:rPr>
              <w:instrText>ADDIN CSL_CITATION {"citationItems":[{"id":"ITEM-1","itemData":{"DOI":"10.2800/884986","ISBN":"978-92-9213-879-0","abstract":"Ensuring the availability of nutritious food for all in a fair and environmentally sustainable way is a major societal, economic and policy challenge. The EU has a long-term sustainability vision of 'living well, within the limits of our planet' by 2050. If Europe is to achieve this vision it must transform its core societal systems, including the food system. This report analyses the challenges ahead, places them in a global context and presents them in relation to how the food system can achieve more sustainable outcomes in terms of living well (food and nutrition security and social wellbeing), within the limits of our planet (ecosystem health). It identifies opportunities to respond to the challenges in the context of current policy objectives, the 2030 Sustainable Development Goals and the 2050 vision of the Seventh Environment Action Programme.","author":[{"dropping-particle":"","family":"European Environment Agency.","given":"","non-dropping-particle":"","parse-names":false,"suffix":""}],"container-title":"EEA Report","id":"ITEM-1","issue":"16","issued":{"date-parts":[["2017"]]},"number-of-pages":"33","title":"Food in a green light : a systems approach to sustainable food","type":"book"},"uris":["http://www.mendeley.com/documents/?uuid=cfbf3f99-c7b0-4777-82ef-ee3940c59a80"]}],"mendeley":{"formattedCitation":"(European Environment Agency., 2017)","plainTextFormattedCitation":"(European Environment Agency., 2017)","previouslyFormattedCitation":"(European Environment Agency., 2017)"},"properties":{"noteIndex":0},"schema":"https://github.com/citation-style-language/schema/raw/master/csl-citation.json"}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001A0451">
              <w:rPr>
                <w:rFonts w:ascii="Times New Roman" w:eastAsia="Palatino Linotype" w:hAnsi="Times New Roman" w:cs="Times New Roman"/>
                <w:noProof/>
                <w:sz w:val="16"/>
                <w:szCs w:val="16"/>
              </w:rPr>
              <w:t>EEA (</w:t>
            </w:r>
            <w:r w:rsidRPr="00DA4917">
              <w:rPr>
                <w:rFonts w:ascii="Times New Roman" w:eastAsia="Palatino Linotype" w:hAnsi="Times New Roman" w:cs="Times New Roman"/>
                <w:noProof/>
                <w:sz w:val="16"/>
                <w:szCs w:val="16"/>
              </w:rPr>
              <w:t>2017)</w:t>
            </w:r>
            <w:r>
              <w:rPr>
                <w:rFonts w:ascii="Times New Roman" w:eastAsia="Palatino Linotype" w:hAnsi="Times New Roman" w:cs="Times New Roman"/>
                <w:sz w:val="16"/>
                <w:szCs w:val="16"/>
              </w:rPr>
              <w:fldChar w:fldCharType="end"/>
            </w:r>
          </w:p>
        </w:tc>
        <w:tc>
          <w:tcPr>
            <w:tcW w:w="1865" w:type="dxa"/>
            <w:tcMar>
              <w:left w:w="108" w:type="dxa"/>
              <w:right w:w="108" w:type="dxa"/>
            </w:tcMar>
            <w:vAlign w:val="center"/>
          </w:tcPr>
          <w:p w14:paraId="559C54EF" w14:textId="21438613"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Gonzalez and Lorenzini</w:t>
            </w:r>
            <w:r w:rsidR="001A0451">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2021</w:t>
            </w:r>
            <w:r w:rsidR="001A0451">
              <w:rPr>
                <w:rFonts w:ascii="Times New Roman" w:eastAsia="Palatino Linotype" w:hAnsi="Times New Roman" w:cs="Times New Roman"/>
                <w:sz w:val="16"/>
                <w:szCs w:val="16"/>
              </w:rPr>
              <w:t>)</w:t>
            </w:r>
          </w:p>
        </w:tc>
      </w:tr>
      <w:tr w:rsidR="00C44178" w:rsidRPr="008C1952" w14:paraId="7B7AF136" w14:textId="77777777" w:rsidTr="00C44178">
        <w:trPr>
          <w:trHeight w:val="113"/>
          <w:jc w:val="center"/>
        </w:trPr>
        <w:tc>
          <w:tcPr>
            <w:tcW w:w="1159" w:type="dxa"/>
            <w:vMerge/>
            <w:vAlign w:val="center"/>
          </w:tcPr>
          <w:p w14:paraId="057B42C9" w14:textId="77777777" w:rsidR="00C44178" w:rsidRPr="008C1952" w:rsidRDefault="00C44178" w:rsidP="00C44178">
            <w:pPr>
              <w:jc w:val="center"/>
              <w:rPr>
                <w:rFonts w:ascii="Times New Roman" w:hAnsi="Times New Roman" w:cs="Times New Roman"/>
                <w:sz w:val="16"/>
                <w:szCs w:val="16"/>
              </w:rPr>
            </w:pPr>
          </w:p>
        </w:tc>
        <w:tc>
          <w:tcPr>
            <w:tcW w:w="4921" w:type="dxa"/>
            <w:tcMar>
              <w:left w:w="108" w:type="dxa"/>
              <w:right w:w="108" w:type="dxa"/>
            </w:tcMar>
            <w:vAlign w:val="center"/>
          </w:tcPr>
          <w:p w14:paraId="64BDBA70" w14:textId="77777777" w:rsidR="00C44178" w:rsidRPr="008C1952" w:rsidRDefault="00C44178" w:rsidP="00C44178">
            <w:pPr>
              <w:tabs>
                <w:tab w:val="left" w:pos="1233"/>
              </w:tabs>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“Food systems that ensure </w:t>
            </w:r>
            <w:r w:rsidRPr="008C1952">
              <w:rPr>
                <w:rFonts w:ascii="Times New Roman" w:eastAsia="Palatino Linotype" w:hAnsi="Times New Roman" w:cs="Times New Roman"/>
                <w:b/>
                <w:bCs/>
                <w:sz w:val="16"/>
                <w:szCs w:val="16"/>
              </w:rPr>
              <w:t>food security</w:t>
            </w:r>
            <w:r w:rsidRPr="008C1952">
              <w:rPr>
                <w:rFonts w:ascii="Times New Roman" w:eastAsia="Palatino Linotype" w:hAnsi="Times New Roman" w:cs="Times New Roman"/>
                <w:sz w:val="16"/>
                <w:szCs w:val="16"/>
              </w:rPr>
              <w:t xml:space="preserve"> and </w:t>
            </w:r>
            <w:r w:rsidRPr="008C1952">
              <w:rPr>
                <w:rFonts w:ascii="Times New Roman" w:eastAsia="Palatino Linotype" w:hAnsi="Times New Roman" w:cs="Times New Roman"/>
                <w:b/>
                <w:bCs/>
                <w:sz w:val="16"/>
                <w:szCs w:val="16"/>
              </w:rPr>
              <w:t>nutrition</w:t>
            </w:r>
            <w:r w:rsidRPr="008C1952">
              <w:rPr>
                <w:rFonts w:ascii="Times New Roman" w:eastAsia="Palatino Linotype" w:hAnsi="Times New Roman" w:cs="Times New Roman"/>
                <w:sz w:val="16"/>
                <w:szCs w:val="16"/>
              </w:rPr>
              <w:t xml:space="preserve"> for all, without compromising the </w:t>
            </w:r>
            <w:r w:rsidRPr="008C1952">
              <w:rPr>
                <w:rFonts w:ascii="Times New Roman" w:eastAsia="Palatino Linotype" w:hAnsi="Times New Roman" w:cs="Times New Roman"/>
                <w:b/>
                <w:bCs/>
                <w:sz w:val="16"/>
                <w:szCs w:val="16"/>
              </w:rPr>
              <w:t>socioeconomic</w:t>
            </w:r>
            <w:r w:rsidRPr="008C1952">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b/>
                <w:bCs/>
                <w:sz w:val="16"/>
                <w:szCs w:val="16"/>
              </w:rPr>
              <w:t>environmental</w:t>
            </w:r>
            <w:r w:rsidRPr="008C1952">
              <w:rPr>
                <w:rFonts w:ascii="Times New Roman" w:eastAsia="Palatino Linotype" w:hAnsi="Times New Roman" w:cs="Times New Roman"/>
                <w:sz w:val="16"/>
                <w:szCs w:val="16"/>
              </w:rPr>
              <w:t xml:space="preserve">, and </w:t>
            </w:r>
            <w:r w:rsidRPr="008C1952">
              <w:rPr>
                <w:rFonts w:ascii="Times New Roman" w:eastAsia="Palatino Linotype" w:hAnsi="Times New Roman" w:cs="Times New Roman"/>
                <w:b/>
                <w:bCs/>
                <w:sz w:val="16"/>
                <w:szCs w:val="16"/>
              </w:rPr>
              <w:t>social bases</w:t>
            </w:r>
            <w:r w:rsidRPr="008C1952">
              <w:rPr>
                <w:rFonts w:ascii="Times New Roman" w:eastAsia="Palatino Linotype" w:hAnsi="Times New Roman" w:cs="Times New Roman"/>
                <w:sz w:val="16"/>
                <w:szCs w:val="16"/>
              </w:rPr>
              <w:t xml:space="preserve"> for current and </w:t>
            </w:r>
            <w:r w:rsidRPr="008C1952">
              <w:rPr>
                <w:rFonts w:ascii="Times New Roman" w:eastAsia="Palatino Linotype" w:hAnsi="Times New Roman" w:cs="Times New Roman"/>
                <w:b/>
                <w:bCs/>
                <w:sz w:val="16"/>
                <w:szCs w:val="16"/>
              </w:rPr>
              <w:t>future generations</w:t>
            </w:r>
            <w:r w:rsidRPr="008C1952">
              <w:rPr>
                <w:rFonts w:ascii="Times New Roman" w:eastAsia="Palatino Linotype" w:hAnsi="Times New Roman" w:cs="Times New Roman"/>
                <w:sz w:val="16"/>
                <w:szCs w:val="16"/>
              </w:rPr>
              <w:t>.”</w:t>
            </w:r>
          </w:p>
        </w:tc>
        <w:tc>
          <w:tcPr>
            <w:tcW w:w="1081" w:type="dxa"/>
            <w:tcMar>
              <w:left w:w="108" w:type="dxa"/>
              <w:right w:w="108" w:type="dxa"/>
            </w:tcMar>
            <w:vAlign w:val="center"/>
          </w:tcPr>
          <w:p w14:paraId="5DA634F9" w14:textId="0F01548B" w:rsidR="00C44178" w:rsidRPr="008C1952" w:rsidRDefault="00C44178" w:rsidP="00C44178">
            <w:pPr>
              <w:jc w:val="center"/>
              <w:rPr>
                <w:rFonts w:ascii="Times New Roman" w:hAnsi="Times New Roman" w:cs="Times New Roman"/>
                <w:sz w:val="16"/>
                <w:szCs w:val="16"/>
              </w:rPr>
            </w:pPr>
            <w:r>
              <w:rPr>
                <w:rFonts w:ascii="Times New Roman" w:eastAsia="Palatino Linotype" w:hAnsi="Times New Roman" w:cs="Times New Roman"/>
                <w:sz w:val="16"/>
                <w:szCs w:val="16"/>
              </w:rPr>
              <w:fldChar w:fldCharType="begin" w:fldLock="1"/>
            </w:r>
            <w:r w:rsidR="00DC2459">
              <w:rPr>
                <w:rFonts w:ascii="Times New Roman" w:eastAsia="Palatino Linotype" w:hAnsi="Times New Roman" w:cs="Times New Roman"/>
                <w:sz w:val="16"/>
                <w:szCs w:val="16"/>
              </w:rPr>
              <w:instrText>ADDIN CSL_CITATION {"citationItems":[{"id":"ITEM-1","itemData":{"author":[{"dropping-particle":"","family":"HLPE","given":"","non-dropping-particle":"","parse-names":false,"suffix":""}],"container-title":"Committee of World Food Security (CFS)","id":"ITEM-1","issue":"September","issued":{"date-parts":[["2017"]]},"page":"1-152","title":"High Level Panel of Experts. 2017. Nutrition and food systems","type":"article-journal","volume":"44"},"uris":["http://www.mendeley.com/documents/?uuid=bcec92ed-2bf7-45e8-8150-25f843b9aa6c"]}],"mendeley":{"formattedCitation":"(HLPE, 2017)","plainTextFormattedCitation":"(HLPE, 2017)","previouslyFormattedCitation":"(HLPE, 2017)"},"properties":{"noteIndex":0},"schema":"https://github.com/citation-style-language/schema/raw/master/csl-citation.json"}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C44178">
              <w:rPr>
                <w:rFonts w:ascii="Times New Roman" w:eastAsia="Palatino Linotype" w:hAnsi="Times New Roman" w:cs="Times New Roman"/>
                <w:noProof/>
                <w:sz w:val="16"/>
                <w:szCs w:val="16"/>
              </w:rPr>
              <w:t xml:space="preserve">HLPE, </w:t>
            </w:r>
            <w:r w:rsidR="001A0451">
              <w:rPr>
                <w:rFonts w:ascii="Times New Roman" w:eastAsia="Palatino Linotype" w:hAnsi="Times New Roman" w:cs="Times New Roman"/>
                <w:noProof/>
                <w:sz w:val="16"/>
                <w:szCs w:val="16"/>
              </w:rPr>
              <w:t>(</w:t>
            </w:r>
            <w:r w:rsidRPr="00C44178">
              <w:rPr>
                <w:rFonts w:ascii="Times New Roman" w:eastAsia="Palatino Linotype" w:hAnsi="Times New Roman" w:cs="Times New Roman"/>
                <w:noProof/>
                <w:sz w:val="16"/>
                <w:szCs w:val="16"/>
              </w:rPr>
              <w:t>2017)</w:t>
            </w:r>
            <w:r>
              <w:rPr>
                <w:rFonts w:ascii="Times New Roman" w:eastAsia="Palatino Linotype" w:hAnsi="Times New Roman" w:cs="Times New Roman"/>
                <w:sz w:val="16"/>
                <w:szCs w:val="16"/>
              </w:rPr>
              <w:fldChar w:fldCharType="end"/>
            </w:r>
          </w:p>
        </w:tc>
        <w:tc>
          <w:tcPr>
            <w:tcW w:w="1865" w:type="dxa"/>
            <w:tcMar>
              <w:left w:w="108" w:type="dxa"/>
              <w:right w:w="108" w:type="dxa"/>
            </w:tcMar>
            <w:vAlign w:val="center"/>
          </w:tcPr>
          <w:p w14:paraId="4C4B2FF0" w14:textId="064B7667"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Nicholls and Drewnowski</w:t>
            </w:r>
            <w:r w:rsidR="001A0451">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2021</w:t>
            </w:r>
            <w:r w:rsidR="001A0451">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 Kennedy et al.</w:t>
            </w:r>
            <w:r w:rsidR="001A0451">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2020</w:t>
            </w:r>
            <w:r w:rsidR="001A0451">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 xml:space="preserve">; Fanzo et al. </w:t>
            </w:r>
            <w:r w:rsidR="001A0451">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2020</w:t>
            </w:r>
            <w:r w:rsidR="001A0451">
              <w:rPr>
                <w:rFonts w:ascii="Times New Roman" w:eastAsia="Palatino Linotype" w:hAnsi="Times New Roman" w:cs="Times New Roman"/>
                <w:sz w:val="16"/>
                <w:szCs w:val="16"/>
              </w:rPr>
              <w:t>)</w:t>
            </w:r>
          </w:p>
        </w:tc>
      </w:tr>
      <w:tr w:rsidR="00C44178" w:rsidRPr="008C1952" w14:paraId="7E3ED36C" w14:textId="77777777" w:rsidTr="00C44178">
        <w:trPr>
          <w:trHeight w:val="113"/>
          <w:jc w:val="center"/>
        </w:trPr>
        <w:tc>
          <w:tcPr>
            <w:tcW w:w="1159" w:type="dxa"/>
            <w:vMerge/>
            <w:vAlign w:val="center"/>
          </w:tcPr>
          <w:p w14:paraId="36849B74" w14:textId="77777777" w:rsidR="00C44178" w:rsidRPr="008C1952" w:rsidRDefault="00C44178" w:rsidP="00C44178">
            <w:pPr>
              <w:jc w:val="center"/>
              <w:rPr>
                <w:rFonts w:ascii="Times New Roman" w:hAnsi="Times New Roman" w:cs="Times New Roman"/>
                <w:sz w:val="16"/>
                <w:szCs w:val="16"/>
              </w:rPr>
            </w:pPr>
          </w:p>
        </w:tc>
        <w:tc>
          <w:tcPr>
            <w:tcW w:w="4921" w:type="dxa"/>
            <w:tcMar>
              <w:left w:w="108" w:type="dxa"/>
              <w:right w:w="108" w:type="dxa"/>
            </w:tcMar>
            <w:vAlign w:val="center"/>
          </w:tcPr>
          <w:p w14:paraId="184C8E47" w14:textId="77777777" w:rsidR="00C44178" w:rsidRPr="008C1952" w:rsidRDefault="00C44178" w:rsidP="00C44178">
            <w:pPr>
              <w:tabs>
                <w:tab w:val="left" w:pos="1233"/>
              </w:tabs>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“A sustainable food system enables a </w:t>
            </w:r>
            <w:r w:rsidRPr="008C1952">
              <w:rPr>
                <w:rFonts w:ascii="Times New Roman" w:eastAsia="Palatino Linotype" w:hAnsi="Times New Roman" w:cs="Times New Roman"/>
                <w:b/>
                <w:bCs/>
                <w:sz w:val="16"/>
                <w:szCs w:val="16"/>
              </w:rPr>
              <w:t xml:space="preserve">sustainable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 xml:space="preserve">healthy diet </w:t>
            </w:r>
            <w:r w:rsidRPr="008C1952">
              <w:rPr>
                <w:rFonts w:ascii="Times New Roman" w:eastAsia="Palatino Linotype" w:hAnsi="Times New Roman" w:cs="Times New Roman"/>
                <w:sz w:val="16"/>
                <w:szCs w:val="16"/>
              </w:rPr>
              <w:t xml:space="preserve">for all, while taking into account </w:t>
            </w:r>
            <w:r w:rsidRPr="008C1952">
              <w:rPr>
                <w:rFonts w:ascii="Times New Roman" w:eastAsia="Palatino Linotype" w:hAnsi="Times New Roman" w:cs="Times New Roman"/>
                <w:b/>
                <w:bCs/>
                <w:sz w:val="16"/>
                <w:szCs w:val="16"/>
              </w:rPr>
              <w:t>environmental, social and economic dimensions</w:t>
            </w:r>
            <w:r w:rsidRPr="008C1952">
              <w:rPr>
                <w:rFonts w:ascii="Times New Roman" w:eastAsia="Palatino Linotype" w:hAnsi="Times New Roman" w:cs="Times New Roman"/>
                <w:sz w:val="16"/>
                <w:szCs w:val="16"/>
              </w:rPr>
              <w:t>.”</w:t>
            </w:r>
          </w:p>
        </w:tc>
        <w:tc>
          <w:tcPr>
            <w:tcW w:w="1081" w:type="dxa"/>
            <w:tcMar>
              <w:left w:w="108" w:type="dxa"/>
              <w:right w:w="108" w:type="dxa"/>
            </w:tcMar>
            <w:vAlign w:val="center"/>
          </w:tcPr>
          <w:p w14:paraId="4BFB0B2A" w14:textId="5DE802C5" w:rsidR="00C44178" w:rsidRPr="002C4F8E" w:rsidRDefault="00DC2459" w:rsidP="00C44178">
            <w:pPr>
              <w:jc w:val="center"/>
              <w:rPr>
                <w:rFonts w:ascii="Times New Roman" w:hAnsi="Times New Roman" w:cs="Times New Roman"/>
                <w:sz w:val="16"/>
                <w:szCs w:val="16"/>
              </w:rPr>
            </w:pPr>
            <w:r>
              <w:rPr>
                <w:rFonts w:ascii="Times New Roman" w:eastAsia="Palatino Linotype" w:hAnsi="Times New Roman" w:cs="Times New Roman"/>
                <w:sz w:val="16"/>
                <w:szCs w:val="16"/>
                <w:lang w:val="fr-BE"/>
              </w:rPr>
              <w:fldChar w:fldCharType="begin" w:fldLock="1"/>
            </w:r>
            <w:r>
              <w:rPr>
                <w:rFonts w:ascii="Times New Roman" w:eastAsia="Palatino Linotype" w:hAnsi="Times New Roman" w:cs="Times New Roman"/>
                <w:sz w:val="16"/>
                <w:szCs w:val="16"/>
                <w:lang w:val="fr-BE"/>
              </w:rPr>
              <w:instrText>ADDIN CSL_CITATION {"citationItems":[{"id":"ITEM-1","itemData":{"DOI":"10.1007/s13593-018-0519-1","ISSN":"17730155","abstract":"Evidence shows the importance of food systems for sustainable development: they are at the nexus that links food security, nutrition, and human health, the viability of ecosystems, climate change, and social justice. However, agricultural policies tend to focus on food supply, and sometimes, on mechanisms to address negative externalities. We propose an alternative. Our starting point is that agriculture and food systems’ policies should be aligned to the 2030 Agenda for Sustainable Development. This calls for deep changes in comparison with the paradigms that prevailed when steering the agricultural change in the XXth century. We identify the comprehensive food systems transformation that is needed. It has four parts: first, food systems should enable all people to benefit from nutritious and healthy food. Second, they should reflect sustainable agricultural production and food value chains. Third, they should mitigate climate change and build resilience. Fourth, they should encourage a renaissance of rural territories. The implementation of the transformation relies on (i) suitable metrics to aid decision-making, (ii) synergy of policies through convergence of local and global priorities, and (iii) enhancement of development approaches that focus on territories. We build on the work of the “Milano Group,” an informal group of experts convened by the UN Secretary General in Milan in 2015. Backed by a literature review, what emerges is a strategic narrative linking climate, agriculture and food, and calling for a deep transformation of food systems at scale. This is critical for achieving the Sustainable Development Goals and the Paris Agreement. The narrative highlights the needed consistency between global actions for sustainable development and numerous local-level innovations. It emphasizes the challenge of designing differentiated paths for food systems transformation responding to local and national expectations. Scientific and operational challenges are associated with the alignment and arbitration of local action within the context of global priorities.","author":[{"dropping-particle":"","family":"Caron","given":"Patrick","non-dropping-particle":"","parse-names":false,"suffix":""},{"dropping-particle":"","family":"Ferrero y de Loma-Osorio","given":"Gabriel","non-dropping-particle":"","parse-names":false,"suffix":""},{"dropping-particle":"","family":"Nabarro","given":"David","non-dropping-particle":"","parse-names":false,"suffix":""},{"dropping-particle":"","family":"Hainzelin","given":"Etienne","non-dropping-particle":"","parse-names":false,"suffix":""},{"dropping-particle":"","family":"Guillou","given":"Marion","non-dropping-particle":"","parse-names":false,"suffix":""},{"dropping-particle":"","family":"Andersen","given":"Inger","non-dropping-particle":"","parse-names":false,"suffix":""},{"dropping-particle":"","family":"Arnold","given":"Tom","non-dropping-particle":"","parse-names":false,"suffix":""},{"dropping-particle":"","family":"Astralaga","given":"Margarita","non-dropping-particle":"","parse-names":false,"suffix":""},{"dropping-particle":"","family":"Beukeboom","given":"Marcel","non-dropping-particle":"","parse-names":false,"suffix":""},{"dropping-particle":"","family":"Bickersteth","given":"Sam","non-dropping-particle":"","parse-names":false,"suffix":""},{"dropping-particle":"","family":"Bwalya","given":"Martin","non-dropping-particle":"","parse-names":false,"suffix":""},{"dropping-particle":"","family":"Caballero","given":"Paula","non-dropping-particle":"","parse-names":false,"suffix":""},{"dropping-particle":"","family":"Campbell","given":"Bruce M.","non-dropping-particle":"","parse-names":false,"suffix":""},{"dropping-particle":"","family":"Divine","given":"Ntiokam","non-dropping-particle":"","parse-names":false,"suffix":""},{"dropping-particle":"","family":"Fan","given":"Shenggen","non-dropping-particle":"","parse-names":false,"suffix":""},{"dropping-particle":"","family":"Frick","given":"Martin","non-dropping-particle":"","parse-names":false,"suffix":""},{"dropping-particle":"","family":"Friis","given":"Anette","non-dropping-particle":"","parse-names":false,"suffix":""},{"dropping-particle":"","family":"Gallagher","given":"Martin","non-dropping-particle":"","parse-names":false,"suffix":""},{"dropping-particle":"","family":"Halkin","given":"Jean Pierre","non-dropping-particle":"","parse-names":false,"suffix":""},{"dropping-particle":"","family":"Hanson","given":"Craig","non-dropping-particle":"","parse-names":false,"suffix":""},{"dropping-particle":"","family":"Lasbennes","given":"Florence","non-dropping-particle":"","parse-names":false,"suffix":""},{"dropping-particle":"","family":"Ribera","given":"Teresa","non-dropping-particle":"","parse-names":false,"suffix":""},{"dropping-particle":"","family":"Rockstrom","given":"Johan","non-dropping-particle":"","parse-names":false,"suffix":""},{"dropping-particle":"","family":"Schuepbach","given":"Marlen","non-dropping-particle":"","parse-names":false,"suffix":""},{"dropping-particle":"","family":"Steer","given":"Andrew","non-dropping-particle":"","parse-names":false,"suffix":""},{"dropping-particle":"","family":"Tutwiler","given":"Ann","non-dropping-particle":"","parse-names":false,"suffix":""},{"dropping-particle":"","family":"Verburg","given":"Gerda","non-dropping-particle":"","parse-names":fal</w:instrText>
            </w:r>
            <w:r w:rsidRPr="002C4F8E">
              <w:rPr>
                <w:rFonts w:ascii="Times New Roman" w:eastAsia="Palatino Linotype" w:hAnsi="Times New Roman" w:cs="Times New Roman"/>
                <w:sz w:val="16"/>
                <w:szCs w:val="16"/>
              </w:rPr>
              <w:instrText>se,"suffix":""}],"container-title":"Agronomy for Sustainable Development","id":"ITEM-1","issued":{"date-parts":[["2018"]]},"title":"Food systems for sustainable development: proposals for a profound four-part transformation","type":"article"},"uris":["http://www.mendeley.com/documents/?uuid=d4e6c992-7471-4a1f-b26c-ae1859535598"]},{"id":"ITEM-2","itemData":{"DOI":"10.1038/s43016-019-0010-4","ISSN":"26621355","author":[{"dropping-particle":"","family":"Rockström","given":"Johan","non-dropping-particle":"","parse-names":false,"suffix":""},{"dropping-particle":"","family":"Edenhofer","given":"Ottmar","non-dropping-particle":"","parse-names":false,"suffix":""},{"dropping-particle":"","family":"Gaertner","given":"Juliana","non-dropping-particle":"","parse-names":false,"suffix":""},{"dropping-particle":"","family":"DeClerck","given":"Fabrice","non-dropping-particle":"","parse-names":false,"suffix":""}],"container-title":"Nature Food","id":"ITEM-2","issued":{"date-parts":[["2020"]]},"title":"Planet-proofing the global food system","type":"article"},"uris":["http://www.mendeley.com/documents/?uuid=b5336904-17c4-40c9-aa47-c38360d33a05"]}],"mendeley":{"formattedCitation":"(Caron et al., 2018; Rockström et al., 2020)","plainTextFormattedCitation":"(Caron et al., 2018; Rockström et al., 2020)","previouslyFormattedCitation":"(Caron et al., 2018; Rockström et al., 2020)"},"properties":{"noteIndex":0},"schema":"https://github.com/citation-style-language/schema/raw/master/csl-citation.json"}</w:instrText>
            </w:r>
            <w:r>
              <w:rPr>
                <w:rFonts w:ascii="Times New Roman" w:eastAsia="Palatino Linotype" w:hAnsi="Times New Roman" w:cs="Times New Roman"/>
                <w:sz w:val="16"/>
                <w:szCs w:val="16"/>
                <w:lang w:val="fr-BE"/>
              </w:rPr>
              <w:fldChar w:fldCharType="separate"/>
            </w:r>
            <w:r w:rsidRPr="002C4F8E">
              <w:rPr>
                <w:rFonts w:ascii="Times New Roman" w:eastAsia="Palatino Linotype" w:hAnsi="Times New Roman" w:cs="Times New Roman"/>
                <w:noProof/>
                <w:sz w:val="16"/>
                <w:szCs w:val="16"/>
              </w:rPr>
              <w:t xml:space="preserve">Caron et al. </w:t>
            </w:r>
            <w:r w:rsidR="001A0451">
              <w:rPr>
                <w:rFonts w:ascii="Times New Roman" w:eastAsia="Palatino Linotype" w:hAnsi="Times New Roman" w:cs="Times New Roman"/>
                <w:noProof/>
                <w:sz w:val="16"/>
                <w:szCs w:val="16"/>
              </w:rPr>
              <w:t>(</w:t>
            </w:r>
            <w:r w:rsidRPr="002C4F8E">
              <w:rPr>
                <w:rFonts w:ascii="Times New Roman" w:eastAsia="Palatino Linotype" w:hAnsi="Times New Roman" w:cs="Times New Roman"/>
                <w:noProof/>
                <w:sz w:val="16"/>
                <w:szCs w:val="16"/>
              </w:rPr>
              <w:t>2018</w:t>
            </w:r>
            <w:r w:rsidR="001A0451">
              <w:rPr>
                <w:rFonts w:ascii="Times New Roman" w:eastAsia="Palatino Linotype" w:hAnsi="Times New Roman" w:cs="Times New Roman"/>
                <w:noProof/>
                <w:sz w:val="16"/>
                <w:szCs w:val="16"/>
              </w:rPr>
              <w:t>)</w:t>
            </w:r>
            <w:r w:rsidRPr="002C4F8E">
              <w:rPr>
                <w:rFonts w:ascii="Times New Roman" w:eastAsia="Palatino Linotype" w:hAnsi="Times New Roman" w:cs="Times New Roman"/>
                <w:noProof/>
                <w:sz w:val="16"/>
                <w:szCs w:val="16"/>
              </w:rPr>
              <w:t xml:space="preserve">; </w:t>
            </w:r>
            <w:r w:rsidRPr="002C4F8E">
              <w:rPr>
                <w:rFonts w:ascii="Times New Roman" w:eastAsia="Palatino Linotype" w:hAnsi="Times New Roman" w:cs="Times New Roman"/>
                <w:noProof/>
                <w:sz w:val="16"/>
                <w:szCs w:val="16"/>
              </w:rPr>
              <w:lastRenderedPageBreak/>
              <w:t xml:space="preserve">Rockström et al. </w:t>
            </w:r>
            <w:r w:rsidR="001A0451">
              <w:rPr>
                <w:rFonts w:ascii="Times New Roman" w:eastAsia="Palatino Linotype" w:hAnsi="Times New Roman" w:cs="Times New Roman"/>
                <w:noProof/>
                <w:sz w:val="16"/>
                <w:szCs w:val="16"/>
              </w:rPr>
              <w:t>(</w:t>
            </w:r>
            <w:r w:rsidRPr="002C4F8E">
              <w:rPr>
                <w:rFonts w:ascii="Times New Roman" w:eastAsia="Palatino Linotype" w:hAnsi="Times New Roman" w:cs="Times New Roman"/>
                <w:noProof/>
                <w:sz w:val="16"/>
                <w:szCs w:val="16"/>
              </w:rPr>
              <w:t>2020)</w:t>
            </w:r>
            <w:r>
              <w:rPr>
                <w:rFonts w:ascii="Times New Roman" w:eastAsia="Palatino Linotype" w:hAnsi="Times New Roman" w:cs="Times New Roman"/>
                <w:sz w:val="16"/>
                <w:szCs w:val="16"/>
                <w:lang w:val="fr-BE"/>
              </w:rPr>
              <w:fldChar w:fldCharType="end"/>
            </w:r>
          </w:p>
        </w:tc>
        <w:tc>
          <w:tcPr>
            <w:tcW w:w="1865" w:type="dxa"/>
            <w:tcMar>
              <w:left w:w="108" w:type="dxa"/>
              <w:right w:w="108" w:type="dxa"/>
            </w:tcMar>
            <w:vAlign w:val="center"/>
          </w:tcPr>
          <w:p w14:paraId="78E82E22" w14:textId="1D9E57E9" w:rsidR="00C44178" w:rsidRPr="008C1952" w:rsidRDefault="00C44178" w:rsidP="00C44178">
            <w:pPr>
              <w:jc w:val="center"/>
              <w:rPr>
                <w:rFonts w:ascii="Times New Roman" w:hAnsi="Times New Roman" w:cs="Times New Roman"/>
                <w:sz w:val="16"/>
                <w:szCs w:val="16"/>
              </w:rPr>
            </w:pPr>
            <w:r w:rsidRPr="002C4F8E">
              <w:rPr>
                <w:rFonts w:ascii="Times New Roman" w:eastAsia="Palatino Linotype" w:hAnsi="Times New Roman" w:cs="Times New Roman"/>
                <w:sz w:val="16"/>
                <w:szCs w:val="16"/>
              </w:rPr>
              <w:lastRenderedPageBreak/>
              <w:t xml:space="preserve">Kugelberg et al. </w:t>
            </w:r>
            <w:r w:rsidR="001A0451">
              <w:rPr>
                <w:rFonts w:ascii="Times New Roman" w:eastAsia="Palatino Linotype" w:hAnsi="Times New Roman" w:cs="Times New Roman"/>
                <w:sz w:val="16"/>
                <w:szCs w:val="16"/>
              </w:rPr>
              <w:t>(</w:t>
            </w:r>
            <w:r w:rsidRPr="002C4F8E">
              <w:rPr>
                <w:rFonts w:ascii="Times New Roman" w:eastAsia="Palatino Linotype" w:hAnsi="Times New Roman" w:cs="Times New Roman"/>
                <w:sz w:val="16"/>
                <w:szCs w:val="16"/>
              </w:rPr>
              <w:t>202</w:t>
            </w:r>
            <w:r w:rsidR="001A0451">
              <w:rPr>
                <w:rFonts w:ascii="Times New Roman" w:eastAsia="Palatino Linotype" w:hAnsi="Times New Roman" w:cs="Times New Roman"/>
                <w:sz w:val="16"/>
                <w:szCs w:val="16"/>
              </w:rPr>
              <w:t>1)</w:t>
            </w:r>
          </w:p>
        </w:tc>
      </w:tr>
      <w:tr w:rsidR="00C44178" w:rsidRPr="008C1952" w14:paraId="34F8C397" w14:textId="77777777" w:rsidTr="00C44178">
        <w:trPr>
          <w:trHeight w:val="113"/>
          <w:jc w:val="center"/>
        </w:trPr>
        <w:tc>
          <w:tcPr>
            <w:tcW w:w="1159" w:type="dxa"/>
            <w:vMerge/>
            <w:tcMar>
              <w:left w:w="108" w:type="dxa"/>
              <w:right w:w="108" w:type="dxa"/>
            </w:tcMar>
            <w:vAlign w:val="center"/>
          </w:tcPr>
          <w:p w14:paraId="4B41C6DA" w14:textId="77777777" w:rsidR="00C44178" w:rsidRPr="008C1952" w:rsidRDefault="00C44178" w:rsidP="00C44178">
            <w:pPr>
              <w:jc w:val="center"/>
              <w:rPr>
                <w:rFonts w:ascii="Times New Roman" w:hAnsi="Times New Roman" w:cs="Times New Roman"/>
                <w:sz w:val="16"/>
                <w:szCs w:val="16"/>
              </w:rPr>
            </w:pPr>
          </w:p>
        </w:tc>
        <w:tc>
          <w:tcPr>
            <w:tcW w:w="4921" w:type="dxa"/>
            <w:tcMar>
              <w:left w:w="108" w:type="dxa"/>
              <w:right w:w="108" w:type="dxa"/>
            </w:tcMar>
            <w:vAlign w:val="center"/>
          </w:tcPr>
          <w:p w14:paraId="35767356" w14:textId="0B6ACE93" w:rsidR="00C44178" w:rsidRPr="008C1952" w:rsidRDefault="00C44178" w:rsidP="00C44178">
            <w:pPr>
              <w:tabs>
                <w:tab w:val="left" w:pos="1233"/>
              </w:tabs>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“A sustainable food system is a system that continuously balances between frozen states and chaos, hence does not lose track and thus does NOT </w:t>
            </w:r>
            <w:r w:rsidRPr="008C1952">
              <w:rPr>
                <w:rFonts w:ascii="Times New Roman" w:eastAsia="Palatino Linotype" w:hAnsi="Times New Roman" w:cs="Times New Roman"/>
                <w:b/>
                <w:bCs/>
                <w:sz w:val="16"/>
                <w:szCs w:val="16"/>
              </w:rPr>
              <w:t>compromise future generations</w:t>
            </w:r>
            <w:r w:rsidRPr="008C1952">
              <w:rPr>
                <w:rFonts w:ascii="Times New Roman" w:eastAsia="Palatino Linotype" w:hAnsi="Times New Roman" w:cs="Times New Roman"/>
                <w:sz w:val="16"/>
                <w:szCs w:val="16"/>
              </w:rPr>
              <w:t xml:space="preserve"> regarding the outcomes of food systems. These outcomes are </w:t>
            </w:r>
            <w:r w:rsidRPr="008C1952">
              <w:rPr>
                <w:rFonts w:ascii="Times New Roman" w:eastAsia="Palatino Linotype" w:hAnsi="Times New Roman" w:cs="Times New Roman"/>
                <w:b/>
                <w:bCs/>
                <w:sz w:val="16"/>
                <w:szCs w:val="16"/>
              </w:rPr>
              <w:t>access</w:t>
            </w:r>
            <w:r w:rsidRPr="008C1952">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b/>
                <w:bCs/>
                <w:sz w:val="16"/>
                <w:szCs w:val="16"/>
              </w:rPr>
              <w:t>availability</w:t>
            </w:r>
            <w:r w:rsidRPr="008C1952">
              <w:rPr>
                <w:rFonts w:ascii="Times New Roman" w:eastAsia="Palatino Linotype" w:hAnsi="Times New Roman" w:cs="Times New Roman"/>
                <w:sz w:val="16"/>
                <w:szCs w:val="16"/>
              </w:rPr>
              <w:t xml:space="preserve">, and </w:t>
            </w:r>
            <w:r w:rsidRPr="008C1952">
              <w:rPr>
                <w:rFonts w:ascii="Times New Roman" w:eastAsia="Palatino Linotype" w:hAnsi="Times New Roman" w:cs="Times New Roman"/>
                <w:b/>
                <w:bCs/>
                <w:sz w:val="16"/>
                <w:szCs w:val="16"/>
              </w:rPr>
              <w:t xml:space="preserve">affordability </w:t>
            </w:r>
            <w:r w:rsidRPr="008C1952">
              <w:rPr>
                <w:rFonts w:ascii="Times New Roman" w:eastAsia="Palatino Linotype" w:hAnsi="Times New Roman" w:cs="Times New Roman"/>
                <w:sz w:val="16"/>
                <w:szCs w:val="16"/>
              </w:rPr>
              <w:t xml:space="preserve">of </w:t>
            </w:r>
            <w:r w:rsidRPr="008C1952">
              <w:rPr>
                <w:rFonts w:ascii="Times New Roman" w:eastAsia="Palatino Linotype" w:hAnsi="Times New Roman" w:cs="Times New Roman"/>
                <w:b/>
                <w:bCs/>
                <w:sz w:val="16"/>
                <w:szCs w:val="16"/>
              </w:rPr>
              <w:t xml:space="preserve">safe and nutritious </w:t>
            </w:r>
            <w:r w:rsidRPr="008C1952">
              <w:rPr>
                <w:rFonts w:ascii="Times New Roman" w:eastAsia="Palatino Linotype" w:hAnsi="Times New Roman" w:cs="Times New Roman"/>
                <w:sz w:val="16"/>
                <w:szCs w:val="16"/>
              </w:rPr>
              <w:t xml:space="preserve">food for </w:t>
            </w:r>
            <w:r w:rsidRPr="008C1952">
              <w:rPr>
                <w:rFonts w:ascii="Times New Roman" w:eastAsia="Palatino Linotype" w:hAnsi="Times New Roman" w:cs="Times New Roman"/>
                <w:b/>
                <w:bCs/>
                <w:sz w:val="16"/>
                <w:szCs w:val="16"/>
              </w:rPr>
              <w:t xml:space="preserve">health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well-being</w:t>
            </w:r>
            <w:r w:rsidRPr="008C1952">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b/>
                <w:bCs/>
                <w:sz w:val="16"/>
                <w:szCs w:val="16"/>
              </w:rPr>
              <w:t>net-zero environmental and climatic impact</w:t>
            </w:r>
            <w:r w:rsidRPr="008C1952">
              <w:rPr>
                <w:rFonts w:ascii="Times New Roman" w:eastAsia="Palatino Linotype" w:hAnsi="Times New Roman" w:cs="Times New Roman"/>
                <w:sz w:val="16"/>
                <w:szCs w:val="16"/>
              </w:rPr>
              <w:t xml:space="preserve">, and respected </w:t>
            </w:r>
            <w:r w:rsidRPr="008C1952">
              <w:rPr>
                <w:rFonts w:ascii="Times New Roman" w:eastAsia="Palatino Linotype" w:hAnsi="Times New Roman" w:cs="Times New Roman"/>
                <w:b/>
                <w:bCs/>
                <w:sz w:val="16"/>
                <w:szCs w:val="16"/>
              </w:rPr>
              <w:t xml:space="preserve">socio-economic values </w:t>
            </w:r>
            <w:r w:rsidRPr="008C1952">
              <w:rPr>
                <w:rFonts w:ascii="Times New Roman" w:eastAsia="Palatino Linotype" w:hAnsi="Times New Roman" w:cs="Times New Roman"/>
                <w:sz w:val="16"/>
                <w:szCs w:val="16"/>
              </w:rPr>
              <w:t xml:space="preserve">such as </w:t>
            </w:r>
            <w:r w:rsidRPr="008C1952">
              <w:rPr>
                <w:rFonts w:ascii="Times New Roman" w:eastAsia="Palatino Linotype" w:hAnsi="Times New Roman" w:cs="Times New Roman"/>
                <w:b/>
                <w:bCs/>
                <w:sz w:val="16"/>
                <w:szCs w:val="16"/>
              </w:rPr>
              <w:t xml:space="preserve">employment </w:t>
            </w:r>
            <w:r w:rsidRPr="008C1952">
              <w:rPr>
                <w:rFonts w:ascii="Times New Roman" w:eastAsia="Palatino Linotype" w:hAnsi="Times New Roman" w:cs="Times New Roman"/>
                <w:sz w:val="16"/>
                <w:szCs w:val="16"/>
              </w:rPr>
              <w:t xml:space="preserve">or </w:t>
            </w:r>
            <w:r w:rsidRPr="008C1952">
              <w:rPr>
                <w:rFonts w:ascii="Times New Roman" w:eastAsia="Palatino Linotype" w:hAnsi="Times New Roman" w:cs="Times New Roman"/>
                <w:b/>
                <w:bCs/>
                <w:sz w:val="16"/>
                <w:szCs w:val="16"/>
              </w:rPr>
              <w:t>cultural diversity</w:t>
            </w:r>
            <w:r w:rsidRPr="008C1952">
              <w:rPr>
                <w:rFonts w:ascii="Times New Roman" w:eastAsia="Palatino Linotype" w:hAnsi="Times New Roman" w:cs="Times New Roman"/>
                <w:sz w:val="16"/>
                <w:szCs w:val="16"/>
              </w:rPr>
              <w:t>. Each development goal for an SFS is character</w:t>
            </w:r>
            <w:r w:rsidR="00ED3846">
              <w:rPr>
                <w:rFonts w:ascii="Times New Roman" w:eastAsia="Palatino Linotype" w:hAnsi="Times New Roman" w:cs="Times New Roman"/>
                <w:sz w:val="16"/>
                <w:szCs w:val="16"/>
              </w:rPr>
              <w:t>is</w:t>
            </w:r>
            <w:r w:rsidRPr="008C1952">
              <w:rPr>
                <w:rFonts w:ascii="Times New Roman" w:eastAsia="Palatino Linotype" w:hAnsi="Times New Roman" w:cs="Times New Roman"/>
                <w:sz w:val="16"/>
                <w:szCs w:val="16"/>
              </w:rPr>
              <w:t>ed by both a lower and an upper limit.”</w:t>
            </w:r>
          </w:p>
        </w:tc>
        <w:tc>
          <w:tcPr>
            <w:tcW w:w="1081" w:type="dxa"/>
            <w:tcMar>
              <w:left w:w="108" w:type="dxa"/>
              <w:right w:w="108" w:type="dxa"/>
            </w:tcMar>
            <w:vAlign w:val="center"/>
          </w:tcPr>
          <w:p w14:paraId="1C33716D" w14:textId="77777777" w:rsidR="00C44178" w:rsidRPr="008C1952" w:rsidRDefault="00C44178" w:rsidP="00C44178">
            <w:pPr>
              <w:jc w:val="center"/>
              <w:rPr>
                <w:rFonts w:ascii="Times New Roman" w:eastAsia="Palatino Linotype" w:hAnsi="Times New Roman" w:cs="Times New Roman"/>
                <w:sz w:val="16"/>
                <w:szCs w:val="16"/>
              </w:rPr>
            </w:pPr>
          </w:p>
        </w:tc>
        <w:tc>
          <w:tcPr>
            <w:tcW w:w="1865" w:type="dxa"/>
            <w:tcMar>
              <w:left w:w="108" w:type="dxa"/>
              <w:right w:w="108" w:type="dxa"/>
            </w:tcMar>
            <w:vAlign w:val="center"/>
          </w:tcPr>
          <w:p w14:paraId="7C932B80" w14:textId="7D0C9DCC"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de Vries et al.</w:t>
            </w:r>
            <w:r w:rsidR="001A0451">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2022</w:t>
            </w:r>
            <w:r w:rsidR="001A0451">
              <w:rPr>
                <w:rFonts w:ascii="Times New Roman" w:eastAsia="Palatino Linotype" w:hAnsi="Times New Roman" w:cs="Times New Roman"/>
                <w:sz w:val="16"/>
                <w:szCs w:val="16"/>
              </w:rPr>
              <w:t>)</w:t>
            </w:r>
          </w:p>
        </w:tc>
      </w:tr>
      <w:tr w:rsidR="00C44178" w:rsidRPr="008C1952" w14:paraId="541D53CF" w14:textId="77777777" w:rsidTr="00C44178">
        <w:trPr>
          <w:trHeight w:val="113"/>
          <w:jc w:val="center"/>
        </w:trPr>
        <w:tc>
          <w:tcPr>
            <w:tcW w:w="1159" w:type="dxa"/>
            <w:tcBorders>
              <w:top w:val="single" w:sz="4" w:space="0" w:color="000000"/>
              <w:bottom w:val="single" w:sz="4" w:space="0" w:color="000000"/>
            </w:tcBorders>
            <w:tcMar>
              <w:left w:w="108" w:type="dxa"/>
              <w:right w:w="108" w:type="dxa"/>
            </w:tcMar>
            <w:vAlign w:val="center"/>
          </w:tcPr>
          <w:p w14:paraId="2A202E91" w14:textId="77777777" w:rsidR="00C44178"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Sustainable Bioeconomy Systems</w:t>
            </w:r>
            <w:r>
              <w:rPr>
                <w:rFonts w:ascii="Times New Roman" w:eastAsia="Palatino Linotype" w:hAnsi="Times New Roman" w:cs="Times New Roman"/>
                <w:b/>
                <w:bCs/>
                <w:sz w:val="16"/>
                <w:szCs w:val="16"/>
              </w:rPr>
              <w:t xml:space="preserve"> </w:t>
            </w:r>
          </w:p>
          <w:p w14:paraId="46743585" w14:textId="73145BA5" w:rsidR="00C44178" w:rsidRPr="00FB3445" w:rsidRDefault="00C44178" w:rsidP="00C44178">
            <w:pPr>
              <w:jc w:val="center"/>
              <w:rPr>
                <w:rFonts w:ascii="Times New Roman" w:eastAsia="Palatino Linotype" w:hAnsi="Times New Roman" w:cs="Times New Roman"/>
                <w:b/>
                <w:bCs/>
                <w:i/>
                <w:iCs/>
                <w:sz w:val="16"/>
                <w:szCs w:val="16"/>
              </w:rPr>
            </w:pPr>
            <w:r w:rsidRPr="00FB3445">
              <w:rPr>
                <w:rFonts w:ascii="Times New Roman" w:eastAsia="Palatino Linotype" w:hAnsi="Times New Roman" w:cs="Times New Roman"/>
                <w:b/>
                <w:bCs/>
                <w:i/>
                <w:iCs/>
                <w:sz w:val="16"/>
                <w:szCs w:val="16"/>
              </w:rPr>
              <w:t>(n=1)</w:t>
            </w:r>
          </w:p>
        </w:tc>
        <w:tc>
          <w:tcPr>
            <w:tcW w:w="4921" w:type="dxa"/>
            <w:tcBorders>
              <w:top w:val="single" w:sz="4" w:space="0" w:color="000000"/>
              <w:bottom w:val="single" w:sz="4" w:space="0" w:color="000000"/>
            </w:tcBorders>
            <w:tcMar>
              <w:left w:w="108" w:type="dxa"/>
              <w:right w:w="108" w:type="dxa"/>
            </w:tcMar>
            <w:vAlign w:val="center"/>
          </w:tcPr>
          <w:p w14:paraId="73361BF6" w14:textId="77777777" w:rsidR="00C44178" w:rsidRPr="008C1952" w:rsidRDefault="00C44178" w:rsidP="00C44178">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w:t>
            </w:r>
            <w:r w:rsidRPr="008C1952">
              <w:rPr>
                <w:rFonts w:ascii="Times New Roman" w:eastAsia="Palatino Linotype" w:hAnsi="Times New Roman" w:cs="Times New Roman"/>
                <w:b/>
                <w:bCs/>
                <w:sz w:val="16"/>
                <w:szCs w:val="16"/>
              </w:rPr>
              <w:t>Complex Adaptive Systems</w:t>
            </w:r>
            <w:r w:rsidRPr="008C1952">
              <w:rPr>
                <w:rFonts w:ascii="Times New Roman" w:eastAsia="Palatino Linotype" w:hAnsi="Times New Roman" w:cs="Times New Roman"/>
                <w:sz w:val="16"/>
                <w:szCs w:val="16"/>
              </w:rPr>
              <w:t xml:space="preserve"> dealing with </w:t>
            </w:r>
            <w:r w:rsidRPr="008C1952">
              <w:rPr>
                <w:rFonts w:ascii="Times New Roman" w:eastAsia="Palatino Linotype" w:hAnsi="Times New Roman" w:cs="Times New Roman"/>
                <w:b/>
                <w:bCs/>
                <w:sz w:val="16"/>
                <w:szCs w:val="16"/>
              </w:rPr>
              <w:t xml:space="preserve">food </w:t>
            </w:r>
            <w:r w:rsidRPr="008C1952">
              <w:rPr>
                <w:rFonts w:ascii="Times New Roman" w:eastAsia="Palatino Linotype" w:hAnsi="Times New Roman" w:cs="Times New Roman"/>
                <w:sz w:val="16"/>
                <w:szCs w:val="16"/>
              </w:rPr>
              <w:t>and other b</w:t>
            </w:r>
            <w:r w:rsidRPr="008C1952">
              <w:rPr>
                <w:rFonts w:ascii="Times New Roman" w:eastAsia="Palatino Linotype" w:hAnsi="Times New Roman" w:cs="Times New Roman"/>
                <w:b/>
                <w:bCs/>
                <w:sz w:val="16"/>
                <w:szCs w:val="16"/>
              </w:rPr>
              <w:t>io-based products</w:t>
            </w:r>
            <w:r w:rsidRPr="008C1952">
              <w:rPr>
                <w:rFonts w:ascii="Times New Roman" w:eastAsia="Palatino Linotype" w:hAnsi="Times New Roman" w:cs="Times New Roman"/>
                <w:sz w:val="16"/>
                <w:szCs w:val="16"/>
              </w:rPr>
              <w:t>, showing helix-like moves in the sustainability zone. “</w:t>
            </w:r>
          </w:p>
        </w:tc>
        <w:tc>
          <w:tcPr>
            <w:tcW w:w="1081" w:type="dxa"/>
            <w:tcBorders>
              <w:top w:val="single" w:sz="4" w:space="0" w:color="000000"/>
              <w:bottom w:val="single" w:sz="4" w:space="0" w:color="000000"/>
            </w:tcBorders>
            <w:tcMar>
              <w:left w:w="108" w:type="dxa"/>
              <w:right w:w="108" w:type="dxa"/>
            </w:tcMar>
            <w:vAlign w:val="center"/>
          </w:tcPr>
          <w:p w14:paraId="7DDB94BD" w14:textId="77777777" w:rsidR="00C44178" w:rsidRPr="008C1952" w:rsidRDefault="00C44178" w:rsidP="00C44178">
            <w:pPr>
              <w:jc w:val="center"/>
              <w:rPr>
                <w:rFonts w:ascii="Times New Roman" w:hAnsi="Times New Roman" w:cs="Times New Roman"/>
                <w:sz w:val="16"/>
                <w:szCs w:val="16"/>
              </w:rPr>
            </w:pPr>
          </w:p>
        </w:tc>
        <w:tc>
          <w:tcPr>
            <w:tcW w:w="1865" w:type="dxa"/>
            <w:tcBorders>
              <w:top w:val="single" w:sz="4" w:space="0" w:color="000000"/>
              <w:bottom w:val="single" w:sz="4" w:space="0" w:color="000000"/>
            </w:tcBorders>
            <w:tcMar>
              <w:left w:w="108" w:type="dxa"/>
              <w:right w:w="108" w:type="dxa"/>
            </w:tcMar>
            <w:vAlign w:val="center"/>
          </w:tcPr>
          <w:p w14:paraId="6BE617E9" w14:textId="5B25F0BF"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de Vries et al.</w:t>
            </w:r>
            <w:r w:rsidR="001A0451">
              <w:rPr>
                <w:rFonts w:ascii="Times New Roman" w:eastAsia="Palatino Linotype" w:hAnsi="Times New Roman" w:cs="Times New Roman"/>
                <w:sz w:val="16"/>
                <w:szCs w:val="16"/>
              </w:rPr>
              <w:t xml:space="preserve"> (</w:t>
            </w:r>
            <w:r w:rsidRPr="008C1952">
              <w:rPr>
                <w:rFonts w:ascii="Times New Roman" w:eastAsia="Palatino Linotype" w:hAnsi="Times New Roman" w:cs="Times New Roman"/>
                <w:sz w:val="16"/>
                <w:szCs w:val="16"/>
              </w:rPr>
              <w:t>2021</w:t>
            </w:r>
            <w:r w:rsidR="001A0451">
              <w:rPr>
                <w:rFonts w:ascii="Times New Roman" w:eastAsia="Palatino Linotype" w:hAnsi="Times New Roman" w:cs="Times New Roman"/>
                <w:sz w:val="16"/>
                <w:szCs w:val="16"/>
              </w:rPr>
              <w:t>)</w:t>
            </w:r>
          </w:p>
          <w:p w14:paraId="75302C38" w14:textId="77777777" w:rsidR="00C44178" w:rsidRPr="008C1952" w:rsidRDefault="00C44178" w:rsidP="00C44178">
            <w:pPr>
              <w:jc w:val="center"/>
              <w:rPr>
                <w:rFonts w:ascii="Times New Roman" w:eastAsia="Palatino Linotype" w:hAnsi="Times New Roman" w:cs="Times New Roman"/>
                <w:sz w:val="16"/>
                <w:szCs w:val="16"/>
              </w:rPr>
            </w:pPr>
          </w:p>
        </w:tc>
      </w:tr>
      <w:tr w:rsidR="00C44178" w:rsidRPr="008C1952" w14:paraId="6D558FE3" w14:textId="77777777" w:rsidTr="00C44178">
        <w:trPr>
          <w:trHeight w:val="113"/>
          <w:jc w:val="center"/>
        </w:trPr>
        <w:tc>
          <w:tcPr>
            <w:tcW w:w="1159" w:type="dxa"/>
            <w:tcBorders>
              <w:top w:val="single" w:sz="4" w:space="0" w:color="000000"/>
              <w:bottom w:val="single" w:sz="4" w:space="0" w:color="000000"/>
            </w:tcBorders>
            <w:tcMar>
              <w:left w:w="108" w:type="dxa"/>
              <w:right w:w="108" w:type="dxa"/>
            </w:tcMar>
            <w:vAlign w:val="center"/>
          </w:tcPr>
          <w:p w14:paraId="5631BD58" w14:textId="77777777" w:rsidR="00C44178"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Food Governance</w:t>
            </w:r>
          </w:p>
          <w:p w14:paraId="04250298" w14:textId="3BBB36B3" w:rsidR="00C44178" w:rsidRPr="00FB3445" w:rsidRDefault="00C44178" w:rsidP="00C44178">
            <w:pPr>
              <w:jc w:val="center"/>
              <w:rPr>
                <w:rFonts w:ascii="Times New Roman" w:eastAsia="Palatino Linotype" w:hAnsi="Times New Roman" w:cs="Times New Roman"/>
                <w:b/>
                <w:bCs/>
                <w:i/>
                <w:iCs/>
                <w:sz w:val="16"/>
                <w:szCs w:val="16"/>
              </w:rPr>
            </w:pPr>
            <w:r w:rsidRPr="00FB3445">
              <w:rPr>
                <w:rFonts w:ascii="Times New Roman" w:eastAsia="Palatino Linotype" w:hAnsi="Times New Roman" w:cs="Times New Roman"/>
                <w:b/>
                <w:bCs/>
                <w:i/>
                <w:iCs/>
                <w:sz w:val="16"/>
                <w:szCs w:val="16"/>
              </w:rPr>
              <w:t>(n=2)</w:t>
            </w:r>
          </w:p>
        </w:tc>
        <w:tc>
          <w:tcPr>
            <w:tcW w:w="4921" w:type="dxa"/>
            <w:tcBorders>
              <w:top w:val="single" w:sz="4" w:space="0" w:color="000000"/>
              <w:bottom w:val="single" w:sz="4" w:space="0" w:color="000000"/>
            </w:tcBorders>
            <w:tcMar>
              <w:left w:w="108" w:type="dxa"/>
              <w:right w:w="108" w:type="dxa"/>
            </w:tcMar>
            <w:vAlign w:val="center"/>
          </w:tcPr>
          <w:p w14:paraId="1AE14542" w14:textId="68312C45" w:rsidR="00C44178" w:rsidRPr="008C1952" w:rsidRDefault="00C44178" w:rsidP="00C44178">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“The formal and informal interactions across scales between public and/or private entities ultimately aiming at the real</w:t>
            </w:r>
            <w:r w:rsidR="00ED3846">
              <w:rPr>
                <w:rFonts w:ascii="Times New Roman" w:eastAsia="Palatino Linotype" w:hAnsi="Times New Roman" w:cs="Times New Roman"/>
                <w:sz w:val="16"/>
                <w:szCs w:val="16"/>
              </w:rPr>
              <w:t>is</w:t>
            </w:r>
            <w:r w:rsidRPr="008C1952">
              <w:rPr>
                <w:rFonts w:ascii="Times New Roman" w:eastAsia="Palatino Linotype" w:hAnsi="Times New Roman" w:cs="Times New Roman"/>
                <w:sz w:val="16"/>
                <w:szCs w:val="16"/>
              </w:rPr>
              <w:t>ation of food</w:t>
            </w:r>
            <w:r w:rsidRPr="008C1952">
              <w:rPr>
                <w:rFonts w:ascii="Times New Roman" w:eastAsia="Palatino Linotype" w:hAnsi="Times New Roman" w:cs="Times New Roman"/>
                <w:b/>
                <w:bCs/>
                <w:sz w:val="16"/>
                <w:szCs w:val="16"/>
              </w:rPr>
              <w:t xml:space="preserve"> availability, food access, and food util</w:t>
            </w:r>
            <w:r w:rsidR="00ED3846">
              <w:rPr>
                <w:rFonts w:ascii="Times New Roman" w:eastAsia="Palatino Linotype" w:hAnsi="Times New Roman" w:cs="Times New Roman"/>
                <w:b/>
                <w:bCs/>
                <w:sz w:val="16"/>
                <w:szCs w:val="16"/>
              </w:rPr>
              <w:t>is</w:t>
            </w:r>
            <w:r w:rsidRPr="008C1952">
              <w:rPr>
                <w:rFonts w:ascii="Times New Roman" w:eastAsia="Palatino Linotype" w:hAnsi="Times New Roman" w:cs="Times New Roman"/>
                <w:b/>
                <w:bCs/>
                <w:sz w:val="16"/>
                <w:szCs w:val="16"/>
              </w:rPr>
              <w:t>ation, and their stability over time</w:t>
            </w:r>
            <w:r w:rsidRPr="008C1952">
              <w:rPr>
                <w:rFonts w:ascii="Times New Roman" w:eastAsia="Palatino Linotype" w:hAnsi="Times New Roman" w:cs="Times New Roman"/>
                <w:sz w:val="16"/>
                <w:szCs w:val="16"/>
              </w:rPr>
              <w:t>.”</w:t>
            </w:r>
          </w:p>
        </w:tc>
        <w:tc>
          <w:tcPr>
            <w:tcW w:w="1081" w:type="dxa"/>
            <w:tcBorders>
              <w:top w:val="single" w:sz="4" w:space="0" w:color="000000"/>
              <w:bottom w:val="single" w:sz="4" w:space="0" w:color="000000"/>
            </w:tcBorders>
            <w:tcMar>
              <w:left w:w="108" w:type="dxa"/>
              <w:right w:w="108" w:type="dxa"/>
            </w:tcMar>
            <w:vAlign w:val="center"/>
          </w:tcPr>
          <w:p w14:paraId="4F2AA5C1" w14:textId="55431EEB" w:rsidR="00C44178" w:rsidRPr="008C1952" w:rsidRDefault="00DC2459" w:rsidP="00C44178">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{"citationItems":[{"id":"ITEM-1","itemData":{"DOI":"10.1007/s12571-014-0364-2","ISSN":"18764525","abstract":"The role of governance has been receiving increasing attention from food security scholars in recent years. However, in spite of the recognition that governance matters, current knowledge of food security governance is rather fragmented. To provide some clarity in the debate about the role of governance in addressing food (in)security, this paper reports the results of a systematic review of the literature. The synthesis revolves around seven recurring themes: i) the view of governance as both a challenge and solution to food security; ii) a governability that is characterized by high degrees of complexity; iii) failures of the current institutional architectures; iv) the arrival of new players at the forefront; v) calls for coherency and coordination across multiple scales; vi) variation and conflict of ideas; and vii) calls for the allocation of sufficient resources and the integration of democratic values in food security governance. Two lines of discussion of this synthesis are raised. First, the researcher argues that a large proportion of the food security governance literature is characterized by an optimist governance perspective, i.e., a view of governance as a problem-solving mechanism. Complementing this body of literature with alternative governance perspectives in future research may strengthen current understandings of food security governance. Approaching food security as a 'wicked problem' could provide valuable insights in this respect. Second, food security governance as a research field could make headway by engaging in further empirical investigation of current governance arrangements, particularly at sub-national levels. © 2014 Springer Science+Business Media Dordrecht and International Society for Plant Pathology.","author":[{"dropping-particle":"","family":"Candel","given":"Jeroen J.L.","non-dropping-particle":"","parse-names":false,"suffix":""}],"container-title":"Food Security","id":"ITEM-1","issued":{"date-parts":[["2014"]]},"title":"Food security governance: A systematic literature review","type":"article-journal"},"uris":["http://www.mendeley.com/documents/?uuid=3a4f5497-2c01-4b3b-bb71-827ceb990693"]}],"mendeley":{"formattedCitation":"(Candel, 2014)","plainTextFormattedCitation":"(Candel, 2014)","previouslyFormattedCitation":"(Candel, 2014)"},"properties":{"noteIndex":0},"schema":"https://github.com/citation-style-language/schema/raw/master/csl-citation.json"}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DC2459">
              <w:rPr>
                <w:rFonts w:ascii="Times New Roman" w:eastAsia="Palatino Linotype" w:hAnsi="Times New Roman" w:cs="Times New Roman"/>
                <w:noProof/>
                <w:sz w:val="16"/>
                <w:szCs w:val="16"/>
              </w:rPr>
              <w:t xml:space="preserve">Candel </w:t>
            </w:r>
            <w:r w:rsidR="001A0451">
              <w:rPr>
                <w:rFonts w:ascii="Times New Roman" w:eastAsia="Palatino Linotype" w:hAnsi="Times New Roman" w:cs="Times New Roman"/>
                <w:noProof/>
                <w:sz w:val="16"/>
                <w:szCs w:val="16"/>
              </w:rPr>
              <w:t>(</w:t>
            </w:r>
            <w:r w:rsidRPr="00DC2459">
              <w:rPr>
                <w:rFonts w:ascii="Times New Roman" w:eastAsia="Palatino Linotype" w:hAnsi="Times New Roman" w:cs="Times New Roman"/>
                <w:noProof/>
                <w:sz w:val="16"/>
                <w:szCs w:val="16"/>
              </w:rPr>
              <w:t>2014)</w:t>
            </w:r>
            <w:r>
              <w:rPr>
                <w:rFonts w:ascii="Times New Roman" w:eastAsia="Palatino Linotype" w:hAnsi="Times New Roman" w:cs="Times New Roman"/>
                <w:sz w:val="16"/>
                <w:szCs w:val="16"/>
              </w:rPr>
              <w:fldChar w:fldCharType="end"/>
            </w:r>
          </w:p>
        </w:tc>
        <w:tc>
          <w:tcPr>
            <w:tcW w:w="1865" w:type="dxa"/>
            <w:tcBorders>
              <w:top w:val="single" w:sz="4" w:space="0" w:color="000000"/>
              <w:bottom w:val="single" w:sz="4" w:space="0" w:color="000000"/>
            </w:tcBorders>
            <w:tcMar>
              <w:left w:w="108" w:type="dxa"/>
              <w:right w:w="108" w:type="dxa"/>
            </w:tcMar>
            <w:vAlign w:val="center"/>
          </w:tcPr>
          <w:p w14:paraId="3225C078" w14:textId="5081E4FA"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 xml:space="preserve">Dìaz-Mendez and Lonzano-Cabedo </w:t>
            </w:r>
            <w:r w:rsidR="001A0451">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2019</w:t>
            </w:r>
            <w:r w:rsidR="001A0451">
              <w:rPr>
                <w:rFonts w:ascii="Times New Roman" w:eastAsia="Palatino Linotype" w:hAnsi="Times New Roman" w:cs="Times New Roman"/>
                <w:sz w:val="16"/>
                <w:szCs w:val="16"/>
              </w:rPr>
              <w:t>)</w:t>
            </w:r>
          </w:p>
        </w:tc>
      </w:tr>
      <w:tr w:rsidR="00C44178" w:rsidRPr="008C1952" w14:paraId="423779B1" w14:textId="77777777" w:rsidTr="00C44178">
        <w:trPr>
          <w:trHeight w:val="113"/>
          <w:jc w:val="center"/>
        </w:trPr>
        <w:tc>
          <w:tcPr>
            <w:tcW w:w="1159" w:type="dxa"/>
            <w:tcBorders>
              <w:top w:val="single" w:sz="4" w:space="0" w:color="000000"/>
              <w:bottom w:val="single" w:sz="4" w:space="0" w:color="000000"/>
            </w:tcBorders>
            <w:tcMar>
              <w:left w:w="108" w:type="dxa"/>
              <w:right w:w="108" w:type="dxa"/>
            </w:tcMar>
            <w:vAlign w:val="center"/>
          </w:tcPr>
          <w:p w14:paraId="4199683A" w14:textId="77777777" w:rsidR="00C44178"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Local Food Systems</w:t>
            </w:r>
          </w:p>
          <w:p w14:paraId="067DDE92" w14:textId="4F8A7064" w:rsidR="00C44178" w:rsidRPr="00FB3445" w:rsidRDefault="00C44178" w:rsidP="00C44178">
            <w:pPr>
              <w:jc w:val="center"/>
              <w:rPr>
                <w:rFonts w:ascii="Times New Roman" w:eastAsia="Palatino Linotype" w:hAnsi="Times New Roman" w:cs="Times New Roman"/>
                <w:b/>
                <w:bCs/>
                <w:i/>
                <w:iCs/>
                <w:sz w:val="16"/>
                <w:szCs w:val="16"/>
              </w:rPr>
            </w:pPr>
            <w:r w:rsidRPr="00FB3445">
              <w:rPr>
                <w:rFonts w:ascii="Times New Roman" w:eastAsia="Palatino Linotype" w:hAnsi="Times New Roman" w:cs="Times New Roman"/>
                <w:b/>
                <w:bCs/>
                <w:i/>
                <w:iCs/>
                <w:sz w:val="16"/>
                <w:szCs w:val="16"/>
              </w:rPr>
              <w:t>(n=1)</w:t>
            </w:r>
          </w:p>
        </w:tc>
        <w:tc>
          <w:tcPr>
            <w:tcW w:w="4921" w:type="dxa"/>
            <w:tcBorders>
              <w:top w:val="single" w:sz="4" w:space="0" w:color="000000"/>
              <w:bottom w:val="single" w:sz="4" w:space="0" w:color="000000"/>
            </w:tcBorders>
            <w:tcMar>
              <w:left w:w="108" w:type="dxa"/>
              <w:right w:w="108" w:type="dxa"/>
            </w:tcMar>
          </w:tcPr>
          <w:p w14:paraId="25D0381E" w14:textId="77777777" w:rsidR="00C44178" w:rsidRPr="008C1952" w:rsidRDefault="00C44178" w:rsidP="00C44178">
            <w:pP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“Local food system is a system in which foods </w:t>
            </w:r>
            <w:r w:rsidRPr="008C1952">
              <w:rPr>
                <w:rFonts w:ascii="Times New Roman" w:eastAsia="Palatino Linotype" w:hAnsi="Times New Roman" w:cs="Times New Roman"/>
                <w:b/>
                <w:bCs/>
                <w:sz w:val="16"/>
                <w:szCs w:val="16"/>
              </w:rPr>
              <w:t>are produced, processed and retailed within a defined geographical area</w:t>
            </w:r>
            <w:r w:rsidRPr="008C1952">
              <w:rPr>
                <w:rFonts w:ascii="Times New Roman" w:eastAsia="Palatino Linotype" w:hAnsi="Times New Roman" w:cs="Times New Roman"/>
                <w:sz w:val="16"/>
                <w:szCs w:val="16"/>
              </w:rPr>
              <w:t xml:space="preserve"> (within a 20 to 100 km radius approximately).”</w:t>
            </w:r>
          </w:p>
        </w:tc>
        <w:tc>
          <w:tcPr>
            <w:tcW w:w="1081" w:type="dxa"/>
            <w:tcBorders>
              <w:top w:val="single" w:sz="4" w:space="0" w:color="000000"/>
              <w:bottom w:val="single" w:sz="4" w:space="0" w:color="000000"/>
            </w:tcBorders>
            <w:tcMar>
              <w:left w:w="108" w:type="dxa"/>
              <w:right w:w="108" w:type="dxa"/>
            </w:tcMar>
            <w:vAlign w:val="center"/>
          </w:tcPr>
          <w:p w14:paraId="4005AFC4" w14:textId="4986B81A" w:rsidR="00C44178" w:rsidRPr="008C1952" w:rsidRDefault="00A02A55" w:rsidP="00C44178">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sidR="00DA4917">
              <w:rPr>
                <w:rFonts w:ascii="Times New Roman" w:eastAsia="Palatino Linotype" w:hAnsi="Times New Roman" w:cs="Times New Roman"/>
                <w:sz w:val="16"/>
                <w:szCs w:val="16"/>
              </w:rPr>
              <w:instrText>ADDIN CSL_CITATION {"citationItems":[{"id":"ITEM-1","itemData":{"ISBN":"978-92-79-29288-0","abstract":"The present study aims at describing the state-of-play of short food supply chains (SFSC) in the EU understood as being the chains in which foods involved are identified by, and traceable to a farmer and for which the number of intermediaries between farmer and consumer should be minimal or ideally nil. Several types of SFSCs can be identified, for example CSAs (Community-Supported Agriculture), on-farm sales, off-farm schemes (farmers markets, delivery schemes), collective sales in particular towards public institutions, being mostly local / proximity sales and in some cases distance sales. Such type of food chain has specific social impacts, economic impacts at regional and farm level as well as environmental impacts translating themselves into a clear interest of consumers. SFSCs are present throughout the EU, although there are some differences in the different MS in terms of dominating types of SFSCs. In general, they are dominantly small or microenterprises, composed of small-scale producers, often coupled to organic farming practices. Social values (quality products to consumers and direct contact with the producer) are the values usually highlighted by SFSCs before environmental or economic values. In terms of policy tools, there are pros and cons in developing a specific EU labelling scheme which could bring more recognition, clarity, protection and value added to SFSCs, while potential costs might be an obstacle. Anyhow, a possible labelling scheme should take into account the current different stages and situations of development of SFSCs in the EU and be flexible enough accommodate these differences. Other policy tools, in particular training and knowledge exchange in marketing and communication, are considered important and should continue to be funded by Rural Development programmes, as well as possibly other EU funds in view of the positive social and not specifically rural impacts.","author":[{"dropping-particle":"","family":"Kneafsey","given":"M","non-dropping-particle":"","parse-names":false,"suffix":""},{"dropping-particle":"","family":"Venn","given":"L","non-dropping-particle":"","parse-names":false,"suffix":""},{"dropping-particle":"","family":"Schmutz","given":"U","non-dropping-particle":"","parse-names":false,"suffix":""},{"dropping-particle":"","family":"Balázs","given":"B","non-dropping-particle":"","parse-names":false,"suffix":""},{"dropping-particle":"","family":"Trenchard","given":"L","non-dropping-particle":"","parse-names":false,"suffix":""},{"dropping-particle":"","family":"Eyden-Wood","given":"T","non-dropping-particle":"","parse-names":false,"suffix":""},{"dropping-particle":"","family":"Bos","given":"E","non-dropping-particle":"","parse-names":false,"suffix":""},{"dropping-particle":"","family":"Sutton","given":"G","non-dropping-particle":"","parse-names":false,"suffix":""},{"dropping-particle":"","family":"Blackett","given":"M","non-dropping-particle":"","parse-names":false,"suffix":""}],"container-title":"JRC Scientific and Policy Reports","id":"ITEM-1","issued":{"date-parts":[["2013"]]},"title":"Short Food Supply Chains and Local Food Systems in the EU . A State of Play of their Socio-Economic Characteristics.","type":"article-journal"},"uris":["http://www.mendeley.com/documents/?uuid=ea1cca76-8788-4b52-aab6-0b201164412a"]}],"mendeley":{"formattedCitation":"(Kneafsey et al., 2013)","plainTextFormattedCitation":"(Kneafsey et al., 2013)","previouslyFormattedCitation":"(Kneafsey et al., 2013)"},"properties":{"noteIndex":0},"schema":"https://github.com/citation-style-language/schema/raw/master/csl-citation.json"}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A02A55">
              <w:rPr>
                <w:rFonts w:ascii="Times New Roman" w:eastAsia="Palatino Linotype" w:hAnsi="Times New Roman" w:cs="Times New Roman"/>
                <w:noProof/>
                <w:sz w:val="16"/>
                <w:szCs w:val="16"/>
              </w:rPr>
              <w:t xml:space="preserve">Kneafsey et al. </w:t>
            </w:r>
            <w:r w:rsidR="001A0451">
              <w:rPr>
                <w:rFonts w:ascii="Times New Roman" w:eastAsia="Palatino Linotype" w:hAnsi="Times New Roman" w:cs="Times New Roman"/>
                <w:noProof/>
                <w:sz w:val="16"/>
                <w:szCs w:val="16"/>
              </w:rPr>
              <w:t>(</w:t>
            </w:r>
            <w:r w:rsidRPr="00A02A55">
              <w:rPr>
                <w:rFonts w:ascii="Times New Roman" w:eastAsia="Palatino Linotype" w:hAnsi="Times New Roman" w:cs="Times New Roman"/>
                <w:noProof/>
                <w:sz w:val="16"/>
                <w:szCs w:val="16"/>
              </w:rPr>
              <w:t>2013)</w:t>
            </w:r>
            <w:r>
              <w:rPr>
                <w:rFonts w:ascii="Times New Roman" w:eastAsia="Palatino Linotype" w:hAnsi="Times New Roman" w:cs="Times New Roman"/>
                <w:sz w:val="16"/>
                <w:szCs w:val="16"/>
              </w:rPr>
              <w:fldChar w:fldCharType="end"/>
            </w:r>
          </w:p>
        </w:tc>
        <w:tc>
          <w:tcPr>
            <w:tcW w:w="1865" w:type="dxa"/>
            <w:tcBorders>
              <w:top w:val="single" w:sz="4" w:space="0" w:color="000000"/>
              <w:bottom w:val="single" w:sz="4" w:space="0" w:color="000000"/>
            </w:tcBorders>
            <w:tcMar>
              <w:left w:w="108" w:type="dxa"/>
              <w:right w:w="108" w:type="dxa"/>
            </w:tcMar>
            <w:vAlign w:val="center"/>
          </w:tcPr>
          <w:p w14:paraId="3534B604" w14:textId="22814354"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 xml:space="preserve">Enthoven and Van den Broeck </w:t>
            </w:r>
            <w:r w:rsidR="001A0451">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2021</w:t>
            </w:r>
            <w:r w:rsidR="001A0451">
              <w:rPr>
                <w:rFonts w:ascii="Times New Roman" w:eastAsia="Palatino Linotype" w:hAnsi="Times New Roman" w:cs="Times New Roman"/>
                <w:sz w:val="16"/>
                <w:szCs w:val="16"/>
              </w:rPr>
              <w:t>)</w:t>
            </w:r>
          </w:p>
        </w:tc>
      </w:tr>
      <w:tr w:rsidR="00C44178" w:rsidRPr="008C1952" w14:paraId="2FA637E9" w14:textId="77777777" w:rsidTr="00C44178">
        <w:trPr>
          <w:trHeight w:val="113"/>
          <w:jc w:val="center"/>
        </w:trPr>
        <w:tc>
          <w:tcPr>
            <w:tcW w:w="1159" w:type="dxa"/>
            <w:tcBorders>
              <w:top w:val="single" w:sz="4" w:space="0" w:color="000000"/>
              <w:bottom w:val="single" w:sz="4" w:space="0" w:color="000000"/>
            </w:tcBorders>
            <w:tcMar>
              <w:left w:w="108" w:type="dxa"/>
              <w:right w:w="108" w:type="dxa"/>
            </w:tcMar>
            <w:vAlign w:val="center"/>
          </w:tcPr>
          <w:p w14:paraId="4EF40A2E" w14:textId="77777777" w:rsidR="00C44178"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Alternative Food Networks</w:t>
            </w:r>
          </w:p>
          <w:p w14:paraId="654444A7" w14:textId="2E124ACD" w:rsidR="00C44178" w:rsidRPr="00FB3445" w:rsidRDefault="00C44178" w:rsidP="00C44178">
            <w:pPr>
              <w:jc w:val="center"/>
              <w:rPr>
                <w:rFonts w:ascii="Times New Roman" w:eastAsia="Palatino Linotype" w:hAnsi="Times New Roman" w:cs="Times New Roman"/>
                <w:b/>
                <w:bCs/>
                <w:i/>
                <w:iCs/>
                <w:sz w:val="16"/>
                <w:szCs w:val="16"/>
              </w:rPr>
            </w:pPr>
            <w:r w:rsidRPr="00FB3445">
              <w:rPr>
                <w:rFonts w:ascii="Times New Roman" w:eastAsia="Palatino Linotype" w:hAnsi="Times New Roman" w:cs="Times New Roman"/>
                <w:b/>
                <w:bCs/>
                <w:i/>
                <w:iCs/>
                <w:sz w:val="16"/>
                <w:szCs w:val="16"/>
              </w:rPr>
              <w:t>(n=1)</w:t>
            </w:r>
          </w:p>
        </w:tc>
        <w:tc>
          <w:tcPr>
            <w:tcW w:w="4921" w:type="dxa"/>
            <w:tcBorders>
              <w:top w:val="single" w:sz="4" w:space="0" w:color="000000"/>
              <w:bottom w:val="single" w:sz="4" w:space="0" w:color="000000"/>
            </w:tcBorders>
            <w:tcMar>
              <w:left w:w="108" w:type="dxa"/>
              <w:right w:w="108" w:type="dxa"/>
            </w:tcMar>
            <w:vAlign w:val="center"/>
          </w:tcPr>
          <w:p w14:paraId="070AB435" w14:textId="77777777" w:rsidR="00C44178" w:rsidRPr="008C1952" w:rsidRDefault="00C44178" w:rsidP="00C44178">
            <w:pPr>
              <w:ind w:firstLine="720"/>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“The literature defines Alternative Food Networks as the emerging </w:t>
            </w:r>
            <w:r w:rsidRPr="008C1952">
              <w:rPr>
                <w:rFonts w:ascii="Times New Roman" w:eastAsia="Palatino Linotype" w:hAnsi="Times New Roman" w:cs="Times New Roman"/>
                <w:b/>
                <w:bCs/>
                <w:sz w:val="16"/>
                <w:szCs w:val="16"/>
              </w:rPr>
              <w:t>networks of producers, consumers and other actors</w:t>
            </w:r>
            <w:r w:rsidRPr="008C1952">
              <w:rPr>
                <w:rFonts w:ascii="Times New Roman" w:eastAsia="Palatino Linotype" w:hAnsi="Times New Roman" w:cs="Times New Roman"/>
                <w:sz w:val="16"/>
                <w:szCs w:val="16"/>
              </w:rPr>
              <w:t xml:space="preserve"> who share common objectives regarding greater </w:t>
            </w:r>
            <w:r w:rsidRPr="008C1952">
              <w:rPr>
                <w:rFonts w:ascii="Times New Roman" w:eastAsia="Palatino Linotype" w:hAnsi="Times New Roman" w:cs="Times New Roman"/>
                <w:b/>
                <w:bCs/>
                <w:sz w:val="16"/>
                <w:szCs w:val="16"/>
              </w:rPr>
              <w:t>environmental sustainability</w:t>
            </w:r>
            <w:r w:rsidRPr="008C1952">
              <w:rPr>
                <w:rFonts w:ascii="Times New Roman" w:eastAsia="Palatino Linotype" w:hAnsi="Times New Roman" w:cs="Times New Roman"/>
                <w:sz w:val="16"/>
                <w:szCs w:val="16"/>
              </w:rPr>
              <w:t xml:space="preserve">, as well as </w:t>
            </w:r>
            <w:r w:rsidRPr="008C1952">
              <w:rPr>
                <w:rFonts w:ascii="Times New Roman" w:eastAsia="Palatino Linotype" w:hAnsi="Times New Roman" w:cs="Times New Roman"/>
                <w:b/>
                <w:bCs/>
                <w:sz w:val="16"/>
                <w:szCs w:val="16"/>
              </w:rPr>
              <w:t xml:space="preserve">social </w:t>
            </w:r>
            <w:r w:rsidRPr="008C1952">
              <w:rPr>
                <w:rFonts w:ascii="Times New Roman" w:eastAsia="Palatino Linotype" w:hAnsi="Times New Roman" w:cs="Times New Roman"/>
                <w:sz w:val="16"/>
                <w:szCs w:val="16"/>
              </w:rPr>
              <w:t xml:space="preserve">and </w:t>
            </w:r>
            <w:r w:rsidRPr="008C1952">
              <w:rPr>
                <w:rFonts w:ascii="Times New Roman" w:eastAsia="Palatino Linotype" w:hAnsi="Times New Roman" w:cs="Times New Roman"/>
                <w:b/>
                <w:bCs/>
                <w:sz w:val="16"/>
                <w:szCs w:val="16"/>
              </w:rPr>
              <w:t xml:space="preserve">economic equity </w:t>
            </w:r>
            <w:r w:rsidRPr="008C1952">
              <w:rPr>
                <w:rFonts w:ascii="Times New Roman" w:eastAsia="Palatino Linotype" w:hAnsi="Times New Roman" w:cs="Times New Roman"/>
                <w:sz w:val="16"/>
                <w:szCs w:val="16"/>
              </w:rPr>
              <w:t>in the food chain.”</w:t>
            </w:r>
          </w:p>
        </w:tc>
        <w:tc>
          <w:tcPr>
            <w:tcW w:w="1081" w:type="dxa"/>
            <w:tcBorders>
              <w:top w:val="single" w:sz="4" w:space="0" w:color="000000"/>
              <w:bottom w:val="single" w:sz="4" w:space="0" w:color="000000"/>
            </w:tcBorders>
            <w:tcMar>
              <w:left w:w="108" w:type="dxa"/>
              <w:right w:w="108" w:type="dxa"/>
            </w:tcMar>
            <w:vAlign w:val="center"/>
          </w:tcPr>
          <w:p w14:paraId="40AFFA32" w14:textId="1D4941E2" w:rsidR="00C44178" w:rsidRPr="008C1952" w:rsidRDefault="00DC2459" w:rsidP="00C44178">
            <w:pPr>
              <w:jc w:val="center"/>
              <w:rPr>
                <w:rFonts w:ascii="Times New Roman" w:hAnsi="Times New Roman" w:cs="Times New Roman"/>
                <w:sz w:val="16"/>
                <w:szCs w:val="16"/>
              </w:rPr>
            </w:pPr>
            <w:r>
              <w:rPr>
                <w:rFonts w:ascii="Times New Roman" w:eastAsia="Palatino Linotype" w:hAnsi="Times New Roman" w:cs="Times New Roman"/>
                <w:sz w:val="16"/>
                <w:szCs w:val="16"/>
              </w:rPr>
              <w:fldChar w:fldCharType="begin" w:fldLock="1"/>
            </w:r>
            <w:r w:rsidR="00A02A55">
              <w:rPr>
                <w:rFonts w:ascii="Times New Roman" w:eastAsia="Palatino Linotype" w:hAnsi="Times New Roman" w:cs="Times New Roman"/>
                <w:sz w:val="16"/>
                <w:szCs w:val="16"/>
              </w:rPr>
              <w:instrText>ADDIN CSL_CITATION {"citationItems":[{"id":"ITEM-1","itemData":{"abstract":"In recent years new types of consumer–producer cooperation in food networks have emerged in which consumers play an active role in the operation and thereby clearly go beyond food provisioning as such. Examples include con- sumer co-ops and solidarity buying groups of local and organic food, community- supported agriculture and collective urban gardening initiatives. These initia- tives raise important new questions that cannot be adequately resolved within existing theoretical perspectives based on concepts such as ‘alternative food net- works’, ‘short food supply chains’ or ‘local food systems’. This article explores possible new analytical frameworks for the study of contemporary dynamics in food networks and develops the concept of ‘civic food networks’ as an overarch- ing concept to explore contemporary dynamics and sources of innovation within agri-food networks. Building on the empirical diversity of initiatives, this intro- duction to the Special Issue argues that the role of civil society as a governance mechanism for agri-food networks has increased in significance compared to mar- ket and state actors. Moreover, expressions of ‘food citizenship’ are reshaping the relation between food practices and the market as well as with public institutions in ways that go beyond material and economic exchange and that contribute to a ‘moralization’ (or even ‘civilization’) of food economies.","author":[{"dropping-particle":"","family":"Renting","given":"Henk","non-dropping-particle":"","parse-names":false,"suffix":""},{"dropping-particle":"","family":"Schermer","given":"Markis","non-dropping-particle":"","parse-names":false,"suffix":""},{"dropping-particle":"","family":"Rossi","given":"Adanella","non-dropping-particle":"","parse-names":false,"suffix":""}],"container-title":"International Journal of Sociology of Agriculture and Food","id":"ITEM-1","issued":{"date-parts":[["2012"]]},"title":"Building Food Democracy : Exploring Civic Food Networks and Newly Emerging Forms of Food Citizenship","type":"article-journal"},"uris":["http://www.mendeley.com/documents/?uuid=14237374-4864-4208-a683-bd4101d37e62"]},{"id":"ITEM-2","itemData":{"DOI":"10.1068/a3621","ISSN":"0308-518X","abstract":"xxxx","author":[{"dropping-particle":"","family":"Whatmore","given":"Sarah","non-dropping-particle":"","parse-names":false,"suffix":""},{"dropping-particle":"","family":"Stassart","given":"Pierre","non-dropping-particle":"","parse-names":false,"suffix":""},{"dropping-particle":"","family":"Renting","given":"Henk","non-dropping-particle":"","parse-names":false,"suffix":""}],"container-title":"Environment and Planning A: Economy and Space","id":"ITEM-2","issued":{"date-parts":[["2003"]]},"title":"What's Alternative about Alternative Food Networks?","type":"article-journal"},"uris":["http://www.mendeley.com/documents/?uuid=730b0b78-2fd6-476e-bd4a-63a20e20bb63"]}],"mendeley":{"formattedCitation":"(Renting et al., 2012; Whatmore et al., 2003)","plainTextFormattedCitation":"(Renting et al., 2012; Whatmore et al., 2003)","previouslyFormattedCitation":"(Renting et al., 2012; Whatmore et al., 2003)"},"properties":{"noteIndex":0},"schema":"https://github.com/citation-style-language/schema/raw/master/csl-citation.json"}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DC2459">
              <w:rPr>
                <w:rFonts w:ascii="Times New Roman" w:eastAsia="Palatino Linotype" w:hAnsi="Times New Roman" w:cs="Times New Roman"/>
                <w:noProof/>
                <w:sz w:val="16"/>
                <w:szCs w:val="16"/>
              </w:rPr>
              <w:t xml:space="preserve">Renting et al. </w:t>
            </w:r>
            <w:r w:rsidR="001A0451">
              <w:rPr>
                <w:rFonts w:ascii="Times New Roman" w:eastAsia="Palatino Linotype" w:hAnsi="Times New Roman" w:cs="Times New Roman"/>
                <w:noProof/>
                <w:sz w:val="16"/>
                <w:szCs w:val="16"/>
              </w:rPr>
              <w:t>(</w:t>
            </w:r>
            <w:r w:rsidRPr="00DC2459">
              <w:rPr>
                <w:rFonts w:ascii="Times New Roman" w:eastAsia="Palatino Linotype" w:hAnsi="Times New Roman" w:cs="Times New Roman"/>
                <w:noProof/>
                <w:sz w:val="16"/>
                <w:szCs w:val="16"/>
              </w:rPr>
              <w:t>2012</w:t>
            </w:r>
            <w:r w:rsidR="001A0451">
              <w:rPr>
                <w:rFonts w:ascii="Times New Roman" w:eastAsia="Palatino Linotype" w:hAnsi="Times New Roman" w:cs="Times New Roman"/>
                <w:noProof/>
                <w:sz w:val="16"/>
                <w:szCs w:val="16"/>
              </w:rPr>
              <w:t>)</w:t>
            </w:r>
            <w:r w:rsidRPr="00DC2459">
              <w:rPr>
                <w:rFonts w:ascii="Times New Roman" w:eastAsia="Palatino Linotype" w:hAnsi="Times New Roman" w:cs="Times New Roman"/>
                <w:noProof/>
                <w:sz w:val="16"/>
                <w:szCs w:val="16"/>
              </w:rPr>
              <w:t xml:space="preserve">; Whatmore et al. </w:t>
            </w:r>
            <w:r w:rsidR="001A0451">
              <w:rPr>
                <w:rFonts w:ascii="Times New Roman" w:eastAsia="Palatino Linotype" w:hAnsi="Times New Roman" w:cs="Times New Roman"/>
                <w:noProof/>
                <w:sz w:val="16"/>
                <w:szCs w:val="16"/>
              </w:rPr>
              <w:t>(</w:t>
            </w:r>
            <w:r w:rsidRPr="00DC2459">
              <w:rPr>
                <w:rFonts w:ascii="Times New Roman" w:eastAsia="Palatino Linotype" w:hAnsi="Times New Roman" w:cs="Times New Roman"/>
                <w:noProof/>
                <w:sz w:val="16"/>
                <w:szCs w:val="16"/>
              </w:rPr>
              <w:t>2003)</w:t>
            </w:r>
            <w:r>
              <w:rPr>
                <w:rFonts w:ascii="Times New Roman" w:eastAsia="Palatino Linotype" w:hAnsi="Times New Roman" w:cs="Times New Roman"/>
                <w:sz w:val="16"/>
                <w:szCs w:val="16"/>
              </w:rPr>
              <w:fldChar w:fldCharType="end"/>
            </w:r>
          </w:p>
        </w:tc>
        <w:tc>
          <w:tcPr>
            <w:tcW w:w="1865" w:type="dxa"/>
            <w:tcBorders>
              <w:top w:val="single" w:sz="4" w:space="0" w:color="000000"/>
              <w:bottom w:val="single" w:sz="4" w:space="0" w:color="000000"/>
            </w:tcBorders>
            <w:tcMar>
              <w:left w:w="108" w:type="dxa"/>
              <w:right w:w="108" w:type="dxa"/>
            </w:tcMar>
            <w:vAlign w:val="center"/>
          </w:tcPr>
          <w:p w14:paraId="3A1E18B2" w14:textId="3460BF04"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 xml:space="preserve">Gonzalez De Molina and Lopez-Garcia </w:t>
            </w:r>
            <w:r w:rsidR="001A0451">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202</w:t>
            </w:r>
            <w:r w:rsidR="001A0451">
              <w:rPr>
                <w:rFonts w:ascii="Times New Roman" w:eastAsia="Palatino Linotype" w:hAnsi="Times New Roman" w:cs="Times New Roman"/>
                <w:sz w:val="16"/>
                <w:szCs w:val="16"/>
              </w:rPr>
              <w:t>1)</w:t>
            </w:r>
          </w:p>
        </w:tc>
      </w:tr>
      <w:tr w:rsidR="00C44178" w:rsidRPr="008C1952" w14:paraId="69B18EA9" w14:textId="77777777" w:rsidTr="00C44178">
        <w:trPr>
          <w:trHeight w:val="113"/>
          <w:jc w:val="center"/>
        </w:trPr>
        <w:tc>
          <w:tcPr>
            <w:tcW w:w="1159" w:type="dxa"/>
            <w:tcBorders>
              <w:top w:val="single" w:sz="4" w:space="0" w:color="000000"/>
              <w:bottom w:val="single" w:sz="4" w:space="0" w:color="000000"/>
            </w:tcBorders>
            <w:tcMar>
              <w:left w:w="108" w:type="dxa"/>
              <w:right w:w="108" w:type="dxa"/>
            </w:tcMar>
            <w:vAlign w:val="center"/>
          </w:tcPr>
          <w:p w14:paraId="3943EC4E" w14:textId="77777777" w:rsidR="00C44178"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Food Justice</w:t>
            </w:r>
          </w:p>
          <w:p w14:paraId="16BBB7EB" w14:textId="7DCD5024" w:rsidR="00C44178" w:rsidRPr="008C1952" w:rsidRDefault="00C44178" w:rsidP="00C44178">
            <w:pPr>
              <w:jc w:val="center"/>
              <w:rPr>
                <w:rFonts w:ascii="Times New Roman" w:eastAsia="Palatino Linotype" w:hAnsi="Times New Roman" w:cs="Times New Roman"/>
                <w:b/>
                <w:bCs/>
                <w:sz w:val="16"/>
                <w:szCs w:val="16"/>
              </w:rPr>
            </w:pPr>
            <w:r w:rsidRPr="00FB3445">
              <w:rPr>
                <w:rFonts w:ascii="Times New Roman" w:eastAsia="Palatino Linotype" w:hAnsi="Times New Roman" w:cs="Times New Roman"/>
                <w:b/>
                <w:bCs/>
                <w:i/>
                <w:iCs/>
                <w:sz w:val="16"/>
                <w:szCs w:val="16"/>
              </w:rPr>
              <w:t>(n=1)</w:t>
            </w:r>
            <w:r w:rsidRPr="008C1952">
              <w:rPr>
                <w:rFonts w:ascii="Times New Roman" w:eastAsia="Palatino Linotype" w:hAnsi="Times New Roman" w:cs="Times New Roman"/>
                <w:b/>
                <w:bCs/>
                <w:sz w:val="16"/>
                <w:szCs w:val="16"/>
              </w:rPr>
              <w:t xml:space="preserve"> </w:t>
            </w:r>
          </w:p>
        </w:tc>
        <w:tc>
          <w:tcPr>
            <w:tcW w:w="4921" w:type="dxa"/>
            <w:tcBorders>
              <w:top w:val="single" w:sz="4" w:space="0" w:color="000000"/>
              <w:bottom w:val="single" w:sz="4" w:space="0" w:color="000000"/>
            </w:tcBorders>
            <w:tcMar>
              <w:left w:w="108" w:type="dxa"/>
              <w:right w:w="108" w:type="dxa"/>
            </w:tcMar>
            <w:vAlign w:val="center"/>
          </w:tcPr>
          <w:p w14:paraId="3A8B76C8" w14:textId="566E73F3" w:rsidR="00C44178" w:rsidRPr="008C1952" w:rsidRDefault="00C44178" w:rsidP="00C44178">
            <w:pPr>
              <w:ind w:firstLine="720"/>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“A food justice approach applies a </w:t>
            </w:r>
            <w:r w:rsidRPr="008C1952">
              <w:rPr>
                <w:rFonts w:ascii="Times New Roman" w:eastAsia="Palatino Linotype" w:hAnsi="Times New Roman" w:cs="Times New Roman"/>
                <w:b/>
                <w:bCs/>
                <w:sz w:val="16"/>
                <w:szCs w:val="16"/>
              </w:rPr>
              <w:t>social justice</w:t>
            </w:r>
            <w:r w:rsidRPr="008C1952">
              <w:rPr>
                <w:rFonts w:ascii="Times New Roman" w:eastAsia="Palatino Linotype" w:hAnsi="Times New Roman" w:cs="Times New Roman"/>
                <w:sz w:val="16"/>
                <w:szCs w:val="16"/>
              </w:rPr>
              <w:t xml:space="preserve"> lens to the food system, emphas</w:t>
            </w:r>
            <w:r w:rsidR="00ED3846">
              <w:rPr>
                <w:rFonts w:ascii="Times New Roman" w:eastAsia="Palatino Linotype" w:hAnsi="Times New Roman" w:cs="Times New Roman"/>
                <w:sz w:val="16"/>
                <w:szCs w:val="16"/>
              </w:rPr>
              <w:t>is</w:t>
            </w:r>
            <w:r w:rsidRPr="008C1952">
              <w:rPr>
                <w:rFonts w:ascii="Times New Roman" w:eastAsia="Palatino Linotype" w:hAnsi="Times New Roman" w:cs="Times New Roman"/>
                <w:sz w:val="16"/>
                <w:szCs w:val="16"/>
              </w:rPr>
              <w:t xml:space="preserve">ing how intersecting axes of </w:t>
            </w:r>
            <w:r w:rsidRPr="008C1952">
              <w:rPr>
                <w:rFonts w:ascii="Times New Roman" w:eastAsia="Palatino Linotype" w:hAnsi="Times New Roman" w:cs="Times New Roman"/>
                <w:b/>
                <w:bCs/>
                <w:sz w:val="16"/>
                <w:szCs w:val="16"/>
              </w:rPr>
              <w:t>oppression</w:t>
            </w:r>
            <w:r w:rsidRPr="008C1952">
              <w:rPr>
                <w:rFonts w:ascii="Times New Roman" w:eastAsia="Palatino Linotype" w:hAnsi="Times New Roman" w:cs="Times New Roman"/>
                <w:sz w:val="16"/>
                <w:szCs w:val="16"/>
              </w:rPr>
              <w:t xml:space="preserve"> and </w:t>
            </w:r>
            <w:r w:rsidRPr="008C1952">
              <w:rPr>
                <w:rFonts w:ascii="Times New Roman" w:eastAsia="Palatino Linotype" w:hAnsi="Times New Roman" w:cs="Times New Roman"/>
                <w:b/>
                <w:bCs/>
                <w:sz w:val="16"/>
                <w:szCs w:val="16"/>
              </w:rPr>
              <w:t>privilege</w:t>
            </w:r>
            <w:r w:rsidRPr="008C1952">
              <w:rPr>
                <w:rFonts w:ascii="Times New Roman" w:eastAsia="Palatino Linotype" w:hAnsi="Times New Roman" w:cs="Times New Roman"/>
                <w:sz w:val="16"/>
                <w:szCs w:val="16"/>
              </w:rPr>
              <w:t xml:space="preserve"> shape the experiences of differently positioned actors and groups.”</w:t>
            </w:r>
          </w:p>
        </w:tc>
        <w:tc>
          <w:tcPr>
            <w:tcW w:w="1081" w:type="dxa"/>
            <w:tcBorders>
              <w:top w:val="single" w:sz="4" w:space="0" w:color="000000"/>
              <w:bottom w:val="single" w:sz="4" w:space="0" w:color="000000"/>
            </w:tcBorders>
            <w:tcMar>
              <w:left w:w="108" w:type="dxa"/>
              <w:right w:w="108" w:type="dxa"/>
            </w:tcMar>
            <w:vAlign w:val="center"/>
          </w:tcPr>
          <w:p w14:paraId="1358AA47" w14:textId="1F0A05F0" w:rsidR="00C44178" w:rsidRPr="008C1952" w:rsidRDefault="00DA4917" w:rsidP="00C44178">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{"citationItems":[{"id":"ITEM-1","itemData":{"DOI":"10.2979/racethmulglocon.5.1.83","ISSN":"19358644","abstract":"The global food crisis has pushed the U.S. food movement to a politi- cal juncture. A sixth of the world’s population is now hungry—just as a sixth of the U.S. population is “food insecure.” These severe lev- els of hunger and insecurity share root causes, located in the political economy of a global, corporate food regime. Because of its political loca- tion between reformist calls for food security and radical calls for food sovereignty, food justice is pivotally placed to influence the direction of food-systems change. This placement subjects the concept of food justice to multiple claims, definitions, and practices that tend either to affirm a structural focus on resource redistribution, or to dilute its political meaning by focusing on food access. How issues of race and class are resolved will influence the political direction of the food justice move- ment’s organizational alliances: toward reform or toward transforma- tion. How the food justice movement “pivots” may determine the degree to which it is able to bring about substantive changes to the U.S. food system.","author":[{"dropping-particle":"","family":"Holt-Giménez","given":"Eric","non-dropping-particle":"","parse-names":false,"suffix":""},{"dropping-particle":"","family":"Wang","given":"Yi","non-dropping-particle":"","parse-names":false,"suffix":""}],"container-title":"Race/Ethnicity: Multidisciplinary Global Contexts","id":"ITEM-1","issued":{"date-parts":[["2011"]]},"title":"Reform or Transformation? The Pivotal Role of Food Justice in the U.S. Food Movement","type":"article-journal"},"uris":["http://www.mendeley.com/documents/?uuid=b69cc5dc-5178-4aeb-8f08-f324e8eb667a"]},{"id":"ITEM-2","itemData":{"DOI":"10.1080/13549839.2018.1528444","ISSN":"14696711","author":[{"dropping-particle":"","family":"Sbicca","given":"Joshua","non-dropping-particle":"","parse-names":false,"suffix":""}],"container-title":"Local Environment","id":"ITEM-2","issued":{"date-parts":[["2018"]]},"title":"Food justice and the fight for global human flourishing","type":"article"},"uris":["http://www.mendeley.com/documents/?uuid=fe3fbb16-efa2-4481-843a-6a823b1a1385"]}],"mendeley":{"formattedCitation":"(Holt-Giménez and Wang, 2011; Sbicca, 2018)","plainTextFormattedCitation":"(Holt-Giménez and Wang, 2011; Sbicca, 2018)","previouslyFormattedCitation":"(Holt-Giménez and Wang, 2011; Sbicca, 2018)"},"properties":{"noteIndex":0},"schema":"https://github.com/citation-style-language/schema/raw/master/csl-citation.json"}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DA4917">
              <w:rPr>
                <w:rFonts w:ascii="Times New Roman" w:eastAsia="Palatino Linotype" w:hAnsi="Times New Roman" w:cs="Times New Roman"/>
                <w:noProof/>
                <w:sz w:val="16"/>
                <w:szCs w:val="16"/>
              </w:rPr>
              <w:t>Holt</w:t>
            </w:r>
            <w:r w:rsidR="001A0451">
              <w:rPr>
                <w:rFonts w:ascii="Times New Roman" w:eastAsia="Palatino Linotype" w:hAnsi="Times New Roman" w:cs="Times New Roman"/>
                <w:noProof/>
                <w:sz w:val="16"/>
                <w:szCs w:val="16"/>
              </w:rPr>
              <w:t xml:space="preserve"> </w:t>
            </w:r>
            <w:r w:rsidRPr="00DA4917">
              <w:rPr>
                <w:rFonts w:ascii="Times New Roman" w:eastAsia="Palatino Linotype" w:hAnsi="Times New Roman" w:cs="Times New Roman"/>
                <w:noProof/>
                <w:sz w:val="16"/>
                <w:szCs w:val="16"/>
              </w:rPr>
              <w:t>Giménez and</w:t>
            </w:r>
            <w:r w:rsidR="001A0451">
              <w:rPr>
                <w:rFonts w:ascii="Times New Roman" w:eastAsia="Palatino Linotype" w:hAnsi="Times New Roman" w:cs="Times New Roman"/>
                <w:noProof/>
                <w:sz w:val="16"/>
                <w:szCs w:val="16"/>
              </w:rPr>
              <w:t xml:space="preserve"> </w:t>
            </w:r>
            <w:r w:rsidRPr="00DA4917">
              <w:rPr>
                <w:rFonts w:ascii="Times New Roman" w:eastAsia="Palatino Linotype" w:hAnsi="Times New Roman" w:cs="Times New Roman"/>
                <w:noProof/>
                <w:sz w:val="16"/>
                <w:szCs w:val="16"/>
              </w:rPr>
              <w:t>Wang</w:t>
            </w:r>
            <w:r w:rsidR="001A0451">
              <w:rPr>
                <w:rFonts w:ascii="Times New Roman" w:eastAsia="Palatino Linotype" w:hAnsi="Times New Roman" w:cs="Times New Roman"/>
                <w:noProof/>
                <w:sz w:val="16"/>
                <w:szCs w:val="16"/>
              </w:rPr>
              <w:t xml:space="preserve"> (</w:t>
            </w:r>
            <w:r w:rsidRPr="00DA4917">
              <w:rPr>
                <w:rFonts w:ascii="Times New Roman" w:eastAsia="Palatino Linotype" w:hAnsi="Times New Roman" w:cs="Times New Roman"/>
                <w:noProof/>
                <w:sz w:val="16"/>
                <w:szCs w:val="16"/>
              </w:rPr>
              <w:t>2011</w:t>
            </w:r>
            <w:r w:rsidR="001A0451">
              <w:rPr>
                <w:rFonts w:ascii="Times New Roman" w:eastAsia="Palatino Linotype" w:hAnsi="Times New Roman" w:cs="Times New Roman"/>
                <w:noProof/>
                <w:sz w:val="16"/>
                <w:szCs w:val="16"/>
              </w:rPr>
              <w:t>)</w:t>
            </w:r>
            <w:r w:rsidRPr="00DA4917">
              <w:rPr>
                <w:rFonts w:ascii="Times New Roman" w:eastAsia="Palatino Linotype" w:hAnsi="Times New Roman" w:cs="Times New Roman"/>
                <w:noProof/>
                <w:sz w:val="16"/>
                <w:szCs w:val="16"/>
              </w:rPr>
              <w:t>; Sbicca</w:t>
            </w:r>
            <w:r w:rsidR="001A0451">
              <w:rPr>
                <w:rFonts w:ascii="Times New Roman" w:eastAsia="Palatino Linotype" w:hAnsi="Times New Roman" w:cs="Times New Roman"/>
                <w:noProof/>
                <w:sz w:val="16"/>
                <w:szCs w:val="16"/>
              </w:rPr>
              <w:t xml:space="preserve"> (</w:t>
            </w:r>
            <w:r w:rsidRPr="00DA4917">
              <w:rPr>
                <w:rFonts w:ascii="Times New Roman" w:eastAsia="Palatino Linotype" w:hAnsi="Times New Roman" w:cs="Times New Roman"/>
                <w:noProof/>
                <w:sz w:val="16"/>
                <w:szCs w:val="16"/>
              </w:rPr>
              <w:t>2018)</w:t>
            </w:r>
            <w:r>
              <w:rPr>
                <w:rFonts w:ascii="Times New Roman" w:eastAsia="Palatino Linotype" w:hAnsi="Times New Roman" w:cs="Times New Roman"/>
                <w:sz w:val="16"/>
                <w:szCs w:val="16"/>
              </w:rPr>
              <w:fldChar w:fldCharType="end"/>
            </w:r>
          </w:p>
        </w:tc>
        <w:tc>
          <w:tcPr>
            <w:tcW w:w="1865" w:type="dxa"/>
            <w:tcBorders>
              <w:top w:val="single" w:sz="4" w:space="0" w:color="000000"/>
              <w:bottom w:val="single" w:sz="4" w:space="0" w:color="000000"/>
            </w:tcBorders>
            <w:tcMar>
              <w:left w:w="108" w:type="dxa"/>
              <w:right w:w="108" w:type="dxa"/>
            </w:tcMar>
            <w:vAlign w:val="center"/>
          </w:tcPr>
          <w:p w14:paraId="4B89348B" w14:textId="75FEB500" w:rsidR="00C44178" w:rsidRPr="008C1952" w:rsidRDefault="00C44178" w:rsidP="00C44178">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Maughan et al. </w:t>
            </w:r>
            <w:r w:rsidR="001A0451">
              <w:rPr>
                <w:rFonts w:ascii="Times New Roman" w:eastAsia="Palatino Linotype" w:hAnsi="Times New Roman" w:cs="Times New Roman"/>
                <w:sz w:val="16"/>
                <w:szCs w:val="16"/>
              </w:rPr>
              <w:t>(</w:t>
            </w:r>
            <w:r w:rsidRPr="008C1952">
              <w:rPr>
                <w:rFonts w:ascii="Times New Roman" w:eastAsia="Palatino Linotype" w:hAnsi="Times New Roman" w:cs="Times New Roman"/>
                <w:sz w:val="16"/>
                <w:szCs w:val="16"/>
              </w:rPr>
              <w:t>2020</w:t>
            </w:r>
            <w:r w:rsidR="001A0451">
              <w:rPr>
                <w:rFonts w:ascii="Times New Roman" w:eastAsia="Palatino Linotype" w:hAnsi="Times New Roman" w:cs="Times New Roman"/>
                <w:sz w:val="16"/>
                <w:szCs w:val="16"/>
              </w:rPr>
              <w:t>)</w:t>
            </w:r>
          </w:p>
        </w:tc>
      </w:tr>
      <w:tr w:rsidR="00C44178" w:rsidRPr="008C1952" w14:paraId="0F18C836" w14:textId="77777777" w:rsidTr="00C44178">
        <w:trPr>
          <w:trHeight w:val="113"/>
          <w:jc w:val="center"/>
        </w:trPr>
        <w:tc>
          <w:tcPr>
            <w:tcW w:w="1159" w:type="dxa"/>
            <w:tcBorders>
              <w:top w:val="single" w:sz="4" w:space="0" w:color="000000"/>
              <w:bottom w:val="single" w:sz="4" w:space="0" w:color="000000"/>
            </w:tcBorders>
            <w:tcMar>
              <w:left w:w="108" w:type="dxa"/>
              <w:right w:w="108" w:type="dxa"/>
            </w:tcMar>
            <w:vAlign w:val="center"/>
          </w:tcPr>
          <w:p w14:paraId="270DCECC" w14:textId="77777777" w:rsidR="00C44178"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Food Democracy</w:t>
            </w:r>
          </w:p>
          <w:p w14:paraId="5BBAE540" w14:textId="4E1C4644" w:rsidR="00C44178" w:rsidRPr="00FB3445" w:rsidRDefault="00C44178" w:rsidP="00C44178">
            <w:pPr>
              <w:jc w:val="center"/>
              <w:rPr>
                <w:rFonts w:ascii="Times New Roman" w:eastAsia="Palatino Linotype" w:hAnsi="Times New Roman" w:cs="Times New Roman"/>
                <w:b/>
                <w:bCs/>
                <w:i/>
                <w:iCs/>
                <w:sz w:val="16"/>
                <w:szCs w:val="16"/>
              </w:rPr>
            </w:pPr>
            <w:r w:rsidRPr="00FB3445">
              <w:rPr>
                <w:rFonts w:ascii="Times New Roman" w:eastAsia="Palatino Linotype" w:hAnsi="Times New Roman" w:cs="Times New Roman"/>
                <w:b/>
                <w:bCs/>
                <w:i/>
                <w:iCs/>
                <w:sz w:val="16"/>
                <w:szCs w:val="16"/>
              </w:rPr>
              <w:t>(n=1)</w:t>
            </w:r>
          </w:p>
        </w:tc>
        <w:tc>
          <w:tcPr>
            <w:tcW w:w="4921" w:type="dxa"/>
            <w:tcBorders>
              <w:top w:val="single" w:sz="4" w:space="0" w:color="000000"/>
              <w:bottom w:val="single" w:sz="4" w:space="0" w:color="000000"/>
            </w:tcBorders>
            <w:tcMar>
              <w:left w:w="108" w:type="dxa"/>
              <w:right w:w="108" w:type="dxa"/>
            </w:tcMar>
            <w:vAlign w:val="center"/>
          </w:tcPr>
          <w:p w14:paraId="2BF9ABC2" w14:textId="03E37012" w:rsidR="00C44178" w:rsidRPr="008C1952" w:rsidRDefault="00C44178" w:rsidP="00C44178">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 xml:space="preserve">“Food democracy to highlight the great struggle over the centuries, in all cultures, to achieve the </w:t>
            </w:r>
            <w:r w:rsidRPr="008C1952">
              <w:rPr>
                <w:rFonts w:ascii="Times New Roman" w:eastAsia="Palatino Linotype" w:hAnsi="Times New Roman" w:cs="Times New Roman"/>
                <w:b/>
                <w:bCs/>
                <w:sz w:val="16"/>
                <w:szCs w:val="16"/>
              </w:rPr>
              <w:t xml:space="preserve">right </w:t>
            </w:r>
            <w:r w:rsidRPr="008C1952">
              <w:rPr>
                <w:rFonts w:ascii="Times New Roman" w:eastAsia="Palatino Linotype" w:hAnsi="Times New Roman" w:cs="Times New Roman"/>
                <w:sz w:val="16"/>
                <w:szCs w:val="16"/>
              </w:rPr>
              <w:t>of all cit</w:t>
            </w:r>
            <w:r w:rsidR="00ED3846">
              <w:rPr>
                <w:rFonts w:ascii="Times New Roman" w:eastAsia="Palatino Linotype" w:hAnsi="Times New Roman" w:cs="Times New Roman"/>
                <w:sz w:val="16"/>
                <w:szCs w:val="16"/>
              </w:rPr>
              <w:t>iz</w:t>
            </w:r>
            <w:r w:rsidRPr="008C1952">
              <w:rPr>
                <w:rFonts w:ascii="Times New Roman" w:eastAsia="Palatino Linotype" w:hAnsi="Times New Roman" w:cs="Times New Roman"/>
                <w:sz w:val="16"/>
                <w:szCs w:val="16"/>
              </w:rPr>
              <w:t xml:space="preserve">ens to have access to a </w:t>
            </w:r>
            <w:r w:rsidRPr="008C1952">
              <w:rPr>
                <w:rFonts w:ascii="Times New Roman" w:eastAsia="Palatino Linotype" w:hAnsi="Times New Roman" w:cs="Times New Roman"/>
                <w:b/>
                <w:bCs/>
                <w:sz w:val="16"/>
                <w:szCs w:val="16"/>
              </w:rPr>
              <w:t>decent, affordable, health-enhancing diet,</w:t>
            </w:r>
            <w:r w:rsidRPr="008C1952">
              <w:rPr>
                <w:rFonts w:ascii="Times New Roman" w:eastAsia="Palatino Linotype" w:hAnsi="Times New Roman" w:cs="Times New Roman"/>
                <w:sz w:val="16"/>
                <w:szCs w:val="16"/>
              </w:rPr>
              <w:t xml:space="preserve"> grown in conditions in which they can have confidence.”</w:t>
            </w:r>
          </w:p>
        </w:tc>
        <w:tc>
          <w:tcPr>
            <w:tcW w:w="1081" w:type="dxa"/>
            <w:tcBorders>
              <w:top w:val="single" w:sz="4" w:space="0" w:color="000000"/>
              <w:bottom w:val="single" w:sz="4" w:space="0" w:color="000000"/>
            </w:tcBorders>
            <w:tcMar>
              <w:left w:w="108" w:type="dxa"/>
              <w:right w:w="108" w:type="dxa"/>
            </w:tcMar>
            <w:vAlign w:val="center"/>
          </w:tcPr>
          <w:p w14:paraId="243EED59" w14:textId="3257A55D" w:rsidR="00C44178" w:rsidRPr="008C1952" w:rsidRDefault="00DA4917" w:rsidP="00C44178">
            <w:pPr>
              <w:jc w:val="center"/>
              <w:rPr>
                <w:rFonts w:ascii="Times New Roman"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{"citationItems":[{"id":"ITEM-1","itemData":{"DOI":"10.1079/phn2005772","ISSN":"1368-9800","PMID":"16236208","abstract":"OBJECTIVE To explore the terms on which nutrition should engage with the global challenges ahead. DESIGN Analysis of current orientation of nutrition and policy. RESULT Nutrition faces four conceptual problems. The first is that nutrition has fissured into two broad but divergent directions. One is biologically reductionist, now to the genome; the other sees nutrition as located in social processes, now also requiring an understanding of the physical environment. As a result, nutrition means different things to different people. The second problem is a misunderstanding of the relationship between evidence, policy and practice, assuming that policy is informed by evidence, when there is much evidence to the contrary. The third problem is that nutrition is generally blind to the environment despite the geo-spatial crisis over food supply, which will determine who eats what, when and how. How can we ask people to eat fish when fish stocks are collapsing, or to eat wisely if water shortage dominates or climate change weakens food security? The fourth problem is that, in today's consumerist and supermarketised world, excess choice plus information overload may be nutrition's problem, not solution. CONCLUSION Nutrition science needs to re-engage with society and the environment. The alternative is, at best, to produce an individualised approach to public health or, at worst, to produce brilliant science but be policy-irrelevant.","author":[{"dropping-particle":"","family":"Lang","given":"Tim","non-dropping-particle":"","parse-names":false,"suffix":""}],"container-title":"Public Health Nutrition","id":"ITEM-1","issued":{"date-parts":[["2005"]]},"title":"Food control or food democracy? Re-engaging nutrition with society and the environment","type":"article-journal"},"uris":["http://www.mendeley.com/documents/?uuid=f0057436-189a-4f74-91ab-c161a957bed7"]}],"mendeley":{"formattedCitation":"(Lang, 2005)","plainTextFormattedCitation":"(Lang, 2005)","previouslyFormattedCitation":"(Lang, 2005)"},"properties":{"noteIndex":0},"schema":"https://github.com/citation-style-language/schema/raw/master/csl-citation.json"}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DA4917">
              <w:rPr>
                <w:rFonts w:ascii="Times New Roman" w:eastAsia="Palatino Linotype" w:hAnsi="Times New Roman" w:cs="Times New Roman"/>
                <w:noProof/>
                <w:sz w:val="16"/>
                <w:szCs w:val="16"/>
              </w:rPr>
              <w:t xml:space="preserve">Lang </w:t>
            </w:r>
            <w:r w:rsidR="001A0451">
              <w:rPr>
                <w:rFonts w:ascii="Times New Roman" w:eastAsia="Palatino Linotype" w:hAnsi="Times New Roman" w:cs="Times New Roman"/>
                <w:noProof/>
                <w:sz w:val="16"/>
                <w:szCs w:val="16"/>
              </w:rPr>
              <w:t>(</w:t>
            </w:r>
            <w:r w:rsidRPr="00DA4917">
              <w:rPr>
                <w:rFonts w:ascii="Times New Roman" w:eastAsia="Palatino Linotype" w:hAnsi="Times New Roman" w:cs="Times New Roman"/>
                <w:noProof/>
                <w:sz w:val="16"/>
                <w:szCs w:val="16"/>
              </w:rPr>
              <w:t>2005)</w:t>
            </w:r>
            <w:r>
              <w:rPr>
                <w:rFonts w:ascii="Times New Roman" w:eastAsia="Palatino Linotype" w:hAnsi="Times New Roman" w:cs="Times New Roman"/>
                <w:sz w:val="16"/>
                <w:szCs w:val="16"/>
              </w:rPr>
              <w:fldChar w:fldCharType="end"/>
            </w:r>
          </w:p>
        </w:tc>
        <w:tc>
          <w:tcPr>
            <w:tcW w:w="1865" w:type="dxa"/>
            <w:tcBorders>
              <w:top w:val="single" w:sz="4" w:space="0" w:color="000000"/>
              <w:bottom w:val="single" w:sz="4" w:space="0" w:color="000000"/>
            </w:tcBorders>
            <w:tcMar>
              <w:left w:w="108" w:type="dxa"/>
              <w:right w:w="108" w:type="dxa"/>
            </w:tcMar>
            <w:vAlign w:val="center"/>
          </w:tcPr>
          <w:p w14:paraId="1D2427D5" w14:textId="77777777" w:rsidR="00C44178" w:rsidRPr="008C1952" w:rsidRDefault="00C44178" w:rsidP="00C44178">
            <w:pPr>
              <w:jc w:val="center"/>
              <w:rPr>
                <w:rFonts w:ascii="Times New Roman" w:hAnsi="Times New Roman" w:cs="Times New Roman"/>
                <w:sz w:val="16"/>
                <w:szCs w:val="16"/>
              </w:rPr>
            </w:pPr>
            <w:r w:rsidRPr="008C1952">
              <w:rPr>
                <w:rFonts w:ascii="Times New Roman" w:eastAsia="Palatino Linotype" w:hAnsi="Times New Roman" w:cs="Times New Roman"/>
                <w:sz w:val="16"/>
                <w:szCs w:val="16"/>
              </w:rPr>
              <w:t>Baldy and Kruse, 2019</w:t>
            </w:r>
          </w:p>
        </w:tc>
      </w:tr>
      <w:tr w:rsidR="00C44178" w:rsidRPr="00F0687B" w14:paraId="209BE8D0" w14:textId="77777777" w:rsidTr="00C44178">
        <w:trPr>
          <w:trHeight w:val="113"/>
          <w:jc w:val="center"/>
        </w:trPr>
        <w:tc>
          <w:tcPr>
            <w:tcW w:w="1159" w:type="dxa"/>
            <w:tcBorders>
              <w:top w:val="single" w:sz="4" w:space="0" w:color="000000"/>
            </w:tcBorders>
            <w:tcMar>
              <w:left w:w="108" w:type="dxa"/>
              <w:right w:w="108" w:type="dxa"/>
            </w:tcMar>
            <w:vAlign w:val="center"/>
          </w:tcPr>
          <w:p w14:paraId="5343C1FE" w14:textId="77777777" w:rsidR="00C44178" w:rsidRDefault="00C44178" w:rsidP="00C44178">
            <w:pPr>
              <w:jc w:val="center"/>
              <w:rPr>
                <w:rFonts w:ascii="Times New Roman" w:eastAsia="Palatino Linotype" w:hAnsi="Times New Roman" w:cs="Times New Roman"/>
                <w:b/>
                <w:bCs/>
                <w:sz w:val="16"/>
                <w:szCs w:val="16"/>
              </w:rPr>
            </w:pPr>
            <w:r w:rsidRPr="008C1952">
              <w:rPr>
                <w:rFonts w:ascii="Times New Roman" w:eastAsia="Palatino Linotype" w:hAnsi="Times New Roman" w:cs="Times New Roman"/>
                <w:b/>
                <w:bCs/>
                <w:sz w:val="16"/>
                <w:szCs w:val="16"/>
              </w:rPr>
              <w:t>Food Sovereignty</w:t>
            </w:r>
          </w:p>
          <w:p w14:paraId="44C56B13" w14:textId="2E4DB1B4" w:rsidR="00C44178" w:rsidRPr="00FB3445" w:rsidRDefault="00C44178" w:rsidP="00C44178">
            <w:pPr>
              <w:jc w:val="center"/>
              <w:rPr>
                <w:rFonts w:ascii="Times New Roman" w:eastAsia="Palatino Linotype" w:hAnsi="Times New Roman" w:cs="Times New Roman"/>
                <w:b/>
                <w:bCs/>
                <w:i/>
                <w:iCs/>
                <w:sz w:val="16"/>
                <w:szCs w:val="16"/>
              </w:rPr>
            </w:pPr>
            <w:r w:rsidRPr="00FB3445">
              <w:rPr>
                <w:rFonts w:ascii="Times New Roman" w:eastAsia="Palatino Linotype" w:hAnsi="Times New Roman" w:cs="Times New Roman"/>
                <w:b/>
                <w:bCs/>
                <w:i/>
                <w:iCs/>
                <w:sz w:val="16"/>
                <w:szCs w:val="16"/>
              </w:rPr>
              <w:t>(n=2)</w:t>
            </w:r>
          </w:p>
        </w:tc>
        <w:tc>
          <w:tcPr>
            <w:tcW w:w="4921" w:type="dxa"/>
            <w:tcBorders>
              <w:top w:val="single" w:sz="4" w:space="0" w:color="000000"/>
            </w:tcBorders>
            <w:tcMar>
              <w:left w:w="108" w:type="dxa"/>
              <w:right w:w="108" w:type="dxa"/>
            </w:tcMar>
            <w:vAlign w:val="center"/>
          </w:tcPr>
          <w:p w14:paraId="64A99F3A" w14:textId="77777777" w:rsidR="00C44178" w:rsidRPr="008C1952" w:rsidRDefault="00C44178" w:rsidP="00C44178">
            <w:pPr>
              <w:jc w:val="center"/>
              <w:rPr>
                <w:rFonts w:ascii="Times New Roman" w:eastAsia="Palatino Linotype" w:hAnsi="Times New Roman" w:cs="Times New Roman"/>
                <w:sz w:val="16"/>
                <w:szCs w:val="16"/>
              </w:rPr>
            </w:pPr>
            <w:r w:rsidRPr="008C1952">
              <w:rPr>
                <w:rFonts w:ascii="Times New Roman" w:eastAsia="Palatino Linotype" w:hAnsi="Times New Roman" w:cs="Times New Roman"/>
                <w:sz w:val="16"/>
                <w:szCs w:val="16"/>
              </w:rPr>
              <w:t>“The right of the peoples to healthy and culturally appropriate food produced through ecologically sound and sustainable methods, and their right to define their own food and agriculture systems.”</w:t>
            </w:r>
          </w:p>
        </w:tc>
        <w:tc>
          <w:tcPr>
            <w:tcW w:w="1081" w:type="dxa"/>
            <w:tcBorders>
              <w:top w:val="single" w:sz="4" w:space="0" w:color="000000"/>
            </w:tcBorders>
            <w:tcMar>
              <w:left w:w="108" w:type="dxa"/>
              <w:right w:w="108" w:type="dxa"/>
            </w:tcMar>
            <w:vAlign w:val="center"/>
          </w:tcPr>
          <w:p w14:paraId="5A4E606A" w14:textId="7E927090" w:rsidR="00C44178" w:rsidRPr="008C1952" w:rsidRDefault="00A02A55" w:rsidP="00C44178">
            <w:pPr>
              <w:jc w:val="center"/>
              <w:rPr>
                <w:rFonts w:ascii="Times New Roman" w:eastAsia="Palatino Linotype" w:hAnsi="Times New Roman" w:cs="Times New Roman"/>
                <w:sz w:val="16"/>
                <w:szCs w:val="16"/>
              </w:rPr>
            </w:pPr>
            <w:r>
              <w:rPr>
                <w:rFonts w:ascii="Times New Roman" w:eastAsia="Palatino Linotype" w:hAnsi="Times New Roman" w:cs="Times New Roman"/>
                <w:sz w:val="16"/>
                <w:szCs w:val="16"/>
              </w:rPr>
              <w:fldChar w:fldCharType="begin" w:fldLock="1"/>
            </w:r>
            <w:r>
              <w:rPr>
                <w:rFonts w:ascii="Times New Roman" w:eastAsia="Palatino Linotype" w:hAnsi="Times New Roman" w:cs="Times New Roman"/>
                <w:sz w:val="16"/>
                <w:szCs w:val="16"/>
              </w:rPr>
              <w:instrText>ADDIN CSL_CITATION {"citationItems":[{"id":"ITEM-1","itemData":{"abstract":"NYÉLÉNI was the inspiration for the name of our Forum for Food Sovereignty in Sélingué, Mali. Nyéléni was a legendary Malian peasant woman who farmed and fed her peoples well-she embodied food sovereignty through hard work, innovation and caring for her people. We, peasant farmers, pastoralists, fisherfolk, indigenous peoples, migrant workers, women and young people, who gathered at Nyéléni 2007 are food providers who are ready, able and willing to feed all the world's peoples. Our heritage as providers of food is critical to the future of humanity. This is especially so in the case of women and indigenous peoples who are historical creators of knowledge about food, agriculture and traditional aquaculture. But this heritage and our capacity to produce healthy, good and abundant food are being threatened and undermined by neo-liberalism and global capitalism. We debated food sovereignty issues in order to: A) deepen collective understanding; B) strengthen dialogue among and between sectors and interest groups; and C) formulate joint strategies and an action agenda. Our debates gave food providers as well as environmentalists, consumers and urban movements the strength and power to fight for food sovereignty in Mali, the rest of Africa and worldwide. Through our alliances, we can join together to preserve, recover and build on our knowledge in order to strengthen the essential capacity that leads to sustaining localised food systems. In realizing food sovereignty, we will also ensure the survival of our cultures, our peoples and of the Earth. FOOD SOVEREIGNTY puts those who produce, distribute and need wholesome, local food at the heart of food, agricultural, livestock and fisheries systems and policies, rather than the demands of markets and corporations that reduce food to internationally tradeable commodities and components. It offers a strategy to resist and dismantle this inequitable and unsustainable system that perversely results in both chronic undernutrition and rapidly rising obesity. Food sovereignty includes the right to food-the right of peoples to healthy and culturally appropriate food produced through socially just and ecologically sensitive methods. It entails peoples' right to participate in decision making and define their own food, agriculture, livestock and fisheries systems. It defends the interests and inclusion of the next generation and supports new social relations free from oppression and inequality between men and women, people…","author":[{"dropping-particle":"","family":"Via Campesina","given":"","non-dropping-particle":"La","parse-names":false,"suffix":""}],"container-title":"La Via Campesina","id":"ITEM-1","issued":{"date-parts":[["2007"]]},"title":"Synthesis report: Nyelini Forum for Food Sovereignty","type":"article"},"uris":["http://www.mendeley.com/documents/?uuid=10b4efe9-dc46-4e91-9d3b-4a498163a754"]}],"mendeley":{"formattedCitation":"(La Via Campesina, 2007)","plainTextFormattedCitation":"(La Via Campesina, 2007)","previouslyFormattedCitation":"(La Via Campesina, 2007)"},"properties":{"noteIndex":0},"schema":"https://github.com/citation-style-language/schema/raw/master/csl-citation.json"}</w:instrText>
            </w:r>
            <w:r>
              <w:rPr>
                <w:rFonts w:ascii="Times New Roman" w:eastAsia="Palatino Linotype" w:hAnsi="Times New Roman" w:cs="Times New Roman"/>
                <w:sz w:val="16"/>
                <w:szCs w:val="16"/>
              </w:rPr>
              <w:fldChar w:fldCharType="separate"/>
            </w:r>
            <w:r w:rsidRPr="00A02A55">
              <w:rPr>
                <w:rFonts w:ascii="Times New Roman" w:eastAsia="Palatino Linotype" w:hAnsi="Times New Roman" w:cs="Times New Roman"/>
                <w:noProof/>
                <w:sz w:val="16"/>
                <w:szCs w:val="16"/>
              </w:rPr>
              <w:t xml:space="preserve">La Via Campesina </w:t>
            </w:r>
            <w:r w:rsidR="001A0451">
              <w:rPr>
                <w:rFonts w:ascii="Times New Roman" w:eastAsia="Palatino Linotype" w:hAnsi="Times New Roman" w:cs="Times New Roman"/>
                <w:noProof/>
                <w:sz w:val="16"/>
                <w:szCs w:val="16"/>
              </w:rPr>
              <w:t>(</w:t>
            </w:r>
            <w:r w:rsidRPr="00A02A55">
              <w:rPr>
                <w:rFonts w:ascii="Times New Roman" w:eastAsia="Palatino Linotype" w:hAnsi="Times New Roman" w:cs="Times New Roman"/>
                <w:noProof/>
                <w:sz w:val="16"/>
                <w:szCs w:val="16"/>
              </w:rPr>
              <w:t>2007)</w:t>
            </w:r>
            <w:r>
              <w:rPr>
                <w:rFonts w:ascii="Times New Roman" w:eastAsia="Palatino Linotype" w:hAnsi="Times New Roman" w:cs="Times New Roman"/>
                <w:sz w:val="16"/>
                <w:szCs w:val="16"/>
              </w:rPr>
              <w:fldChar w:fldCharType="end"/>
            </w:r>
          </w:p>
        </w:tc>
        <w:tc>
          <w:tcPr>
            <w:tcW w:w="1865" w:type="dxa"/>
            <w:tcBorders>
              <w:top w:val="single" w:sz="4" w:space="0" w:color="000000"/>
            </w:tcBorders>
            <w:tcMar>
              <w:left w:w="108" w:type="dxa"/>
              <w:right w:w="108" w:type="dxa"/>
            </w:tcMar>
            <w:vAlign w:val="center"/>
          </w:tcPr>
          <w:p w14:paraId="0BD5B560" w14:textId="77777777" w:rsidR="00C44178" w:rsidRPr="002C4F8E" w:rsidRDefault="00C44178" w:rsidP="00C44178">
            <w:pPr>
              <w:jc w:val="center"/>
              <w:rPr>
                <w:rFonts w:ascii="Times New Roman" w:hAnsi="Times New Roman" w:cs="Times New Roman"/>
                <w:sz w:val="16"/>
                <w:szCs w:val="16"/>
              </w:rPr>
            </w:pPr>
            <w:r w:rsidRPr="002C4F8E">
              <w:rPr>
                <w:rFonts w:ascii="Times New Roman" w:eastAsia="Palatino Linotype" w:hAnsi="Times New Roman" w:cs="Times New Roman"/>
                <w:sz w:val="16"/>
                <w:szCs w:val="16"/>
              </w:rPr>
              <w:t>Rahman et al., 2021; Byaruhanga et al., 2023</w:t>
            </w:r>
          </w:p>
        </w:tc>
      </w:tr>
    </w:tbl>
    <w:p w14:paraId="183F2B3D" w14:textId="54A23890" w:rsidR="00A438D3" w:rsidRPr="00311827" w:rsidRDefault="00311827" w:rsidP="00311827">
      <w:pPr>
        <w:jc w:val="center"/>
        <w:rPr>
          <w:rFonts w:ascii="Times New Roman" w:eastAsia="Times New Roman" w:hAnsi="Times New Roman" w:cs="Times New Roman"/>
          <w:color w:val="000000" w:themeColor="text1"/>
          <w:sz w:val="16"/>
          <w:szCs w:val="16"/>
          <w:lang w:eastAsia="en-GB"/>
        </w:rPr>
      </w:pPr>
      <w:r w:rsidRPr="00311827">
        <w:rPr>
          <w:rFonts w:ascii="Times New Roman" w:eastAsia="Times New Roman" w:hAnsi="Times New Roman" w:cs="Times New Roman"/>
          <w:color w:val="000000" w:themeColor="text1"/>
          <w:sz w:val="16"/>
          <w:szCs w:val="16"/>
          <w:lang w:eastAsia="en-GB"/>
        </w:rPr>
        <w:t xml:space="preserve">Source: </w:t>
      </w:r>
      <w:r w:rsidRPr="00311827">
        <w:rPr>
          <w:rFonts w:ascii="Times New Roman" w:eastAsia="Times New Roman" w:hAnsi="Times New Roman" w:cs="Times New Roman"/>
          <w:i/>
          <w:iCs/>
          <w:color w:val="000000" w:themeColor="text1"/>
          <w:sz w:val="16"/>
          <w:szCs w:val="16"/>
          <w:lang w:eastAsia="en-GB"/>
        </w:rPr>
        <w:t>Authors own elaboration</w:t>
      </w:r>
    </w:p>
    <w:p w14:paraId="6F9CC3F7" w14:textId="0A1710EA" w:rsidR="00F60EFC" w:rsidRPr="00F60EFC" w:rsidRDefault="00F60EFC" w:rsidP="00F60EFC">
      <w:pPr>
        <w:pStyle w:val="Didascalia"/>
        <w:keepNext/>
        <w:rPr>
          <w:rFonts w:ascii="Times New Roman" w:hAnsi="Times New Roman" w:cs="Times New Roman"/>
          <w:i w:val="0"/>
          <w:color w:val="000000" w:themeColor="text1"/>
        </w:rPr>
      </w:pPr>
      <w:bookmarkStart w:id="22" w:name="_Toc166589550"/>
      <w:r w:rsidRPr="00F60EFC">
        <w:rPr>
          <w:rFonts w:ascii="Times New Roman" w:hAnsi="Times New Roman" w:cs="Times New Roman"/>
          <w:b/>
          <w:i w:val="0"/>
          <w:color w:val="000000" w:themeColor="text1"/>
        </w:rPr>
        <w:t xml:space="preserve">Supplementary Table </w:t>
      </w:r>
      <w:r w:rsidRPr="00F60EFC">
        <w:rPr>
          <w:rFonts w:ascii="Times New Roman" w:hAnsi="Times New Roman" w:cs="Times New Roman"/>
          <w:b/>
          <w:i w:val="0"/>
          <w:color w:val="000000" w:themeColor="text1"/>
        </w:rPr>
        <w:fldChar w:fldCharType="begin"/>
      </w:r>
      <w:r w:rsidRPr="00F60EFC">
        <w:rPr>
          <w:rFonts w:ascii="Times New Roman" w:hAnsi="Times New Roman" w:cs="Times New Roman"/>
          <w:b/>
          <w:i w:val="0"/>
          <w:color w:val="000000" w:themeColor="text1"/>
        </w:rPr>
        <w:instrText xml:space="preserve"> SEQ Supplementary_Table \* ALPHABETIC </w:instrText>
      </w:r>
      <w:r w:rsidRPr="00F60EFC">
        <w:rPr>
          <w:rFonts w:ascii="Times New Roman" w:hAnsi="Times New Roman" w:cs="Times New Roman"/>
          <w:b/>
          <w:i w:val="0"/>
          <w:color w:val="000000" w:themeColor="text1"/>
        </w:rPr>
        <w:fldChar w:fldCharType="separate"/>
      </w:r>
      <w:r>
        <w:rPr>
          <w:rFonts w:ascii="Times New Roman" w:hAnsi="Times New Roman" w:cs="Times New Roman"/>
          <w:b/>
          <w:i w:val="0"/>
          <w:noProof/>
          <w:color w:val="000000" w:themeColor="text1"/>
        </w:rPr>
        <w:t>K</w:t>
      </w:r>
      <w:r w:rsidRPr="00F60EFC">
        <w:rPr>
          <w:rFonts w:ascii="Times New Roman" w:hAnsi="Times New Roman" w:cs="Times New Roman"/>
          <w:b/>
          <w:i w:val="0"/>
          <w:color w:val="000000" w:themeColor="text1"/>
        </w:rPr>
        <w:fldChar w:fldCharType="end"/>
      </w:r>
      <w:r w:rsidRPr="00F60EFC">
        <w:rPr>
          <w:rFonts w:ascii="Times New Roman" w:hAnsi="Times New Roman" w:cs="Times New Roman"/>
          <w:i w:val="0"/>
          <w:color w:val="000000" w:themeColor="text1"/>
        </w:rPr>
        <w:t>. Description of sustainability objectives and associated concepts based on keywords clusters</w:t>
      </w:r>
      <w:bookmarkEnd w:id="22"/>
    </w:p>
    <w:tbl>
      <w:tblPr>
        <w:tblW w:w="0" w:type="auto"/>
        <w:tblCellMar>
          <w:top w:w="15" w:type="dxa"/>
          <w:bottom w:w="15" w:type="dxa"/>
        </w:tblCellMar>
        <w:tblLook w:val="04A0" w:firstRow="1" w:lastRow="0" w:firstColumn="1" w:lastColumn="0" w:noHBand="0" w:noVBand="1"/>
      </w:tblPr>
      <w:tblGrid>
        <w:gridCol w:w="979"/>
        <w:gridCol w:w="1683"/>
        <w:gridCol w:w="3073"/>
        <w:gridCol w:w="3281"/>
      </w:tblGrid>
      <w:tr w:rsidR="006B5C27" w:rsidRPr="00B26A7A" w14:paraId="011CE522" w14:textId="3A14A047" w:rsidTr="00B26A7A">
        <w:trPr>
          <w:trHeight w:val="170"/>
        </w:trPr>
        <w:tc>
          <w:tcPr>
            <w:tcW w:w="2662" w:type="dxa"/>
            <w:gridSpan w:val="2"/>
            <w:tcBorders>
              <w:top w:val="single" w:sz="4" w:space="0" w:color="auto"/>
              <w:bottom w:val="single" w:sz="4" w:space="0" w:color="auto"/>
            </w:tcBorders>
            <w:vAlign w:val="center"/>
          </w:tcPr>
          <w:p w14:paraId="780C340A" w14:textId="4ADCCB7B" w:rsidR="006B5C27" w:rsidRPr="002158C9" w:rsidRDefault="006B5C27" w:rsidP="002158C9">
            <w:pPr>
              <w:spacing w:after="0" w:line="240" w:lineRule="auto"/>
              <w:jc w:val="center"/>
              <w:rPr>
                <w:rFonts w:ascii="Times New Roman" w:eastAsia="Times New Roman" w:hAnsi="Times New Roman" w:cs="Times New Roman"/>
                <w:b/>
                <w:bCs/>
                <w:color w:val="000000"/>
                <w:sz w:val="16"/>
                <w:szCs w:val="16"/>
                <w:lang w:eastAsia="en-GB"/>
              </w:rPr>
            </w:pPr>
            <w:r w:rsidRPr="002158C9">
              <w:rPr>
                <w:rFonts w:ascii="Times New Roman" w:eastAsia="Times New Roman" w:hAnsi="Times New Roman" w:cs="Times New Roman"/>
                <w:b/>
                <w:bCs/>
                <w:color w:val="000000"/>
                <w:sz w:val="16"/>
                <w:szCs w:val="16"/>
                <w:lang w:eastAsia="en-GB"/>
              </w:rPr>
              <w:t>Sustainability Objectives</w:t>
            </w:r>
          </w:p>
        </w:tc>
        <w:tc>
          <w:tcPr>
            <w:tcW w:w="3073" w:type="dxa"/>
            <w:tcBorders>
              <w:top w:val="single" w:sz="4" w:space="0" w:color="auto"/>
              <w:bottom w:val="single" w:sz="4" w:space="0" w:color="auto"/>
            </w:tcBorders>
            <w:vAlign w:val="center"/>
          </w:tcPr>
          <w:p w14:paraId="073548DD" w14:textId="4B16DA5B" w:rsidR="006B5C27" w:rsidRPr="002158C9" w:rsidRDefault="006B5C27" w:rsidP="002158C9">
            <w:pPr>
              <w:spacing w:after="0" w:line="240" w:lineRule="auto"/>
              <w:jc w:val="center"/>
              <w:rPr>
                <w:rFonts w:ascii="Times New Roman" w:eastAsia="Times New Roman" w:hAnsi="Times New Roman" w:cs="Times New Roman"/>
                <w:b/>
                <w:bCs/>
                <w:color w:val="000000"/>
                <w:sz w:val="16"/>
                <w:szCs w:val="16"/>
                <w:lang w:eastAsia="en-GB"/>
              </w:rPr>
            </w:pPr>
            <w:r w:rsidRPr="002158C9">
              <w:rPr>
                <w:rFonts w:ascii="Times New Roman" w:eastAsia="Times New Roman" w:hAnsi="Times New Roman" w:cs="Times New Roman"/>
                <w:b/>
                <w:bCs/>
                <w:color w:val="000000"/>
                <w:sz w:val="16"/>
                <w:szCs w:val="16"/>
                <w:lang w:eastAsia="en-GB"/>
              </w:rPr>
              <w:t>Description/definition</w:t>
            </w:r>
          </w:p>
        </w:tc>
        <w:tc>
          <w:tcPr>
            <w:tcW w:w="3281" w:type="dxa"/>
            <w:tcBorders>
              <w:top w:val="single" w:sz="4" w:space="0" w:color="auto"/>
              <w:bottom w:val="single" w:sz="4" w:space="0" w:color="auto"/>
            </w:tcBorders>
            <w:vAlign w:val="center"/>
          </w:tcPr>
          <w:p w14:paraId="2239090C" w14:textId="6B29C215" w:rsidR="006B5C27" w:rsidRPr="002158C9" w:rsidRDefault="006B5C27" w:rsidP="002158C9">
            <w:pPr>
              <w:spacing w:after="0" w:line="240" w:lineRule="auto"/>
              <w:jc w:val="center"/>
              <w:rPr>
                <w:rFonts w:ascii="Times New Roman" w:eastAsia="Times New Roman" w:hAnsi="Times New Roman" w:cs="Times New Roman"/>
                <w:b/>
                <w:bCs/>
                <w:color w:val="000000"/>
                <w:sz w:val="16"/>
                <w:szCs w:val="16"/>
                <w:lang w:eastAsia="en-GB"/>
              </w:rPr>
            </w:pPr>
            <w:r w:rsidRPr="002158C9">
              <w:rPr>
                <w:rFonts w:ascii="Times New Roman" w:eastAsia="Times New Roman" w:hAnsi="Times New Roman" w:cs="Times New Roman"/>
                <w:b/>
                <w:bCs/>
                <w:color w:val="000000"/>
                <w:sz w:val="16"/>
                <w:szCs w:val="16"/>
                <w:lang w:eastAsia="en-GB"/>
              </w:rPr>
              <w:t>Associated keywords</w:t>
            </w:r>
          </w:p>
        </w:tc>
      </w:tr>
      <w:tr w:rsidR="006B5C27" w:rsidRPr="00B26A7A" w14:paraId="21D31FA6" w14:textId="202348D7" w:rsidTr="00B26A7A">
        <w:trPr>
          <w:trHeight w:val="170"/>
        </w:trPr>
        <w:tc>
          <w:tcPr>
            <w:tcW w:w="979" w:type="dxa"/>
            <w:tcBorders>
              <w:top w:val="single" w:sz="4" w:space="0" w:color="auto"/>
              <w:bottom w:val="single" w:sz="4" w:space="0" w:color="auto"/>
            </w:tcBorders>
            <w:vAlign w:val="center"/>
          </w:tcPr>
          <w:p w14:paraId="380F6CEF" w14:textId="30A744D2" w:rsidR="00506440" w:rsidRPr="00B26A7A" w:rsidRDefault="00506440"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Mitigate and Adapt</w:t>
            </w:r>
          </w:p>
        </w:tc>
        <w:tc>
          <w:tcPr>
            <w:tcW w:w="1683" w:type="dxa"/>
            <w:tcBorders>
              <w:top w:val="single" w:sz="4" w:space="0" w:color="auto"/>
              <w:bottom w:val="single" w:sz="4" w:space="0" w:color="auto"/>
            </w:tcBorders>
            <w:noWrap/>
            <w:vAlign w:val="center"/>
            <w:hideMark/>
          </w:tcPr>
          <w:p w14:paraId="54D245F8" w14:textId="1C07FB0B" w:rsidR="00506440" w:rsidRPr="00B26A7A" w:rsidRDefault="00506440"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Climate Change</w:t>
            </w:r>
          </w:p>
        </w:tc>
        <w:tc>
          <w:tcPr>
            <w:tcW w:w="3073" w:type="dxa"/>
            <w:tcBorders>
              <w:top w:val="single" w:sz="4" w:space="0" w:color="auto"/>
              <w:bottom w:val="single" w:sz="4" w:space="0" w:color="auto"/>
            </w:tcBorders>
            <w:vAlign w:val="center"/>
          </w:tcPr>
          <w:p w14:paraId="1A4F5079" w14:textId="6DB17DE0" w:rsidR="00506440" w:rsidRPr="00B26A7A" w:rsidRDefault="00C4089F"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contribute to make the impacts of climate change less severe by preventing or reducing the emission of greenhouse gases (GHG) into the atmosphere (mitigation) and to take appropriate action to prevent or minimise the damage they can cause (ad</w:t>
            </w:r>
            <w:r w:rsidR="00344B53" w:rsidRPr="00B26A7A">
              <w:rPr>
                <w:rFonts w:ascii="Times New Roman" w:eastAsia="Times New Roman" w:hAnsi="Times New Roman" w:cs="Times New Roman"/>
                <w:color w:val="000000"/>
                <w:sz w:val="16"/>
                <w:szCs w:val="16"/>
                <w:lang w:eastAsia="en-GB"/>
              </w:rPr>
              <w:t>aptation)</w:t>
            </w:r>
            <w:r w:rsidRPr="00B26A7A">
              <w:rPr>
                <w:rFonts w:ascii="Times New Roman" w:eastAsia="Times New Roman" w:hAnsi="Times New Roman" w:cs="Times New Roman"/>
                <w:color w:val="000000"/>
                <w:sz w:val="16"/>
                <w:szCs w:val="16"/>
                <w:lang w:eastAsia="en-GB"/>
              </w:rPr>
              <w:t>.</w:t>
            </w:r>
          </w:p>
        </w:tc>
        <w:tc>
          <w:tcPr>
            <w:tcW w:w="3281" w:type="dxa"/>
            <w:tcBorders>
              <w:top w:val="single" w:sz="4" w:space="0" w:color="auto"/>
              <w:bottom w:val="single" w:sz="4" w:space="0" w:color="auto"/>
            </w:tcBorders>
            <w:vAlign w:val="center"/>
          </w:tcPr>
          <w:p w14:paraId="304C0FC2" w14:textId="2816693B" w:rsidR="00506440" w:rsidRPr="00B26A7A" w:rsidRDefault="00E347E5"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eastAsia="Times New Roman" w:hAnsi="Times New Roman" w:cs="Times New Roman"/>
                <w:i/>
                <w:color w:val="000000"/>
                <w:sz w:val="16"/>
                <w:szCs w:val="16"/>
                <w:lang w:eastAsia="en-GB"/>
              </w:rPr>
              <w:t>Reduce transport; energy use; climate action; food miles; plant-based diets; planetary boundaries; extreme events; natural disasters; livestock production decrease; fossil fuel; climate neutral; energy-water-carbon efficiency; plant-based diets; carbon footprint; carbon sequestration; GHGs emissions; carbon positive or neutral; low fossil-based inputs; short distances between consumption and production; climate-smart; offset carbon emissions; forest mass conservation</w:t>
            </w:r>
          </w:p>
        </w:tc>
      </w:tr>
      <w:tr w:rsidR="006B5C27" w:rsidRPr="00B26A7A" w14:paraId="1DAA95E5" w14:textId="28E6A220" w:rsidTr="00B26A7A">
        <w:trPr>
          <w:trHeight w:val="170"/>
        </w:trPr>
        <w:tc>
          <w:tcPr>
            <w:tcW w:w="979" w:type="dxa"/>
            <w:vMerge w:val="restart"/>
            <w:tcBorders>
              <w:top w:val="single" w:sz="4" w:space="0" w:color="auto"/>
            </w:tcBorders>
            <w:vAlign w:val="center"/>
          </w:tcPr>
          <w:p w14:paraId="2F77080E" w14:textId="0C821433"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Protect and restore</w:t>
            </w:r>
          </w:p>
        </w:tc>
        <w:tc>
          <w:tcPr>
            <w:tcW w:w="1683" w:type="dxa"/>
            <w:tcBorders>
              <w:top w:val="single" w:sz="4" w:space="0" w:color="auto"/>
              <w:bottom w:val="single" w:sz="4" w:space="0" w:color="auto"/>
            </w:tcBorders>
            <w:noWrap/>
            <w:vAlign w:val="center"/>
            <w:hideMark/>
          </w:tcPr>
          <w:p w14:paraId="3B71F401" w14:textId="23B2FFA0"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Natural Resources Quality (air, water, soil)</w:t>
            </w:r>
          </w:p>
        </w:tc>
        <w:tc>
          <w:tcPr>
            <w:tcW w:w="3073" w:type="dxa"/>
            <w:tcBorders>
              <w:top w:val="single" w:sz="4" w:space="0" w:color="auto"/>
              <w:bottom w:val="single" w:sz="4" w:space="0" w:color="auto"/>
            </w:tcBorders>
            <w:vAlign w:val="center"/>
          </w:tcPr>
          <w:p w14:paraId="72F09AB4" w14:textId="75ECFBF6"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 xml:space="preserve">SFS should protect and restore </w:t>
            </w:r>
            <w:r w:rsidR="00E347E5" w:rsidRPr="00B26A7A">
              <w:rPr>
                <w:rFonts w:ascii="Times New Roman" w:eastAsia="Times New Roman" w:hAnsi="Times New Roman" w:cs="Times New Roman"/>
                <w:color w:val="000000"/>
                <w:sz w:val="16"/>
                <w:szCs w:val="16"/>
                <w:lang w:eastAsia="en-GB"/>
              </w:rPr>
              <w:t>natural resources</w:t>
            </w:r>
            <w:r w:rsidRPr="00B26A7A">
              <w:rPr>
                <w:rFonts w:ascii="Times New Roman" w:eastAsia="Times New Roman" w:hAnsi="Times New Roman" w:cs="Times New Roman"/>
                <w:color w:val="000000"/>
                <w:sz w:val="16"/>
                <w:szCs w:val="16"/>
                <w:lang w:eastAsia="en-GB"/>
              </w:rPr>
              <w:t xml:space="preserve"> by reducing air and water pollution and soil degradation.</w:t>
            </w:r>
          </w:p>
        </w:tc>
        <w:tc>
          <w:tcPr>
            <w:tcW w:w="3281" w:type="dxa"/>
            <w:tcBorders>
              <w:top w:val="single" w:sz="4" w:space="0" w:color="auto"/>
              <w:bottom w:val="single" w:sz="4" w:space="0" w:color="auto"/>
            </w:tcBorders>
            <w:vAlign w:val="center"/>
          </w:tcPr>
          <w:p w14:paraId="73971595" w14:textId="5E777180" w:rsidR="0070756D" w:rsidRPr="00B26A7A" w:rsidRDefault="00E347E5"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Environmental degradation; air pollution; land degradation; soil regeneration; planetary boundaries; soil health; soil fertility; eutrophication; heavy metals; water conservation; clean water; soil conservation; environmental integrity; soil functionality</w:t>
            </w:r>
          </w:p>
        </w:tc>
      </w:tr>
      <w:tr w:rsidR="006B5C27" w:rsidRPr="00B26A7A" w14:paraId="5C4CDC95" w14:textId="4D0E686C" w:rsidTr="00B26A7A">
        <w:trPr>
          <w:trHeight w:val="170"/>
        </w:trPr>
        <w:tc>
          <w:tcPr>
            <w:tcW w:w="979" w:type="dxa"/>
            <w:vMerge/>
            <w:vAlign w:val="center"/>
          </w:tcPr>
          <w:p w14:paraId="6FF35932" w14:textId="7ECFBD62"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34452944" w14:textId="5D2F3D72"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Natural Resources Use (water, land)</w:t>
            </w:r>
          </w:p>
        </w:tc>
        <w:tc>
          <w:tcPr>
            <w:tcW w:w="3073" w:type="dxa"/>
            <w:tcBorders>
              <w:top w:val="single" w:sz="4" w:space="0" w:color="auto"/>
              <w:bottom w:val="single" w:sz="4" w:space="0" w:color="auto"/>
            </w:tcBorders>
            <w:vAlign w:val="center"/>
          </w:tcPr>
          <w:p w14:paraId="2D70C105" w14:textId="05F4E7AC" w:rsidR="0070756D" w:rsidRPr="00B26A7A" w:rsidRDefault="00E347E5"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protect and restore natural resources by reducing land and water use.</w:t>
            </w:r>
          </w:p>
        </w:tc>
        <w:tc>
          <w:tcPr>
            <w:tcW w:w="3281" w:type="dxa"/>
            <w:tcBorders>
              <w:top w:val="single" w:sz="4" w:space="0" w:color="auto"/>
              <w:bottom w:val="single" w:sz="4" w:space="0" w:color="auto"/>
            </w:tcBorders>
            <w:vAlign w:val="center"/>
          </w:tcPr>
          <w:p w14:paraId="2990B1C5" w14:textId="16B5AA7C" w:rsidR="0070756D" w:rsidRPr="00B26A7A" w:rsidRDefault="00E347E5"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Ecological footprint; avoid deforestation; freshwater use; planetary boundaries; freshwater withdrawals; land conversion; water resources; planetary boundaries; livestock production decrease; land use change; water conservation; soil conservation; water management; overuse of water; environmental integrity; land footprint</w:t>
            </w:r>
          </w:p>
        </w:tc>
      </w:tr>
      <w:tr w:rsidR="006B5C27" w:rsidRPr="00B26A7A" w14:paraId="0F3499AD" w14:textId="00FDC113" w:rsidTr="00B26A7A">
        <w:trPr>
          <w:trHeight w:val="170"/>
        </w:trPr>
        <w:tc>
          <w:tcPr>
            <w:tcW w:w="979" w:type="dxa"/>
            <w:vMerge/>
            <w:vAlign w:val="center"/>
          </w:tcPr>
          <w:p w14:paraId="785EF258" w14:textId="67B36507"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0BB739E4" w14:textId="6759F1C0"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Biodiversity State</w:t>
            </w:r>
          </w:p>
        </w:tc>
        <w:tc>
          <w:tcPr>
            <w:tcW w:w="3073" w:type="dxa"/>
            <w:tcBorders>
              <w:top w:val="single" w:sz="4" w:space="0" w:color="auto"/>
              <w:bottom w:val="single" w:sz="4" w:space="0" w:color="auto"/>
            </w:tcBorders>
            <w:vAlign w:val="center"/>
          </w:tcPr>
          <w:p w14:paraId="5D081144" w14:textId="2EB8E459" w:rsidR="0070756D" w:rsidRPr="00B26A7A" w:rsidRDefault="00E347E5"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 xml:space="preserve">SFS should protect </w:t>
            </w:r>
            <w:r w:rsidR="00AE37C5" w:rsidRPr="00B26A7A">
              <w:rPr>
                <w:rFonts w:ascii="Times New Roman" w:eastAsia="Times New Roman" w:hAnsi="Times New Roman" w:cs="Times New Roman"/>
                <w:color w:val="000000"/>
                <w:sz w:val="16"/>
                <w:szCs w:val="16"/>
                <w:lang w:eastAsia="en-GB"/>
              </w:rPr>
              <w:t>and restore biodiversity state by increasing genetic variability, species diversity, and ecosystem diversity.</w:t>
            </w:r>
          </w:p>
        </w:tc>
        <w:tc>
          <w:tcPr>
            <w:tcW w:w="3281" w:type="dxa"/>
            <w:tcBorders>
              <w:top w:val="single" w:sz="4" w:space="0" w:color="auto"/>
              <w:bottom w:val="single" w:sz="4" w:space="0" w:color="auto"/>
            </w:tcBorders>
            <w:vAlign w:val="center"/>
          </w:tcPr>
          <w:p w14:paraId="452E229F" w14:textId="100274CA" w:rsidR="0070756D" w:rsidRPr="00B26A7A" w:rsidRDefault="008C05BD"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Agroecology</w:t>
            </w:r>
            <w:r w:rsidR="00E347E5" w:rsidRPr="00B26A7A">
              <w:rPr>
                <w:rFonts w:ascii="Times New Roman" w:hAnsi="Times New Roman" w:cs="Times New Roman"/>
                <w:i/>
                <w:sz w:val="16"/>
                <w:szCs w:val="16"/>
              </w:rPr>
              <w:t>; planetary boundaries; overexploitation of fish stocks; ex</w:t>
            </w:r>
            <w:r w:rsidRPr="00B26A7A">
              <w:rPr>
                <w:rFonts w:ascii="Times New Roman" w:hAnsi="Times New Roman" w:cs="Times New Roman"/>
                <w:i/>
                <w:sz w:val="16"/>
                <w:szCs w:val="16"/>
              </w:rPr>
              <w:t>tinction rate risk; fish stocks</w:t>
            </w:r>
            <w:r w:rsidR="00E347E5" w:rsidRPr="00B26A7A">
              <w:rPr>
                <w:rFonts w:ascii="Times New Roman" w:hAnsi="Times New Roman" w:cs="Times New Roman"/>
                <w:i/>
                <w:sz w:val="16"/>
                <w:szCs w:val="16"/>
              </w:rPr>
              <w:t>; species extinction; erosion of genetic divers</w:t>
            </w:r>
            <w:r w:rsidRPr="00B26A7A">
              <w:rPr>
                <w:rFonts w:ascii="Times New Roman" w:hAnsi="Times New Roman" w:cs="Times New Roman"/>
                <w:i/>
                <w:sz w:val="16"/>
                <w:szCs w:val="16"/>
              </w:rPr>
              <w:t>ity; fish stock depletion</w:t>
            </w:r>
            <w:r w:rsidR="00E347E5" w:rsidRPr="00B26A7A">
              <w:rPr>
                <w:rFonts w:ascii="Times New Roman" w:hAnsi="Times New Roman" w:cs="Times New Roman"/>
                <w:i/>
                <w:sz w:val="16"/>
                <w:szCs w:val="16"/>
              </w:rPr>
              <w:t>; genetic diversity; threatene</w:t>
            </w:r>
            <w:r w:rsidRPr="00B26A7A">
              <w:rPr>
                <w:rFonts w:ascii="Times New Roman" w:hAnsi="Times New Roman" w:cs="Times New Roman"/>
                <w:i/>
                <w:sz w:val="16"/>
                <w:szCs w:val="16"/>
              </w:rPr>
              <w:t xml:space="preserve">d landraces; </w:t>
            </w:r>
            <w:r w:rsidR="002158C9" w:rsidRPr="00B26A7A">
              <w:rPr>
                <w:rFonts w:ascii="Times New Roman" w:hAnsi="Times New Roman" w:cs="Times New Roman"/>
                <w:i/>
                <w:sz w:val="16"/>
                <w:szCs w:val="16"/>
              </w:rPr>
              <w:t>agrobiodiversity</w:t>
            </w:r>
            <w:r w:rsidRPr="00B26A7A">
              <w:rPr>
                <w:rFonts w:ascii="Times New Roman" w:hAnsi="Times New Roman" w:cs="Times New Roman"/>
                <w:i/>
                <w:sz w:val="16"/>
                <w:szCs w:val="16"/>
              </w:rPr>
              <w:t xml:space="preserve">; </w:t>
            </w:r>
            <w:r w:rsidR="00E347E5" w:rsidRPr="00B26A7A">
              <w:rPr>
                <w:rFonts w:ascii="Times New Roman" w:hAnsi="Times New Roman" w:cs="Times New Roman"/>
                <w:i/>
                <w:sz w:val="16"/>
                <w:szCs w:val="16"/>
              </w:rPr>
              <w:t>environmental integrity</w:t>
            </w:r>
          </w:p>
        </w:tc>
      </w:tr>
      <w:tr w:rsidR="006B5C27" w:rsidRPr="00B26A7A" w14:paraId="216FF3D3" w14:textId="5DF7AC41" w:rsidTr="00B26A7A">
        <w:trPr>
          <w:trHeight w:val="170"/>
        </w:trPr>
        <w:tc>
          <w:tcPr>
            <w:tcW w:w="979" w:type="dxa"/>
            <w:vMerge/>
            <w:vAlign w:val="center"/>
          </w:tcPr>
          <w:p w14:paraId="2F13B293" w14:textId="57E85023"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tcBorders>
            <w:noWrap/>
            <w:vAlign w:val="center"/>
            <w:hideMark/>
          </w:tcPr>
          <w:p w14:paraId="6FF83E03" w14:textId="5974CB5F"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Ecosystems Extent and Condition</w:t>
            </w:r>
          </w:p>
        </w:tc>
        <w:tc>
          <w:tcPr>
            <w:tcW w:w="3073" w:type="dxa"/>
            <w:tcBorders>
              <w:top w:val="single" w:sz="4" w:space="0" w:color="auto"/>
            </w:tcBorders>
            <w:vAlign w:val="center"/>
          </w:tcPr>
          <w:p w14:paraId="0D433CA5" w14:textId="07121F9A" w:rsidR="0070756D" w:rsidRPr="00B26A7A" w:rsidRDefault="008C05B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 xml:space="preserve">SFS should protect and restore </w:t>
            </w:r>
            <w:r w:rsidR="00AE37C5" w:rsidRPr="00B26A7A">
              <w:rPr>
                <w:rFonts w:ascii="Times New Roman" w:eastAsia="Times New Roman" w:hAnsi="Times New Roman" w:cs="Times New Roman"/>
                <w:color w:val="000000"/>
                <w:sz w:val="16"/>
                <w:szCs w:val="16"/>
                <w:lang w:eastAsia="en-GB"/>
              </w:rPr>
              <w:t>ecosystem extent (coverage), condition (structure, composition, functioning) and ecosystem services</w:t>
            </w:r>
            <w:r w:rsidR="00344B53" w:rsidRPr="00B26A7A">
              <w:rPr>
                <w:rFonts w:ascii="Times New Roman" w:eastAsia="Times New Roman" w:hAnsi="Times New Roman" w:cs="Times New Roman"/>
                <w:color w:val="000000"/>
                <w:sz w:val="16"/>
                <w:szCs w:val="16"/>
                <w:lang w:eastAsia="en-GB"/>
              </w:rPr>
              <w:t>.</w:t>
            </w:r>
          </w:p>
        </w:tc>
        <w:tc>
          <w:tcPr>
            <w:tcW w:w="3281" w:type="dxa"/>
            <w:tcBorders>
              <w:top w:val="single" w:sz="4" w:space="0" w:color="auto"/>
            </w:tcBorders>
            <w:vAlign w:val="center"/>
          </w:tcPr>
          <w:p w14:paraId="26C258C4" w14:textId="7CB7865B" w:rsidR="0070756D" w:rsidRPr="00B26A7A" w:rsidRDefault="00AE37C5"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eastAsia="Times New Roman" w:hAnsi="Times New Roman" w:cs="Times New Roman"/>
                <w:i/>
                <w:color w:val="000000"/>
                <w:sz w:val="16"/>
                <w:szCs w:val="16"/>
                <w:lang w:eastAsia="en-GB"/>
              </w:rPr>
              <w:t>Agroecology; planetary boundaries; environmental degradation; extinction rate risk; fish stocks; fish stock depletion; ecosystems; forest mass conservation; ecosystem services; ecological degradation; environmental integrity.</w:t>
            </w:r>
          </w:p>
        </w:tc>
      </w:tr>
      <w:tr w:rsidR="006B5C27" w:rsidRPr="00B26A7A" w14:paraId="45B2357C" w14:textId="41F42D80" w:rsidTr="00B26A7A">
        <w:trPr>
          <w:trHeight w:val="170"/>
        </w:trPr>
        <w:tc>
          <w:tcPr>
            <w:tcW w:w="979" w:type="dxa"/>
            <w:vMerge/>
            <w:vAlign w:val="center"/>
          </w:tcPr>
          <w:p w14:paraId="6D537E85" w14:textId="525AB0C4"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tcBorders>
            <w:noWrap/>
            <w:vAlign w:val="center"/>
            <w:hideMark/>
          </w:tcPr>
          <w:p w14:paraId="5EE9AD82" w14:textId="1DF3DCAD"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Agricultural Landscape</w:t>
            </w:r>
          </w:p>
        </w:tc>
        <w:tc>
          <w:tcPr>
            <w:tcW w:w="3073" w:type="dxa"/>
            <w:tcBorders>
              <w:top w:val="single" w:sz="4" w:space="0" w:color="auto"/>
            </w:tcBorders>
            <w:vAlign w:val="center"/>
          </w:tcPr>
          <w:p w14:paraId="136DAAB6" w14:textId="4B6C2A68" w:rsidR="00CC28B6" w:rsidRPr="00B26A7A" w:rsidRDefault="00CC28B6"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protect and restore l</w:t>
            </w:r>
            <w:r w:rsidR="006B5C27" w:rsidRPr="00B26A7A">
              <w:rPr>
                <w:rFonts w:ascii="Times New Roman" w:eastAsia="Times New Roman" w:hAnsi="Times New Roman" w:cs="Times New Roman"/>
                <w:color w:val="000000"/>
                <w:sz w:val="16"/>
                <w:szCs w:val="16"/>
                <w:lang w:eastAsia="en-GB"/>
              </w:rPr>
              <w:t xml:space="preserve">andscape </w:t>
            </w:r>
            <w:r w:rsidRPr="00B26A7A">
              <w:rPr>
                <w:rFonts w:ascii="Times New Roman" w:eastAsia="Times New Roman" w:hAnsi="Times New Roman" w:cs="Times New Roman"/>
                <w:color w:val="000000"/>
                <w:sz w:val="16"/>
                <w:szCs w:val="16"/>
                <w:lang w:eastAsia="en-GB"/>
              </w:rPr>
              <w:t>appearance (including environmental features, land use types and man-made objects), functions (environmental services) and values (recreational and cultur</w:t>
            </w:r>
            <w:r w:rsidR="00344B53" w:rsidRPr="00B26A7A">
              <w:rPr>
                <w:rFonts w:ascii="Times New Roman" w:eastAsia="Times New Roman" w:hAnsi="Times New Roman" w:cs="Times New Roman"/>
                <w:color w:val="000000"/>
                <w:sz w:val="16"/>
                <w:szCs w:val="16"/>
                <w:lang w:eastAsia="en-GB"/>
              </w:rPr>
              <w:t>al).</w:t>
            </w:r>
          </w:p>
          <w:p w14:paraId="5849E069" w14:textId="210E9733"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p>
        </w:tc>
        <w:tc>
          <w:tcPr>
            <w:tcW w:w="3281" w:type="dxa"/>
            <w:tcBorders>
              <w:top w:val="single" w:sz="4" w:space="0" w:color="auto"/>
            </w:tcBorders>
            <w:vAlign w:val="center"/>
          </w:tcPr>
          <w:p w14:paraId="4E02F4D5" w14:textId="49530846" w:rsidR="0070756D" w:rsidRPr="00B26A7A" w:rsidRDefault="00AE37C5"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eastAsia="Times New Roman" w:hAnsi="Times New Roman" w:cs="Times New Roman"/>
                <w:i/>
                <w:color w:val="000000"/>
                <w:sz w:val="16"/>
                <w:szCs w:val="16"/>
                <w:lang w:eastAsia="en-GB"/>
              </w:rPr>
              <w:t>Landscape diversity; farming landscape, landscape preservation; ecological and scenic value</w:t>
            </w:r>
          </w:p>
        </w:tc>
      </w:tr>
      <w:tr w:rsidR="006B5C27" w:rsidRPr="00B26A7A" w14:paraId="73A73865" w14:textId="597B111E" w:rsidTr="00B26A7A">
        <w:trPr>
          <w:trHeight w:val="170"/>
        </w:trPr>
        <w:tc>
          <w:tcPr>
            <w:tcW w:w="979" w:type="dxa"/>
            <w:vMerge w:val="restart"/>
            <w:tcBorders>
              <w:top w:val="single" w:sz="4" w:space="0" w:color="auto"/>
            </w:tcBorders>
            <w:vAlign w:val="center"/>
          </w:tcPr>
          <w:p w14:paraId="6F7E356D" w14:textId="77777777" w:rsidR="006B5C27" w:rsidRPr="00B26A7A" w:rsidRDefault="006B5C27"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Reduce</w:t>
            </w:r>
          </w:p>
          <w:p w14:paraId="280688A9" w14:textId="6F1AB100" w:rsidR="006B5C27" w:rsidRPr="00B26A7A" w:rsidRDefault="006B5C27"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tcBorders>
            <w:noWrap/>
            <w:vAlign w:val="center"/>
            <w:hideMark/>
          </w:tcPr>
          <w:p w14:paraId="60BAA70B" w14:textId="38A88A15" w:rsidR="006B5C27" w:rsidRPr="00B26A7A" w:rsidRDefault="006B5C27"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 xml:space="preserve">Pesticide, </w:t>
            </w:r>
            <w:r w:rsidR="00B70B61" w:rsidRPr="00B26A7A">
              <w:rPr>
                <w:rFonts w:ascii="Times New Roman" w:eastAsia="Times New Roman" w:hAnsi="Times New Roman" w:cs="Times New Roman"/>
                <w:color w:val="000000"/>
                <w:sz w:val="16"/>
                <w:szCs w:val="16"/>
                <w:lang w:eastAsia="en-GB"/>
              </w:rPr>
              <w:t>Fertil</w:t>
            </w:r>
            <w:r w:rsidR="00ED3846">
              <w:rPr>
                <w:rFonts w:ascii="Times New Roman" w:eastAsia="Times New Roman" w:hAnsi="Times New Roman" w:cs="Times New Roman"/>
                <w:color w:val="000000"/>
                <w:sz w:val="16"/>
                <w:szCs w:val="16"/>
                <w:lang w:eastAsia="en-GB"/>
              </w:rPr>
              <w:t>is</w:t>
            </w:r>
            <w:r w:rsidR="00B70B61" w:rsidRPr="00B26A7A">
              <w:rPr>
                <w:rFonts w:ascii="Times New Roman" w:eastAsia="Times New Roman" w:hAnsi="Times New Roman" w:cs="Times New Roman"/>
                <w:color w:val="000000"/>
                <w:sz w:val="16"/>
                <w:szCs w:val="16"/>
                <w:lang w:eastAsia="en-GB"/>
              </w:rPr>
              <w:t>ers</w:t>
            </w:r>
            <w:r w:rsidRPr="00B26A7A">
              <w:rPr>
                <w:rFonts w:ascii="Times New Roman" w:eastAsia="Times New Roman" w:hAnsi="Times New Roman" w:cs="Times New Roman"/>
                <w:color w:val="000000"/>
                <w:sz w:val="16"/>
                <w:szCs w:val="16"/>
                <w:lang w:eastAsia="en-GB"/>
              </w:rPr>
              <w:t xml:space="preserve"> and </w:t>
            </w:r>
            <w:r w:rsidR="00B70B61" w:rsidRPr="00B26A7A">
              <w:rPr>
                <w:rFonts w:ascii="Times New Roman" w:eastAsia="Times New Roman" w:hAnsi="Times New Roman" w:cs="Times New Roman"/>
                <w:color w:val="000000"/>
                <w:sz w:val="16"/>
                <w:szCs w:val="16"/>
                <w:lang w:eastAsia="en-GB"/>
              </w:rPr>
              <w:t>Antimicrobial</w:t>
            </w:r>
            <w:r w:rsidRPr="00B26A7A">
              <w:rPr>
                <w:rFonts w:ascii="Times New Roman" w:eastAsia="Times New Roman" w:hAnsi="Times New Roman" w:cs="Times New Roman"/>
                <w:color w:val="000000"/>
                <w:sz w:val="16"/>
                <w:szCs w:val="16"/>
                <w:lang w:eastAsia="en-GB"/>
              </w:rPr>
              <w:t xml:space="preserve"> Use</w:t>
            </w:r>
          </w:p>
        </w:tc>
        <w:tc>
          <w:tcPr>
            <w:tcW w:w="3073" w:type="dxa"/>
            <w:tcBorders>
              <w:top w:val="single" w:sz="4" w:space="0" w:color="auto"/>
            </w:tcBorders>
            <w:vAlign w:val="center"/>
          </w:tcPr>
          <w:p w14:paraId="317D9A6A" w14:textId="2EE7F6D0" w:rsidR="006B5C27" w:rsidRPr="00B26A7A" w:rsidRDefault="00EF6284"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reduce the use of pesticides, fertil</w:t>
            </w:r>
            <w:r w:rsidR="00ED3846">
              <w:rPr>
                <w:rFonts w:ascii="Times New Roman" w:eastAsia="Times New Roman" w:hAnsi="Times New Roman" w:cs="Times New Roman"/>
                <w:color w:val="000000"/>
                <w:sz w:val="16"/>
                <w:szCs w:val="16"/>
                <w:lang w:eastAsia="en-GB"/>
              </w:rPr>
              <w:t>is</w:t>
            </w:r>
            <w:r w:rsidRPr="00B26A7A">
              <w:rPr>
                <w:rFonts w:ascii="Times New Roman" w:eastAsia="Times New Roman" w:hAnsi="Times New Roman" w:cs="Times New Roman"/>
                <w:color w:val="000000"/>
                <w:sz w:val="16"/>
                <w:szCs w:val="16"/>
                <w:lang w:eastAsia="en-GB"/>
              </w:rPr>
              <w:t>ers and antimicrobials use in the food supply chain</w:t>
            </w:r>
          </w:p>
        </w:tc>
        <w:tc>
          <w:tcPr>
            <w:tcW w:w="3281" w:type="dxa"/>
            <w:tcBorders>
              <w:top w:val="single" w:sz="4" w:space="0" w:color="auto"/>
            </w:tcBorders>
            <w:vAlign w:val="center"/>
          </w:tcPr>
          <w:p w14:paraId="1C709F79" w14:textId="3F6E5A1F" w:rsidR="006B5C27" w:rsidRPr="00B26A7A" w:rsidRDefault="00EF6284"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 xml:space="preserve">Organic production; agrochemicals use; chemical pollution and antibiotics; avoid nutrient imbalances; input reduction; nutrient loss; limit nutrient input; nutrient recycling; pests regulation; agrochemicals use; </w:t>
            </w:r>
            <w:r w:rsidR="006B5C27" w:rsidRPr="00B26A7A">
              <w:rPr>
                <w:rFonts w:ascii="Times New Roman" w:hAnsi="Times New Roman" w:cs="Times New Roman"/>
                <w:i/>
                <w:sz w:val="16"/>
                <w:szCs w:val="16"/>
              </w:rPr>
              <w:t>chemical pollution a</w:t>
            </w:r>
            <w:r w:rsidR="00B70B61" w:rsidRPr="00B26A7A">
              <w:rPr>
                <w:rFonts w:ascii="Times New Roman" w:hAnsi="Times New Roman" w:cs="Times New Roman"/>
                <w:i/>
                <w:sz w:val="16"/>
                <w:szCs w:val="16"/>
              </w:rPr>
              <w:t>nd antibiotics</w:t>
            </w:r>
            <w:r w:rsidR="006B5C27" w:rsidRPr="00B26A7A">
              <w:rPr>
                <w:rFonts w:ascii="Times New Roman" w:hAnsi="Times New Roman" w:cs="Times New Roman"/>
                <w:i/>
                <w:sz w:val="16"/>
                <w:szCs w:val="16"/>
              </w:rPr>
              <w:t>;</w:t>
            </w:r>
            <w:r w:rsidR="00B70B61" w:rsidRPr="00B26A7A">
              <w:rPr>
                <w:rFonts w:ascii="Times New Roman" w:hAnsi="Times New Roman" w:cs="Times New Roman"/>
                <w:i/>
                <w:sz w:val="16"/>
                <w:szCs w:val="16"/>
              </w:rPr>
              <w:t xml:space="preserve"> </w:t>
            </w:r>
            <w:r w:rsidR="006B5C27" w:rsidRPr="00B26A7A">
              <w:rPr>
                <w:rFonts w:ascii="Times New Roman" w:hAnsi="Times New Roman" w:cs="Times New Roman"/>
                <w:i/>
                <w:sz w:val="16"/>
                <w:szCs w:val="16"/>
              </w:rPr>
              <w:t>avoid nutrient imbalances</w:t>
            </w:r>
          </w:p>
        </w:tc>
      </w:tr>
      <w:tr w:rsidR="006B5C27" w:rsidRPr="00B26A7A" w14:paraId="2A280B2F" w14:textId="517C80C5" w:rsidTr="00B26A7A">
        <w:trPr>
          <w:trHeight w:val="170"/>
        </w:trPr>
        <w:tc>
          <w:tcPr>
            <w:tcW w:w="979" w:type="dxa"/>
            <w:vMerge/>
            <w:tcBorders>
              <w:bottom w:val="single" w:sz="4" w:space="0" w:color="auto"/>
            </w:tcBorders>
            <w:vAlign w:val="center"/>
          </w:tcPr>
          <w:p w14:paraId="3A2AD048" w14:textId="1F1B685F" w:rsidR="006B5C27" w:rsidRPr="00B26A7A" w:rsidRDefault="006B5C27"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bottom w:val="single" w:sz="4" w:space="0" w:color="auto"/>
            </w:tcBorders>
            <w:noWrap/>
            <w:vAlign w:val="center"/>
            <w:hideMark/>
          </w:tcPr>
          <w:p w14:paraId="712B6E01" w14:textId="13302C93" w:rsidR="006B5C27" w:rsidRPr="00B26A7A" w:rsidRDefault="006B5C27"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Food Losses and Waste</w:t>
            </w:r>
          </w:p>
        </w:tc>
        <w:tc>
          <w:tcPr>
            <w:tcW w:w="3073" w:type="dxa"/>
            <w:tcBorders>
              <w:bottom w:val="single" w:sz="4" w:space="0" w:color="auto"/>
            </w:tcBorders>
            <w:vAlign w:val="center"/>
          </w:tcPr>
          <w:p w14:paraId="3424451E" w14:textId="2DAE1D67" w:rsidR="006B5C27" w:rsidRPr="00B26A7A" w:rsidRDefault="00EF6284"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reduce food losses and waste occurring in the food supply chain</w:t>
            </w:r>
          </w:p>
        </w:tc>
        <w:tc>
          <w:tcPr>
            <w:tcW w:w="3281" w:type="dxa"/>
            <w:tcBorders>
              <w:bottom w:val="single" w:sz="4" w:space="0" w:color="auto"/>
            </w:tcBorders>
            <w:vAlign w:val="center"/>
          </w:tcPr>
          <w:p w14:paraId="245CC4E3" w14:textId="11713C5A" w:rsidR="006B5C27" w:rsidRPr="00B26A7A" w:rsidRDefault="00EF6284"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Food losses; food waste</w:t>
            </w:r>
          </w:p>
        </w:tc>
      </w:tr>
      <w:tr w:rsidR="00B70B61" w:rsidRPr="00B26A7A" w14:paraId="41CBF0F5" w14:textId="28545088" w:rsidTr="00B26A7A">
        <w:trPr>
          <w:trHeight w:val="170"/>
        </w:trPr>
        <w:tc>
          <w:tcPr>
            <w:tcW w:w="979" w:type="dxa"/>
            <w:vMerge w:val="restart"/>
            <w:tcBorders>
              <w:top w:val="single" w:sz="4" w:space="0" w:color="auto"/>
            </w:tcBorders>
            <w:vAlign w:val="center"/>
          </w:tcPr>
          <w:p w14:paraId="7A2B9913" w14:textId="59E88B4B" w:rsidR="00B70B61" w:rsidRPr="00B26A7A" w:rsidRDefault="00B70B61"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Improve</w:t>
            </w:r>
          </w:p>
          <w:p w14:paraId="7865557A" w14:textId="54D34E6B" w:rsidR="00B70B61" w:rsidRPr="00B26A7A" w:rsidRDefault="00B70B61"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5D41D66D" w14:textId="7D63CABB" w:rsidR="00B70B61" w:rsidRPr="00B26A7A" w:rsidRDefault="00B70B61"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Nutrients Circularity</w:t>
            </w:r>
          </w:p>
        </w:tc>
        <w:tc>
          <w:tcPr>
            <w:tcW w:w="3073" w:type="dxa"/>
            <w:tcBorders>
              <w:top w:val="single" w:sz="4" w:space="0" w:color="auto"/>
              <w:bottom w:val="single" w:sz="4" w:space="0" w:color="auto"/>
            </w:tcBorders>
            <w:vAlign w:val="center"/>
          </w:tcPr>
          <w:p w14:paraId="3558F030" w14:textId="49349BEE" w:rsidR="00B70B61" w:rsidRPr="00B26A7A" w:rsidRDefault="00B70B61"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improve nutrient circularity in the food supply chain</w:t>
            </w:r>
          </w:p>
        </w:tc>
        <w:tc>
          <w:tcPr>
            <w:tcW w:w="3281" w:type="dxa"/>
            <w:tcBorders>
              <w:top w:val="single" w:sz="4" w:space="0" w:color="auto"/>
              <w:bottom w:val="single" w:sz="4" w:space="0" w:color="auto"/>
            </w:tcBorders>
            <w:vAlign w:val="center"/>
          </w:tcPr>
          <w:p w14:paraId="305328EC" w14:textId="1E2F3F47" w:rsidR="00B70B61" w:rsidRPr="00B26A7A" w:rsidRDefault="00B70B61"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eastAsia="Times New Roman" w:hAnsi="Times New Roman" w:cs="Times New Roman"/>
                <w:i/>
                <w:color w:val="000000"/>
                <w:sz w:val="16"/>
                <w:szCs w:val="16"/>
                <w:lang w:eastAsia="en-GB"/>
              </w:rPr>
              <w:t>Circular economy; nutrient recycling reuse; reuse by-products; recycling; optim</w:t>
            </w:r>
            <w:r w:rsidR="00ED3846">
              <w:rPr>
                <w:rFonts w:ascii="Times New Roman" w:eastAsia="Times New Roman" w:hAnsi="Times New Roman" w:cs="Times New Roman"/>
                <w:i/>
                <w:color w:val="000000"/>
                <w:sz w:val="16"/>
                <w:szCs w:val="16"/>
                <w:lang w:eastAsia="en-GB"/>
              </w:rPr>
              <w:t>is</w:t>
            </w:r>
            <w:r w:rsidRPr="00B26A7A">
              <w:rPr>
                <w:rFonts w:ascii="Times New Roman" w:eastAsia="Times New Roman" w:hAnsi="Times New Roman" w:cs="Times New Roman"/>
                <w:i/>
                <w:color w:val="000000"/>
                <w:sz w:val="16"/>
                <w:szCs w:val="16"/>
                <w:lang w:eastAsia="en-GB"/>
              </w:rPr>
              <w:t>ing nutrient cycle; closure of biogeochemical cycles at a landscape scale; close the nutrient cycle; circular and resource-efficient</w:t>
            </w:r>
          </w:p>
        </w:tc>
      </w:tr>
      <w:tr w:rsidR="00B70B61" w:rsidRPr="00B26A7A" w14:paraId="22BB1AAD" w14:textId="7E641F19" w:rsidTr="00B26A7A">
        <w:trPr>
          <w:trHeight w:val="170"/>
        </w:trPr>
        <w:tc>
          <w:tcPr>
            <w:tcW w:w="979" w:type="dxa"/>
            <w:vMerge/>
            <w:tcBorders>
              <w:bottom w:val="single" w:sz="4" w:space="0" w:color="auto"/>
            </w:tcBorders>
            <w:vAlign w:val="center"/>
          </w:tcPr>
          <w:p w14:paraId="1851F7B1" w14:textId="1E48CF67" w:rsidR="00B70B61" w:rsidRPr="00B26A7A" w:rsidRDefault="00B70B61"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47E7CD48" w14:textId="09B24D73" w:rsidR="00B70B61" w:rsidRPr="00B26A7A" w:rsidRDefault="00B70B61"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Waste Management</w:t>
            </w:r>
          </w:p>
        </w:tc>
        <w:tc>
          <w:tcPr>
            <w:tcW w:w="3073" w:type="dxa"/>
            <w:tcBorders>
              <w:top w:val="single" w:sz="4" w:space="0" w:color="auto"/>
              <w:bottom w:val="single" w:sz="4" w:space="0" w:color="auto"/>
            </w:tcBorders>
            <w:vAlign w:val="center"/>
          </w:tcPr>
          <w:p w14:paraId="0534396B" w14:textId="04ACD546" w:rsidR="00B70B61" w:rsidRPr="00B26A7A" w:rsidRDefault="00B70B61"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improve waste management in the food supply chain</w:t>
            </w:r>
          </w:p>
        </w:tc>
        <w:tc>
          <w:tcPr>
            <w:tcW w:w="3281" w:type="dxa"/>
            <w:tcBorders>
              <w:top w:val="single" w:sz="4" w:space="0" w:color="auto"/>
              <w:bottom w:val="single" w:sz="4" w:space="0" w:color="auto"/>
            </w:tcBorders>
            <w:vAlign w:val="center"/>
          </w:tcPr>
          <w:p w14:paraId="4F3EF79F" w14:textId="4E2148B8" w:rsidR="00B70B61" w:rsidRPr="00B26A7A" w:rsidRDefault="00B70B61"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Reduce waste; circular waste management, reduce packaging</w:t>
            </w:r>
          </w:p>
        </w:tc>
      </w:tr>
      <w:tr w:rsidR="00204306" w:rsidRPr="00B26A7A" w14:paraId="01E0C17B" w14:textId="34B8DFAF" w:rsidTr="00B26A7A">
        <w:trPr>
          <w:trHeight w:val="170"/>
        </w:trPr>
        <w:tc>
          <w:tcPr>
            <w:tcW w:w="979" w:type="dxa"/>
            <w:vMerge w:val="restart"/>
            <w:tcBorders>
              <w:top w:val="single" w:sz="4" w:space="0" w:color="auto"/>
            </w:tcBorders>
            <w:vAlign w:val="center"/>
          </w:tcPr>
          <w:p w14:paraId="464749C6" w14:textId="77777777"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Ensure fair and just</w:t>
            </w:r>
          </w:p>
          <w:p w14:paraId="05B260C8" w14:textId="50570EF1"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7EFB1850" w14:textId="6E3516A3"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Income/Salary for food workers</w:t>
            </w:r>
          </w:p>
        </w:tc>
        <w:tc>
          <w:tcPr>
            <w:tcW w:w="3073" w:type="dxa"/>
            <w:tcBorders>
              <w:top w:val="single" w:sz="4" w:space="0" w:color="auto"/>
              <w:bottom w:val="single" w:sz="4" w:space="0" w:color="auto"/>
            </w:tcBorders>
            <w:vAlign w:val="center"/>
          </w:tcPr>
          <w:p w14:paraId="65C71B23" w14:textId="140DC46D"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ensure a fair and just salary to food workers</w:t>
            </w:r>
          </w:p>
        </w:tc>
        <w:tc>
          <w:tcPr>
            <w:tcW w:w="3281" w:type="dxa"/>
            <w:tcBorders>
              <w:top w:val="single" w:sz="4" w:space="0" w:color="auto"/>
              <w:bottom w:val="single" w:sz="4" w:space="0" w:color="auto"/>
            </w:tcBorders>
            <w:vAlign w:val="center"/>
          </w:tcPr>
          <w:p w14:paraId="662F21BE" w14:textId="1FCF0125" w:rsidR="00204306" w:rsidRPr="00B26A7A" w:rsidRDefault="00204306" w:rsidP="002158C9">
            <w:pPr>
              <w:spacing w:after="0" w:line="240" w:lineRule="auto"/>
              <w:jc w:val="center"/>
              <w:rPr>
                <w:rFonts w:ascii="Times New Roman" w:eastAsia="Times New Roman" w:hAnsi="Times New Roman" w:cs="Times New Roman"/>
                <w:i/>
                <w:iCs/>
                <w:color w:val="000000"/>
                <w:sz w:val="16"/>
                <w:szCs w:val="16"/>
                <w:lang w:eastAsia="en-GB"/>
              </w:rPr>
            </w:pPr>
            <w:r w:rsidRPr="00B26A7A">
              <w:rPr>
                <w:rFonts w:ascii="Times New Roman" w:eastAsia="Times New Roman" w:hAnsi="Times New Roman" w:cs="Times New Roman"/>
                <w:i/>
                <w:iCs/>
                <w:color w:val="000000" w:themeColor="text1"/>
                <w:sz w:val="16"/>
                <w:szCs w:val="16"/>
                <w:lang w:eastAsia="en-GB"/>
              </w:rPr>
              <w:t>Income for smallholders and producers; fair return; market price stability; viable (not relying on subsidies); fair prices to producers; decent income for farmers and farm workers; fair and affordable; fair return; economically fair; support livelihood; fair distribution along the FS chain; farmer livelihoods; smallholders' livelihood; fair and profitable market; profitable, secure, and just livelihood; decent agricultural living; price stability; profit; profitable; commercially viable; decent livelihood; balance profitability and livelihoods; ensure long-term farmers' income; reduce economic uncertainties; resilient farm-based livelihoods; farms and rural income</w:t>
            </w:r>
          </w:p>
        </w:tc>
      </w:tr>
      <w:tr w:rsidR="00204306" w:rsidRPr="00B26A7A" w14:paraId="7DAD3F2F" w14:textId="0746D98E" w:rsidTr="00B26A7A">
        <w:trPr>
          <w:trHeight w:val="170"/>
        </w:trPr>
        <w:tc>
          <w:tcPr>
            <w:tcW w:w="979" w:type="dxa"/>
            <w:vMerge/>
            <w:vAlign w:val="center"/>
          </w:tcPr>
          <w:p w14:paraId="112AE7DD" w14:textId="0ED3849D"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266B4E72" w14:textId="7DB7D9C9"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Distribution of added value</w:t>
            </w:r>
          </w:p>
        </w:tc>
        <w:tc>
          <w:tcPr>
            <w:tcW w:w="3073" w:type="dxa"/>
            <w:tcBorders>
              <w:top w:val="single" w:sz="4" w:space="0" w:color="auto"/>
              <w:bottom w:val="single" w:sz="4" w:space="0" w:color="auto"/>
            </w:tcBorders>
            <w:vAlign w:val="center"/>
          </w:tcPr>
          <w:p w14:paraId="306DA2E5" w14:textId="4024F0C8"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ensure a fair and just distribution of added value by building balanced power relationships</w:t>
            </w:r>
          </w:p>
        </w:tc>
        <w:tc>
          <w:tcPr>
            <w:tcW w:w="3281" w:type="dxa"/>
            <w:tcBorders>
              <w:top w:val="single" w:sz="4" w:space="0" w:color="auto"/>
              <w:bottom w:val="single" w:sz="4" w:space="0" w:color="auto"/>
            </w:tcBorders>
            <w:vAlign w:val="center"/>
          </w:tcPr>
          <w:p w14:paraId="4657E24B" w14:textId="5504CB6D" w:rsidR="00204306" w:rsidRPr="00B26A7A" w:rsidRDefault="00204306"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Equal market power in SC, addressing power relationships; balanced power relationship; fiscal viability; rebalance the transnational economic relationship and power embedded in global FS; fair prices; concentrated power in retailers, distributing risks; bargaining power on price</w:t>
            </w:r>
          </w:p>
        </w:tc>
      </w:tr>
      <w:tr w:rsidR="00204306" w:rsidRPr="00B26A7A" w14:paraId="7EAAE10F" w14:textId="6E22A01C" w:rsidTr="00B26A7A">
        <w:trPr>
          <w:trHeight w:val="170"/>
        </w:trPr>
        <w:tc>
          <w:tcPr>
            <w:tcW w:w="979" w:type="dxa"/>
            <w:vMerge/>
            <w:tcBorders>
              <w:bottom w:val="single" w:sz="4" w:space="0" w:color="auto"/>
            </w:tcBorders>
            <w:vAlign w:val="center"/>
          </w:tcPr>
          <w:p w14:paraId="293670C2" w14:textId="57D80B5B"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7A5DE1C3" w14:textId="51CF1026"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Trade</w:t>
            </w:r>
          </w:p>
        </w:tc>
        <w:tc>
          <w:tcPr>
            <w:tcW w:w="3073" w:type="dxa"/>
            <w:tcBorders>
              <w:top w:val="single" w:sz="4" w:space="0" w:color="auto"/>
              <w:bottom w:val="single" w:sz="4" w:space="0" w:color="auto"/>
            </w:tcBorders>
          </w:tcPr>
          <w:p w14:paraId="4C1385B0" w14:textId="06FA77C5" w:rsidR="00204306" w:rsidRPr="00B26A7A" w:rsidRDefault="00204306"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ensure a fair and just distribution of added value by building balanced power relationships</w:t>
            </w:r>
          </w:p>
        </w:tc>
        <w:tc>
          <w:tcPr>
            <w:tcW w:w="3281" w:type="dxa"/>
            <w:tcBorders>
              <w:top w:val="single" w:sz="4" w:space="0" w:color="auto"/>
              <w:bottom w:val="single" w:sz="4" w:space="0" w:color="auto"/>
            </w:tcBorders>
          </w:tcPr>
          <w:p w14:paraId="42AD184D" w14:textId="7F7164BC" w:rsidR="00204306" w:rsidRPr="00B26A7A" w:rsidRDefault="76A0D3EB" w:rsidP="002158C9">
            <w:pPr>
              <w:spacing w:after="0" w:line="240" w:lineRule="auto"/>
              <w:jc w:val="center"/>
              <w:rPr>
                <w:rFonts w:ascii="Times New Roman" w:hAnsi="Times New Roman" w:cs="Times New Roman"/>
                <w:i/>
                <w:iCs/>
                <w:sz w:val="16"/>
                <w:szCs w:val="16"/>
                <w:lang w:eastAsia="en-GB"/>
              </w:rPr>
            </w:pPr>
            <w:r w:rsidRPr="00B26A7A">
              <w:rPr>
                <w:rFonts w:ascii="Times New Roman" w:hAnsi="Times New Roman" w:cs="Times New Roman"/>
                <w:i/>
                <w:iCs/>
                <w:sz w:val="16"/>
                <w:szCs w:val="16"/>
              </w:rPr>
              <w:t>F</w:t>
            </w:r>
            <w:r w:rsidR="00344B53" w:rsidRPr="00B26A7A">
              <w:rPr>
                <w:rFonts w:ascii="Times New Roman" w:hAnsi="Times New Roman" w:cs="Times New Roman"/>
                <w:i/>
                <w:iCs/>
                <w:sz w:val="16"/>
                <w:szCs w:val="16"/>
              </w:rPr>
              <w:t>air trade products</w:t>
            </w:r>
            <w:r w:rsidR="00204306" w:rsidRPr="00B26A7A">
              <w:rPr>
                <w:rFonts w:ascii="Times New Roman" w:hAnsi="Times New Roman" w:cs="Times New Roman"/>
                <w:i/>
                <w:iCs/>
                <w:sz w:val="16"/>
                <w:szCs w:val="16"/>
              </w:rPr>
              <w:t>;</w:t>
            </w:r>
            <w:r w:rsidR="00344B53" w:rsidRPr="00B26A7A">
              <w:rPr>
                <w:rFonts w:ascii="Times New Roman" w:hAnsi="Times New Roman" w:cs="Times New Roman"/>
                <w:i/>
                <w:iCs/>
                <w:sz w:val="16"/>
                <w:szCs w:val="16"/>
              </w:rPr>
              <w:t xml:space="preserve"> </w:t>
            </w:r>
            <w:r w:rsidR="00204306" w:rsidRPr="00B26A7A">
              <w:rPr>
                <w:rFonts w:ascii="Times New Roman" w:hAnsi="Times New Roman" w:cs="Times New Roman"/>
                <w:i/>
                <w:iCs/>
                <w:sz w:val="16"/>
                <w:szCs w:val="16"/>
              </w:rPr>
              <w:t>fair trade rules and powers</w:t>
            </w:r>
          </w:p>
        </w:tc>
      </w:tr>
      <w:tr w:rsidR="006B5C27" w:rsidRPr="00B26A7A" w14:paraId="2DE9E912" w14:textId="664FA79E" w:rsidTr="00B26A7A">
        <w:trPr>
          <w:trHeight w:val="170"/>
        </w:trPr>
        <w:tc>
          <w:tcPr>
            <w:tcW w:w="979" w:type="dxa"/>
            <w:tcBorders>
              <w:top w:val="single" w:sz="4" w:space="0" w:color="auto"/>
              <w:bottom w:val="single" w:sz="4" w:space="0" w:color="auto"/>
            </w:tcBorders>
            <w:vAlign w:val="center"/>
          </w:tcPr>
          <w:p w14:paraId="292EB17A" w14:textId="63804D5E"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Boost</w:t>
            </w:r>
          </w:p>
        </w:tc>
        <w:tc>
          <w:tcPr>
            <w:tcW w:w="1683" w:type="dxa"/>
            <w:tcBorders>
              <w:top w:val="single" w:sz="4" w:space="0" w:color="auto"/>
              <w:bottom w:val="single" w:sz="4" w:space="0" w:color="auto"/>
            </w:tcBorders>
            <w:noWrap/>
            <w:vAlign w:val="center"/>
            <w:hideMark/>
          </w:tcPr>
          <w:p w14:paraId="7C88F9F3" w14:textId="68F8E916"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Local Economy</w:t>
            </w:r>
          </w:p>
        </w:tc>
        <w:tc>
          <w:tcPr>
            <w:tcW w:w="3073" w:type="dxa"/>
            <w:tcBorders>
              <w:top w:val="single" w:sz="4" w:space="0" w:color="auto"/>
              <w:bottom w:val="single" w:sz="4" w:space="0" w:color="auto"/>
            </w:tcBorders>
            <w:vAlign w:val="center"/>
          </w:tcPr>
          <w:p w14:paraId="2A1FC912" w14:textId="64360950" w:rsidR="0070756D" w:rsidRPr="00B26A7A" w:rsidRDefault="229225FC"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SFS should thrive local economy</w:t>
            </w:r>
            <w:r w:rsidR="63F142E1" w:rsidRPr="00B26A7A">
              <w:rPr>
                <w:rFonts w:ascii="Times New Roman" w:eastAsia="Times New Roman" w:hAnsi="Times New Roman" w:cs="Times New Roman"/>
                <w:color w:val="000000" w:themeColor="text1"/>
                <w:sz w:val="16"/>
                <w:szCs w:val="16"/>
                <w:lang w:eastAsia="en-GB"/>
              </w:rPr>
              <w:t>, hamper marginal</w:t>
            </w:r>
            <w:r w:rsidR="00ED3846">
              <w:rPr>
                <w:rFonts w:ascii="Times New Roman" w:eastAsia="Times New Roman" w:hAnsi="Times New Roman" w:cs="Times New Roman"/>
                <w:color w:val="000000" w:themeColor="text1"/>
                <w:sz w:val="16"/>
                <w:szCs w:val="16"/>
                <w:lang w:eastAsia="en-GB"/>
              </w:rPr>
              <w:t>is</w:t>
            </w:r>
            <w:r w:rsidR="63F142E1" w:rsidRPr="00B26A7A">
              <w:rPr>
                <w:rFonts w:ascii="Times New Roman" w:eastAsia="Times New Roman" w:hAnsi="Times New Roman" w:cs="Times New Roman"/>
                <w:color w:val="000000" w:themeColor="text1"/>
                <w:sz w:val="16"/>
                <w:szCs w:val="16"/>
                <w:lang w:eastAsia="en-GB"/>
              </w:rPr>
              <w:t>ation of local actors and contribute to local development</w:t>
            </w:r>
          </w:p>
        </w:tc>
        <w:tc>
          <w:tcPr>
            <w:tcW w:w="3281" w:type="dxa"/>
            <w:tcBorders>
              <w:top w:val="single" w:sz="4" w:space="0" w:color="auto"/>
              <w:bottom w:val="single" w:sz="4" w:space="0" w:color="auto"/>
            </w:tcBorders>
          </w:tcPr>
          <w:p w14:paraId="1CD2DDD3" w14:textId="460DEA74" w:rsidR="0070756D" w:rsidRPr="00B26A7A" w:rsidRDefault="229225FC" w:rsidP="002158C9">
            <w:pPr>
              <w:spacing w:after="0" w:line="240" w:lineRule="auto"/>
              <w:jc w:val="center"/>
              <w:rPr>
                <w:rFonts w:ascii="Times New Roman" w:hAnsi="Times New Roman" w:cs="Times New Roman"/>
                <w:i/>
                <w:iCs/>
                <w:sz w:val="16"/>
                <w:szCs w:val="16"/>
                <w:lang w:eastAsia="en-GB"/>
              </w:rPr>
            </w:pPr>
            <w:r w:rsidRPr="00B26A7A">
              <w:rPr>
                <w:rFonts w:ascii="Times New Roman" w:hAnsi="Times New Roman" w:cs="Times New Roman"/>
                <w:i/>
                <w:iCs/>
                <w:sz w:val="16"/>
                <w:szCs w:val="16"/>
              </w:rPr>
              <w:t>Create local opportunities; thriving local economy; local development; support small producers; reduce vulnerabilities of farmers and SMEs; priorit</w:t>
            </w:r>
            <w:r w:rsidR="00ED3846">
              <w:rPr>
                <w:rFonts w:ascii="Times New Roman" w:hAnsi="Times New Roman" w:cs="Times New Roman"/>
                <w:i/>
                <w:iCs/>
                <w:sz w:val="16"/>
                <w:szCs w:val="16"/>
              </w:rPr>
              <w:t>is</w:t>
            </w:r>
            <w:r w:rsidRPr="00B26A7A">
              <w:rPr>
                <w:rFonts w:ascii="Times New Roman" w:hAnsi="Times New Roman" w:cs="Times New Roman"/>
                <w:i/>
                <w:iCs/>
                <w:sz w:val="16"/>
                <w:szCs w:val="16"/>
              </w:rPr>
              <w:t>e local and national economies; value chain employment; territorial development; fair remuneration; regional and diversified economy; foster local food production; Hamper marginal</w:t>
            </w:r>
            <w:r w:rsidR="00ED3846">
              <w:rPr>
                <w:rFonts w:ascii="Times New Roman" w:hAnsi="Times New Roman" w:cs="Times New Roman"/>
                <w:i/>
                <w:iCs/>
                <w:sz w:val="16"/>
                <w:szCs w:val="16"/>
              </w:rPr>
              <w:t>is</w:t>
            </w:r>
            <w:r w:rsidRPr="00B26A7A">
              <w:rPr>
                <w:rFonts w:ascii="Times New Roman" w:hAnsi="Times New Roman" w:cs="Times New Roman"/>
                <w:i/>
                <w:iCs/>
                <w:sz w:val="16"/>
                <w:szCs w:val="16"/>
              </w:rPr>
              <w:t>ation of small producers and rural populations; strong link between production and consumption</w:t>
            </w:r>
            <w:r w:rsidR="707BD7D3" w:rsidRPr="00B26A7A">
              <w:rPr>
                <w:rFonts w:ascii="Times New Roman" w:hAnsi="Times New Roman" w:cs="Times New Roman"/>
                <w:i/>
                <w:iCs/>
                <w:sz w:val="16"/>
                <w:szCs w:val="16"/>
              </w:rPr>
              <w:t>;</w:t>
            </w:r>
            <w:r w:rsidRPr="00B26A7A">
              <w:rPr>
                <w:rFonts w:ascii="Times New Roman" w:hAnsi="Times New Roman" w:cs="Times New Roman"/>
                <w:i/>
                <w:iCs/>
                <w:sz w:val="16"/>
                <w:szCs w:val="16"/>
              </w:rPr>
              <w:t xml:space="preserve"> valorisation of small farms; strong and diverse local economy; local green economies; local food production; local circulations of economic value</w:t>
            </w:r>
          </w:p>
        </w:tc>
      </w:tr>
      <w:tr w:rsidR="006B5C27" w:rsidRPr="00B26A7A" w14:paraId="536FA553" w14:textId="239E0D45" w:rsidTr="00B26A7A">
        <w:trPr>
          <w:trHeight w:val="170"/>
        </w:trPr>
        <w:tc>
          <w:tcPr>
            <w:tcW w:w="979" w:type="dxa"/>
            <w:tcBorders>
              <w:top w:val="single" w:sz="4" w:space="0" w:color="auto"/>
              <w:bottom w:val="single" w:sz="4" w:space="0" w:color="auto"/>
            </w:tcBorders>
            <w:vAlign w:val="center"/>
          </w:tcPr>
          <w:p w14:paraId="0AA8EB2A" w14:textId="10099FBD"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Generate</w:t>
            </w:r>
          </w:p>
        </w:tc>
        <w:tc>
          <w:tcPr>
            <w:tcW w:w="1683" w:type="dxa"/>
            <w:tcBorders>
              <w:top w:val="single" w:sz="4" w:space="0" w:color="auto"/>
              <w:bottom w:val="single" w:sz="4" w:space="0" w:color="auto"/>
            </w:tcBorders>
            <w:noWrap/>
            <w:vAlign w:val="center"/>
            <w:hideMark/>
          </w:tcPr>
          <w:p w14:paraId="019F32E1" w14:textId="3012E6B5"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Employment</w:t>
            </w:r>
          </w:p>
        </w:tc>
        <w:tc>
          <w:tcPr>
            <w:tcW w:w="3073" w:type="dxa"/>
            <w:tcBorders>
              <w:top w:val="single" w:sz="4" w:space="0" w:color="auto"/>
              <w:bottom w:val="single" w:sz="4" w:space="0" w:color="auto"/>
            </w:tcBorders>
            <w:vAlign w:val="center"/>
          </w:tcPr>
          <w:p w14:paraId="3D64E49F" w14:textId="0810280B" w:rsidR="0070756D" w:rsidRPr="00B26A7A" w:rsidRDefault="466FE41F"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SFS should generate employment, create jobs and contribute to economic growth</w:t>
            </w:r>
          </w:p>
        </w:tc>
        <w:tc>
          <w:tcPr>
            <w:tcW w:w="3281" w:type="dxa"/>
            <w:tcBorders>
              <w:top w:val="single" w:sz="4" w:space="0" w:color="auto"/>
              <w:bottom w:val="single" w:sz="4" w:space="0" w:color="auto"/>
            </w:tcBorders>
          </w:tcPr>
          <w:p w14:paraId="437FAB16" w14:textId="62B649BB" w:rsidR="0070756D" w:rsidRPr="00B26A7A" w:rsidRDefault="0070756D" w:rsidP="002158C9">
            <w:pPr>
              <w:spacing w:after="0" w:line="240" w:lineRule="auto"/>
              <w:jc w:val="center"/>
              <w:rPr>
                <w:rFonts w:ascii="Times New Roman" w:eastAsia="Times New Roman" w:hAnsi="Times New Roman" w:cs="Times New Roman"/>
                <w:i/>
                <w:iCs/>
                <w:color w:val="000000"/>
                <w:sz w:val="16"/>
                <w:szCs w:val="16"/>
                <w:lang w:eastAsia="en-GB"/>
              </w:rPr>
            </w:pPr>
            <w:r w:rsidRPr="00B26A7A">
              <w:rPr>
                <w:rFonts w:ascii="Times New Roman" w:hAnsi="Times New Roman" w:cs="Times New Roman"/>
                <w:i/>
                <w:iCs/>
                <w:sz w:val="16"/>
                <w:szCs w:val="16"/>
              </w:rPr>
              <w:t>new jobs;</w:t>
            </w:r>
            <w:r w:rsidR="6ED9D8AD" w:rsidRPr="00B26A7A">
              <w:rPr>
                <w:rFonts w:ascii="Times New Roman" w:hAnsi="Times New Roman" w:cs="Times New Roman"/>
                <w:i/>
                <w:iCs/>
                <w:sz w:val="16"/>
                <w:szCs w:val="16"/>
              </w:rPr>
              <w:t xml:space="preserve"> </w:t>
            </w:r>
            <w:r w:rsidRPr="00B26A7A">
              <w:rPr>
                <w:rFonts w:ascii="Times New Roman" w:hAnsi="Times New Roman" w:cs="Times New Roman"/>
                <w:i/>
                <w:iCs/>
                <w:sz w:val="16"/>
                <w:szCs w:val="16"/>
              </w:rPr>
              <w:t xml:space="preserve">employment generation; </w:t>
            </w:r>
            <w:r w:rsidR="671D7186" w:rsidRPr="00B26A7A">
              <w:rPr>
                <w:rFonts w:ascii="Times New Roman" w:hAnsi="Times New Roman" w:cs="Times New Roman"/>
                <w:i/>
                <w:iCs/>
                <w:sz w:val="16"/>
                <w:szCs w:val="16"/>
              </w:rPr>
              <w:t>economic</w:t>
            </w:r>
            <w:r w:rsidRPr="00B26A7A">
              <w:rPr>
                <w:rFonts w:ascii="Times New Roman" w:hAnsi="Times New Roman" w:cs="Times New Roman"/>
                <w:i/>
                <w:iCs/>
                <w:sz w:val="16"/>
                <w:szCs w:val="16"/>
              </w:rPr>
              <w:t xml:space="preserve"> diversification;</w:t>
            </w:r>
            <w:r w:rsidR="6786D4C2" w:rsidRPr="00B26A7A">
              <w:rPr>
                <w:rFonts w:ascii="Times New Roman" w:hAnsi="Times New Roman" w:cs="Times New Roman"/>
                <w:i/>
                <w:iCs/>
                <w:sz w:val="16"/>
                <w:szCs w:val="16"/>
              </w:rPr>
              <w:t xml:space="preserve"> </w:t>
            </w:r>
            <w:r w:rsidRPr="00B26A7A">
              <w:rPr>
                <w:rFonts w:ascii="Times New Roman" w:hAnsi="Times New Roman" w:cs="Times New Roman"/>
                <w:i/>
                <w:iCs/>
                <w:sz w:val="16"/>
                <w:szCs w:val="16"/>
              </w:rPr>
              <w:t>enhance trade</w:t>
            </w:r>
            <w:r w:rsidR="125AEE6E" w:rsidRPr="00B26A7A">
              <w:rPr>
                <w:rFonts w:ascii="Times New Roman" w:hAnsi="Times New Roman" w:cs="Times New Roman"/>
                <w:i/>
                <w:iCs/>
                <w:sz w:val="16"/>
                <w:szCs w:val="16"/>
              </w:rPr>
              <w:t>;</w:t>
            </w:r>
            <w:r w:rsidRPr="00B26A7A">
              <w:rPr>
                <w:rFonts w:ascii="Times New Roman" w:hAnsi="Times New Roman" w:cs="Times New Roman"/>
                <w:i/>
                <w:iCs/>
                <w:sz w:val="16"/>
                <w:szCs w:val="16"/>
              </w:rPr>
              <w:t xml:space="preserve"> economic growth</w:t>
            </w:r>
            <w:r w:rsidR="161C9BB3" w:rsidRPr="00B26A7A">
              <w:rPr>
                <w:rFonts w:ascii="Times New Roman" w:hAnsi="Times New Roman" w:cs="Times New Roman"/>
                <w:i/>
                <w:iCs/>
                <w:sz w:val="16"/>
                <w:szCs w:val="16"/>
              </w:rPr>
              <w:t>;</w:t>
            </w:r>
            <w:r w:rsidRPr="00B26A7A">
              <w:rPr>
                <w:rFonts w:ascii="Times New Roman" w:hAnsi="Times New Roman" w:cs="Times New Roman"/>
                <w:i/>
                <w:iCs/>
                <w:sz w:val="16"/>
                <w:szCs w:val="16"/>
              </w:rPr>
              <w:t xml:space="preserve"> competitive</w:t>
            </w:r>
            <w:r w:rsidR="47A7EC3F" w:rsidRPr="00B26A7A">
              <w:rPr>
                <w:rFonts w:ascii="Times New Roman" w:hAnsi="Times New Roman" w:cs="Times New Roman"/>
                <w:i/>
                <w:iCs/>
                <w:sz w:val="16"/>
                <w:szCs w:val="16"/>
              </w:rPr>
              <w:t xml:space="preserve">; </w:t>
            </w:r>
            <w:r w:rsidRPr="00B26A7A">
              <w:rPr>
                <w:rFonts w:ascii="Times New Roman" w:hAnsi="Times New Roman" w:cs="Times New Roman"/>
                <w:i/>
                <w:iCs/>
                <w:sz w:val="16"/>
                <w:szCs w:val="16"/>
              </w:rPr>
              <w:t>create jobs</w:t>
            </w:r>
          </w:p>
        </w:tc>
      </w:tr>
      <w:tr w:rsidR="00F0687B" w:rsidRPr="00B26A7A" w14:paraId="3DC64A04" w14:textId="37995E13" w:rsidTr="00B26A7A">
        <w:trPr>
          <w:trHeight w:val="170"/>
        </w:trPr>
        <w:tc>
          <w:tcPr>
            <w:tcW w:w="979" w:type="dxa"/>
            <w:vMerge w:val="restart"/>
            <w:tcBorders>
              <w:top w:val="single" w:sz="4" w:space="0" w:color="auto"/>
            </w:tcBorders>
            <w:vAlign w:val="center"/>
          </w:tcPr>
          <w:p w14:paraId="66BE1DB1" w14:textId="60296EF1" w:rsidR="00F0687B" w:rsidRPr="00B26A7A" w:rsidRDefault="00F0687B"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Guarantee</w:t>
            </w:r>
          </w:p>
        </w:tc>
        <w:tc>
          <w:tcPr>
            <w:tcW w:w="1683" w:type="dxa"/>
            <w:tcBorders>
              <w:top w:val="single" w:sz="4" w:space="0" w:color="auto"/>
            </w:tcBorders>
            <w:noWrap/>
            <w:vAlign w:val="center"/>
            <w:hideMark/>
          </w:tcPr>
          <w:p w14:paraId="7D2634D8" w14:textId="3091EE71" w:rsidR="00F0687B" w:rsidRPr="00B26A7A" w:rsidRDefault="00F0687B"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Equality</w:t>
            </w:r>
          </w:p>
        </w:tc>
        <w:tc>
          <w:tcPr>
            <w:tcW w:w="3073" w:type="dxa"/>
            <w:tcBorders>
              <w:top w:val="single" w:sz="4" w:space="0" w:color="auto"/>
            </w:tcBorders>
            <w:vAlign w:val="center"/>
          </w:tcPr>
          <w:p w14:paraId="34BE4D7B" w14:textId="7EBC39F5" w:rsidR="00F0687B" w:rsidRPr="00B26A7A" w:rsidRDefault="23304166"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 xml:space="preserve">SFS should guarantee </w:t>
            </w:r>
            <w:r w:rsidR="7DD2E814" w:rsidRPr="00B26A7A">
              <w:rPr>
                <w:rFonts w:ascii="Times New Roman" w:eastAsia="Times New Roman" w:hAnsi="Times New Roman" w:cs="Times New Roman"/>
                <w:color w:val="000000" w:themeColor="text1"/>
                <w:sz w:val="16"/>
                <w:szCs w:val="16"/>
                <w:lang w:eastAsia="en-GB"/>
              </w:rPr>
              <w:t>that men, women, youth and vulnerable and marginalised persons should be treated in the same way</w:t>
            </w:r>
          </w:p>
        </w:tc>
        <w:tc>
          <w:tcPr>
            <w:tcW w:w="3281" w:type="dxa"/>
            <w:tcBorders>
              <w:top w:val="single" w:sz="4" w:space="0" w:color="auto"/>
            </w:tcBorders>
          </w:tcPr>
          <w:p w14:paraId="2BB0E94B" w14:textId="5C2535DC" w:rsidR="00F0687B" w:rsidRPr="00B26A7A" w:rsidRDefault="3FF17C7A" w:rsidP="002158C9">
            <w:pPr>
              <w:spacing w:after="0" w:line="240" w:lineRule="auto"/>
              <w:jc w:val="center"/>
              <w:rPr>
                <w:rFonts w:ascii="Times New Roman" w:hAnsi="Times New Roman" w:cs="Times New Roman"/>
                <w:i/>
                <w:iCs/>
                <w:sz w:val="16"/>
                <w:szCs w:val="16"/>
                <w:lang w:eastAsia="en-GB"/>
              </w:rPr>
            </w:pPr>
            <w:r w:rsidRPr="00B26A7A">
              <w:rPr>
                <w:rFonts w:ascii="Times New Roman" w:hAnsi="Times New Roman" w:cs="Times New Roman"/>
                <w:i/>
                <w:iCs/>
                <w:sz w:val="16"/>
                <w:szCs w:val="16"/>
              </w:rPr>
              <w:t xml:space="preserve">Equal market power; market access; land access; equal access to resources; urban equality; economic distribution; gender pay </w:t>
            </w:r>
            <w:r w:rsidRPr="00B26A7A">
              <w:rPr>
                <w:rFonts w:ascii="Times New Roman" w:hAnsi="Times New Roman" w:cs="Times New Roman"/>
                <w:i/>
                <w:iCs/>
                <w:sz w:val="16"/>
                <w:szCs w:val="16"/>
              </w:rPr>
              <w:lastRenderedPageBreak/>
              <w:t>gap; inequalities; equal access to healthy food; equal distribution among countries; access to resources; fair access to nutritious food; gender equality; equal trade relationship; creates socially inclusive distributive network; equal and fair practices; access to land; gender balance; gender equality</w:t>
            </w:r>
          </w:p>
        </w:tc>
      </w:tr>
      <w:tr w:rsidR="00F0687B" w:rsidRPr="00B26A7A" w14:paraId="07034B15" w14:textId="469B7F5C" w:rsidTr="00B26A7A">
        <w:trPr>
          <w:trHeight w:val="170"/>
        </w:trPr>
        <w:tc>
          <w:tcPr>
            <w:tcW w:w="979" w:type="dxa"/>
            <w:vMerge/>
            <w:vAlign w:val="center"/>
          </w:tcPr>
          <w:p w14:paraId="045630AF" w14:textId="37985BA4" w:rsidR="00F0687B" w:rsidRPr="00B26A7A" w:rsidRDefault="00F0687B"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7B12458E" w14:textId="69752530" w:rsidR="00F0687B" w:rsidRPr="00B26A7A" w:rsidRDefault="00F0687B"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Equity</w:t>
            </w:r>
          </w:p>
        </w:tc>
        <w:tc>
          <w:tcPr>
            <w:tcW w:w="3073" w:type="dxa"/>
            <w:tcBorders>
              <w:top w:val="single" w:sz="4" w:space="0" w:color="auto"/>
              <w:bottom w:val="single" w:sz="4" w:space="0" w:color="auto"/>
            </w:tcBorders>
            <w:vAlign w:val="center"/>
          </w:tcPr>
          <w:p w14:paraId="7582C293" w14:textId="4EF8A362" w:rsidR="00F0687B" w:rsidRPr="00B26A7A" w:rsidRDefault="5CEE7AA5"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 xml:space="preserve">SFS should </w:t>
            </w:r>
            <w:r w:rsidR="7E8F02D8" w:rsidRPr="00B26A7A">
              <w:rPr>
                <w:rFonts w:ascii="Times New Roman" w:eastAsia="Times New Roman" w:hAnsi="Times New Roman" w:cs="Times New Roman"/>
                <w:color w:val="000000" w:themeColor="text1"/>
                <w:sz w:val="16"/>
                <w:szCs w:val="16"/>
                <w:lang w:eastAsia="en-GB"/>
              </w:rPr>
              <w:t xml:space="preserve">guarantee </w:t>
            </w:r>
            <w:r w:rsidR="60386C1D" w:rsidRPr="00B26A7A">
              <w:rPr>
                <w:rFonts w:ascii="Times New Roman" w:eastAsia="Times New Roman" w:hAnsi="Times New Roman" w:cs="Times New Roman"/>
                <w:color w:val="000000" w:themeColor="text1"/>
                <w:sz w:val="16"/>
                <w:szCs w:val="16"/>
                <w:lang w:eastAsia="en-GB"/>
              </w:rPr>
              <w:t>equitable</w:t>
            </w:r>
            <w:r w:rsidR="7E8F02D8" w:rsidRPr="00B26A7A">
              <w:rPr>
                <w:rFonts w:ascii="Times New Roman" w:eastAsia="Times New Roman" w:hAnsi="Times New Roman" w:cs="Times New Roman"/>
                <w:color w:val="000000" w:themeColor="text1"/>
                <w:sz w:val="16"/>
                <w:szCs w:val="16"/>
                <w:lang w:eastAsia="en-GB"/>
              </w:rPr>
              <w:t xml:space="preserve"> outcome </w:t>
            </w:r>
            <w:r w:rsidRPr="00B26A7A">
              <w:rPr>
                <w:rFonts w:ascii="Times New Roman" w:eastAsia="Times New Roman" w:hAnsi="Times New Roman" w:cs="Times New Roman"/>
                <w:color w:val="000000" w:themeColor="text1"/>
                <w:sz w:val="16"/>
                <w:szCs w:val="16"/>
                <w:lang w:eastAsia="en-GB"/>
              </w:rPr>
              <w:t>cons</w:t>
            </w:r>
            <w:r w:rsidR="54D2E28A" w:rsidRPr="00B26A7A">
              <w:rPr>
                <w:rFonts w:ascii="Times New Roman" w:eastAsia="Times New Roman" w:hAnsi="Times New Roman" w:cs="Times New Roman"/>
                <w:color w:val="000000" w:themeColor="text1"/>
                <w:sz w:val="16"/>
                <w:szCs w:val="16"/>
                <w:lang w:eastAsia="en-GB"/>
              </w:rPr>
              <w:t>ider</w:t>
            </w:r>
            <w:r w:rsidR="15D8C2F9" w:rsidRPr="00B26A7A">
              <w:rPr>
                <w:rFonts w:ascii="Times New Roman" w:eastAsia="Times New Roman" w:hAnsi="Times New Roman" w:cs="Times New Roman"/>
                <w:color w:val="000000" w:themeColor="text1"/>
                <w:sz w:val="16"/>
                <w:szCs w:val="16"/>
                <w:lang w:eastAsia="en-GB"/>
              </w:rPr>
              <w:t>ing</w:t>
            </w:r>
            <w:r w:rsidR="54D2E28A" w:rsidRPr="00B26A7A">
              <w:rPr>
                <w:rFonts w:ascii="Times New Roman" w:eastAsia="Times New Roman" w:hAnsi="Times New Roman" w:cs="Times New Roman"/>
                <w:color w:val="000000" w:themeColor="text1"/>
                <w:sz w:val="16"/>
                <w:szCs w:val="16"/>
                <w:lang w:eastAsia="en-GB"/>
              </w:rPr>
              <w:t xml:space="preserve"> </w:t>
            </w:r>
            <w:r w:rsidRPr="00B26A7A">
              <w:rPr>
                <w:rFonts w:ascii="Times New Roman" w:eastAsia="Times New Roman" w:hAnsi="Times New Roman" w:cs="Times New Roman"/>
                <w:color w:val="000000" w:themeColor="text1"/>
                <w:sz w:val="16"/>
                <w:szCs w:val="16"/>
                <w:lang w:eastAsia="en-GB"/>
              </w:rPr>
              <w:t>differences which are marginal</w:t>
            </w:r>
            <w:r w:rsidR="00ED3846">
              <w:rPr>
                <w:rFonts w:ascii="Times New Roman" w:eastAsia="Times New Roman" w:hAnsi="Times New Roman" w:cs="Times New Roman"/>
                <w:color w:val="000000" w:themeColor="text1"/>
                <w:sz w:val="16"/>
                <w:szCs w:val="16"/>
                <w:lang w:eastAsia="en-GB"/>
              </w:rPr>
              <w:t>is</w:t>
            </w:r>
            <w:r w:rsidRPr="00B26A7A">
              <w:rPr>
                <w:rFonts w:ascii="Times New Roman" w:eastAsia="Times New Roman" w:hAnsi="Times New Roman" w:cs="Times New Roman"/>
                <w:color w:val="000000" w:themeColor="text1"/>
                <w:sz w:val="16"/>
                <w:szCs w:val="16"/>
                <w:lang w:eastAsia="en-GB"/>
              </w:rPr>
              <w:t>ing certain parts of the population</w:t>
            </w:r>
            <w:r w:rsidR="2A845700" w:rsidRPr="00B26A7A">
              <w:rPr>
                <w:rFonts w:ascii="Times New Roman" w:eastAsia="Times New Roman" w:hAnsi="Times New Roman" w:cs="Times New Roman"/>
                <w:color w:val="000000" w:themeColor="text1"/>
                <w:sz w:val="16"/>
                <w:szCs w:val="16"/>
                <w:lang w:eastAsia="en-GB"/>
              </w:rPr>
              <w:t xml:space="preserve"> and</w:t>
            </w:r>
            <w:r w:rsidRPr="00B26A7A">
              <w:rPr>
                <w:rFonts w:ascii="Times New Roman" w:eastAsia="Times New Roman" w:hAnsi="Times New Roman" w:cs="Times New Roman"/>
                <w:color w:val="000000" w:themeColor="text1"/>
                <w:sz w:val="16"/>
                <w:szCs w:val="16"/>
                <w:lang w:eastAsia="en-GB"/>
              </w:rPr>
              <w:t xml:space="preserve"> </w:t>
            </w:r>
            <w:r w:rsidR="64ACB95F" w:rsidRPr="00B26A7A">
              <w:rPr>
                <w:rFonts w:ascii="Times New Roman" w:eastAsia="Times New Roman" w:hAnsi="Times New Roman" w:cs="Times New Roman"/>
                <w:color w:val="000000" w:themeColor="text1"/>
                <w:sz w:val="16"/>
                <w:szCs w:val="16"/>
                <w:lang w:eastAsia="en-GB"/>
              </w:rPr>
              <w:t xml:space="preserve">adopting </w:t>
            </w:r>
            <w:r w:rsidRPr="00B26A7A">
              <w:rPr>
                <w:rFonts w:ascii="Times New Roman" w:eastAsia="Times New Roman" w:hAnsi="Times New Roman" w:cs="Times New Roman"/>
                <w:color w:val="000000" w:themeColor="text1"/>
                <w:sz w:val="16"/>
                <w:szCs w:val="16"/>
                <w:lang w:eastAsia="en-GB"/>
              </w:rPr>
              <w:t>different approache</w:t>
            </w:r>
            <w:r w:rsidR="7F9438D5" w:rsidRPr="00B26A7A">
              <w:rPr>
                <w:rFonts w:ascii="Times New Roman" w:eastAsia="Times New Roman" w:hAnsi="Times New Roman" w:cs="Times New Roman"/>
                <w:color w:val="000000" w:themeColor="text1"/>
                <w:sz w:val="16"/>
                <w:szCs w:val="16"/>
                <w:lang w:eastAsia="en-GB"/>
              </w:rPr>
              <w:t xml:space="preserve">s considering </w:t>
            </w:r>
            <w:r w:rsidRPr="00B26A7A">
              <w:rPr>
                <w:rFonts w:ascii="Times New Roman" w:eastAsia="Times New Roman" w:hAnsi="Times New Roman" w:cs="Times New Roman"/>
                <w:color w:val="000000" w:themeColor="text1"/>
                <w:sz w:val="16"/>
                <w:szCs w:val="16"/>
                <w:lang w:eastAsia="en-GB"/>
              </w:rPr>
              <w:t>aspects of marginal</w:t>
            </w:r>
            <w:r w:rsidR="00ED3846">
              <w:rPr>
                <w:rFonts w:ascii="Times New Roman" w:eastAsia="Times New Roman" w:hAnsi="Times New Roman" w:cs="Times New Roman"/>
                <w:color w:val="000000" w:themeColor="text1"/>
                <w:sz w:val="16"/>
                <w:szCs w:val="16"/>
                <w:lang w:eastAsia="en-GB"/>
              </w:rPr>
              <w:t>is</w:t>
            </w:r>
            <w:r w:rsidRPr="00B26A7A">
              <w:rPr>
                <w:rFonts w:ascii="Times New Roman" w:eastAsia="Times New Roman" w:hAnsi="Times New Roman" w:cs="Times New Roman"/>
                <w:color w:val="000000" w:themeColor="text1"/>
                <w:sz w:val="16"/>
                <w:szCs w:val="16"/>
                <w:lang w:eastAsia="en-GB"/>
              </w:rPr>
              <w:t xml:space="preserve">ation </w:t>
            </w:r>
            <w:r w:rsidR="6B0BC145" w:rsidRPr="00B26A7A">
              <w:rPr>
                <w:rFonts w:ascii="Times New Roman" w:eastAsia="Times New Roman" w:hAnsi="Times New Roman" w:cs="Times New Roman"/>
                <w:color w:val="000000" w:themeColor="text1"/>
                <w:sz w:val="16"/>
                <w:szCs w:val="16"/>
                <w:lang w:eastAsia="en-GB"/>
              </w:rPr>
              <w:t xml:space="preserve">(e.g., </w:t>
            </w:r>
            <w:r w:rsidRPr="00B26A7A">
              <w:rPr>
                <w:rFonts w:ascii="Times New Roman" w:eastAsia="Times New Roman" w:hAnsi="Times New Roman" w:cs="Times New Roman"/>
                <w:color w:val="000000" w:themeColor="text1"/>
                <w:sz w:val="16"/>
                <w:szCs w:val="16"/>
                <w:lang w:eastAsia="en-GB"/>
              </w:rPr>
              <w:t>gender, income and poverty, life stage, youth, geography, ethnicity and disability</w:t>
            </w:r>
            <w:r w:rsidR="552DCC3D" w:rsidRPr="00B26A7A">
              <w:rPr>
                <w:rFonts w:ascii="Times New Roman" w:eastAsia="Times New Roman" w:hAnsi="Times New Roman" w:cs="Times New Roman"/>
                <w:color w:val="000000" w:themeColor="text1"/>
                <w:sz w:val="16"/>
                <w:szCs w:val="16"/>
                <w:lang w:eastAsia="en-GB"/>
              </w:rPr>
              <w:t>)</w:t>
            </w:r>
          </w:p>
        </w:tc>
        <w:tc>
          <w:tcPr>
            <w:tcW w:w="3281" w:type="dxa"/>
            <w:tcBorders>
              <w:top w:val="single" w:sz="4" w:space="0" w:color="auto"/>
              <w:bottom w:val="single" w:sz="4" w:space="0" w:color="auto"/>
            </w:tcBorders>
          </w:tcPr>
          <w:p w14:paraId="4485C7ED" w14:textId="386287F7" w:rsidR="00F0687B" w:rsidRPr="00B26A7A" w:rsidRDefault="5DE57788" w:rsidP="002158C9">
            <w:pPr>
              <w:spacing w:after="0" w:line="240" w:lineRule="auto"/>
              <w:jc w:val="center"/>
              <w:rPr>
                <w:rFonts w:ascii="Times New Roman" w:hAnsi="Times New Roman" w:cs="Times New Roman"/>
                <w:i/>
                <w:iCs/>
                <w:sz w:val="16"/>
                <w:szCs w:val="16"/>
                <w:lang w:eastAsia="en-GB"/>
              </w:rPr>
            </w:pPr>
            <w:r w:rsidRPr="00B26A7A">
              <w:rPr>
                <w:rFonts w:ascii="Times New Roman" w:hAnsi="Times New Roman" w:cs="Times New Roman"/>
                <w:i/>
                <w:iCs/>
                <w:sz w:val="16"/>
                <w:szCs w:val="16"/>
              </w:rPr>
              <w:t>Vulnerable groups; social justice; shared governance between marginal actors; inclusive and socially equal; food justice; equity of distributions; inclusive; inclusion of marginal</w:t>
            </w:r>
            <w:r w:rsidR="00ED3846">
              <w:rPr>
                <w:rFonts w:ascii="Times New Roman" w:hAnsi="Times New Roman" w:cs="Times New Roman"/>
                <w:i/>
                <w:iCs/>
                <w:sz w:val="16"/>
                <w:szCs w:val="16"/>
              </w:rPr>
              <w:t>is</w:t>
            </w:r>
            <w:r w:rsidRPr="00B26A7A">
              <w:rPr>
                <w:rFonts w:ascii="Times New Roman" w:hAnsi="Times New Roman" w:cs="Times New Roman"/>
                <w:i/>
                <w:iCs/>
                <w:sz w:val="16"/>
                <w:szCs w:val="16"/>
              </w:rPr>
              <w:t>ed; future generations; participation of women; economically equitable in access to means of production and market; environmental justice; gender equity; ecological soundness</w:t>
            </w:r>
          </w:p>
        </w:tc>
      </w:tr>
      <w:tr w:rsidR="00F0687B" w:rsidRPr="00B26A7A" w14:paraId="2C62B37C" w14:textId="6631859D" w:rsidTr="00B26A7A">
        <w:trPr>
          <w:trHeight w:val="1695"/>
        </w:trPr>
        <w:tc>
          <w:tcPr>
            <w:tcW w:w="979" w:type="dxa"/>
            <w:vMerge/>
            <w:vAlign w:val="center"/>
          </w:tcPr>
          <w:p w14:paraId="40B671D5" w14:textId="2C9F92CD" w:rsidR="00F0687B" w:rsidRPr="00B26A7A" w:rsidRDefault="00F0687B"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246406B9" w14:textId="6EDCE9A3" w:rsidR="00F0687B" w:rsidRPr="00B26A7A" w:rsidRDefault="00F0687B"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Cultural and social acceptability</w:t>
            </w:r>
          </w:p>
        </w:tc>
        <w:tc>
          <w:tcPr>
            <w:tcW w:w="3073" w:type="dxa"/>
            <w:tcBorders>
              <w:top w:val="single" w:sz="4" w:space="0" w:color="auto"/>
              <w:bottom w:val="single" w:sz="4" w:space="0" w:color="auto"/>
            </w:tcBorders>
            <w:vAlign w:val="center"/>
          </w:tcPr>
          <w:p w14:paraId="31061483" w14:textId="1F1ABA74" w:rsidR="00F0687B" w:rsidRPr="00B26A7A" w:rsidRDefault="73ACA847"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SFS should</w:t>
            </w:r>
            <w:r w:rsidR="64CFCF8C" w:rsidRPr="00B26A7A">
              <w:rPr>
                <w:rFonts w:ascii="Times New Roman" w:eastAsia="Times New Roman" w:hAnsi="Times New Roman" w:cs="Times New Roman"/>
                <w:color w:val="000000" w:themeColor="text1"/>
                <w:sz w:val="16"/>
                <w:szCs w:val="16"/>
                <w:lang w:eastAsia="en-GB"/>
              </w:rPr>
              <w:t xml:space="preserve"> </w:t>
            </w:r>
            <w:r w:rsidR="3778DF91" w:rsidRPr="00B26A7A">
              <w:rPr>
                <w:rFonts w:ascii="Times New Roman" w:eastAsia="Times New Roman" w:hAnsi="Times New Roman" w:cs="Times New Roman"/>
                <w:color w:val="000000" w:themeColor="text1"/>
                <w:sz w:val="16"/>
                <w:szCs w:val="16"/>
                <w:lang w:eastAsia="en-GB"/>
              </w:rPr>
              <w:t xml:space="preserve">guarantee </w:t>
            </w:r>
            <w:r w:rsidR="3341B592" w:rsidRPr="00B26A7A">
              <w:rPr>
                <w:rFonts w:ascii="Times New Roman" w:eastAsia="Times New Roman" w:hAnsi="Times New Roman" w:cs="Times New Roman"/>
                <w:color w:val="000000" w:themeColor="text1"/>
                <w:sz w:val="16"/>
                <w:szCs w:val="16"/>
                <w:lang w:eastAsia="en-GB"/>
              </w:rPr>
              <w:t>cultural and socially accepted diets recogn</w:t>
            </w:r>
            <w:r w:rsidR="00ED3846">
              <w:rPr>
                <w:rFonts w:ascii="Times New Roman" w:eastAsia="Times New Roman" w:hAnsi="Times New Roman" w:cs="Times New Roman"/>
                <w:color w:val="000000" w:themeColor="text1"/>
                <w:sz w:val="16"/>
                <w:szCs w:val="16"/>
                <w:lang w:eastAsia="en-GB"/>
              </w:rPr>
              <w:t>is</w:t>
            </w:r>
            <w:r w:rsidR="3341B592" w:rsidRPr="00B26A7A">
              <w:rPr>
                <w:rFonts w:ascii="Times New Roman" w:eastAsia="Times New Roman" w:hAnsi="Times New Roman" w:cs="Times New Roman"/>
                <w:color w:val="000000" w:themeColor="text1"/>
                <w:sz w:val="16"/>
                <w:szCs w:val="16"/>
                <w:lang w:eastAsia="en-GB"/>
              </w:rPr>
              <w:t xml:space="preserve">ing the </w:t>
            </w:r>
            <w:r w:rsidR="1222EA90" w:rsidRPr="00B26A7A">
              <w:rPr>
                <w:rFonts w:ascii="Times New Roman" w:eastAsia="Times New Roman" w:hAnsi="Times New Roman" w:cs="Times New Roman"/>
                <w:color w:val="000000" w:themeColor="text1"/>
                <w:sz w:val="16"/>
                <w:szCs w:val="16"/>
                <w:lang w:eastAsia="en-GB"/>
              </w:rPr>
              <w:t>non-nutrient</w:t>
            </w:r>
            <w:r w:rsidR="3341B592" w:rsidRPr="00B26A7A">
              <w:rPr>
                <w:rFonts w:ascii="Times New Roman" w:eastAsia="Times New Roman" w:hAnsi="Times New Roman" w:cs="Times New Roman"/>
                <w:color w:val="000000" w:themeColor="text1"/>
                <w:sz w:val="16"/>
                <w:szCs w:val="16"/>
                <w:lang w:eastAsia="en-GB"/>
              </w:rPr>
              <w:t xml:space="preserve">- based values of eating and feeding, as well </w:t>
            </w:r>
            <w:r w:rsidR="1D12B7A2" w:rsidRPr="00B26A7A">
              <w:rPr>
                <w:rFonts w:ascii="Times New Roman" w:eastAsia="Times New Roman" w:hAnsi="Times New Roman" w:cs="Times New Roman"/>
                <w:color w:val="000000" w:themeColor="text1"/>
                <w:sz w:val="16"/>
                <w:szCs w:val="16"/>
                <w:lang w:eastAsia="en-GB"/>
              </w:rPr>
              <w:t>human relations which are sensitive t</w:t>
            </w:r>
            <w:r w:rsidR="24D27B9A" w:rsidRPr="00B26A7A">
              <w:rPr>
                <w:rFonts w:ascii="Times New Roman" w:eastAsia="Times New Roman" w:hAnsi="Times New Roman" w:cs="Times New Roman"/>
                <w:color w:val="000000" w:themeColor="text1"/>
                <w:sz w:val="16"/>
                <w:szCs w:val="16"/>
                <w:lang w:eastAsia="en-GB"/>
              </w:rPr>
              <w:t xml:space="preserve">o distinct and diverse social and ecological values </w:t>
            </w:r>
            <w:r w:rsidR="00F7124A">
              <w:rPr>
                <w:rFonts w:ascii="Times New Roman" w:eastAsia="Times New Roman" w:hAnsi="Times New Roman" w:cs="Times New Roman"/>
                <w:color w:val="000000" w:themeColor="text1"/>
                <w:sz w:val="16"/>
                <w:szCs w:val="16"/>
                <w:lang w:eastAsia="en-GB"/>
              </w:rPr>
              <w:fldChar w:fldCharType="begin" w:fldLock="1"/>
            </w:r>
            <w:r w:rsidR="009B6410">
              <w:rPr>
                <w:rFonts w:ascii="Times New Roman" w:eastAsia="Times New Roman" w:hAnsi="Times New Roman" w:cs="Times New Roman"/>
                <w:color w:val="000000" w:themeColor="text1"/>
                <w:sz w:val="16"/>
                <w:szCs w:val="16"/>
                <w:lang w:eastAsia="en-GB"/>
              </w:rPr>
              <w:instrText>ADDIN CSL_CITATION {"citationItems":[{"id":"ITEM-1","itemData":{"DOI":"10.1177/0885412214555433","ISSN":"15526593","abstract":"The notion of cultural acceptability is often called forth as a necessary component of food security, yet there is a lack of guidance in literature and policy as to how to operationalize this concept. Without specifying what cultural acceptability means, the concept risks becoming watered down, discounted, or obsolete in practice. This review strives to speak to those gaps by cataloging the connotations and implications of cultural acceptability in literature on urban food policy, food security, and associated topics. We explore the ways in which cultural acceptability has been invoked explicitly and implicitly in policy, planning, and scholarly literatures on food security in recent years in order to better understand what cultural acceptability has come to mean, how it is being utilized, and how it can be operationalized toward more flexible and appropriate urban food policy. We discuss ways in which cultural acceptability encapsulates more than certain types of food and literature that might provide dimension to the meaning and operationalization of cultural acceptability of food. Drawing on scholars that are breaking open understandings of cultural acceptability, we call attention to its complexity with reference to human rights-based approaches, cultural values evident in production and consumption processes, the importance of interweaving multiple knowledges, and challenging decision-making powers in today’s corporate food regime. Cultural valuations within these broad and fluid topics can provide important improvements to policy approaches to the cultural acceptability of food and are important for creating food security policy that is effective for meeting the needs of diverse populations.","author":[{"dropping-particle":"","family":"Hammelman","given":"Colleen","non-dropping-particle":"","parse-names":false,"suffix":""},{"dropping-particle":"","family":"Hayes-Conroy","given":"Allison","non-dropping-particle":"","parse-names":false,"suffix":""}],"container-title":"Journal of Planning Literature","id":"ITEM-1","issued":{"date-parts":[["2015"]]},"title":"Understanding Cultural Acceptability for Urban Food Policy","type":"article-journal"},"uris":["http://www.mendeley.com/documents/?uuid=e7c8bf10-d2e9-4738-8d97-8ed28ee111ac"]}],"mendeley":{"formattedCitation":"(Hammelman and Hayes-Conroy, 2015)","plainTextFormattedCitation":"(Hammelman and Hayes-Conroy, 2015)","previouslyFormattedCitation":"(Hammelman and Hayes-Conroy, 2015)"},"properties":{"noteIndex":0},"schema":"https://github.com/citation-style-language/schema/raw/master/csl-citation.json"}</w:instrText>
            </w:r>
            <w:r w:rsidR="00F7124A">
              <w:rPr>
                <w:rFonts w:ascii="Times New Roman" w:eastAsia="Times New Roman" w:hAnsi="Times New Roman" w:cs="Times New Roman"/>
                <w:color w:val="000000" w:themeColor="text1"/>
                <w:sz w:val="16"/>
                <w:szCs w:val="16"/>
                <w:lang w:eastAsia="en-GB"/>
              </w:rPr>
              <w:fldChar w:fldCharType="separate"/>
            </w:r>
            <w:r w:rsidR="00F7124A" w:rsidRPr="00F7124A">
              <w:rPr>
                <w:rFonts w:ascii="Times New Roman" w:eastAsia="Times New Roman" w:hAnsi="Times New Roman" w:cs="Times New Roman"/>
                <w:noProof/>
                <w:color w:val="000000" w:themeColor="text1"/>
                <w:sz w:val="16"/>
                <w:szCs w:val="16"/>
                <w:lang w:eastAsia="en-GB"/>
              </w:rPr>
              <w:t>(Hammelman and Hayes-Conroy, 2015)</w:t>
            </w:r>
            <w:r w:rsidR="00F7124A">
              <w:rPr>
                <w:rFonts w:ascii="Times New Roman" w:eastAsia="Times New Roman" w:hAnsi="Times New Roman" w:cs="Times New Roman"/>
                <w:color w:val="000000" w:themeColor="text1"/>
                <w:sz w:val="16"/>
                <w:szCs w:val="16"/>
                <w:lang w:eastAsia="en-GB"/>
              </w:rPr>
              <w:fldChar w:fldCharType="end"/>
            </w:r>
          </w:p>
        </w:tc>
        <w:tc>
          <w:tcPr>
            <w:tcW w:w="3281" w:type="dxa"/>
            <w:tcBorders>
              <w:top w:val="single" w:sz="4" w:space="0" w:color="auto"/>
              <w:bottom w:val="single" w:sz="4" w:space="0" w:color="auto"/>
            </w:tcBorders>
            <w:vAlign w:val="center"/>
          </w:tcPr>
          <w:p w14:paraId="343CC895" w14:textId="6DB82AFF" w:rsidR="00F0687B" w:rsidRPr="00B26A7A" w:rsidRDefault="64CFCF8C" w:rsidP="002158C9">
            <w:pPr>
              <w:spacing w:after="0" w:line="240" w:lineRule="auto"/>
              <w:jc w:val="center"/>
              <w:rPr>
                <w:rFonts w:ascii="Times New Roman" w:hAnsi="Times New Roman" w:cs="Times New Roman"/>
                <w:i/>
                <w:iCs/>
                <w:sz w:val="16"/>
                <w:szCs w:val="16"/>
                <w:lang w:eastAsia="en-GB"/>
              </w:rPr>
            </w:pPr>
            <w:r w:rsidRPr="00B26A7A">
              <w:rPr>
                <w:rFonts w:ascii="Times New Roman" w:hAnsi="Times New Roman" w:cs="Times New Roman"/>
                <w:i/>
                <w:iCs/>
                <w:sz w:val="16"/>
                <w:szCs w:val="16"/>
              </w:rPr>
              <w:t>Preserve cultural identity; indigenous rights and knowledge; culturally relevant; cultural inclusion; cultural recognition; cultural appropriate; cultural factors; cultural values and traditions; nature and cultural heritage preservation; traditional; food heritage; cultural heritage; respect socio-cultural concept; cultural diversity; cultural identity; promote cultural survival; respect food culture.</w:t>
            </w:r>
          </w:p>
        </w:tc>
      </w:tr>
      <w:tr w:rsidR="006B5C27" w:rsidRPr="00B26A7A" w14:paraId="640F1D15" w14:textId="66A619CD" w:rsidTr="00B26A7A">
        <w:trPr>
          <w:trHeight w:val="170"/>
        </w:trPr>
        <w:tc>
          <w:tcPr>
            <w:tcW w:w="979" w:type="dxa"/>
            <w:tcBorders>
              <w:bottom w:val="single" w:sz="4" w:space="0" w:color="auto"/>
            </w:tcBorders>
            <w:vAlign w:val="center"/>
          </w:tcPr>
          <w:p w14:paraId="058489C2" w14:textId="7AE22070"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Boost</w:t>
            </w:r>
          </w:p>
        </w:tc>
        <w:tc>
          <w:tcPr>
            <w:tcW w:w="1683" w:type="dxa"/>
            <w:tcBorders>
              <w:top w:val="single" w:sz="4" w:space="0" w:color="auto"/>
              <w:bottom w:val="single" w:sz="4" w:space="0" w:color="auto"/>
            </w:tcBorders>
            <w:noWrap/>
            <w:vAlign w:val="center"/>
            <w:hideMark/>
          </w:tcPr>
          <w:p w14:paraId="618C7270" w14:textId="44261F1E"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Rural Development</w:t>
            </w:r>
          </w:p>
        </w:tc>
        <w:tc>
          <w:tcPr>
            <w:tcW w:w="3073" w:type="dxa"/>
            <w:tcBorders>
              <w:top w:val="single" w:sz="4" w:space="0" w:color="auto"/>
              <w:bottom w:val="single" w:sz="4" w:space="0" w:color="auto"/>
            </w:tcBorders>
            <w:vAlign w:val="center"/>
          </w:tcPr>
          <w:p w14:paraId="2A7A0164" w14:textId="7B675FE3" w:rsidR="0070756D" w:rsidRPr="00B26A7A" w:rsidRDefault="1A6FA1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SFS should promote the improvement of the quality of life and economic well-being of people living in the rural area</w:t>
            </w:r>
            <w:r w:rsidR="50F7DF16" w:rsidRPr="00B26A7A">
              <w:rPr>
                <w:rFonts w:ascii="Times New Roman" w:eastAsia="Times New Roman" w:hAnsi="Times New Roman" w:cs="Times New Roman"/>
                <w:color w:val="000000" w:themeColor="text1"/>
                <w:sz w:val="16"/>
                <w:szCs w:val="16"/>
                <w:lang w:eastAsia="en-GB"/>
              </w:rPr>
              <w:t>.</w:t>
            </w:r>
          </w:p>
        </w:tc>
        <w:tc>
          <w:tcPr>
            <w:tcW w:w="3281" w:type="dxa"/>
            <w:tcBorders>
              <w:top w:val="single" w:sz="4" w:space="0" w:color="auto"/>
              <w:bottom w:val="single" w:sz="4" w:space="0" w:color="auto"/>
            </w:tcBorders>
            <w:vAlign w:val="center"/>
          </w:tcPr>
          <w:p w14:paraId="4BAF1544" w14:textId="179501FC" w:rsidR="0070756D" w:rsidRPr="00B26A7A" w:rsidRDefault="1A6FA16D" w:rsidP="002158C9">
            <w:pPr>
              <w:spacing w:after="0" w:line="240" w:lineRule="auto"/>
              <w:jc w:val="center"/>
              <w:rPr>
                <w:rFonts w:ascii="Times New Roman" w:hAnsi="Times New Roman" w:cs="Times New Roman"/>
                <w:i/>
                <w:iCs/>
                <w:sz w:val="16"/>
                <w:szCs w:val="16"/>
                <w:lang w:eastAsia="en-GB"/>
              </w:rPr>
            </w:pPr>
            <w:r w:rsidRPr="00B26A7A">
              <w:rPr>
                <w:rFonts w:ascii="Times New Roman" w:hAnsi="Times New Roman" w:cs="Times New Roman"/>
                <w:i/>
                <w:iCs/>
                <w:sz w:val="16"/>
                <w:szCs w:val="16"/>
              </w:rPr>
              <w:t>Rural poverty; rural communities; decent living for marginal</w:t>
            </w:r>
            <w:r w:rsidR="00ED3846">
              <w:rPr>
                <w:rFonts w:ascii="Times New Roman" w:hAnsi="Times New Roman" w:cs="Times New Roman"/>
                <w:i/>
                <w:iCs/>
                <w:sz w:val="16"/>
                <w:szCs w:val="16"/>
              </w:rPr>
              <w:t>is</w:t>
            </w:r>
            <w:r w:rsidRPr="00B26A7A">
              <w:rPr>
                <w:rFonts w:ascii="Times New Roman" w:hAnsi="Times New Roman" w:cs="Times New Roman"/>
                <w:i/>
                <w:iCs/>
                <w:sz w:val="16"/>
                <w:szCs w:val="16"/>
              </w:rPr>
              <w:t>ed agricultural producers; empower peasant and family farming; economic viability for rural areas; rural development; rural communities; rural poors; rural development; hamper marginal</w:t>
            </w:r>
            <w:r w:rsidR="00ED3846">
              <w:rPr>
                <w:rFonts w:ascii="Times New Roman" w:hAnsi="Times New Roman" w:cs="Times New Roman"/>
                <w:i/>
                <w:iCs/>
                <w:sz w:val="16"/>
                <w:szCs w:val="16"/>
              </w:rPr>
              <w:t>is</w:t>
            </w:r>
            <w:r w:rsidRPr="00B26A7A">
              <w:rPr>
                <w:rFonts w:ascii="Times New Roman" w:hAnsi="Times New Roman" w:cs="Times New Roman"/>
                <w:i/>
                <w:iCs/>
                <w:sz w:val="16"/>
                <w:szCs w:val="16"/>
              </w:rPr>
              <w:t>ation of small producers and rural populations; promote well-being and rural vitality</w:t>
            </w:r>
          </w:p>
        </w:tc>
      </w:tr>
      <w:tr w:rsidR="006B5C27" w:rsidRPr="00B26A7A" w14:paraId="306777B5" w14:textId="546897DA" w:rsidTr="00B26A7A">
        <w:trPr>
          <w:trHeight w:val="170"/>
        </w:trPr>
        <w:tc>
          <w:tcPr>
            <w:tcW w:w="979" w:type="dxa"/>
            <w:tcBorders>
              <w:top w:val="single" w:sz="4" w:space="0" w:color="auto"/>
              <w:bottom w:val="single" w:sz="4" w:space="0" w:color="auto"/>
            </w:tcBorders>
            <w:vAlign w:val="center"/>
          </w:tcPr>
          <w:p w14:paraId="53969670" w14:textId="04AE4952"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Protect</w:t>
            </w:r>
          </w:p>
        </w:tc>
        <w:tc>
          <w:tcPr>
            <w:tcW w:w="1683" w:type="dxa"/>
            <w:tcBorders>
              <w:top w:val="single" w:sz="4" w:space="0" w:color="auto"/>
              <w:bottom w:val="single" w:sz="4" w:space="0" w:color="auto"/>
            </w:tcBorders>
            <w:noWrap/>
            <w:vAlign w:val="center"/>
            <w:hideMark/>
          </w:tcPr>
          <w:p w14:paraId="32DBAC23" w14:textId="2BFC0289"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Worker rights and conditions</w:t>
            </w:r>
          </w:p>
        </w:tc>
        <w:tc>
          <w:tcPr>
            <w:tcW w:w="3073" w:type="dxa"/>
            <w:tcBorders>
              <w:top w:val="single" w:sz="4" w:space="0" w:color="auto"/>
              <w:bottom w:val="single" w:sz="4" w:space="0" w:color="auto"/>
            </w:tcBorders>
            <w:vAlign w:val="center"/>
          </w:tcPr>
          <w:p w14:paraId="3E87CC4E" w14:textId="35368519" w:rsidR="0070756D" w:rsidRPr="00B26A7A" w:rsidRDefault="3D64C369"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SFS should protect food worker rights and conditions</w:t>
            </w:r>
          </w:p>
        </w:tc>
        <w:tc>
          <w:tcPr>
            <w:tcW w:w="3281" w:type="dxa"/>
            <w:tcBorders>
              <w:top w:val="single" w:sz="4" w:space="0" w:color="auto"/>
              <w:bottom w:val="single" w:sz="4" w:space="0" w:color="auto"/>
            </w:tcBorders>
          </w:tcPr>
          <w:p w14:paraId="36905535" w14:textId="66AB356A" w:rsidR="0070756D" w:rsidRPr="00B26A7A" w:rsidRDefault="0070756D" w:rsidP="002158C9">
            <w:pPr>
              <w:spacing w:after="0" w:line="240" w:lineRule="auto"/>
              <w:jc w:val="center"/>
              <w:rPr>
                <w:rFonts w:ascii="Times New Roman" w:eastAsia="Times New Roman" w:hAnsi="Times New Roman" w:cs="Times New Roman"/>
                <w:i/>
                <w:iCs/>
                <w:color w:val="000000"/>
                <w:sz w:val="16"/>
                <w:szCs w:val="16"/>
                <w:lang w:eastAsia="en-GB"/>
              </w:rPr>
            </w:pPr>
            <w:r w:rsidRPr="00B26A7A">
              <w:rPr>
                <w:rFonts w:ascii="Times New Roman" w:hAnsi="Times New Roman" w:cs="Times New Roman"/>
                <w:i/>
                <w:iCs/>
                <w:sz w:val="16"/>
                <w:szCs w:val="16"/>
              </w:rPr>
              <w:t>health and safety, child labour;</w:t>
            </w:r>
            <w:r w:rsidR="4B157AD4" w:rsidRPr="00B26A7A">
              <w:rPr>
                <w:rFonts w:ascii="Times New Roman" w:hAnsi="Times New Roman" w:cs="Times New Roman"/>
                <w:i/>
                <w:iCs/>
                <w:sz w:val="16"/>
                <w:szCs w:val="16"/>
              </w:rPr>
              <w:t xml:space="preserve"> </w:t>
            </w:r>
            <w:r w:rsidRPr="00B26A7A">
              <w:rPr>
                <w:rFonts w:ascii="Times New Roman" w:hAnsi="Times New Roman" w:cs="Times New Roman"/>
                <w:i/>
                <w:iCs/>
                <w:sz w:val="16"/>
                <w:szCs w:val="16"/>
              </w:rPr>
              <w:t>health workers, fair conditions for FS actors;</w:t>
            </w:r>
            <w:r w:rsidR="3BFC4771" w:rsidRPr="00B26A7A">
              <w:rPr>
                <w:rFonts w:ascii="Times New Roman" w:hAnsi="Times New Roman" w:cs="Times New Roman"/>
                <w:i/>
                <w:iCs/>
                <w:sz w:val="16"/>
                <w:szCs w:val="16"/>
              </w:rPr>
              <w:t xml:space="preserve"> </w:t>
            </w:r>
            <w:r w:rsidRPr="00B26A7A">
              <w:rPr>
                <w:rFonts w:ascii="Times New Roman" w:hAnsi="Times New Roman" w:cs="Times New Roman"/>
                <w:i/>
                <w:iCs/>
                <w:sz w:val="16"/>
                <w:szCs w:val="16"/>
              </w:rPr>
              <w:t>respect working conditions, fair contracts and business networks, respect workers and peasant rights, fairness for all workers</w:t>
            </w:r>
          </w:p>
        </w:tc>
      </w:tr>
      <w:tr w:rsidR="006A1E29" w:rsidRPr="00B26A7A" w14:paraId="13E1C677" w14:textId="62091549" w:rsidTr="00B26A7A">
        <w:trPr>
          <w:trHeight w:val="170"/>
        </w:trPr>
        <w:tc>
          <w:tcPr>
            <w:tcW w:w="979" w:type="dxa"/>
            <w:vMerge w:val="restart"/>
            <w:tcBorders>
              <w:top w:val="single" w:sz="4" w:space="0" w:color="auto"/>
            </w:tcBorders>
            <w:vAlign w:val="center"/>
          </w:tcPr>
          <w:p w14:paraId="5825B55D" w14:textId="7DFA0008" w:rsidR="006A1E29" w:rsidRPr="00B26A7A" w:rsidRDefault="006A1E29"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Ensure</w:t>
            </w:r>
          </w:p>
          <w:p w14:paraId="7A75BECE" w14:textId="2AE27438" w:rsidR="006A1E29" w:rsidRPr="00B26A7A" w:rsidRDefault="006A1E29"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0C682F0D" w14:textId="7AE030EF" w:rsidR="006A1E29" w:rsidRPr="00B26A7A" w:rsidRDefault="006A1E29"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Social well-being</w:t>
            </w:r>
          </w:p>
        </w:tc>
        <w:tc>
          <w:tcPr>
            <w:tcW w:w="3073" w:type="dxa"/>
            <w:tcBorders>
              <w:top w:val="single" w:sz="4" w:space="0" w:color="auto"/>
              <w:bottom w:val="single" w:sz="4" w:space="0" w:color="auto"/>
            </w:tcBorders>
          </w:tcPr>
          <w:p w14:paraId="27166E1D" w14:textId="05C22EBF" w:rsidR="006A1E29" w:rsidRPr="00B26A7A" w:rsidRDefault="004253B0"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ensure people’s</w:t>
            </w:r>
            <w:r w:rsidR="00ED3846">
              <w:rPr>
                <w:rFonts w:ascii="Times New Roman" w:eastAsia="Times New Roman" w:hAnsi="Times New Roman" w:cs="Times New Roman"/>
                <w:color w:val="000000"/>
                <w:sz w:val="16"/>
                <w:szCs w:val="16"/>
                <w:lang w:eastAsia="en-GB"/>
              </w:rPr>
              <w:t xml:space="preserve"> </w:t>
            </w:r>
            <w:r w:rsidRPr="00B26A7A">
              <w:rPr>
                <w:rFonts w:ascii="Times New Roman" w:eastAsia="Times New Roman" w:hAnsi="Times New Roman" w:cs="Times New Roman"/>
                <w:color w:val="000000"/>
                <w:sz w:val="16"/>
                <w:szCs w:val="16"/>
                <w:lang w:eastAsia="en-GB"/>
              </w:rPr>
              <w:t>capacity to be and do well in life, and achieve a state of health, happiness, or prosperity</w:t>
            </w:r>
          </w:p>
        </w:tc>
        <w:tc>
          <w:tcPr>
            <w:tcW w:w="3281" w:type="dxa"/>
            <w:tcBorders>
              <w:top w:val="single" w:sz="4" w:space="0" w:color="auto"/>
              <w:bottom w:val="single" w:sz="4" w:space="0" w:color="auto"/>
            </w:tcBorders>
          </w:tcPr>
          <w:p w14:paraId="54DA542C" w14:textId="05881AD9" w:rsidR="006A1E29" w:rsidRPr="00B26A7A" w:rsidRDefault="006A1E29"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Well-being; welfare; social capital, social well-being</w:t>
            </w:r>
          </w:p>
        </w:tc>
      </w:tr>
      <w:tr w:rsidR="006A1E29" w:rsidRPr="00B26A7A" w14:paraId="0285D391" w14:textId="56B6138E" w:rsidTr="00B26A7A">
        <w:trPr>
          <w:trHeight w:val="170"/>
        </w:trPr>
        <w:tc>
          <w:tcPr>
            <w:tcW w:w="979" w:type="dxa"/>
            <w:vMerge/>
            <w:tcBorders>
              <w:bottom w:val="single" w:sz="4" w:space="0" w:color="auto"/>
            </w:tcBorders>
            <w:vAlign w:val="center"/>
          </w:tcPr>
          <w:p w14:paraId="20F2B11F" w14:textId="10F59559" w:rsidR="006A1E29" w:rsidRPr="00B26A7A" w:rsidRDefault="006A1E29"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5787744F" w14:textId="517AB8EB" w:rsidR="006A1E29" w:rsidRPr="00B26A7A" w:rsidRDefault="006A1E29"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Animal welfare</w:t>
            </w:r>
          </w:p>
        </w:tc>
        <w:tc>
          <w:tcPr>
            <w:tcW w:w="3073" w:type="dxa"/>
            <w:tcBorders>
              <w:top w:val="single" w:sz="4" w:space="0" w:color="auto"/>
              <w:bottom w:val="single" w:sz="4" w:space="0" w:color="auto"/>
            </w:tcBorders>
          </w:tcPr>
          <w:p w14:paraId="4E510B4A" w14:textId="180C047B" w:rsidR="006A1E29" w:rsidRPr="00B26A7A" w:rsidRDefault="006A1E29"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ensure animal physical and mental</w:t>
            </w:r>
            <w:r w:rsidR="004253B0" w:rsidRPr="00B26A7A">
              <w:rPr>
                <w:rFonts w:ascii="Times New Roman" w:eastAsia="Times New Roman" w:hAnsi="Times New Roman" w:cs="Times New Roman"/>
                <w:color w:val="000000"/>
                <w:sz w:val="16"/>
                <w:szCs w:val="16"/>
                <w:lang w:eastAsia="en-GB"/>
              </w:rPr>
              <w:t xml:space="preserve"> well-being</w:t>
            </w:r>
          </w:p>
        </w:tc>
        <w:tc>
          <w:tcPr>
            <w:tcW w:w="3281" w:type="dxa"/>
            <w:tcBorders>
              <w:top w:val="single" w:sz="4" w:space="0" w:color="auto"/>
              <w:bottom w:val="single" w:sz="4" w:space="0" w:color="auto"/>
            </w:tcBorders>
          </w:tcPr>
          <w:p w14:paraId="4F89704A" w14:textId="6C14F126" w:rsidR="006A1E29" w:rsidRPr="00B26A7A" w:rsidRDefault="006A1E29"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Ethical treatment of animals; animals health</w:t>
            </w:r>
          </w:p>
        </w:tc>
      </w:tr>
      <w:tr w:rsidR="0043022D" w:rsidRPr="00B26A7A" w14:paraId="4A34EEA6" w14:textId="354290D3" w:rsidTr="00B26A7A">
        <w:trPr>
          <w:trHeight w:val="170"/>
        </w:trPr>
        <w:tc>
          <w:tcPr>
            <w:tcW w:w="979" w:type="dxa"/>
            <w:vMerge w:val="restart"/>
            <w:tcBorders>
              <w:top w:val="single" w:sz="4" w:space="0" w:color="auto"/>
            </w:tcBorders>
            <w:vAlign w:val="center"/>
          </w:tcPr>
          <w:p w14:paraId="278AE876" w14:textId="271160C3" w:rsidR="0043022D" w:rsidRPr="00B26A7A" w:rsidRDefault="0043022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Strengthen</w:t>
            </w:r>
          </w:p>
        </w:tc>
        <w:tc>
          <w:tcPr>
            <w:tcW w:w="1683" w:type="dxa"/>
            <w:tcBorders>
              <w:top w:val="single" w:sz="4" w:space="0" w:color="auto"/>
              <w:bottom w:val="single" w:sz="4" w:space="0" w:color="auto"/>
            </w:tcBorders>
            <w:noWrap/>
            <w:vAlign w:val="center"/>
            <w:hideMark/>
          </w:tcPr>
          <w:p w14:paraId="6312257C" w14:textId="44C87240" w:rsidR="0043022D" w:rsidRPr="00B26A7A" w:rsidRDefault="0043022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themeColor="text1"/>
                <w:sz w:val="16"/>
                <w:szCs w:val="16"/>
                <w:lang w:eastAsia="en-GB"/>
              </w:rPr>
              <w:t>Community engagement</w:t>
            </w:r>
          </w:p>
        </w:tc>
        <w:tc>
          <w:tcPr>
            <w:tcW w:w="3073" w:type="dxa"/>
            <w:tcBorders>
              <w:top w:val="single" w:sz="4" w:space="0" w:color="auto"/>
              <w:bottom w:val="single" w:sz="4" w:space="0" w:color="auto"/>
            </w:tcBorders>
            <w:vAlign w:val="center"/>
          </w:tcPr>
          <w:p w14:paraId="09944E5D" w14:textId="7A744094" w:rsidR="0043022D" w:rsidRPr="00B26A7A" w:rsidRDefault="0043022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strengthen the engagement of local food communities with their territory</w:t>
            </w:r>
          </w:p>
        </w:tc>
        <w:tc>
          <w:tcPr>
            <w:tcW w:w="3281" w:type="dxa"/>
            <w:tcBorders>
              <w:top w:val="single" w:sz="4" w:space="0" w:color="auto"/>
              <w:bottom w:val="single" w:sz="4" w:space="0" w:color="auto"/>
            </w:tcBorders>
          </w:tcPr>
          <w:p w14:paraId="7BD16257" w14:textId="6909C74A" w:rsidR="0043022D" w:rsidRPr="00B26A7A" w:rsidRDefault="0043022D"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Stronger communities and societies; support community; preserve local knowledge; resilient food communities; spatial inclusion; territorial heritage; community building; empower peasant and family farming; collective identity; indigenous rights; territorial development; preserve culture and knowledge; unite people with nature and the products of their labour; community pride and animation; sense of community; connection with traditional cultures and local identity; social innovation and empowerment of community</w:t>
            </w:r>
          </w:p>
        </w:tc>
      </w:tr>
      <w:tr w:rsidR="0043022D" w:rsidRPr="00B26A7A" w14:paraId="7BA1E1DC" w14:textId="7582CB4B" w:rsidTr="00B26A7A">
        <w:trPr>
          <w:trHeight w:val="170"/>
        </w:trPr>
        <w:tc>
          <w:tcPr>
            <w:tcW w:w="979" w:type="dxa"/>
            <w:vMerge/>
            <w:tcBorders>
              <w:bottom w:val="single" w:sz="4" w:space="0" w:color="auto"/>
            </w:tcBorders>
            <w:vAlign w:val="center"/>
          </w:tcPr>
          <w:p w14:paraId="4F2E349C" w14:textId="28C9B692" w:rsidR="0043022D" w:rsidRPr="00B26A7A" w:rsidRDefault="0043022D"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6BB436A9" w14:textId="461B2386" w:rsidR="0043022D" w:rsidRPr="00B26A7A" w:rsidRDefault="0043022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Connectedness of consumers and producers</w:t>
            </w:r>
          </w:p>
        </w:tc>
        <w:tc>
          <w:tcPr>
            <w:tcW w:w="3073" w:type="dxa"/>
            <w:tcBorders>
              <w:top w:val="single" w:sz="4" w:space="0" w:color="auto"/>
              <w:bottom w:val="single" w:sz="4" w:space="0" w:color="auto"/>
            </w:tcBorders>
            <w:vAlign w:val="center"/>
          </w:tcPr>
          <w:p w14:paraId="1D8D0A8C" w14:textId="58DE5EAE" w:rsidR="0043022D" w:rsidRPr="00B26A7A" w:rsidRDefault="0043022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strengthen the connection between consumers and producers</w:t>
            </w:r>
          </w:p>
        </w:tc>
        <w:tc>
          <w:tcPr>
            <w:tcW w:w="3281" w:type="dxa"/>
            <w:tcBorders>
              <w:top w:val="single" w:sz="4" w:space="0" w:color="auto"/>
              <w:bottom w:val="single" w:sz="4" w:space="0" w:color="auto"/>
            </w:tcBorders>
          </w:tcPr>
          <w:p w14:paraId="3B2194AC" w14:textId="65E32F39" w:rsidR="0043022D" w:rsidRPr="00B26A7A" w:rsidRDefault="0043022D"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Proximity of production and consumption; shorten FSC; reconnect producers and consumers; strong link between production and consumption; reduce consumer-producer distances; connection with farmers</w:t>
            </w:r>
          </w:p>
        </w:tc>
      </w:tr>
      <w:tr w:rsidR="00743153" w:rsidRPr="00B26A7A" w14:paraId="3FC035E9" w14:textId="5303AB1D" w:rsidTr="00B26A7A">
        <w:trPr>
          <w:trHeight w:val="170"/>
        </w:trPr>
        <w:tc>
          <w:tcPr>
            <w:tcW w:w="979" w:type="dxa"/>
            <w:vMerge w:val="restart"/>
            <w:tcBorders>
              <w:top w:val="single" w:sz="4" w:space="0" w:color="auto"/>
            </w:tcBorders>
            <w:vAlign w:val="center"/>
          </w:tcPr>
          <w:p w14:paraId="3B513BB3" w14:textId="3956D4E0"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Provide and Promote</w:t>
            </w:r>
          </w:p>
        </w:tc>
        <w:tc>
          <w:tcPr>
            <w:tcW w:w="1683" w:type="dxa"/>
            <w:tcBorders>
              <w:top w:val="single" w:sz="4" w:space="0" w:color="auto"/>
              <w:bottom w:val="single" w:sz="4" w:space="0" w:color="auto"/>
            </w:tcBorders>
            <w:vAlign w:val="center"/>
            <w:hideMark/>
          </w:tcPr>
          <w:p w14:paraId="0C62A77E" w14:textId="57977AC4"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Food Security</w:t>
            </w:r>
          </w:p>
        </w:tc>
        <w:tc>
          <w:tcPr>
            <w:tcW w:w="3073" w:type="dxa"/>
            <w:tcBorders>
              <w:top w:val="single" w:sz="4" w:space="0" w:color="auto"/>
              <w:bottom w:val="single" w:sz="4" w:space="0" w:color="auto"/>
            </w:tcBorders>
          </w:tcPr>
          <w:p w14:paraId="43D51C0C" w14:textId="1127B149"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provide and promote physical and economic access to sufficient, safe and nutritious food that meets dietary needs and food preferences</w:t>
            </w:r>
            <w:r w:rsidR="00ED3846">
              <w:rPr>
                <w:rFonts w:ascii="Times New Roman" w:eastAsia="Times New Roman" w:hAnsi="Times New Roman" w:cs="Times New Roman"/>
                <w:color w:val="000000"/>
                <w:sz w:val="16"/>
                <w:szCs w:val="16"/>
                <w:lang w:eastAsia="en-GB"/>
              </w:rPr>
              <w:t xml:space="preserve"> </w:t>
            </w:r>
            <w:r w:rsidRPr="00B26A7A">
              <w:rPr>
                <w:rFonts w:ascii="Times New Roman" w:eastAsia="Times New Roman" w:hAnsi="Times New Roman" w:cs="Times New Roman"/>
                <w:color w:val="000000"/>
                <w:sz w:val="16"/>
                <w:szCs w:val="16"/>
                <w:lang w:eastAsia="en-GB"/>
              </w:rPr>
              <w:t>(World Food Summit</w:t>
            </w:r>
            <w:r w:rsidR="00F7124A">
              <w:rPr>
                <w:rFonts w:ascii="Times New Roman" w:eastAsia="Times New Roman" w:hAnsi="Times New Roman" w:cs="Times New Roman"/>
                <w:color w:val="000000"/>
                <w:sz w:val="16"/>
                <w:szCs w:val="16"/>
                <w:lang w:eastAsia="en-GB"/>
              </w:rPr>
              <w:t>, 1996</w:t>
            </w:r>
            <w:r w:rsidRPr="00B26A7A">
              <w:rPr>
                <w:rFonts w:ascii="Times New Roman" w:eastAsia="Times New Roman" w:hAnsi="Times New Roman" w:cs="Times New Roman"/>
                <w:color w:val="000000"/>
                <w:sz w:val="16"/>
                <w:szCs w:val="16"/>
                <w:lang w:eastAsia="en-GB"/>
              </w:rPr>
              <w:t>)</w:t>
            </w:r>
          </w:p>
        </w:tc>
        <w:tc>
          <w:tcPr>
            <w:tcW w:w="3281" w:type="dxa"/>
            <w:tcBorders>
              <w:top w:val="single" w:sz="4" w:space="0" w:color="auto"/>
              <w:bottom w:val="single" w:sz="4" w:space="0" w:color="auto"/>
            </w:tcBorders>
          </w:tcPr>
          <w:p w14:paraId="561B45FD" w14:textId="1122FCE1" w:rsidR="00743153" w:rsidRPr="00B26A7A" w:rsidRDefault="00743153"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Affordable; accessible; economic access to food; equal access to food</w:t>
            </w:r>
          </w:p>
        </w:tc>
      </w:tr>
      <w:tr w:rsidR="00743153" w:rsidRPr="00B26A7A" w14:paraId="11012A37" w14:textId="74A1D028" w:rsidTr="00B26A7A">
        <w:trPr>
          <w:trHeight w:val="170"/>
        </w:trPr>
        <w:tc>
          <w:tcPr>
            <w:tcW w:w="979" w:type="dxa"/>
            <w:vMerge/>
            <w:vAlign w:val="center"/>
          </w:tcPr>
          <w:p w14:paraId="5AEA784F" w14:textId="0B579577"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4BE0FAC5" w14:textId="694DA1F8"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Food safety</w:t>
            </w:r>
          </w:p>
        </w:tc>
        <w:tc>
          <w:tcPr>
            <w:tcW w:w="3073" w:type="dxa"/>
            <w:tcBorders>
              <w:top w:val="single" w:sz="4" w:space="0" w:color="auto"/>
              <w:bottom w:val="single" w:sz="4" w:space="0" w:color="auto"/>
            </w:tcBorders>
          </w:tcPr>
          <w:p w14:paraId="1848FD5B" w14:textId="624B8F18"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provide and promote conditions and practices that preserve the quality of food to prevent contamination and food-borne illnesses</w:t>
            </w:r>
          </w:p>
        </w:tc>
        <w:tc>
          <w:tcPr>
            <w:tcW w:w="3281" w:type="dxa"/>
            <w:tcBorders>
              <w:top w:val="single" w:sz="4" w:space="0" w:color="auto"/>
              <w:bottom w:val="single" w:sz="4" w:space="0" w:color="auto"/>
            </w:tcBorders>
          </w:tcPr>
          <w:p w14:paraId="404ADFE0" w14:textId="07BD6A0F" w:rsidR="00743153" w:rsidRPr="00B26A7A" w:rsidRDefault="00743153"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Traceability</w:t>
            </w:r>
          </w:p>
        </w:tc>
      </w:tr>
      <w:tr w:rsidR="00743153" w:rsidRPr="00B26A7A" w14:paraId="1B6E6A07" w14:textId="7D1A6B8F" w:rsidTr="00B26A7A">
        <w:trPr>
          <w:trHeight w:val="170"/>
        </w:trPr>
        <w:tc>
          <w:tcPr>
            <w:tcW w:w="979" w:type="dxa"/>
            <w:vMerge/>
            <w:vAlign w:val="center"/>
          </w:tcPr>
          <w:p w14:paraId="34C7C5BE" w14:textId="60A31191"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tcBorders>
            <w:noWrap/>
            <w:vAlign w:val="center"/>
            <w:hideMark/>
          </w:tcPr>
          <w:p w14:paraId="74BD40DE" w14:textId="089A68DD"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Food quality</w:t>
            </w:r>
          </w:p>
        </w:tc>
        <w:tc>
          <w:tcPr>
            <w:tcW w:w="3073" w:type="dxa"/>
            <w:tcBorders>
              <w:top w:val="single" w:sz="4" w:space="0" w:color="auto"/>
            </w:tcBorders>
          </w:tcPr>
          <w:p w14:paraId="1726130F" w14:textId="49213A5C"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 xml:space="preserve">SFS should provide </w:t>
            </w:r>
            <w:r w:rsidR="00442100" w:rsidRPr="00B26A7A">
              <w:rPr>
                <w:rFonts w:ascii="Times New Roman" w:eastAsia="Times New Roman" w:hAnsi="Times New Roman" w:cs="Times New Roman"/>
                <w:color w:val="000000"/>
                <w:sz w:val="16"/>
                <w:szCs w:val="16"/>
                <w:lang w:eastAsia="en-GB"/>
              </w:rPr>
              <w:t xml:space="preserve">and promote </w:t>
            </w:r>
            <w:r w:rsidRPr="00B26A7A">
              <w:rPr>
                <w:rFonts w:ascii="Times New Roman" w:eastAsia="Times New Roman" w:hAnsi="Times New Roman" w:cs="Times New Roman"/>
                <w:color w:val="000000"/>
                <w:sz w:val="16"/>
                <w:szCs w:val="16"/>
                <w:lang w:eastAsia="en-GB"/>
              </w:rPr>
              <w:t xml:space="preserve">food </w:t>
            </w:r>
            <w:r w:rsidR="00442100" w:rsidRPr="00B26A7A">
              <w:rPr>
                <w:rFonts w:ascii="Times New Roman" w:eastAsia="Times New Roman" w:hAnsi="Times New Roman" w:cs="Times New Roman"/>
                <w:color w:val="000000"/>
                <w:sz w:val="16"/>
                <w:szCs w:val="16"/>
                <w:lang w:eastAsia="en-GB"/>
              </w:rPr>
              <w:t xml:space="preserve">product absent of defects, fraud and adulteration that satisfy consumers expected organoleptic and nutritional characteristics </w:t>
            </w:r>
            <w:r w:rsidR="00442100" w:rsidRPr="00B26A7A">
              <w:rPr>
                <w:rFonts w:ascii="Times New Roman" w:eastAsia="Times New Roman" w:hAnsi="Times New Roman" w:cs="Times New Roman"/>
                <w:color w:val="000000"/>
                <w:sz w:val="16"/>
                <w:szCs w:val="16"/>
                <w:lang w:eastAsia="en-GB"/>
              </w:rPr>
              <w:lastRenderedPageBreak/>
              <w:t>or food that have added value justified by the form of production (</w:t>
            </w:r>
            <w:r w:rsidR="00442100" w:rsidRPr="00B26A7A">
              <w:rPr>
                <w:rFonts w:ascii="Times New Roman" w:eastAsia="Times New Roman" w:hAnsi="Times New Roman" w:cs="Times New Roman"/>
                <w:i/>
                <w:color w:val="000000"/>
                <w:sz w:val="16"/>
                <w:szCs w:val="16"/>
                <w:lang w:eastAsia="en-GB"/>
              </w:rPr>
              <w:t>e.g.,</w:t>
            </w:r>
            <w:r w:rsidR="00442100" w:rsidRPr="00B26A7A">
              <w:rPr>
                <w:rFonts w:ascii="Times New Roman" w:eastAsia="Times New Roman" w:hAnsi="Times New Roman" w:cs="Times New Roman"/>
                <w:color w:val="000000"/>
                <w:sz w:val="16"/>
                <w:szCs w:val="16"/>
                <w:lang w:eastAsia="en-GB"/>
              </w:rPr>
              <w:t xml:space="preserve"> organic) or territory origin (FAO, 2014)</w:t>
            </w:r>
          </w:p>
        </w:tc>
        <w:tc>
          <w:tcPr>
            <w:tcW w:w="3281" w:type="dxa"/>
            <w:tcBorders>
              <w:top w:val="single" w:sz="4" w:space="0" w:color="auto"/>
            </w:tcBorders>
          </w:tcPr>
          <w:p w14:paraId="01E0FE6A" w14:textId="13C8EC03" w:rsidR="00743153" w:rsidRPr="00B26A7A" w:rsidRDefault="00442100"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lastRenderedPageBreak/>
              <w:t>F</w:t>
            </w:r>
            <w:r w:rsidR="00743153" w:rsidRPr="00B26A7A">
              <w:rPr>
                <w:rFonts w:ascii="Times New Roman" w:hAnsi="Times New Roman" w:cs="Times New Roman"/>
                <w:i/>
                <w:sz w:val="16"/>
                <w:szCs w:val="16"/>
              </w:rPr>
              <w:t>resh</w:t>
            </w:r>
            <w:r w:rsidRPr="00B26A7A">
              <w:rPr>
                <w:rFonts w:ascii="Times New Roman" w:hAnsi="Times New Roman" w:cs="Times New Roman"/>
                <w:i/>
                <w:sz w:val="16"/>
                <w:szCs w:val="16"/>
              </w:rPr>
              <w:t xml:space="preserve"> food; </w:t>
            </w:r>
            <w:r w:rsidR="00743153" w:rsidRPr="00B26A7A">
              <w:rPr>
                <w:rFonts w:ascii="Times New Roman" w:hAnsi="Times New Roman" w:cs="Times New Roman"/>
                <w:i/>
                <w:sz w:val="16"/>
                <w:szCs w:val="16"/>
              </w:rPr>
              <w:t>nutritious foo</w:t>
            </w:r>
            <w:r w:rsidRPr="00B26A7A">
              <w:rPr>
                <w:rFonts w:ascii="Times New Roman" w:hAnsi="Times New Roman" w:cs="Times New Roman"/>
                <w:i/>
                <w:sz w:val="16"/>
                <w:szCs w:val="16"/>
              </w:rPr>
              <w:t>d; local; seasonal</w:t>
            </w:r>
            <w:r w:rsidR="00743153" w:rsidRPr="00B26A7A">
              <w:rPr>
                <w:rFonts w:ascii="Times New Roman" w:hAnsi="Times New Roman" w:cs="Times New Roman"/>
                <w:i/>
                <w:sz w:val="16"/>
                <w:szCs w:val="16"/>
              </w:rPr>
              <w:t>;</w:t>
            </w:r>
            <w:r w:rsidRPr="00B26A7A">
              <w:rPr>
                <w:rFonts w:ascii="Times New Roman" w:hAnsi="Times New Roman" w:cs="Times New Roman"/>
                <w:i/>
                <w:sz w:val="16"/>
                <w:szCs w:val="16"/>
              </w:rPr>
              <w:t xml:space="preserve"> </w:t>
            </w:r>
            <w:r w:rsidR="00743153" w:rsidRPr="00B26A7A">
              <w:rPr>
                <w:rFonts w:ascii="Times New Roman" w:hAnsi="Times New Roman" w:cs="Times New Roman"/>
                <w:i/>
                <w:sz w:val="16"/>
                <w:szCs w:val="16"/>
              </w:rPr>
              <w:t xml:space="preserve">healthy </w:t>
            </w:r>
            <w:r w:rsidRPr="00B26A7A">
              <w:rPr>
                <w:rFonts w:ascii="Times New Roman" w:hAnsi="Times New Roman" w:cs="Times New Roman"/>
                <w:i/>
                <w:sz w:val="16"/>
                <w:szCs w:val="16"/>
              </w:rPr>
              <w:t>food;</w:t>
            </w:r>
            <w:r w:rsidR="00743153" w:rsidRPr="00B26A7A">
              <w:rPr>
                <w:rFonts w:ascii="Times New Roman" w:hAnsi="Times New Roman" w:cs="Times New Roman"/>
                <w:i/>
                <w:sz w:val="16"/>
                <w:szCs w:val="16"/>
              </w:rPr>
              <w:t xml:space="preserve"> </w:t>
            </w:r>
            <w:r w:rsidRPr="00B26A7A">
              <w:rPr>
                <w:rFonts w:ascii="Times New Roman" w:hAnsi="Times New Roman" w:cs="Times New Roman"/>
                <w:i/>
                <w:sz w:val="16"/>
                <w:szCs w:val="16"/>
              </w:rPr>
              <w:t>nutritional quality; food quality;</w:t>
            </w:r>
            <w:r w:rsidR="00743153" w:rsidRPr="00B26A7A">
              <w:rPr>
                <w:rFonts w:ascii="Times New Roman" w:hAnsi="Times New Roman" w:cs="Times New Roman"/>
                <w:i/>
                <w:sz w:val="16"/>
                <w:szCs w:val="16"/>
              </w:rPr>
              <w:t xml:space="preserve"> locally grown</w:t>
            </w:r>
          </w:p>
        </w:tc>
      </w:tr>
      <w:tr w:rsidR="00743153" w:rsidRPr="00B26A7A" w14:paraId="21E0990E" w14:textId="22B12266" w:rsidTr="00B26A7A">
        <w:trPr>
          <w:trHeight w:val="170"/>
        </w:trPr>
        <w:tc>
          <w:tcPr>
            <w:tcW w:w="979" w:type="dxa"/>
            <w:vMerge/>
            <w:vAlign w:val="center"/>
          </w:tcPr>
          <w:p w14:paraId="677AC6BB" w14:textId="2EB08368"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75E65F3D" w14:textId="26B5AE98" w:rsidR="00743153" w:rsidRPr="00B26A7A" w:rsidRDefault="00743153"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Healthy diets</w:t>
            </w:r>
          </w:p>
        </w:tc>
        <w:tc>
          <w:tcPr>
            <w:tcW w:w="3073" w:type="dxa"/>
            <w:tcBorders>
              <w:top w:val="single" w:sz="4" w:space="0" w:color="auto"/>
              <w:bottom w:val="single" w:sz="4" w:space="0" w:color="auto"/>
            </w:tcBorders>
          </w:tcPr>
          <w:p w14:paraId="20FCC22A" w14:textId="7D71C058" w:rsidR="00743153"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Should provide health-promoting and disease-preventing diets by providing adequacy without excess, of nutrients and health-promoting substances from nutritious foods and avoids the consumption of health-harming substances (</w:t>
            </w:r>
            <w:r w:rsidR="009B6410" w:rsidRPr="009B6410">
              <w:rPr>
                <w:rFonts w:ascii="Times New Roman" w:eastAsia="Times New Roman" w:hAnsi="Times New Roman" w:cs="Times New Roman"/>
                <w:color w:val="000000"/>
                <w:sz w:val="16"/>
                <w:szCs w:val="16"/>
                <w:lang w:eastAsia="en-GB"/>
              </w:rPr>
              <w:t>UN Food Systems Summit</w:t>
            </w:r>
            <w:r w:rsidR="009B6410">
              <w:rPr>
                <w:rFonts w:ascii="Times New Roman" w:eastAsia="Times New Roman" w:hAnsi="Times New Roman" w:cs="Times New Roman"/>
                <w:color w:val="000000"/>
                <w:sz w:val="16"/>
                <w:szCs w:val="16"/>
                <w:lang w:eastAsia="en-GB"/>
              </w:rPr>
              <w:t>, 2021)</w:t>
            </w:r>
          </w:p>
        </w:tc>
        <w:tc>
          <w:tcPr>
            <w:tcW w:w="3281" w:type="dxa"/>
            <w:tcBorders>
              <w:top w:val="single" w:sz="4" w:space="0" w:color="auto"/>
              <w:bottom w:val="single" w:sz="4" w:space="0" w:color="auto"/>
            </w:tcBorders>
            <w:vAlign w:val="center"/>
          </w:tcPr>
          <w:p w14:paraId="49B7E608" w14:textId="22F7BB90" w:rsidR="00743153" w:rsidRPr="00B26A7A" w:rsidRDefault="00B26A7A"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S</w:t>
            </w:r>
            <w:r w:rsidR="00743153" w:rsidRPr="00B26A7A">
              <w:rPr>
                <w:rFonts w:ascii="Times New Roman" w:hAnsi="Times New Roman" w:cs="Times New Roman"/>
                <w:i/>
                <w:sz w:val="16"/>
                <w:szCs w:val="16"/>
              </w:rPr>
              <w:t>ufficient quality and quantity;</w:t>
            </w:r>
            <w:r w:rsidRPr="00B26A7A">
              <w:rPr>
                <w:rFonts w:ascii="Times New Roman" w:hAnsi="Times New Roman" w:cs="Times New Roman"/>
                <w:i/>
                <w:sz w:val="16"/>
                <w:szCs w:val="16"/>
              </w:rPr>
              <w:t xml:space="preserve"> eating habits; reduce overweight and obesity; </w:t>
            </w:r>
            <w:r w:rsidR="00743153" w:rsidRPr="00B26A7A">
              <w:rPr>
                <w:rFonts w:ascii="Times New Roman" w:hAnsi="Times New Roman" w:cs="Times New Roman"/>
                <w:i/>
                <w:sz w:val="16"/>
                <w:szCs w:val="16"/>
              </w:rPr>
              <w:t>balanced nutrient intake</w:t>
            </w:r>
          </w:p>
        </w:tc>
      </w:tr>
      <w:tr w:rsidR="007F185A" w:rsidRPr="00B26A7A" w14:paraId="33A19CC7" w14:textId="0125BFF0" w:rsidTr="00B26A7A">
        <w:trPr>
          <w:trHeight w:val="170"/>
        </w:trPr>
        <w:tc>
          <w:tcPr>
            <w:tcW w:w="979" w:type="dxa"/>
            <w:vMerge w:val="restart"/>
            <w:vAlign w:val="center"/>
          </w:tcPr>
          <w:p w14:paraId="4407C189" w14:textId="22A03A9C" w:rsidR="007F185A"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Guarantee</w:t>
            </w:r>
          </w:p>
        </w:tc>
        <w:tc>
          <w:tcPr>
            <w:tcW w:w="1683" w:type="dxa"/>
            <w:tcBorders>
              <w:top w:val="single" w:sz="4" w:space="0" w:color="auto"/>
              <w:bottom w:val="single" w:sz="4" w:space="0" w:color="auto"/>
            </w:tcBorders>
            <w:noWrap/>
            <w:vAlign w:val="center"/>
            <w:hideMark/>
          </w:tcPr>
          <w:p w14:paraId="405C6529" w14:textId="421C3AEC" w:rsidR="007F185A"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Food Democracy</w:t>
            </w:r>
          </w:p>
        </w:tc>
        <w:tc>
          <w:tcPr>
            <w:tcW w:w="3073" w:type="dxa"/>
            <w:tcBorders>
              <w:top w:val="single" w:sz="4" w:space="0" w:color="auto"/>
              <w:bottom w:val="single" w:sz="4" w:space="0" w:color="auto"/>
            </w:tcBorders>
            <w:vAlign w:val="center"/>
          </w:tcPr>
          <w:p w14:paraId="03ED04E7" w14:textId="7B2BE056" w:rsidR="007F185A"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 xml:space="preserve">SFS should guarantee that all the members of an agro-food system have equal and effective opportunities for participation in shaping that system, as well as knowledge about the relevant alternative ways of designing and operating the system </w:t>
            </w:r>
            <w:r w:rsidR="009B6410">
              <w:rPr>
                <w:rFonts w:ascii="Times New Roman" w:eastAsia="Times New Roman" w:hAnsi="Times New Roman" w:cs="Times New Roman"/>
                <w:color w:val="000000"/>
                <w:sz w:val="16"/>
                <w:szCs w:val="16"/>
                <w:lang w:eastAsia="en-GB"/>
              </w:rPr>
              <w:t>(24</w:t>
            </w:r>
            <w:r w:rsidR="009B6410" w:rsidRPr="00F7124A">
              <w:rPr>
                <w:rFonts w:ascii="Times New Roman" w:eastAsia="Times New Roman" w:hAnsi="Times New Roman" w:cs="Times New Roman"/>
                <w:color w:val="000000"/>
                <w:sz w:val="16"/>
                <w:szCs w:val="16"/>
                <w:vertAlign w:val="superscript"/>
                <w:lang w:eastAsia="en-GB"/>
              </w:rPr>
              <w:t>th</w:t>
            </w:r>
            <w:r w:rsidR="009B6410" w:rsidRPr="00F7124A">
              <w:rPr>
                <w:rFonts w:ascii="Times New Roman" w:eastAsia="Times New Roman" w:hAnsi="Times New Roman" w:cs="Times New Roman"/>
                <w:color w:val="000000"/>
                <w:sz w:val="16"/>
                <w:szCs w:val="16"/>
                <w:lang w:eastAsia="en-GB"/>
              </w:rPr>
              <w:t xml:space="preserve"> FAO Regional Conference for Europe</w:t>
            </w:r>
            <w:r w:rsidR="009B6410">
              <w:rPr>
                <w:rFonts w:ascii="Times New Roman" w:eastAsia="Times New Roman" w:hAnsi="Times New Roman" w:cs="Times New Roman"/>
                <w:color w:val="000000"/>
                <w:sz w:val="16"/>
                <w:szCs w:val="16"/>
                <w:lang w:eastAsia="en-GB"/>
              </w:rPr>
              <w:t>, 2004)</w:t>
            </w:r>
          </w:p>
        </w:tc>
        <w:tc>
          <w:tcPr>
            <w:tcW w:w="3281" w:type="dxa"/>
            <w:tcBorders>
              <w:top w:val="single" w:sz="4" w:space="0" w:color="auto"/>
              <w:bottom w:val="single" w:sz="4" w:space="0" w:color="auto"/>
            </w:tcBorders>
          </w:tcPr>
          <w:p w14:paraId="45C47CFB" w14:textId="14E33B96" w:rsidR="007F185A" w:rsidRPr="00B26A7A" w:rsidRDefault="007F185A"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Shared governance; food policy accessible to all citizens; food citizenship; enable agency among actors to make decisions about food; political representation; reflexive governance; right to food; food citizenship; civic engagement; participation in decision-making; the democratic ability to decide what is produced; consumer empowerment; engaged governance.,</w:t>
            </w:r>
          </w:p>
        </w:tc>
      </w:tr>
      <w:tr w:rsidR="007F185A" w:rsidRPr="00B26A7A" w14:paraId="0C32AD26" w14:textId="7BAD44CE" w:rsidTr="00B26A7A">
        <w:trPr>
          <w:trHeight w:val="170"/>
        </w:trPr>
        <w:tc>
          <w:tcPr>
            <w:tcW w:w="979" w:type="dxa"/>
            <w:vMerge/>
            <w:vAlign w:val="center"/>
          </w:tcPr>
          <w:p w14:paraId="4070A00A" w14:textId="675A0C08" w:rsidR="007F185A"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5A0851B0" w14:textId="6C71ACC7" w:rsidR="007F185A"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Food Literacy and Transparency</w:t>
            </w:r>
          </w:p>
        </w:tc>
        <w:tc>
          <w:tcPr>
            <w:tcW w:w="3073" w:type="dxa"/>
            <w:tcBorders>
              <w:top w:val="single" w:sz="4" w:space="0" w:color="auto"/>
              <w:bottom w:val="single" w:sz="4" w:space="0" w:color="auto"/>
            </w:tcBorders>
          </w:tcPr>
          <w:p w14:paraId="0D44D20A" w14:textId="23B13465" w:rsidR="007F185A"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guarantee access to information on the impact of food choices on health, the environment, and economy</w:t>
            </w:r>
          </w:p>
        </w:tc>
        <w:tc>
          <w:tcPr>
            <w:tcW w:w="3281" w:type="dxa"/>
            <w:tcBorders>
              <w:top w:val="single" w:sz="4" w:space="0" w:color="auto"/>
              <w:bottom w:val="single" w:sz="4" w:space="0" w:color="auto"/>
            </w:tcBorders>
          </w:tcPr>
          <w:p w14:paraId="548532DC" w14:textId="5FFE2C7A" w:rsidR="007F185A" w:rsidRPr="00B26A7A" w:rsidRDefault="007F185A"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Food literacy; supportive food environment; food fraud; trust among actors, communicating knowledge</w:t>
            </w:r>
          </w:p>
        </w:tc>
      </w:tr>
      <w:tr w:rsidR="007F185A" w:rsidRPr="00B26A7A" w14:paraId="3D9492D4" w14:textId="3CA64751" w:rsidTr="00B26A7A">
        <w:trPr>
          <w:trHeight w:val="170"/>
        </w:trPr>
        <w:tc>
          <w:tcPr>
            <w:tcW w:w="979" w:type="dxa"/>
            <w:vMerge/>
            <w:vAlign w:val="center"/>
          </w:tcPr>
          <w:p w14:paraId="569F41BF" w14:textId="6AFE6448" w:rsidR="007F185A"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p>
        </w:tc>
        <w:tc>
          <w:tcPr>
            <w:tcW w:w="1683" w:type="dxa"/>
            <w:tcBorders>
              <w:top w:val="single" w:sz="4" w:space="0" w:color="auto"/>
              <w:bottom w:val="single" w:sz="4" w:space="0" w:color="auto"/>
            </w:tcBorders>
            <w:noWrap/>
            <w:vAlign w:val="center"/>
            <w:hideMark/>
          </w:tcPr>
          <w:p w14:paraId="0F2946FA" w14:textId="24079CA5" w:rsidR="007F185A"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Food Sovereignty</w:t>
            </w:r>
          </w:p>
        </w:tc>
        <w:tc>
          <w:tcPr>
            <w:tcW w:w="3073" w:type="dxa"/>
            <w:tcBorders>
              <w:top w:val="single" w:sz="4" w:space="0" w:color="auto"/>
              <w:bottom w:val="single" w:sz="4" w:space="0" w:color="auto"/>
            </w:tcBorders>
          </w:tcPr>
          <w:p w14:paraId="75D54AB3" w14:textId="6D3E9778" w:rsidR="007F185A"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guarantee the right of the peoples to healthy and culturally appropriate food produced through ecologically sound and sustainable methods, and their right to define their own food and agriculture systems</w:t>
            </w:r>
          </w:p>
        </w:tc>
        <w:tc>
          <w:tcPr>
            <w:tcW w:w="3281" w:type="dxa"/>
            <w:tcBorders>
              <w:top w:val="single" w:sz="4" w:space="0" w:color="auto"/>
              <w:bottom w:val="single" w:sz="4" w:space="0" w:color="auto"/>
            </w:tcBorders>
            <w:vAlign w:val="center"/>
          </w:tcPr>
          <w:p w14:paraId="4A27C46E" w14:textId="0A7F37C9" w:rsidR="007F185A" w:rsidRPr="00B26A7A" w:rsidRDefault="007F185A" w:rsidP="002158C9">
            <w:pPr>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Food sovereignty</w:t>
            </w:r>
          </w:p>
        </w:tc>
      </w:tr>
      <w:tr w:rsidR="006B5C27" w:rsidRPr="00B26A7A" w14:paraId="0E900A88" w14:textId="0195172F" w:rsidTr="00B26A7A">
        <w:trPr>
          <w:trHeight w:val="170"/>
        </w:trPr>
        <w:tc>
          <w:tcPr>
            <w:tcW w:w="979" w:type="dxa"/>
            <w:tcBorders>
              <w:bottom w:val="single" w:sz="4" w:space="0" w:color="auto"/>
            </w:tcBorders>
            <w:vAlign w:val="center"/>
          </w:tcPr>
          <w:p w14:paraId="08B06DCC" w14:textId="34FD2A99"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hAnsi="Times New Roman" w:cs="Times New Roman"/>
                <w:color w:val="000000"/>
                <w:sz w:val="16"/>
                <w:szCs w:val="16"/>
              </w:rPr>
              <w:t>Increase</w:t>
            </w:r>
          </w:p>
        </w:tc>
        <w:tc>
          <w:tcPr>
            <w:tcW w:w="1683" w:type="dxa"/>
            <w:tcBorders>
              <w:top w:val="single" w:sz="4" w:space="0" w:color="auto"/>
              <w:bottom w:val="single" w:sz="4" w:space="0" w:color="auto"/>
            </w:tcBorders>
            <w:noWrap/>
            <w:vAlign w:val="center"/>
            <w:hideMark/>
          </w:tcPr>
          <w:p w14:paraId="07D196BA" w14:textId="08E9B424" w:rsidR="0070756D" w:rsidRPr="00B26A7A" w:rsidRDefault="0070756D"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Resilience</w:t>
            </w:r>
          </w:p>
        </w:tc>
        <w:tc>
          <w:tcPr>
            <w:tcW w:w="3073" w:type="dxa"/>
            <w:tcBorders>
              <w:top w:val="single" w:sz="4" w:space="0" w:color="auto"/>
              <w:bottom w:val="single" w:sz="4" w:space="0" w:color="auto"/>
            </w:tcBorders>
            <w:vAlign w:val="center"/>
          </w:tcPr>
          <w:p w14:paraId="11D642C1" w14:textId="49735C93" w:rsidR="0070756D" w:rsidRPr="00B26A7A" w:rsidRDefault="007F185A" w:rsidP="002158C9">
            <w:pPr>
              <w:spacing w:after="0" w:line="240" w:lineRule="auto"/>
              <w:jc w:val="center"/>
              <w:rPr>
                <w:rFonts w:ascii="Times New Roman" w:eastAsia="Times New Roman" w:hAnsi="Times New Roman" w:cs="Times New Roman"/>
                <w:color w:val="000000"/>
                <w:sz w:val="16"/>
                <w:szCs w:val="16"/>
                <w:lang w:eastAsia="en-GB"/>
              </w:rPr>
            </w:pPr>
            <w:r w:rsidRPr="00B26A7A">
              <w:rPr>
                <w:rFonts w:ascii="Times New Roman" w:eastAsia="Times New Roman" w:hAnsi="Times New Roman" w:cs="Times New Roman"/>
                <w:color w:val="000000"/>
                <w:sz w:val="16"/>
                <w:szCs w:val="16"/>
                <w:lang w:eastAsia="en-GB"/>
              </w:rPr>
              <w:t>SFS should increase its capacity over time</w:t>
            </w:r>
            <w:r w:rsidR="00B26A7A" w:rsidRPr="00B26A7A">
              <w:rPr>
                <w:rFonts w:ascii="Times New Roman" w:eastAsia="Times New Roman" w:hAnsi="Times New Roman" w:cs="Times New Roman"/>
                <w:color w:val="000000"/>
                <w:sz w:val="16"/>
                <w:szCs w:val="16"/>
                <w:lang w:eastAsia="en-GB"/>
              </w:rPr>
              <w:t xml:space="preserve"> to provide sufficient, </w:t>
            </w:r>
            <w:r w:rsidRPr="00B26A7A">
              <w:rPr>
                <w:rFonts w:ascii="Times New Roman" w:eastAsia="Times New Roman" w:hAnsi="Times New Roman" w:cs="Times New Roman"/>
                <w:color w:val="000000"/>
                <w:sz w:val="16"/>
                <w:szCs w:val="16"/>
                <w:lang w:eastAsia="en-GB"/>
              </w:rPr>
              <w:t>appropriate a</w:t>
            </w:r>
            <w:r w:rsidR="00B26A7A" w:rsidRPr="00B26A7A">
              <w:rPr>
                <w:rFonts w:ascii="Times New Roman" w:eastAsia="Times New Roman" w:hAnsi="Times New Roman" w:cs="Times New Roman"/>
                <w:color w:val="000000"/>
                <w:sz w:val="16"/>
                <w:szCs w:val="16"/>
                <w:lang w:eastAsia="en-GB"/>
              </w:rPr>
              <w:t xml:space="preserve">nd </w:t>
            </w:r>
            <w:r w:rsidRPr="00B26A7A">
              <w:rPr>
                <w:rFonts w:ascii="Times New Roman" w:eastAsia="Times New Roman" w:hAnsi="Times New Roman" w:cs="Times New Roman"/>
                <w:color w:val="000000"/>
                <w:sz w:val="16"/>
                <w:szCs w:val="16"/>
                <w:lang w:eastAsia="en-GB"/>
              </w:rPr>
              <w:t>accessible food</w:t>
            </w:r>
            <w:r w:rsidR="00B26A7A" w:rsidRPr="00B26A7A">
              <w:rPr>
                <w:rFonts w:ascii="Times New Roman" w:eastAsia="Times New Roman" w:hAnsi="Times New Roman" w:cs="Times New Roman"/>
                <w:color w:val="000000"/>
                <w:sz w:val="16"/>
                <w:szCs w:val="16"/>
                <w:lang w:eastAsia="en-GB"/>
              </w:rPr>
              <w:t xml:space="preserve"> to all, in the face of various </w:t>
            </w:r>
            <w:r w:rsidRPr="00B26A7A">
              <w:rPr>
                <w:rFonts w:ascii="Times New Roman" w:eastAsia="Times New Roman" w:hAnsi="Times New Roman" w:cs="Times New Roman"/>
                <w:color w:val="000000"/>
                <w:sz w:val="16"/>
                <w:szCs w:val="16"/>
                <w:lang w:eastAsia="en-GB"/>
              </w:rPr>
              <w:t>and even unforeseen disturbances</w:t>
            </w:r>
            <w:r w:rsidR="00ED3846">
              <w:rPr>
                <w:rFonts w:ascii="Times New Roman" w:eastAsia="Times New Roman" w:hAnsi="Times New Roman" w:cs="Times New Roman"/>
                <w:color w:val="000000"/>
                <w:sz w:val="16"/>
                <w:szCs w:val="16"/>
                <w:lang w:eastAsia="en-GB"/>
              </w:rPr>
              <w:t xml:space="preserve"> </w:t>
            </w:r>
            <w:r w:rsidR="009B6410">
              <w:rPr>
                <w:rFonts w:ascii="Times New Roman" w:eastAsia="Times New Roman" w:hAnsi="Times New Roman" w:cs="Times New Roman"/>
                <w:color w:val="000000"/>
                <w:sz w:val="16"/>
                <w:szCs w:val="16"/>
                <w:lang w:eastAsia="en-GB"/>
              </w:rPr>
              <w:fldChar w:fldCharType="begin" w:fldLock="1"/>
            </w:r>
            <w:r w:rsidR="009B6410">
              <w:rPr>
                <w:rFonts w:ascii="Times New Roman" w:eastAsia="Times New Roman" w:hAnsi="Times New Roman" w:cs="Times New Roman"/>
                <w:color w:val="000000"/>
                <w:sz w:val="16"/>
                <w:szCs w:val="16"/>
                <w:lang w:eastAsia="en-GB"/>
              </w:rPr>
              <w:instrText>ADDIN CSL_CITATION {"citationItems":[{"id":"ITEM-1","itemData":{"DOI":"10.1016/j.gfs.2015.08.001","ISSN":"22119124","abstract":"In a world of growing complexity and uncertainty, the security of food supplies is threatened by many factors. These include multiple processes of global change (e.g. climate change, rapid urbanization, population ageing), unexpected shocks (e.g. natural disasters, finazncial and political crises), and unexpected responses of food systems themselves to these processes and events. In this paper, we develop a conceptual framework for food system resilience, and consider how this could be implemented through stakeholder participation to ensure food security for everyone. Resilience is conceptualized from a holistic perspective, as encompassing the complexity of whole food systems, including social, economic and biophysical processes operating at many scales. It presents the opportunity to eradicate weaknesses and build capacities in the food system while dealing with future uncertainty.","author":[{"dropping-particle":"","family":"Tendall","given":"D. M.","non-dropping-particle":"","parse-names":false,"suffix":""},{"dropping-particle":"","family":"Joerin","given":"J.","non-dropping-particle":"","parse-names":false,"suffix":""},{"dropping-particle":"","family":"Kopainsky","given":"B.","non-dropping-particle":"","parse-names":false,"suffix":""},{"dropping-particle":"","family":"Edwards","given":"P.","non-dropping-particle":"","parse-names":false,"suffix":""},{"dropping-particle":"","family":"Shreck","given":"A.","non-dropping-particle":"","parse-names":false,"suffix":""},{"dropping-particle":"","family":"Le","given":"Q. B.","non-dropping-particle":"","parse-names":false,"suffix":""},{"dropping-particle":"","family":"Kruetli","given":"P.","non-dropping-particle":"","parse-names":false,"suffix":""},{"dropping-particle":"","family":"Grant","given":"M.","non-dropping-particle":"","parse-names":false,"suffix":""},{"dropping-particle":"","family":"Six","given":"J.","non-dropping-particle":"","parse-names":false,"suffix":""}],"container-title":"Global Food Security","id":"ITEM-1","issued":{"date-parts":[["2015"]]},"title":"Food system resilience: Defining the concept","type":"article"},"uris":["http://www.mendeley.com/documents/?uuid=3469aba7-35c3-4abe-b405-ad4472232c0e"]}],"mendeley":{"formattedCitation":"(Tendall et al., 2015)","plainTextFormattedCitation":"(Tendall et al., 2015)","previouslyFormattedCitation":"(Tendall et al., 2015)"},"properties":{"noteIndex":0},"schema":"https://github.com/citation-style-language/schema/raw/master/csl-citation.json"}</w:instrText>
            </w:r>
            <w:r w:rsidR="009B6410">
              <w:rPr>
                <w:rFonts w:ascii="Times New Roman" w:eastAsia="Times New Roman" w:hAnsi="Times New Roman" w:cs="Times New Roman"/>
                <w:color w:val="000000"/>
                <w:sz w:val="16"/>
                <w:szCs w:val="16"/>
                <w:lang w:eastAsia="en-GB"/>
              </w:rPr>
              <w:fldChar w:fldCharType="separate"/>
            </w:r>
            <w:r w:rsidR="009B6410" w:rsidRPr="009B6410">
              <w:rPr>
                <w:rFonts w:ascii="Times New Roman" w:eastAsia="Times New Roman" w:hAnsi="Times New Roman" w:cs="Times New Roman"/>
                <w:noProof/>
                <w:color w:val="000000"/>
                <w:sz w:val="16"/>
                <w:szCs w:val="16"/>
                <w:lang w:eastAsia="en-GB"/>
              </w:rPr>
              <w:t>(Tendall et al., 2015)</w:t>
            </w:r>
            <w:r w:rsidR="009B6410">
              <w:rPr>
                <w:rFonts w:ascii="Times New Roman" w:eastAsia="Times New Roman" w:hAnsi="Times New Roman" w:cs="Times New Roman"/>
                <w:color w:val="000000"/>
                <w:sz w:val="16"/>
                <w:szCs w:val="16"/>
                <w:lang w:eastAsia="en-GB"/>
              </w:rPr>
              <w:fldChar w:fldCharType="end"/>
            </w:r>
          </w:p>
        </w:tc>
        <w:tc>
          <w:tcPr>
            <w:tcW w:w="3281" w:type="dxa"/>
            <w:tcBorders>
              <w:top w:val="single" w:sz="4" w:space="0" w:color="auto"/>
              <w:bottom w:val="single" w:sz="4" w:space="0" w:color="auto"/>
            </w:tcBorders>
            <w:vAlign w:val="center"/>
          </w:tcPr>
          <w:p w14:paraId="231E8F76" w14:textId="6F580719" w:rsidR="0070756D" w:rsidRPr="00B26A7A" w:rsidRDefault="00B26A7A" w:rsidP="002158C9">
            <w:pPr>
              <w:keepNext/>
              <w:spacing w:after="0" w:line="240" w:lineRule="auto"/>
              <w:jc w:val="center"/>
              <w:rPr>
                <w:rFonts w:ascii="Times New Roman" w:eastAsia="Times New Roman" w:hAnsi="Times New Roman" w:cs="Times New Roman"/>
                <w:i/>
                <w:color w:val="000000"/>
                <w:sz w:val="16"/>
                <w:szCs w:val="16"/>
                <w:lang w:eastAsia="en-GB"/>
              </w:rPr>
            </w:pPr>
            <w:r w:rsidRPr="00B26A7A">
              <w:rPr>
                <w:rFonts w:ascii="Times New Roman" w:hAnsi="Times New Roman" w:cs="Times New Roman"/>
                <w:i/>
                <w:sz w:val="16"/>
                <w:szCs w:val="16"/>
              </w:rPr>
              <w:t>Not</w:t>
            </w:r>
            <w:r w:rsidR="0070756D" w:rsidRPr="00B26A7A">
              <w:rPr>
                <w:rFonts w:ascii="Times New Roman" w:hAnsi="Times New Roman" w:cs="Times New Roman"/>
                <w:i/>
                <w:sz w:val="16"/>
                <w:szCs w:val="16"/>
              </w:rPr>
              <w:t xml:space="preserve"> vulnerab</w:t>
            </w:r>
            <w:r w:rsidRPr="00B26A7A">
              <w:rPr>
                <w:rFonts w:ascii="Times New Roman" w:hAnsi="Times New Roman" w:cs="Times New Roman"/>
                <w:i/>
                <w:sz w:val="16"/>
                <w:szCs w:val="16"/>
              </w:rPr>
              <w:t>le to natural disasters;</w:t>
            </w:r>
            <w:r w:rsidR="0070756D" w:rsidRPr="00B26A7A">
              <w:rPr>
                <w:rFonts w:ascii="Times New Roman" w:hAnsi="Times New Roman" w:cs="Times New Roman"/>
                <w:i/>
                <w:sz w:val="16"/>
                <w:szCs w:val="16"/>
              </w:rPr>
              <w:t xml:space="preserve"> foo</w:t>
            </w:r>
            <w:r w:rsidRPr="00B26A7A">
              <w:rPr>
                <w:rFonts w:ascii="Times New Roman" w:hAnsi="Times New Roman" w:cs="Times New Roman"/>
                <w:i/>
                <w:sz w:val="16"/>
                <w:szCs w:val="16"/>
              </w:rPr>
              <w:t xml:space="preserve">d scares and food prices hikes; </w:t>
            </w:r>
            <w:r w:rsidR="0070756D" w:rsidRPr="00B26A7A">
              <w:rPr>
                <w:rFonts w:ascii="Times New Roman" w:hAnsi="Times New Roman" w:cs="Times New Roman"/>
                <w:i/>
                <w:sz w:val="16"/>
                <w:szCs w:val="16"/>
              </w:rPr>
              <w:t>resilience on external inputs (fert</w:t>
            </w:r>
            <w:r w:rsidRPr="00B26A7A">
              <w:rPr>
                <w:rFonts w:ascii="Times New Roman" w:hAnsi="Times New Roman" w:cs="Times New Roman"/>
                <w:i/>
                <w:sz w:val="16"/>
                <w:szCs w:val="16"/>
              </w:rPr>
              <w:t>il</w:t>
            </w:r>
            <w:r w:rsidR="00ED3846">
              <w:rPr>
                <w:rFonts w:ascii="Times New Roman" w:hAnsi="Times New Roman" w:cs="Times New Roman"/>
                <w:i/>
                <w:sz w:val="16"/>
                <w:szCs w:val="16"/>
              </w:rPr>
              <w:t>is</w:t>
            </w:r>
            <w:r w:rsidRPr="00B26A7A">
              <w:rPr>
                <w:rFonts w:ascii="Times New Roman" w:hAnsi="Times New Roman" w:cs="Times New Roman"/>
                <w:i/>
                <w:sz w:val="16"/>
                <w:szCs w:val="16"/>
              </w:rPr>
              <w:t>ers, energy, feedstock)</w:t>
            </w:r>
            <w:r w:rsidR="0070756D" w:rsidRPr="00B26A7A">
              <w:rPr>
                <w:rFonts w:ascii="Times New Roman" w:hAnsi="Times New Roman" w:cs="Times New Roman"/>
                <w:i/>
                <w:sz w:val="16"/>
                <w:szCs w:val="16"/>
              </w:rPr>
              <w:t>;</w:t>
            </w:r>
            <w:r w:rsidRPr="00B26A7A">
              <w:rPr>
                <w:rFonts w:ascii="Times New Roman" w:hAnsi="Times New Roman" w:cs="Times New Roman"/>
                <w:i/>
                <w:sz w:val="16"/>
                <w:szCs w:val="16"/>
              </w:rPr>
              <w:t xml:space="preserve"> </w:t>
            </w:r>
            <w:r w:rsidR="0070756D" w:rsidRPr="00B26A7A">
              <w:rPr>
                <w:rFonts w:ascii="Times New Roman" w:hAnsi="Times New Roman" w:cs="Times New Roman"/>
                <w:i/>
                <w:sz w:val="16"/>
                <w:szCs w:val="16"/>
              </w:rPr>
              <w:t>resilient to shocks (economic, climate disasters); Resilience</w:t>
            </w:r>
            <w:r w:rsidRPr="00B26A7A">
              <w:rPr>
                <w:rFonts w:ascii="Times New Roman" w:hAnsi="Times New Roman" w:cs="Times New Roman"/>
                <w:i/>
                <w:sz w:val="16"/>
                <w:szCs w:val="16"/>
              </w:rPr>
              <w:t xml:space="preserve"> to long-term (decrea</w:t>
            </w:r>
            <w:r w:rsidR="0070756D" w:rsidRPr="00B26A7A">
              <w:rPr>
                <w:rFonts w:ascii="Times New Roman" w:hAnsi="Times New Roman" w:cs="Times New Roman"/>
                <w:i/>
                <w:sz w:val="16"/>
                <w:szCs w:val="16"/>
              </w:rPr>
              <w:t>se of productivity due to climate change) and short-term (droughts and floods, food supply disruption, price peaks, resilient to exogenous</w:t>
            </w:r>
            <w:r w:rsidRPr="00B26A7A">
              <w:rPr>
                <w:rFonts w:ascii="Times New Roman" w:hAnsi="Times New Roman" w:cs="Times New Roman"/>
                <w:i/>
                <w:sz w:val="16"/>
                <w:szCs w:val="16"/>
              </w:rPr>
              <w:t xml:space="preserve"> shocks, stabil</w:t>
            </w:r>
            <w:r w:rsidR="00ED3846">
              <w:rPr>
                <w:rFonts w:ascii="Times New Roman" w:hAnsi="Times New Roman" w:cs="Times New Roman"/>
                <w:i/>
                <w:sz w:val="16"/>
                <w:szCs w:val="16"/>
              </w:rPr>
              <w:t>is</w:t>
            </w:r>
            <w:r w:rsidRPr="00B26A7A">
              <w:rPr>
                <w:rFonts w:ascii="Times New Roman" w:hAnsi="Times New Roman" w:cs="Times New Roman"/>
                <w:i/>
                <w:sz w:val="16"/>
                <w:szCs w:val="16"/>
              </w:rPr>
              <w:t>e productivity</w:t>
            </w:r>
            <w:r w:rsidR="00ED3846" w:rsidRPr="00B26A7A">
              <w:rPr>
                <w:rFonts w:ascii="Times New Roman" w:hAnsi="Times New Roman" w:cs="Times New Roman"/>
                <w:i/>
                <w:sz w:val="16"/>
                <w:szCs w:val="16"/>
              </w:rPr>
              <w:t>); resilient</w:t>
            </w:r>
            <w:r w:rsidR="0070756D" w:rsidRPr="00B26A7A">
              <w:rPr>
                <w:rFonts w:ascii="Times New Roman" w:hAnsi="Times New Roman" w:cs="Times New Roman"/>
                <w:i/>
                <w:sz w:val="16"/>
                <w:szCs w:val="16"/>
              </w:rPr>
              <w:t xml:space="preserve"> food systems</w:t>
            </w:r>
          </w:p>
        </w:tc>
      </w:tr>
    </w:tbl>
    <w:p w14:paraId="40A57B87" w14:textId="1104B3F7" w:rsidR="00092586" w:rsidRPr="00311827" w:rsidRDefault="00311827" w:rsidP="00311827">
      <w:pPr>
        <w:spacing w:line="240" w:lineRule="auto"/>
        <w:jc w:val="center"/>
        <w:rPr>
          <w:rFonts w:ascii="Times New Roman" w:eastAsia="Palatino Linotype" w:hAnsi="Times New Roman" w:cs="Times New Roman"/>
          <w:i/>
          <w:iCs/>
          <w:color w:val="000000" w:themeColor="text1"/>
          <w:sz w:val="16"/>
          <w:szCs w:val="16"/>
        </w:rPr>
      </w:pPr>
      <w:r w:rsidRPr="00311827">
        <w:rPr>
          <w:rFonts w:ascii="Times New Roman" w:eastAsia="Palatino Linotype" w:hAnsi="Times New Roman" w:cs="Times New Roman"/>
          <w:color w:val="000000" w:themeColor="text1"/>
          <w:sz w:val="16"/>
          <w:szCs w:val="16"/>
        </w:rPr>
        <w:t xml:space="preserve">Source: </w:t>
      </w:r>
      <w:r w:rsidRPr="00311827">
        <w:rPr>
          <w:rFonts w:ascii="Times New Roman" w:eastAsia="Palatino Linotype" w:hAnsi="Times New Roman" w:cs="Times New Roman"/>
          <w:i/>
          <w:iCs/>
          <w:color w:val="000000" w:themeColor="text1"/>
          <w:sz w:val="16"/>
          <w:szCs w:val="16"/>
        </w:rPr>
        <w:t>Authors own elaboration</w:t>
      </w:r>
    </w:p>
    <w:p w14:paraId="2780BAF8" w14:textId="77777777" w:rsidR="00092586" w:rsidRPr="008C1952" w:rsidRDefault="00092586" w:rsidP="69EC8F09">
      <w:pPr>
        <w:spacing w:line="240" w:lineRule="auto"/>
        <w:rPr>
          <w:rFonts w:ascii="Times New Roman" w:eastAsia="Palatino Linotype" w:hAnsi="Times New Roman" w:cs="Times New Roman"/>
          <w:color w:val="000000" w:themeColor="text1"/>
          <w:sz w:val="16"/>
          <w:szCs w:val="16"/>
        </w:rPr>
      </w:pPr>
    </w:p>
    <w:p w14:paraId="69AFFE93" w14:textId="3D6047E8" w:rsidR="00791D05" w:rsidRPr="00F60EFC" w:rsidRDefault="00791D05" w:rsidP="00791D05">
      <w:pPr>
        <w:pStyle w:val="Titolo1"/>
        <w:rPr>
          <w:rFonts w:ascii="Times New Roman" w:eastAsia="Times New Roman" w:hAnsi="Times New Roman" w:cs="Times New Roman"/>
          <w:b/>
          <w:bCs/>
          <w:color w:val="auto"/>
          <w:sz w:val="22"/>
          <w:szCs w:val="22"/>
        </w:rPr>
      </w:pPr>
      <w:bookmarkStart w:id="23" w:name="_Toc161844664"/>
      <w:r w:rsidRPr="3BD12E74">
        <w:rPr>
          <w:rFonts w:ascii="Times New Roman" w:eastAsia="Times New Roman" w:hAnsi="Times New Roman" w:cs="Times New Roman"/>
          <w:b/>
          <w:bCs/>
          <w:color w:val="auto"/>
          <w:sz w:val="22"/>
          <w:szCs w:val="22"/>
        </w:rPr>
        <w:t>Section 4.</w:t>
      </w:r>
      <w:r>
        <w:t xml:space="preserve"> </w:t>
      </w:r>
      <w:r w:rsidRPr="3BD12E74">
        <w:rPr>
          <w:rFonts w:ascii="Times New Roman" w:eastAsia="Times New Roman" w:hAnsi="Times New Roman" w:cs="Times New Roman"/>
          <w:b/>
          <w:bCs/>
          <w:color w:val="auto"/>
          <w:sz w:val="22"/>
          <w:szCs w:val="22"/>
        </w:rPr>
        <w:t xml:space="preserve">Leveraging a sustainable food system transformation to advance the </w:t>
      </w:r>
      <w:r w:rsidR="00ED3846">
        <w:rPr>
          <w:rFonts w:ascii="Times New Roman" w:eastAsia="Times New Roman" w:hAnsi="Times New Roman" w:cs="Times New Roman"/>
          <w:b/>
          <w:bCs/>
          <w:color w:val="auto"/>
          <w:sz w:val="22"/>
          <w:szCs w:val="22"/>
        </w:rPr>
        <w:t>SDG</w:t>
      </w:r>
      <w:bookmarkEnd w:id="23"/>
      <w:r w:rsidRPr="3BD12E74">
        <w:rPr>
          <w:rFonts w:ascii="Times New Roman" w:eastAsia="Times New Roman" w:hAnsi="Times New Roman" w:cs="Times New Roman"/>
          <w:b/>
          <w:bCs/>
          <w:color w:val="auto"/>
          <w:sz w:val="22"/>
          <w:szCs w:val="22"/>
        </w:rPr>
        <w:t xml:space="preserve">  </w:t>
      </w:r>
    </w:p>
    <w:p w14:paraId="1FC644B1" w14:textId="1738C9E1" w:rsidR="00791D05" w:rsidRPr="00F60EFC" w:rsidRDefault="00791D05" w:rsidP="00791D05">
      <w:pPr>
        <w:pStyle w:val="Didascalia"/>
        <w:keepNext/>
        <w:rPr>
          <w:rFonts w:ascii="Times New Roman" w:hAnsi="Times New Roman" w:cs="Times New Roman"/>
          <w:i w:val="0"/>
          <w:color w:val="000000" w:themeColor="text1"/>
        </w:rPr>
      </w:pPr>
      <w:bookmarkStart w:id="24" w:name="_Toc166589551"/>
      <w:r w:rsidRPr="00F60EFC">
        <w:rPr>
          <w:rFonts w:ascii="Times New Roman" w:hAnsi="Times New Roman" w:cs="Times New Roman"/>
          <w:b/>
          <w:i w:val="0"/>
          <w:color w:val="000000" w:themeColor="text1"/>
        </w:rPr>
        <w:t xml:space="preserve">Supplementary Table </w:t>
      </w:r>
      <w:r w:rsidRPr="00F60EFC">
        <w:rPr>
          <w:rFonts w:ascii="Times New Roman" w:hAnsi="Times New Roman" w:cs="Times New Roman"/>
          <w:b/>
          <w:i w:val="0"/>
          <w:color w:val="000000" w:themeColor="text1"/>
        </w:rPr>
        <w:fldChar w:fldCharType="begin"/>
      </w:r>
      <w:r w:rsidRPr="00F60EFC">
        <w:rPr>
          <w:rFonts w:ascii="Times New Roman" w:hAnsi="Times New Roman" w:cs="Times New Roman"/>
          <w:b/>
          <w:i w:val="0"/>
          <w:color w:val="000000" w:themeColor="text1"/>
        </w:rPr>
        <w:instrText xml:space="preserve"> SEQ Supplementary_Table \* ALPHABETIC </w:instrText>
      </w:r>
      <w:r w:rsidRPr="00F60EFC">
        <w:rPr>
          <w:rFonts w:ascii="Times New Roman" w:hAnsi="Times New Roman" w:cs="Times New Roman"/>
          <w:b/>
          <w:i w:val="0"/>
          <w:color w:val="000000" w:themeColor="text1"/>
        </w:rPr>
        <w:fldChar w:fldCharType="separate"/>
      </w:r>
      <w:r w:rsidRPr="00F60EFC">
        <w:rPr>
          <w:rFonts w:ascii="Times New Roman" w:hAnsi="Times New Roman" w:cs="Times New Roman"/>
          <w:b/>
          <w:i w:val="0"/>
          <w:noProof/>
          <w:color w:val="000000" w:themeColor="text1"/>
        </w:rPr>
        <w:t>L</w:t>
      </w:r>
      <w:r w:rsidRPr="00F60EFC">
        <w:rPr>
          <w:rFonts w:ascii="Times New Roman" w:hAnsi="Times New Roman" w:cs="Times New Roman"/>
          <w:b/>
          <w:i w:val="0"/>
          <w:color w:val="000000" w:themeColor="text1"/>
        </w:rPr>
        <w:fldChar w:fldCharType="end"/>
      </w:r>
      <w:r w:rsidRPr="00F60EFC">
        <w:rPr>
          <w:rFonts w:ascii="Times New Roman" w:hAnsi="Times New Roman" w:cs="Times New Roman"/>
          <w:i w:val="0"/>
          <w:color w:val="000000" w:themeColor="text1"/>
        </w:rPr>
        <w:t>. Qualitative a</w:t>
      </w:r>
      <w:r>
        <w:rPr>
          <w:rFonts w:ascii="Times New Roman" w:hAnsi="Times New Roman" w:cs="Times New Roman"/>
          <w:i w:val="0"/>
          <w:color w:val="000000" w:themeColor="text1"/>
        </w:rPr>
        <w:t>ssociation of s</w:t>
      </w:r>
      <w:r w:rsidRPr="00F60EFC">
        <w:rPr>
          <w:rFonts w:ascii="Times New Roman" w:hAnsi="Times New Roman" w:cs="Times New Roman"/>
          <w:i w:val="0"/>
          <w:color w:val="000000" w:themeColor="text1"/>
        </w:rPr>
        <w:t xml:space="preserve">ustainability objectives with </w:t>
      </w:r>
      <w:r w:rsidR="00ED3846">
        <w:rPr>
          <w:rFonts w:ascii="Times New Roman" w:hAnsi="Times New Roman" w:cs="Times New Roman"/>
          <w:i w:val="0"/>
          <w:color w:val="000000" w:themeColor="text1"/>
        </w:rPr>
        <w:t>SDG</w:t>
      </w:r>
      <w:r w:rsidRPr="00F60EFC">
        <w:rPr>
          <w:rFonts w:ascii="Times New Roman" w:hAnsi="Times New Roman" w:cs="Times New Roman"/>
          <w:i w:val="0"/>
          <w:color w:val="000000" w:themeColor="text1"/>
        </w:rPr>
        <w:t xml:space="preserve"> goals and targets</w:t>
      </w:r>
      <w:bookmarkEnd w:id="24"/>
    </w:p>
    <w:tbl>
      <w:tblPr>
        <w:tblW w:w="0" w:type="auto"/>
        <w:jc w:val="center"/>
        <w:tblCellMar>
          <w:top w:w="15" w:type="dxa"/>
          <w:bottom w:w="15" w:type="dxa"/>
        </w:tblCellMar>
        <w:tblLook w:val="04A0" w:firstRow="1" w:lastRow="0" w:firstColumn="1" w:lastColumn="0" w:noHBand="0" w:noVBand="1"/>
      </w:tblPr>
      <w:tblGrid>
        <w:gridCol w:w="1109"/>
        <w:gridCol w:w="1301"/>
        <w:gridCol w:w="1548"/>
        <w:gridCol w:w="2802"/>
        <w:gridCol w:w="780"/>
        <w:gridCol w:w="1486"/>
      </w:tblGrid>
      <w:tr w:rsidR="00791D05" w:rsidRPr="00F60EFC" w14:paraId="04203A02" w14:textId="77777777" w:rsidTr="00791D05">
        <w:trPr>
          <w:trHeight w:val="300"/>
          <w:jc w:val="center"/>
        </w:trPr>
        <w:tc>
          <w:tcPr>
            <w:tcW w:w="1109" w:type="dxa"/>
            <w:tcBorders>
              <w:top w:val="single" w:sz="4" w:space="0" w:color="auto"/>
              <w:bottom w:val="single" w:sz="4" w:space="0" w:color="auto"/>
            </w:tcBorders>
            <w:shd w:val="clear" w:color="auto" w:fill="auto"/>
            <w:noWrap/>
            <w:vAlign w:val="center"/>
            <w:hideMark/>
          </w:tcPr>
          <w:p w14:paraId="1445F460" w14:textId="77777777" w:rsidR="00791D05" w:rsidRPr="00F60EFC" w:rsidRDefault="00791D05" w:rsidP="00791D05">
            <w:pPr>
              <w:spacing w:after="0"/>
              <w:jc w:val="center"/>
              <w:rPr>
                <w:rFonts w:ascii="Times New Roman" w:eastAsia="Times New Roman" w:hAnsi="Times New Roman" w:cs="Times New Roman"/>
                <w:b/>
                <w:bCs/>
                <w:color w:val="000000" w:themeColor="text1"/>
                <w:sz w:val="16"/>
                <w:szCs w:val="16"/>
                <w:lang w:eastAsia="en-GB"/>
              </w:rPr>
            </w:pPr>
            <w:r w:rsidRPr="00F60EFC">
              <w:rPr>
                <w:rFonts w:ascii="Times New Roman" w:eastAsia="Times New Roman" w:hAnsi="Times New Roman" w:cs="Times New Roman"/>
                <w:b/>
                <w:bCs/>
                <w:color w:val="000000" w:themeColor="text1"/>
                <w:sz w:val="16"/>
                <w:szCs w:val="16"/>
                <w:lang w:eastAsia="en-GB"/>
              </w:rPr>
              <w:t>Dimension</w:t>
            </w:r>
          </w:p>
        </w:tc>
        <w:tc>
          <w:tcPr>
            <w:tcW w:w="1301" w:type="dxa"/>
            <w:tcBorders>
              <w:top w:val="single" w:sz="4" w:space="0" w:color="auto"/>
              <w:bottom w:val="single" w:sz="4" w:space="0" w:color="auto"/>
            </w:tcBorders>
            <w:shd w:val="clear" w:color="auto" w:fill="auto"/>
            <w:noWrap/>
            <w:vAlign w:val="center"/>
            <w:hideMark/>
          </w:tcPr>
          <w:p w14:paraId="5ABCB195" w14:textId="77777777" w:rsidR="00791D05" w:rsidRPr="00F60EFC" w:rsidRDefault="00791D05" w:rsidP="00791D05">
            <w:pPr>
              <w:spacing w:after="0" w:line="240" w:lineRule="auto"/>
              <w:jc w:val="center"/>
              <w:rPr>
                <w:rFonts w:ascii="Times New Roman" w:eastAsia="Times New Roman" w:hAnsi="Times New Roman" w:cs="Times New Roman"/>
                <w:b/>
                <w:bCs/>
                <w:color w:val="000000" w:themeColor="text1"/>
                <w:sz w:val="16"/>
                <w:szCs w:val="16"/>
                <w:lang w:eastAsia="en-GB"/>
              </w:rPr>
            </w:pPr>
            <w:r w:rsidRPr="00F60EFC">
              <w:rPr>
                <w:rFonts w:ascii="Times New Roman" w:eastAsia="Times New Roman" w:hAnsi="Times New Roman" w:cs="Times New Roman"/>
                <w:b/>
                <w:bCs/>
                <w:color w:val="000000" w:themeColor="text1"/>
                <w:sz w:val="16"/>
                <w:szCs w:val="16"/>
                <w:lang w:eastAsia="en-GB"/>
              </w:rPr>
              <w:t>Sub-dimension</w:t>
            </w:r>
          </w:p>
        </w:tc>
        <w:tc>
          <w:tcPr>
            <w:tcW w:w="4350" w:type="dxa"/>
            <w:gridSpan w:val="2"/>
            <w:tcBorders>
              <w:top w:val="single" w:sz="4" w:space="0" w:color="auto"/>
              <w:bottom w:val="single" w:sz="4" w:space="0" w:color="auto"/>
            </w:tcBorders>
            <w:shd w:val="clear" w:color="auto" w:fill="auto"/>
            <w:noWrap/>
            <w:vAlign w:val="center"/>
            <w:hideMark/>
          </w:tcPr>
          <w:p w14:paraId="13F58F80" w14:textId="77777777" w:rsidR="00791D05" w:rsidRPr="00F60EFC" w:rsidRDefault="00791D05" w:rsidP="00791D05">
            <w:pPr>
              <w:spacing w:after="0" w:line="240" w:lineRule="auto"/>
              <w:jc w:val="center"/>
              <w:rPr>
                <w:rFonts w:ascii="Times New Roman" w:eastAsia="Times New Roman" w:hAnsi="Times New Roman" w:cs="Times New Roman"/>
                <w:b/>
                <w:bCs/>
                <w:color w:val="000000" w:themeColor="text1"/>
                <w:sz w:val="16"/>
                <w:szCs w:val="16"/>
                <w:lang w:eastAsia="en-GB"/>
              </w:rPr>
            </w:pPr>
            <w:r w:rsidRPr="00F60EFC">
              <w:rPr>
                <w:rFonts w:ascii="Times New Roman" w:eastAsia="Times New Roman" w:hAnsi="Times New Roman" w:cs="Times New Roman"/>
                <w:b/>
                <w:bCs/>
                <w:color w:val="000000" w:themeColor="text1"/>
                <w:sz w:val="16"/>
                <w:szCs w:val="16"/>
                <w:lang w:eastAsia="en-GB"/>
              </w:rPr>
              <w:t>Sustainability Objective</w:t>
            </w:r>
          </w:p>
        </w:tc>
        <w:tc>
          <w:tcPr>
            <w:tcW w:w="780" w:type="dxa"/>
            <w:tcBorders>
              <w:top w:val="single" w:sz="4" w:space="0" w:color="auto"/>
              <w:bottom w:val="single" w:sz="4" w:space="0" w:color="auto"/>
            </w:tcBorders>
            <w:shd w:val="clear" w:color="auto" w:fill="auto"/>
            <w:noWrap/>
            <w:vAlign w:val="center"/>
            <w:hideMark/>
          </w:tcPr>
          <w:p w14:paraId="4E8EEA54" w14:textId="77777777" w:rsidR="00791D05" w:rsidRPr="00F60EFC" w:rsidRDefault="00791D05" w:rsidP="00791D05">
            <w:pPr>
              <w:spacing w:after="0" w:line="240" w:lineRule="auto"/>
              <w:jc w:val="center"/>
              <w:rPr>
                <w:rFonts w:ascii="Times New Roman" w:eastAsia="Times New Roman" w:hAnsi="Times New Roman" w:cs="Times New Roman"/>
                <w:b/>
                <w:bCs/>
                <w:color w:val="000000" w:themeColor="text1"/>
                <w:sz w:val="16"/>
                <w:szCs w:val="16"/>
                <w:lang w:eastAsia="en-GB"/>
              </w:rPr>
            </w:pPr>
            <w:r w:rsidRPr="00F60EFC">
              <w:rPr>
                <w:rFonts w:ascii="Times New Roman" w:eastAsia="Times New Roman" w:hAnsi="Times New Roman" w:cs="Times New Roman"/>
                <w:b/>
                <w:bCs/>
                <w:color w:val="000000" w:themeColor="text1"/>
                <w:sz w:val="16"/>
                <w:szCs w:val="16"/>
                <w:lang w:eastAsia="en-GB"/>
              </w:rPr>
              <w:t>SDG</w:t>
            </w:r>
            <w:r>
              <w:rPr>
                <w:rFonts w:ascii="Times New Roman" w:eastAsia="Times New Roman" w:hAnsi="Times New Roman" w:cs="Times New Roman"/>
                <w:b/>
                <w:bCs/>
                <w:color w:val="000000" w:themeColor="text1"/>
                <w:sz w:val="16"/>
                <w:szCs w:val="16"/>
                <w:lang w:eastAsia="en-GB"/>
              </w:rPr>
              <w:t xml:space="preserve"> Goals</w:t>
            </w:r>
          </w:p>
        </w:tc>
        <w:tc>
          <w:tcPr>
            <w:tcW w:w="1486" w:type="dxa"/>
            <w:tcBorders>
              <w:top w:val="single" w:sz="4" w:space="0" w:color="auto"/>
              <w:bottom w:val="single" w:sz="4" w:space="0" w:color="auto"/>
            </w:tcBorders>
            <w:shd w:val="clear" w:color="auto" w:fill="auto"/>
            <w:noWrap/>
            <w:vAlign w:val="center"/>
            <w:hideMark/>
          </w:tcPr>
          <w:p w14:paraId="5BC087A2" w14:textId="77777777" w:rsidR="00791D05" w:rsidRPr="00F60EFC" w:rsidRDefault="00791D05" w:rsidP="00791D05">
            <w:pPr>
              <w:spacing w:after="0" w:line="240" w:lineRule="auto"/>
              <w:jc w:val="center"/>
              <w:rPr>
                <w:rFonts w:ascii="Times New Roman" w:eastAsia="Times New Roman" w:hAnsi="Times New Roman" w:cs="Times New Roman"/>
                <w:b/>
                <w:bCs/>
                <w:color w:val="000000" w:themeColor="text1"/>
                <w:sz w:val="16"/>
                <w:szCs w:val="16"/>
                <w:lang w:eastAsia="en-GB"/>
              </w:rPr>
            </w:pPr>
            <w:r w:rsidRPr="00F60EFC">
              <w:rPr>
                <w:rFonts w:ascii="Times New Roman" w:eastAsia="Times New Roman" w:hAnsi="Times New Roman" w:cs="Times New Roman"/>
                <w:b/>
                <w:bCs/>
                <w:color w:val="000000" w:themeColor="text1"/>
                <w:sz w:val="16"/>
                <w:szCs w:val="16"/>
                <w:lang w:eastAsia="en-GB"/>
              </w:rPr>
              <w:t>SDG Target</w:t>
            </w:r>
            <w:r>
              <w:rPr>
                <w:rFonts w:ascii="Times New Roman" w:eastAsia="Times New Roman" w:hAnsi="Times New Roman" w:cs="Times New Roman"/>
                <w:b/>
                <w:bCs/>
                <w:color w:val="000000" w:themeColor="text1"/>
                <w:sz w:val="16"/>
                <w:szCs w:val="16"/>
                <w:lang w:eastAsia="en-GB"/>
              </w:rPr>
              <w:t>s</w:t>
            </w:r>
          </w:p>
        </w:tc>
      </w:tr>
      <w:tr w:rsidR="00791D05" w:rsidRPr="00F60EFC" w14:paraId="5041663D" w14:textId="77777777" w:rsidTr="00791D05">
        <w:trPr>
          <w:trHeight w:val="300"/>
          <w:jc w:val="center"/>
        </w:trPr>
        <w:tc>
          <w:tcPr>
            <w:tcW w:w="1109" w:type="dxa"/>
            <w:vMerge w:val="restart"/>
            <w:tcBorders>
              <w:top w:val="single" w:sz="4" w:space="0" w:color="auto"/>
            </w:tcBorders>
            <w:shd w:val="clear" w:color="auto" w:fill="auto"/>
            <w:textDirection w:val="btLr"/>
            <w:vAlign w:val="center"/>
            <w:hideMark/>
          </w:tcPr>
          <w:p w14:paraId="635DFE45"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Environmental</w:t>
            </w:r>
          </w:p>
        </w:tc>
        <w:tc>
          <w:tcPr>
            <w:tcW w:w="1301" w:type="dxa"/>
            <w:vMerge w:val="restart"/>
            <w:tcBorders>
              <w:top w:val="single" w:sz="4" w:space="0" w:color="auto"/>
            </w:tcBorders>
            <w:shd w:val="clear" w:color="auto" w:fill="auto"/>
            <w:vAlign w:val="center"/>
            <w:hideMark/>
          </w:tcPr>
          <w:p w14:paraId="27F088F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Management of Natural Resources</w:t>
            </w:r>
          </w:p>
        </w:tc>
        <w:tc>
          <w:tcPr>
            <w:tcW w:w="1548" w:type="dxa"/>
            <w:tcBorders>
              <w:top w:val="single" w:sz="4" w:space="0" w:color="auto"/>
              <w:bottom w:val="single" w:sz="4" w:space="0" w:color="auto"/>
            </w:tcBorders>
            <w:shd w:val="clear" w:color="auto" w:fill="auto"/>
            <w:noWrap/>
            <w:vAlign w:val="center"/>
            <w:hideMark/>
          </w:tcPr>
          <w:p w14:paraId="51C334C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Mitigate and Adapt to</w:t>
            </w:r>
          </w:p>
        </w:tc>
        <w:tc>
          <w:tcPr>
            <w:tcW w:w="2802" w:type="dxa"/>
            <w:tcBorders>
              <w:top w:val="single" w:sz="4" w:space="0" w:color="auto"/>
              <w:bottom w:val="single" w:sz="4" w:space="0" w:color="auto"/>
            </w:tcBorders>
            <w:shd w:val="clear" w:color="auto" w:fill="auto"/>
            <w:noWrap/>
            <w:vAlign w:val="center"/>
            <w:hideMark/>
          </w:tcPr>
          <w:p w14:paraId="48CCE0AE"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Climate Change</w:t>
            </w:r>
          </w:p>
        </w:tc>
        <w:tc>
          <w:tcPr>
            <w:tcW w:w="780" w:type="dxa"/>
            <w:tcBorders>
              <w:top w:val="single" w:sz="4" w:space="0" w:color="auto"/>
              <w:bottom w:val="single" w:sz="4" w:space="0" w:color="auto"/>
            </w:tcBorders>
            <w:shd w:val="clear" w:color="auto" w:fill="auto"/>
            <w:noWrap/>
            <w:vAlign w:val="center"/>
            <w:hideMark/>
          </w:tcPr>
          <w:p w14:paraId="76D44EF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2, 7, 13</w:t>
            </w:r>
          </w:p>
        </w:tc>
        <w:tc>
          <w:tcPr>
            <w:tcW w:w="1486" w:type="dxa"/>
            <w:tcBorders>
              <w:top w:val="single" w:sz="4" w:space="0" w:color="auto"/>
              <w:bottom w:val="single" w:sz="4" w:space="0" w:color="auto"/>
            </w:tcBorders>
            <w:shd w:val="clear" w:color="auto" w:fill="auto"/>
            <w:noWrap/>
            <w:vAlign w:val="center"/>
            <w:hideMark/>
          </w:tcPr>
          <w:p w14:paraId="49E77A08"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 xml:space="preserve">2.4, 7.2, 7.3, 13.1, 13.2, 13.3, 13.a, 13.b, </w:t>
            </w:r>
          </w:p>
        </w:tc>
      </w:tr>
      <w:tr w:rsidR="00791D05" w:rsidRPr="00F60EFC" w14:paraId="6ACA47C0" w14:textId="77777777" w:rsidTr="00791D05">
        <w:trPr>
          <w:trHeight w:val="300"/>
          <w:jc w:val="center"/>
        </w:trPr>
        <w:tc>
          <w:tcPr>
            <w:tcW w:w="1109" w:type="dxa"/>
            <w:vMerge/>
            <w:textDirection w:val="btLr"/>
            <w:vAlign w:val="center"/>
            <w:hideMark/>
          </w:tcPr>
          <w:p w14:paraId="77FC0A1F"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1B1D50E8"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restart"/>
            <w:tcBorders>
              <w:top w:val="single" w:sz="4" w:space="0" w:color="auto"/>
            </w:tcBorders>
            <w:shd w:val="clear" w:color="auto" w:fill="auto"/>
            <w:vAlign w:val="center"/>
            <w:hideMark/>
          </w:tcPr>
          <w:p w14:paraId="4EB5A1AE"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Protect and restore</w:t>
            </w:r>
          </w:p>
        </w:tc>
        <w:tc>
          <w:tcPr>
            <w:tcW w:w="2802" w:type="dxa"/>
            <w:tcBorders>
              <w:top w:val="single" w:sz="4" w:space="0" w:color="auto"/>
              <w:bottom w:val="single" w:sz="4" w:space="0" w:color="auto"/>
            </w:tcBorders>
            <w:shd w:val="clear" w:color="auto" w:fill="auto"/>
            <w:noWrap/>
            <w:vAlign w:val="center"/>
            <w:hideMark/>
          </w:tcPr>
          <w:p w14:paraId="2908826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27C1AFFF">
              <w:rPr>
                <w:rFonts w:ascii="Times New Roman" w:eastAsia="Times New Roman" w:hAnsi="Times New Roman" w:cs="Times New Roman"/>
                <w:color w:val="000000" w:themeColor="text1"/>
                <w:sz w:val="16"/>
                <w:szCs w:val="16"/>
                <w:lang w:eastAsia="en-GB"/>
              </w:rPr>
              <w:t>Natural Resources Quality (air, water, soil)</w:t>
            </w:r>
          </w:p>
        </w:tc>
        <w:tc>
          <w:tcPr>
            <w:tcW w:w="780" w:type="dxa"/>
            <w:tcBorders>
              <w:top w:val="single" w:sz="4" w:space="0" w:color="auto"/>
              <w:bottom w:val="single" w:sz="4" w:space="0" w:color="auto"/>
            </w:tcBorders>
            <w:shd w:val="clear" w:color="auto" w:fill="auto"/>
            <w:noWrap/>
            <w:vAlign w:val="center"/>
            <w:hideMark/>
          </w:tcPr>
          <w:p w14:paraId="467F7C5D"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6, 14, 15</w:t>
            </w:r>
          </w:p>
        </w:tc>
        <w:tc>
          <w:tcPr>
            <w:tcW w:w="1486" w:type="dxa"/>
            <w:tcBorders>
              <w:top w:val="single" w:sz="4" w:space="0" w:color="auto"/>
              <w:bottom w:val="single" w:sz="4" w:space="0" w:color="auto"/>
            </w:tcBorders>
            <w:shd w:val="clear" w:color="auto" w:fill="auto"/>
            <w:noWrap/>
            <w:vAlign w:val="center"/>
            <w:hideMark/>
          </w:tcPr>
          <w:p w14:paraId="23D2D88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2.4, 6.3, 15.3</w:t>
            </w:r>
          </w:p>
        </w:tc>
      </w:tr>
      <w:tr w:rsidR="00791D05" w:rsidRPr="00F60EFC" w14:paraId="3B49F789" w14:textId="77777777" w:rsidTr="00791D05">
        <w:trPr>
          <w:trHeight w:val="300"/>
          <w:jc w:val="center"/>
        </w:trPr>
        <w:tc>
          <w:tcPr>
            <w:tcW w:w="1109" w:type="dxa"/>
            <w:vMerge/>
            <w:textDirection w:val="btLr"/>
            <w:vAlign w:val="center"/>
            <w:hideMark/>
          </w:tcPr>
          <w:p w14:paraId="6D2F893B"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53B09FA2"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39E8E5C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36C44B5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Natural Resources Use (water, land)</w:t>
            </w:r>
          </w:p>
        </w:tc>
        <w:tc>
          <w:tcPr>
            <w:tcW w:w="780" w:type="dxa"/>
            <w:tcBorders>
              <w:top w:val="single" w:sz="4" w:space="0" w:color="auto"/>
              <w:bottom w:val="single" w:sz="4" w:space="0" w:color="auto"/>
            </w:tcBorders>
            <w:shd w:val="clear" w:color="auto" w:fill="auto"/>
            <w:noWrap/>
            <w:vAlign w:val="center"/>
            <w:hideMark/>
          </w:tcPr>
          <w:p w14:paraId="238B94C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2, 6, 8, 12, 14, 15</w:t>
            </w:r>
          </w:p>
        </w:tc>
        <w:tc>
          <w:tcPr>
            <w:tcW w:w="1486" w:type="dxa"/>
            <w:tcBorders>
              <w:top w:val="single" w:sz="4" w:space="0" w:color="auto"/>
              <w:bottom w:val="single" w:sz="4" w:space="0" w:color="auto"/>
            </w:tcBorders>
            <w:shd w:val="clear" w:color="auto" w:fill="auto"/>
            <w:noWrap/>
            <w:vAlign w:val="center"/>
            <w:hideMark/>
          </w:tcPr>
          <w:p w14:paraId="3CD7BBB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2.4, 6.4, 6.5, 8.4, 12.2, 14.1, 14.4, 15.2</w:t>
            </w:r>
          </w:p>
        </w:tc>
      </w:tr>
      <w:tr w:rsidR="00791D05" w:rsidRPr="00F60EFC" w14:paraId="181CB3D2" w14:textId="77777777" w:rsidTr="00791D05">
        <w:trPr>
          <w:trHeight w:val="300"/>
          <w:jc w:val="center"/>
        </w:trPr>
        <w:tc>
          <w:tcPr>
            <w:tcW w:w="1109" w:type="dxa"/>
            <w:vMerge/>
            <w:textDirection w:val="btLr"/>
            <w:vAlign w:val="center"/>
            <w:hideMark/>
          </w:tcPr>
          <w:p w14:paraId="1FAA0D40"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59CB18DB"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5F8563C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1B51711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Biodiversity State</w:t>
            </w:r>
          </w:p>
        </w:tc>
        <w:tc>
          <w:tcPr>
            <w:tcW w:w="780" w:type="dxa"/>
            <w:tcBorders>
              <w:top w:val="single" w:sz="4" w:space="0" w:color="auto"/>
              <w:bottom w:val="single" w:sz="4" w:space="0" w:color="auto"/>
            </w:tcBorders>
            <w:shd w:val="clear" w:color="auto" w:fill="auto"/>
            <w:noWrap/>
            <w:vAlign w:val="center"/>
            <w:hideMark/>
          </w:tcPr>
          <w:p w14:paraId="1E6BF76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14, 15</w:t>
            </w:r>
          </w:p>
        </w:tc>
        <w:tc>
          <w:tcPr>
            <w:tcW w:w="1486" w:type="dxa"/>
            <w:tcBorders>
              <w:top w:val="single" w:sz="4" w:space="0" w:color="auto"/>
              <w:bottom w:val="single" w:sz="4" w:space="0" w:color="auto"/>
            </w:tcBorders>
            <w:shd w:val="clear" w:color="auto" w:fill="auto"/>
            <w:noWrap/>
            <w:vAlign w:val="center"/>
            <w:hideMark/>
          </w:tcPr>
          <w:p w14:paraId="2EFF6D9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15.4, 15.5, 15.9, 15.a</w:t>
            </w:r>
          </w:p>
        </w:tc>
      </w:tr>
      <w:tr w:rsidR="00791D05" w:rsidRPr="00F60EFC" w14:paraId="6F2F198C" w14:textId="77777777" w:rsidTr="00791D05">
        <w:trPr>
          <w:trHeight w:val="300"/>
          <w:jc w:val="center"/>
        </w:trPr>
        <w:tc>
          <w:tcPr>
            <w:tcW w:w="1109" w:type="dxa"/>
            <w:vMerge/>
            <w:textDirection w:val="btLr"/>
            <w:vAlign w:val="center"/>
            <w:hideMark/>
          </w:tcPr>
          <w:p w14:paraId="202B30F8"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34025DFB"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59DC2F63"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6F12D48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Ecosystems Extent and Condition</w:t>
            </w:r>
          </w:p>
        </w:tc>
        <w:tc>
          <w:tcPr>
            <w:tcW w:w="780" w:type="dxa"/>
            <w:tcBorders>
              <w:top w:val="single" w:sz="4" w:space="0" w:color="auto"/>
              <w:bottom w:val="single" w:sz="4" w:space="0" w:color="auto"/>
            </w:tcBorders>
            <w:shd w:val="clear" w:color="auto" w:fill="auto"/>
            <w:noWrap/>
            <w:vAlign w:val="center"/>
            <w:hideMark/>
          </w:tcPr>
          <w:p w14:paraId="40716BD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2, 6, 14, 15</w:t>
            </w:r>
          </w:p>
        </w:tc>
        <w:tc>
          <w:tcPr>
            <w:tcW w:w="1486" w:type="dxa"/>
            <w:tcBorders>
              <w:top w:val="single" w:sz="4" w:space="0" w:color="auto"/>
              <w:bottom w:val="single" w:sz="4" w:space="0" w:color="auto"/>
            </w:tcBorders>
            <w:shd w:val="clear" w:color="auto" w:fill="auto"/>
            <w:noWrap/>
            <w:vAlign w:val="center"/>
            <w:hideMark/>
          </w:tcPr>
          <w:p w14:paraId="5A439EC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2.4, 6.6, 14.2, 15.1, 15.4, 15.9</w:t>
            </w:r>
          </w:p>
        </w:tc>
      </w:tr>
      <w:tr w:rsidR="00791D05" w:rsidRPr="00F60EFC" w14:paraId="587C21DB" w14:textId="77777777" w:rsidTr="00791D05">
        <w:trPr>
          <w:trHeight w:val="300"/>
          <w:jc w:val="center"/>
        </w:trPr>
        <w:tc>
          <w:tcPr>
            <w:tcW w:w="1109" w:type="dxa"/>
            <w:vMerge/>
            <w:textDirection w:val="btLr"/>
            <w:vAlign w:val="center"/>
            <w:hideMark/>
          </w:tcPr>
          <w:p w14:paraId="7CF40737"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38C5D6D2"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18CF0A4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59CA5DB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Agricultural Landscape Diversity</w:t>
            </w:r>
          </w:p>
        </w:tc>
        <w:tc>
          <w:tcPr>
            <w:tcW w:w="780" w:type="dxa"/>
            <w:tcBorders>
              <w:top w:val="single" w:sz="4" w:space="0" w:color="auto"/>
              <w:bottom w:val="single" w:sz="4" w:space="0" w:color="auto"/>
            </w:tcBorders>
            <w:shd w:val="clear" w:color="auto" w:fill="auto"/>
            <w:noWrap/>
            <w:vAlign w:val="center"/>
            <w:hideMark/>
          </w:tcPr>
          <w:p w14:paraId="437B505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w:t>
            </w:r>
          </w:p>
        </w:tc>
        <w:tc>
          <w:tcPr>
            <w:tcW w:w="1486" w:type="dxa"/>
            <w:tcBorders>
              <w:top w:val="single" w:sz="4" w:space="0" w:color="auto"/>
              <w:bottom w:val="single" w:sz="4" w:space="0" w:color="auto"/>
            </w:tcBorders>
            <w:shd w:val="clear" w:color="auto" w:fill="auto"/>
            <w:noWrap/>
            <w:vAlign w:val="center"/>
            <w:hideMark/>
          </w:tcPr>
          <w:p w14:paraId="6CC4E46D"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2.5</w:t>
            </w:r>
          </w:p>
        </w:tc>
      </w:tr>
      <w:tr w:rsidR="00791D05" w:rsidRPr="00F60EFC" w14:paraId="4D8E0109" w14:textId="77777777" w:rsidTr="00791D05">
        <w:trPr>
          <w:trHeight w:val="300"/>
          <w:jc w:val="center"/>
        </w:trPr>
        <w:tc>
          <w:tcPr>
            <w:tcW w:w="1109" w:type="dxa"/>
            <w:vMerge/>
            <w:textDirection w:val="btLr"/>
            <w:vAlign w:val="center"/>
            <w:hideMark/>
          </w:tcPr>
          <w:p w14:paraId="2D2BBCEE"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restart"/>
            <w:tcBorders>
              <w:top w:val="single" w:sz="4" w:space="0" w:color="auto"/>
            </w:tcBorders>
            <w:shd w:val="clear" w:color="auto" w:fill="auto"/>
            <w:vAlign w:val="center"/>
            <w:hideMark/>
          </w:tcPr>
          <w:p w14:paraId="01FBBF4C" w14:textId="2373491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Food Supply Chain Optim</w:t>
            </w:r>
            <w:r w:rsidR="00ED3846">
              <w:rPr>
                <w:rFonts w:ascii="Times New Roman" w:eastAsia="Times New Roman" w:hAnsi="Times New Roman" w:cs="Times New Roman"/>
                <w:color w:val="000000"/>
                <w:sz w:val="16"/>
                <w:szCs w:val="16"/>
                <w:lang w:eastAsia="en-GB"/>
              </w:rPr>
              <w:t>is</w:t>
            </w:r>
            <w:r w:rsidRPr="00F60EFC">
              <w:rPr>
                <w:rFonts w:ascii="Times New Roman" w:eastAsia="Times New Roman" w:hAnsi="Times New Roman" w:cs="Times New Roman"/>
                <w:color w:val="000000"/>
                <w:sz w:val="16"/>
                <w:szCs w:val="16"/>
                <w:lang w:eastAsia="en-GB"/>
              </w:rPr>
              <w:t>ation</w:t>
            </w:r>
          </w:p>
        </w:tc>
        <w:tc>
          <w:tcPr>
            <w:tcW w:w="1548" w:type="dxa"/>
            <w:vMerge w:val="restart"/>
            <w:tcBorders>
              <w:top w:val="single" w:sz="4" w:space="0" w:color="auto"/>
            </w:tcBorders>
            <w:shd w:val="clear" w:color="auto" w:fill="auto"/>
            <w:vAlign w:val="center"/>
            <w:hideMark/>
          </w:tcPr>
          <w:p w14:paraId="31E66901"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Reduce</w:t>
            </w:r>
          </w:p>
        </w:tc>
        <w:tc>
          <w:tcPr>
            <w:tcW w:w="2802" w:type="dxa"/>
            <w:tcBorders>
              <w:top w:val="single" w:sz="4" w:space="0" w:color="auto"/>
              <w:bottom w:val="single" w:sz="4" w:space="0" w:color="auto"/>
            </w:tcBorders>
            <w:shd w:val="clear" w:color="auto" w:fill="auto"/>
            <w:noWrap/>
            <w:vAlign w:val="center"/>
            <w:hideMark/>
          </w:tcPr>
          <w:p w14:paraId="6F570D26" w14:textId="02E1BF34"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Pesticide, Fertil</w:t>
            </w:r>
            <w:r w:rsidR="00ED3846">
              <w:rPr>
                <w:rFonts w:ascii="Times New Roman" w:eastAsia="Times New Roman" w:hAnsi="Times New Roman" w:cs="Times New Roman"/>
                <w:color w:val="000000"/>
                <w:sz w:val="16"/>
                <w:szCs w:val="16"/>
                <w:lang w:eastAsia="en-GB"/>
              </w:rPr>
              <w:t>is</w:t>
            </w:r>
            <w:r w:rsidRPr="00F60EFC">
              <w:rPr>
                <w:rFonts w:ascii="Times New Roman" w:eastAsia="Times New Roman" w:hAnsi="Times New Roman" w:cs="Times New Roman"/>
                <w:color w:val="000000"/>
                <w:sz w:val="16"/>
                <w:szCs w:val="16"/>
                <w:lang w:eastAsia="en-GB"/>
              </w:rPr>
              <w:t xml:space="preserve">ers and </w:t>
            </w:r>
            <w:r w:rsidR="00ED3846" w:rsidRPr="00F60EFC">
              <w:rPr>
                <w:rFonts w:ascii="Times New Roman" w:eastAsia="Times New Roman" w:hAnsi="Times New Roman" w:cs="Times New Roman"/>
                <w:color w:val="000000"/>
                <w:sz w:val="16"/>
                <w:szCs w:val="16"/>
                <w:lang w:eastAsia="en-GB"/>
              </w:rPr>
              <w:t>Antimicrobial</w:t>
            </w:r>
            <w:r w:rsidRPr="00F60EFC">
              <w:rPr>
                <w:rFonts w:ascii="Times New Roman" w:eastAsia="Times New Roman" w:hAnsi="Times New Roman" w:cs="Times New Roman"/>
                <w:color w:val="000000"/>
                <w:sz w:val="16"/>
                <w:szCs w:val="16"/>
                <w:lang w:eastAsia="en-GB"/>
              </w:rPr>
              <w:t xml:space="preserve"> Use</w:t>
            </w:r>
          </w:p>
        </w:tc>
        <w:tc>
          <w:tcPr>
            <w:tcW w:w="780" w:type="dxa"/>
            <w:tcBorders>
              <w:top w:val="single" w:sz="4" w:space="0" w:color="auto"/>
              <w:bottom w:val="single" w:sz="4" w:space="0" w:color="auto"/>
            </w:tcBorders>
            <w:shd w:val="clear" w:color="auto" w:fill="auto"/>
            <w:noWrap/>
            <w:vAlign w:val="center"/>
            <w:hideMark/>
          </w:tcPr>
          <w:p w14:paraId="79A06E13"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2, 3, 12</w:t>
            </w:r>
          </w:p>
        </w:tc>
        <w:tc>
          <w:tcPr>
            <w:tcW w:w="1486" w:type="dxa"/>
            <w:tcBorders>
              <w:top w:val="single" w:sz="4" w:space="0" w:color="auto"/>
              <w:bottom w:val="single" w:sz="4" w:space="0" w:color="auto"/>
            </w:tcBorders>
            <w:shd w:val="clear" w:color="auto" w:fill="auto"/>
            <w:noWrap/>
            <w:vAlign w:val="center"/>
            <w:hideMark/>
          </w:tcPr>
          <w:p w14:paraId="1AABD81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2.4, 3.9, 12.4</w:t>
            </w:r>
          </w:p>
        </w:tc>
      </w:tr>
      <w:tr w:rsidR="00791D05" w:rsidRPr="00F60EFC" w14:paraId="26D53125" w14:textId="77777777" w:rsidTr="00791D05">
        <w:trPr>
          <w:trHeight w:val="300"/>
          <w:jc w:val="center"/>
        </w:trPr>
        <w:tc>
          <w:tcPr>
            <w:tcW w:w="1109" w:type="dxa"/>
            <w:vMerge/>
            <w:textDirection w:val="btLr"/>
            <w:vAlign w:val="center"/>
            <w:hideMark/>
          </w:tcPr>
          <w:p w14:paraId="5BCA9AD2"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06A2615B"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1E7D853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506CB924"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Food Losses and Waste</w:t>
            </w:r>
          </w:p>
        </w:tc>
        <w:tc>
          <w:tcPr>
            <w:tcW w:w="780" w:type="dxa"/>
            <w:tcBorders>
              <w:top w:val="single" w:sz="4" w:space="0" w:color="auto"/>
              <w:bottom w:val="single" w:sz="4" w:space="0" w:color="auto"/>
            </w:tcBorders>
            <w:shd w:val="clear" w:color="auto" w:fill="auto"/>
            <w:noWrap/>
            <w:vAlign w:val="center"/>
            <w:hideMark/>
          </w:tcPr>
          <w:p w14:paraId="76078752"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12</w:t>
            </w:r>
          </w:p>
        </w:tc>
        <w:tc>
          <w:tcPr>
            <w:tcW w:w="1486" w:type="dxa"/>
            <w:tcBorders>
              <w:top w:val="single" w:sz="4" w:space="0" w:color="auto"/>
              <w:bottom w:val="single" w:sz="4" w:space="0" w:color="auto"/>
            </w:tcBorders>
            <w:shd w:val="clear" w:color="auto" w:fill="auto"/>
            <w:noWrap/>
            <w:vAlign w:val="center"/>
            <w:hideMark/>
          </w:tcPr>
          <w:p w14:paraId="19DF4E8D"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12.3</w:t>
            </w:r>
          </w:p>
        </w:tc>
      </w:tr>
      <w:tr w:rsidR="00791D05" w:rsidRPr="00F60EFC" w14:paraId="0D5E027B" w14:textId="77777777" w:rsidTr="00791D05">
        <w:trPr>
          <w:trHeight w:val="300"/>
          <w:jc w:val="center"/>
        </w:trPr>
        <w:tc>
          <w:tcPr>
            <w:tcW w:w="1109" w:type="dxa"/>
            <w:vMerge/>
            <w:textDirection w:val="btLr"/>
            <w:vAlign w:val="center"/>
            <w:hideMark/>
          </w:tcPr>
          <w:p w14:paraId="5BCB1B93"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19EDCD04"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restart"/>
            <w:tcBorders>
              <w:top w:val="single" w:sz="4" w:space="0" w:color="auto"/>
              <w:bottom w:val="single" w:sz="4" w:space="0" w:color="auto"/>
            </w:tcBorders>
            <w:shd w:val="clear" w:color="auto" w:fill="auto"/>
            <w:noWrap/>
            <w:vAlign w:val="center"/>
            <w:hideMark/>
          </w:tcPr>
          <w:p w14:paraId="52DEDA8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Improve</w:t>
            </w:r>
          </w:p>
        </w:tc>
        <w:tc>
          <w:tcPr>
            <w:tcW w:w="2802" w:type="dxa"/>
            <w:tcBorders>
              <w:top w:val="single" w:sz="4" w:space="0" w:color="auto"/>
              <w:bottom w:val="single" w:sz="4" w:space="0" w:color="auto"/>
            </w:tcBorders>
            <w:shd w:val="clear" w:color="auto" w:fill="auto"/>
            <w:noWrap/>
            <w:vAlign w:val="center"/>
            <w:hideMark/>
          </w:tcPr>
          <w:p w14:paraId="4A728991"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Nutrients Circularity</w:t>
            </w:r>
          </w:p>
        </w:tc>
        <w:tc>
          <w:tcPr>
            <w:tcW w:w="780" w:type="dxa"/>
            <w:tcBorders>
              <w:top w:val="single" w:sz="4" w:space="0" w:color="auto"/>
              <w:bottom w:val="single" w:sz="4" w:space="0" w:color="auto"/>
            </w:tcBorders>
            <w:shd w:val="clear" w:color="auto" w:fill="auto"/>
            <w:noWrap/>
            <w:vAlign w:val="center"/>
            <w:hideMark/>
          </w:tcPr>
          <w:p w14:paraId="27146AAD"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12</w:t>
            </w:r>
          </w:p>
        </w:tc>
        <w:tc>
          <w:tcPr>
            <w:tcW w:w="1486" w:type="dxa"/>
            <w:tcBorders>
              <w:top w:val="single" w:sz="4" w:space="0" w:color="auto"/>
              <w:bottom w:val="single" w:sz="4" w:space="0" w:color="auto"/>
            </w:tcBorders>
            <w:shd w:val="clear" w:color="auto" w:fill="auto"/>
            <w:noWrap/>
            <w:vAlign w:val="center"/>
            <w:hideMark/>
          </w:tcPr>
          <w:p w14:paraId="554D3102"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12.2, 12.5</w:t>
            </w:r>
          </w:p>
        </w:tc>
      </w:tr>
      <w:tr w:rsidR="00791D05" w:rsidRPr="00F60EFC" w14:paraId="4ECAA333" w14:textId="77777777" w:rsidTr="00791D05">
        <w:trPr>
          <w:trHeight w:val="300"/>
          <w:jc w:val="center"/>
        </w:trPr>
        <w:tc>
          <w:tcPr>
            <w:tcW w:w="1109" w:type="dxa"/>
            <w:vMerge/>
            <w:textDirection w:val="btLr"/>
            <w:vAlign w:val="center"/>
            <w:hideMark/>
          </w:tcPr>
          <w:p w14:paraId="6A91D99C"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785626F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1C219DC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50AEE99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Waste Management</w:t>
            </w:r>
          </w:p>
        </w:tc>
        <w:tc>
          <w:tcPr>
            <w:tcW w:w="780" w:type="dxa"/>
            <w:tcBorders>
              <w:top w:val="single" w:sz="4" w:space="0" w:color="auto"/>
              <w:bottom w:val="single" w:sz="4" w:space="0" w:color="auto"/>
            </w:tcBorders>
            <w:shd w:val="clear" w:color="auto" w:fill="auto"/>
            <w:noWrap/>
            <w:vAlign w:val="center"/>
            <w:hideMark/>
          </w:tcPr>
          <w:p w14:paraId="6143D07E"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12</w:t>
            </w:r>
          </w:p>
        </w:tc>
        <w:tc>
          <w:tcPr>
            <w:tcW w:w="1486" w:type="dxa"/>
            <w:tcBorders>
              <w:top w:val="single" w:sz="4" w:space="0" w:color="auto"/>
              <w:bottom w:val="single" w:sz="4" w:space="0" w:color="auto"/>
            </w:tcBorders>
            <w:shd w:val="clear" w:color="auto" w:fill="auto"/>
            <w:noWrap/>
            <w:vAlign w:val="center"/>
            <w:hideMark/>
          </w:tcPr>
          <w:p w14:paraId="01A26A0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12.3, 12.5</w:t>
            </w:r>
          </w:p>
        </w:tc>
      </w:tr>
      <w:tr w:rsidR="00791D05" w:rsidRPr="00F60EFC" w14:paraId="19F038C5" w14:textId="77777777" w:rsidTr="00791D05">
        <w:trPr>
          <w:trHeight w:val="300"/>
          <w:jc w:val="center"/>
        </w:trPr>
        <w:tc>
          <w:tcPr>
            <w:tcW w:w="1109" w:type="dxa"/>
            <w:vMerge w:val="restart"/>
            <w:tcBorders>
              <w:top w:val="single" w:sz="4" w:space="0" w:color="auto"/>
            </w:tcBorders>
            <w:shd w:val="clear" w:color="auto" w:fill="auto"/>
            <w:textDirection w:val="btLr"/>
            <w:vAlign w:val="center"/>
            <w:hideMark/>
          </w:tcPr>
          <w:p w14:paraId="4EE3C3C1"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Economic</w:t>
            </w:r>
          </w:p>
        </w:tc>
        <w:tc>
          <w:tcPr>
            <w:tcW w:w="1301" w:type="dxa"/>
            <w:vMerge w:val="restart"/>
            <w:tcBorders>
              <w:top w:val="single" w:sz="4" w:space="0" w:color="auto"/>
            </w:tcBorders>
            <w:shd w:val="clear" w:color="auto" w:fill="auto"/>
            <w:noWrap/>
            <w:vAlign w:val="center"/>
            <w:hideMark/>
          </w:tcPr>
          <w:p w14:paraId="12D99B7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Distribution</w:t>
            </w:r>
          </w:p>
        </w:tc>
        <w:tc>
          <w:tcPr>
            <w:tcW w:w="1548" w:type="dxa"/>
            <w:vMerge w:val="restart"/>
            <w:tcBorders>
              <w:top w:val="single" w:sz="4" w:space="0" w:color="auto"/>
              <w:bottom w:val="single" w:sz="4" w:space="0" w:color="000000" w:themeColor="text1"/>
            </w:tcBorders>
            <w:shd w:val="clear" w:color="auto" w:fill="auto"/>
            <w:vAlign w:val="center"/>
            <w:hideMark/>
          </w:tcPr>
          <w:p w14:paraId="412D90E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Ensure fair and just</w:t>
            </w:r>
          </w:p>
        </w:tc>
        <w:tc>
          <w:tcPr>
            <w:tcW w:w="2802" w:type="dxa"/>
            <w:tcBorders>
              <w:top w:val="single" w:sz="4" w:space="0" w:color="auto"/>
              <w:bottom w:val="single" w:sz="4" w:space="0" w:color="auto"/>
            </w:tcBorders>
            <w:shd w:val="clear" w:color="auto" w:fill="auto"/>
            <w:noWrap/>
            <w:vAlign w:val="center"/>
            <w:hideMark/>
          </w:tcPr>
          <w:p w14:paraId="0C1CA6A4"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Income/Salary for food workers</w:t>
            </w:r>
          </w:p>
        </w:tc>
        <w:tc>
          <w:tcPr>
            <w:tcW w:w="780" w:type="dxa"/>
            <w:tcBorders>
              <w:top w:val="single" w:sz="4" w:space="0" w:color="auto"/>
              <w:bottom w:val="single" w:sz="4" w:space="0" w:color="auto"/>
            </w:tcBorders>
            <w:shd w:val="clear" w:color="auto" w:fill="auto"/>
            <w:noWrap/>
            <w:vAlign w:val="center"/>
            <w:hideMark/>
          </w:tcPr>
          <w:p w14:paraId="4231A85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2, 10</w:t>
            </w:r>
          </w:p>
        </w:tc>
        <w:tc>
          <w:tcPr>
            <w:tcW w:w="1486" w:type="dxa"/>
            <w:tcBorders>
              <w:top w:val="single" w:sz="4" w:space="0" w:color="auto"/>
              <w:bottom w:val="single" w:sz="4" w:space="0" w:color="auto"/>
            </w:tcBorders>
            <w:shd w:val="clear" w:color="auto" w:fill="auto"/>
            <w:noWrap/>
            <w:vAlign w:val="center"/>
            <w:hideMark/>
          </w:tcPr>
          <w:p w14:paraId="0612CA8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2.3, 10.1</w:t>
            </w:r>
          </w:p>
        </w:tc>
      </w:tr>
      <w:tr w:rsidR="00791D05" w:rsidRPr="00F60EFC" w14:paraId="4096B2B1" w14:textId="77777777" w:rsidTr="00791D05">
        <w:trPr>
          <w:trHeight w:val="300"/>
          <w:jc w:val="center"/>
        </w:trPr>
        <w:tc>
          <w:tcPr>
            <w:tcW w:w="1109" w:type="dxa"/>
            <w:vMerge/>
            <w:textDirection w:val="btLr"/>
            <w:vAlign w:val="center"/>
            <w:hideMark/>
          </w:tcPr>
          <w:p w14:paraId="2FBE98FC"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3DFFD6F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1AE665E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13E0DE5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Power relationship</w:t>
            </w:r>
          </w:p>
        </w:tc>
        <w:tc>
          <w:tcPr>
            <w:tcW w:w="780" w:type="dxa"/>
            <w:tcBorders>
              <w:top w:val="single" w:sz="4" w:space="0" w:color="auto"/>
              <w:bottom w:val="single" w:sz="4" w:space="0" w:color="auto"/>
            </w:tcBorders>
            <w:shd w:val="clear" w:color="auto" w:fill="auto"/>
            <w:noWrap/>
            <w:vAlign w:val="center"/>
            <w:hideMark/>
          </w:tcPr>
          <w:p w14:paraId="34BD52CB"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D69630D">
              <w:rPr>
                <w:rFonts w:ascii="Times New Roman" w:eastAsia="Times New Roman" w:hAnsi="Times New Roman" w:cs="Times New Roman"/>
                <w:color w:val="000000" w:themeColor="text1"/>
                <w:sz w:val="16"/>
                <w:szCs w:val="16"/>
                <w:lang w:eastAsia="en-GB"/>
              </w:rPr>
              <w:t>2, 9, 15</w:t>
            </w:r>
          </w:p>
        </w:tc>
        <w:tc>
          <w:tcPr>
            <w:tcW w:w="1486" w:type="dxa"/>
            <w:tcBorders>
              <w:top w:val="single" w:sz="4" w:space="0" w:color="auto"/>
              <w:bottom w:val="single" w:sz="4" w:space="0" w:color="auto"/>
            </w:tcBorders>
            <w:shd w:val="clear" w:color="auto" w:fill="auto"/>
            <w:noWrap/>
            <w:vAlign w:val="center"/>
            <w:hideMark/>
          </w:tcPr>
          <w:p w14:paraId="5E1E044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D69630D">
              <w:rPr>
                <w:rFonts w:ascii="Times New Roman" w:eastAsia="Times New Roman" w:hAnsi="Times New Roman" w:cs="Times New Roman"/>
                <w:color w:val="000000" w:themeColor="text1"/>
                <w:sz w:val="16"/>
                <w:szCs w:val="16"/>
                <w:lang w:eastAsia="en-GB"/>
              </w:rPr>
              <w:t>2.5, 9.3, 15.6</w:t>
            </w:r>
          </w:p>
        </w:tc>
      </w:tr>
      <w:tr w:rsidR="00791D05" w:rsidRPr="00F60EFC" w14:paraId="39146DA8" w14:textId="77777777" w:rsidTr="00791D05">
        <w:trPr>
          <w:trHeight w:val="300"/>
          <w:jc w:val="center"/>
        </w:trPr>
        <w:tc>
          <w:tcPr>
            <w:tcW w:w="1109" w:type="dxa"/>
            <w:vMerge/>
            <w:textDirection w:val="btLr"/>
            <w:vAlign w:val="center"/>
            <w:hideMark/>
          </w:tcPr>
          <w:p w14:paraId="70521228"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restart"/>
            <w:tcBorders>
              <w:top w:val="single" w:sz="4" w:space="0" w:color="auto"/>
            </w:tcBorders>
            <w:shd w:val="clear" w:color="auto" w:fill="auto"/>
            <w:noWrap/>
            <w:vAlign w:val="center"/>
            <w:hideMark/>
          </w:tcPr>
          <w:p w14:paraId="178F6AE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Development</w:t>
            </w:r>
          </w:p>
        </w:tc>
        <w:tc>
          <w:tcPr>
            <w:tcW w:w="1548" w:type="dxa"/>
            <w:vMerge/>
            <w:vAlign w:val="center"/>
            <w:hideMark/>
          </w:tcPr>
          <w:p w14:paraId="74055983"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0C47F3E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Trade</w:t>
            </w:r>
          </w:p>
        </w:tc>
        <w:tc>
          <w:tcPr>
            <w:tcW w:w="780" w:type="dxa"/>
            <w:tcBorders>
              <w:top w:val="single" w:sz="4" w:space="0" w:color="auto"/>
              <w:bottom w:val="single" w:sz="4" w:space="0" w:color="auto"/>
            </w:tcBorders>
            <w:shd w:val="clear" w:color="auto" w:fill="auto"/>
            <w:noWrap/>
            <w:vAlign w:val="center"/>
            <w:hideMark/>
          </w:tcPr>
          <w:p w14:paraId="3F63807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2, 17</w:t>
            </w:r>
          </w:p>
        </w:tc>
        <w:tc>
          <w:tcPr>
            <w:tcW w:w="1486" w:type="dxa"/>
            <w:tcBorders>
              <w:top w:val="single" w:sz="4" w:space="0" w:color="auto"/>
              <w:bottom w:val="single" w:sz="4" w:space="0" w:color="auto"/>
            </w:tcBorders>
            <w:shd w:val="clear" w:color="auto" w:fill="auto"/>
            <w:noWrap/>
            <w:vAlign w:val="center"/>
            <w:hideMark/>
          </w:tcPr>
          <w:p w14:paraId="67440F8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2.b, 2.c, 17.10</w:t>
            </w:r>
          </w:p>
        </w:tc>
      </w:tr>
      <w:tr w:rsidR="00791D05" w:rsidRPr="00F60EFC" w14:paraId="621FA5DB" w14:textId="77777777" w:rsidTr="00791D05">
        <w:trPr>
          <w:trHeight w:val="300"/>
          <w:jc w:val="center"/>
        </w:trPr>
        <w:tc>
          <w:tcPr>
            <w:tcW w:w="1109" w:type="dxa"/>
            <w:vMerge/>
            <w:textDirection w:val="btLr"/>
            <w:vAlign w:val="center"/>
            <w:hideMark/>
          </w:tcPr>
          <w:p w14:paraId="5FBFA809"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569E519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tcBorders>
              <w:top w:val="single" w:sz="4" w:space="0" w:color="000000" w:themeColor="text1"/>
              <w:bottom w:val="single" w:sz="4" w:space="0" w:color="auto"/>
            </w:tcBorders>
            <w:shd w:val="clear" w:color="auto" w:fill="auto"/>
            <w:vAlign w:val="center"/>
            <w:hideMark/>
          </w:tcPr>
          <w:p w14:paraId="12ACCC0D"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Boost</w:t>
            </w:r>
          </w:p>
        </w:tc>
        <w:tc>
          <w:tcPr>
            <w:tcW w:w="2802" w:type="dxa"/>
            <w:tcBorders>
              <w:top w:val="single" w:sz="4" w:space="0" w:color="auto"/>
              <w:bottom w:val="single" w:sz="4" w:space="0" w:color="auto"/>
            </w:tcBorders>
            <w:shd w:val="clear" w:color="auto" w:fill="auto"/>
            <w:noWrap/>
            <w:vAlign w:val="center"/>
            <w:hideMark/>
          </w:tcPr>
          <w:p w14:paraId="0A1CB91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Local Economy</w:t>
            </w:r>
          </w:p>
        </w:tc>
        <w:tc>
          <w:tcPr>
            <w:tcW w:w="780" w:type="dxa"/>
            <w:tcBorders>
              <w:top w:val="single" w:sz="4" w:space="0" w:color="auto"/>
              <w:bottom w:val="single" w:sz="4" w:space="0" w:color="auto"/>
            </w:tcBorders>
            <w:shd w:val="clear" w:color="auto" w:fill="auto"/>
            <w:noWrap/>
            <w:vAlign w:val="center"/>
            <w:hideMark/>
          </w:tcPr>
          <w:p w14:paraId="0AF43FFB"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8</w:t>
            </w:r>
          </w:p>
        </w:tc>
        <w:tc>
          <w:tcPr>
            <w:tcW w:w="1486" w:type="dxa"/>
            <w:tcBorders>
              <w:top w:val="single" w:sz="4" w:space="0" w:color="auto"/>
              <w:bottom w:val="single" w:sz="4" w:space="0" w:color="auto"/>
            </w:tcBorders>
            <w:shd w:val="clear" w:color="auto" w:fill="auto"/>
            <w:noWrap/>
            <w:vAlign w:val="center"/>
            <w:hideMark/>
          </w:tcPr>
          <w:p w14:paraId="57473741"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8.3</w:t>
            </w:r>
          </w:p>
        </w:tc>
      </w:tr>
      <w:tr w:rsidR="00791D05" w:rsidRPr="00F60EFC" w14:paraId="6394F001" w14:textId="77777777" w:rsidTr="00791D05">
        <w:trPr>
          <w:trHeight w:val="300"/>
          <w:jc w:val="center"/>
        </w:trPr>
        <w:tc>
          <w:tcPr>
            <w:tcW w:w="1109" w:type="dxa"/>
            <w:vMerge/>
            <w:textDirection w:val="btLr"/>
            <w:vAlign w:val="center"/>
            <w:hideMark/>
          </w:tcPr>
          <w:p w14:paraId="732ABC50"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49874FA2"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tcBorders>
              <w:top w:val="single" w:sz="4" w:space="0" w:color="auto"/>
              <w:bottom w:val="single" w:sz="4" w:space="0" w:color="auto"/>
            </w:tcBorders>
            <w:shd w:val="clear" w:color="auto" w:fill="auto"/>
            <w:noWrap/>
            <w:vAlign w:val="center"/>
            <w:hideMark/>
          </w:tcPr>
          <w:p w14:paraId="6706DC61"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Generate</w:t>
            </w:r>
          </w:p>
        </w:tc>
        <w:tc>
          <w:tcPr>
            <w:tcW w:w="2802" w:type="dxa"/>
            <w:tcBorders>
              <w:top w:val="single" w:sz="4" w:space="0" w:color="auto"/>
              <w:bottom w:val="single" w:sz="4" w:space="0" w:color="auto"/>
            </w:tcBorders>
            <w:shd w:val="clear" w:color="auto" w:fill="auto"/>
            <w:noWrap/>
            <w:vAlign w:val="center"/>
            <w:hideMark/>
          </w:tcPr>
          <w:p w14:paraId="0D416FF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Employment</w:t>
            </w:r>
          </w:p>
        </w:tc>
        <w:tc>
          <w:tcPr>
            <w:tcW w:w="780" w:type="dxa"/>
            <w:tcBorders>
              <w:top w:val="single" w:sz="4" w:space="0" w:color="auto"/>
              <w:bottom w:val="single" w:sz="4" w:space="0" w:color="auto"/>
            </w:tcBorders>
            <w:shd w:val="clear" w:color="auto" w:fill="auto"/>
            <w:noWrap/>
            <w:vAlign w:val="center"/>
            <w:hideMark/>
          </w:tcPr>
          <w:p w14:paraId="22716B2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8</w:t>
            </w:r>
          </w:p>
        </w:tc>
        <w:tc>
          <w:tcPr>
            <w:tcW w:w="1486" w:type="dxa"/>
            <w:tcBorders>
              <w:top w:val="single" w:sz="4" w:space="0" w:color="auto"/>
              <w:bottom w:val="single" w:sz="4" w:space="0" w:color="auto"/>
            </w:tcBorders>
            <w:shd w:val="clear" w:color="auto" w:fill="auto"/>
            <w:noWrap/>
            <w:vAlign w:val="center"/>
            <w:hideMark/>
          </w:tcPr>
          <w:p w14:paraId="7428FD93"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8.3, 8.5</w:t>
            </w:r>
          </w:p>
        </w:tc>
      </w:tr>
      <w:tr w:rsidR="00791D05" w:rsidRPr="00F60EFC" w14:paraId="3E7F17E4" w14:textId="77777777" w:rsidTr="00791D05">
        <w:trPr>
          <w:trHeight w:val="300"/>
          <w:jc w:val="center"/>
        </w:trPr>
        <w:tc>
          <w:tcPr>
            <w:tcW w:w="1109" w:type="dxa"/>
            <w:vMerge w:val="restart"/>
            <w:tcBorders>
              <w:top w:val="single" w:sz="4" w:space="0" w:color="auto"/>
            </w:tcBorders>
            <w:shd w:val="clear" w:color="auto" w:fill="auto"/>
            <w:noWrap/>
            <w:textDirection w:val="btLr"/>
            <w:vAlign w:val="center"/>
            <w:hideMark/>
          </w:tcPr>
          <w:p w14:paraId="63C83D17"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Social</w:t>
            </w:r>
          </w:p>
        </w:tc>
        <w:tc>
          <w:tcPr>
            <w:tcW w:w="1301" w:type="dxa"/>
            <w:vMerge w:val="restart"/>
            <w:tcBorders>
              <w:top w:val="single" w:sz="4" w:space="0" w:color="auto"/>
            </w:tcBorders>
            <w:shd w:val="clear" w:color="auto" w:fill="auto"/>
            <w:vAlign w:val="center"/>
            <w:hideMark/>
          </w:tcPr>
          <w:p w14:paraId="13DC7652"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Welfare and well-being</w:t>
            </w:r>
          </w:p>
        </w:tc>
        <w:tc>
          <w:tcPr>
            <w:tcW w:w="1548" w:type="dxa"/>
            <w:vMerge w:val="restart"/>
            <w:tcBorders>
              <w:top w:val="single" w:sz="4" w:space="0" w:color="auto"/>
            </w:tcBorders>
            <w:shd w:val="clear" w:color="auto" w:fill="auto"/>
            <w:vAlign w:val="center"/>
            <w:hideMark/>
          </w:tcPr>
          <w:p w14:paraId="0BB3EEE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Guarantee</w:t>
            </w:r>
          </w:p>
        </w:tc>
        <w:tc>
          <w:tcPr>
            <w:tcW w:w="2802" w:type="dxa"/>
            <w:tcBorders>
              <w:top w:val="single" w:sz="4" w:space="0" w:color="auto"/>
              <w:bottom w:val="single" w:sz="4" w:space="0" w:color="auto"/>
            </w:tcBorders>
            <w:shd w:val="clear" w:color="auto" w:fill="auto"/>
            <w:noWrap/>
            <w:vAlign w:val="center"/>
            <w:hideMark/>
          </w:tcPr>
          <w:p w14:paraId="10E0AF7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Equality</w:t>
            </w:r>
          </w:p>
        </w:tc>
        <w:tc>
          <w:tcPr>
            <w:tcW w:w="780" w:type="dxa"/>
            <w:tcBorders>
              <w:top w:val="single" w:sz="4" w:space="0" w:color="auto"/>
              <w:bottom w:val="single" w:sz="4" w:space="0" w:color="auto"/>
            </w:tcBorders>
            <w:shd w:val="clear" w:color="auto" w:fill="auto"/>
            <w:noWrap/>
            <w:vAlign w:val="center"/>
            <w:hideMark/>
          </w:tcPr>
          <w:p w14:paraId="16B9489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1, 2, 5, 10, 15</w:t>
            </w:r>
          </w:p>
        </w:tc>
        <w:tc>
          <w:tcPr>
            <w:tcW w:w="1486" w:type="dxa"/>
            <w:tcBorders>
              <w:top w:val="single" w:sz="4" w:space="0" w:color="auto"/>
              <w:bottom w:val="single" w:sz="4" w:space="0" w:color="auto"/>
            </w:tcBorders>
            <w:shd w:val="clear" w:color="auto" w:fill="auto"/>
            <w:noWrap/>
            <w:vAlign w:val="center"/>
            <w:hideMark/>
          </w:tcPr>
          <w:p w14:paraId="5D23B90D"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1.4, 2.3, 2.5, 5.a, 10.3, 15.6</w:t>
            </w:r>
          </w:p>
        </w:tc>
      </w:tr>
      <w:tr w:rsidR="00791D05" w:rsidRPr="00F60EFC" w14:paraId="6416094D" w14:textId="77777777" w:rsidTr="00791D05">
        <w:trPr>
          <w:trHeight w:val="300"/>
          <w:jc w:val="center"/>
        </w:trPr>
        <w:tc>
          <w:tcPr>
            <w:tcW w:w="1109" w:type="dxa"/>
            <w:vMerge/>
            <w:textDirection w:val="btLr"/>
            <w:vAlign w:val="center"/>
            <w:hideMark/>
          </w:tcPr>
          <w:p w14:paraId="2CC45C72"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041B5A5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28661FD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70E03938"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Equity</w:t>
            </w:r>
          </w:p>
        </w:tc>
        <w:tc>
          <w:tcPr>
            <w:tcW w:w="780" w:type="dxa"/>
            <w:tcBorders>
              <w:top w:val="single" w:sz="4" w:space="0" w:color="auto"/>
              <w:bottom w:val="single" w:sz="4" w:space="0" w:color="auto"/>
            </w:tcBorders>
            <w:shd w:val="clear" w:color="auto" w:fill="auto"/>
            <w:noWrap/>
            <w:vAlign w:val="center"/>
            <w:hideMark/>
          </w:tcPr>
          <w:p w14:paraId="6500096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1, 2, 8, 10</w:t>
            </w:r>
          </w:p>
        </w:tc>
        <w:tc>
          <w:tcPr>
            <w:tcW w:w="1486" w:type="dxa"/>
            <w:tcBorders>
              <w:top w:val="single" w:sz="4" w:space="0" w:color="auto"/>
              <w:bottom w:val="single" w:sz="4" w:space="0" w:color="auto"/>
            </w:tcBorders>
            <w:shd w:val="clear" w:color="auto" w:fill="auto"/>
            <w:noWrap/>
            <w:vAlign w:val="center"/>
            <w:hideMark/>
          </w:tcPr>
          <w:p w14:paraId="4D76DD5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1.b, 2.3, 8.5, 10.2</w:t>
            </w:r>
          </w:p>
        </w:tc>
      </w:tr>
      <w:tr w:rsidR="00791D05" w:rsidRPr="00F60EFC" w14:paraId="5EC133D2" w14:textId="77777777" w:rsidTr="00791D05">
        <w:trPr>
          <w:trHeight w:val="300"/>
          <w:jc w:val="center"/>
        </w:trPr>
        <w:tc>
          <w:tcPr>
            <w:tcW w:w="1109" w:type="dxa"/>
            <w:vMerge/>
            <w:textDirection w:val="btLr"/>
            <w:vAlign w:val="center"/>
            <w:hideMark/>
          </w:tcPr>
          <w:p w14:paraId="3C6FBFBE"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261B9DA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0C7C3AB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14E5E5B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Cultural and social acceptability</w:t>
            </w:r>
          </w:p>
        </w:tc>
        <w:tc>
          <w:tcPr>
            <w:tcW w:w="780" w:type="dxa"/>
            <w:tcBorders>
              <w:top w:val="single" w:sz="4" w:space="0" w:color="auto"/>
              <w:bottom w:val="single" w:sz="4" w:space="0" w:color="auto"/>
            </w:tcBorders>
            <w:shd w:val="clear" w:color="auto" w:fill="auto"/>
            <w:noWrap/>
            <w:vAlign w:val="center"/>
            <w:hideMark/>
          </w:tcPr>
          <w:p w14:paraId="52AA3F6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 xml:space="preserve">- </w:t>
            </w:r>
          </w:p>
        </w:tc>
        <w:tc>
          <w:tcPr>
            <w:tcW w:w="1486" w:type="dxa"/>
            <w:tcBorders>
              <w:top w:val="single" w:sz="4" w:space="0" w:color="auto"/>
              <w:bottom w:val="single" w:sz="4" w:space="0" w:color="auto"/>
            </w:tcBorders>
            <w:shd w:val="clear" w:color="auto" w:fill="auto"/>
            <w:noWrap/>
            <w:vAlign w:val="center"/>
            <w:hideMark/>
          </w:tcPr>
          <w:p w14:paraId="684FF6F0" w14:textId="77777777" w:rsidR="00791D05" w:rsidRPr="00F60EFC" w:rsidRDefault="00791D05" w:rsidP="00791D05">
            <w:pPr>
              <w:pStyle w:val="Paragrafoelenco"/>
              <w:numPr>
                <w:ilvl w:val="0"/>
                <w:numId w:val="1"/>
              </w:numPr>
              <w:spacing w:after="0" w:line="240" w:lineRule="auto"/>
              <w:jc w:val="center"/>
              <w:rPr>
                <w:rFonts w:ascii="Times New Roman" w:eastAsia="Times New Roman" w:hAnsi="Times New Roman" w:cs="Times New Roman"/>
                <w:sz w:val="16"/>
                <w:szCs w:val="16"/>
                <w:lang w:eastAsia="en-GB"/>
              </w:rPr>
            </w:pPr>
          </w:p>
        </w:tc>
      </w:tr>
      <w:tr w:rsidR="00791D05" w:rsidRPr="00F60EFC" w14:paraId="23B76D10" w14:textId="77777777" w:rsidTr="00791D05">
        <w:trPr>
          <w:trHeight w:val="300"/>
          <w:jc w:val="center"/>
        </w:trPr>
        <w:tc>
          <w:tcPr>
            <w:tcW w:w="1109" w:type="dxa"/>
            <w:vMerge/>
            <w:textDirection w:val="btLr"/>
            <w:vAlign w:val="center"/>
            <w:hideMark/>
          </w:tcPr>
          <w:p w14:paraId="34EDE8F0"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260E1D6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tcBorders>
              <w:top w:val="single" w:sz="4" w:space="0" w:color="auto"/>
              <w:bottom w:val="single" w:sz="4" w:space="0" w:color="auto"/>
            </w:tcBorders>
            <w:shd w:val="clear" w:color="auto" w:fill="auto"/>
            <w:vAlign w:val="center"/>
            <w:hideMark/>
          </w:tcPr>
          <w:p w14:paraId="0689ABB8"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Boost</w:t>
            </w:r>
          </w:p>
        </w:tc>
        <w:tc>
          <w:tcPr>
            <w:tcW w:w="2802" w:type="dxa"/>
            <w:tcBorders>
              <w:top w:val="single" w:sz="4" w:space="0" w:color="auto"/>
              <w:bottom w:val="single" w:sz="4" w:space="0" w:color="auto"/>
            </w:tcBorders>
            <w:shd w:val="clear" w:color="auto" w:fill="auto"/>
            <w:noWrap/>
            <w:vAlign w:val="center"/>
            <w:hideMark/>
          </w:tcPr>
          <w:p w14:paraId="6A8D5C0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Rural Development</w:t>
            </w:r>
          </w:p>
        </w:tc>
        <w:tc>
          <w:tcPr>
            <w:tcW w:w="780" w:type="dxa"/>
            <w:tcBorders>
              <w:top w:val="single" w:sz="4" w:space="0" w:color="auto"/>
              <w:bottom w:val="single" w:sz="4" w:space="0" w:color="auto"/>
            </w:tcBorders>
            <w:shd w:val="clear" w:color="auto" w:fill="auto"/>
            <w:noWrap/>
            <w:vAlign w:val="center"/>
            <w:hideMark/>
          </w:tcPr>
          <w:p w14:paraId="4C105C7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2, 11</w:t>
            </w:r>
          </w:p>
        </w:tc>
        <w:tc>
          <w:tcPr>
            <w:tcW w:w="1486" w:type="dxa"/>
            <w:tcBorders>
              <w:top w:val="single" w:sz="4" w:space="0" w:color="auto"/>
              <w:bottom w:val="single" w:sz="4" w:space="0" w:color="auto"/>
            </w:tcBorders>
            <w:shd w:val="clear" w:color="auto" w:fill="auto"/>
            <w:noWrap/>
            <w:vAlign w:val="center"/>
            <w:hideMark/>
          </w:tcPr>
          <w:p w14:paraId="2AB959D1"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2.a, 11.a</w:t>
            </w:r>
          </w:p>
        </w:tc>
      </w:tr>
      <w:tr w:rsidR="00791D05" w:rsidRPr="00F60EFC" w14:paraId="14EBE2EA" w14:textId="77777777" w:rsidTr="00791D05">
        <w:trPr>
          <w:trHeight w:val="300"/>
          <w:jc w:val="center"/>
        </w:trPr>
        <w:tc>
          <w:tcPr>
            <w:tcW w:w="1109" w:type="dxa"/>
            <w:vMerge/>
            <w:textDirection w:val="btLr"/>
            <w:vAlign w:val="center"/>
            <w:hideMark/>
          </w:tcPr>
          <w:p w14:paraId="4EDFB2E3"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76DE9184"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tcBorders>
              <w:top w:val="single" w:sz="4" w:space="0" w:color="auto"/>
              <w:bottom w:val="single" w:sz="4" w:space="0" w:color="auto"/>
            </w:tcBorders>
            <w:shd w:val="clear" w:color="auto" w:fill="auto"/>
            <w:vAlign w:val="center"/>
            <w:hideMark/>
          </w:tcPr>
          <w:p w14:paraId="53817A1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Protect</w:t>
            </w:r>
          </w:p>
        </w:tc>
        <w:tc>
          <w:tcPr>
            <w:tcW w:w="2802" w:type="dxa"/>
            <w:tcBorders>
              <w:top w:val="single" w:sz="4" w:space="0" w:color="auto"/>
              <w:bottom w:val="single" w:sz="4" w:space="0" w:color="auto"/>
            </w:tcBorders>
            <w:shd w:val="clear" w:color="auto" w:fill="auto"/>
            <w:noWrap/>
            <w:vAlign w:val="center"/>
            <w:hideMark/>
          </w:tcPr>
          <w:p w14:paraId="293608B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Worker rights and conditions</w:t>
            </w:r>
          </w:p>
        </w:tc>
        <w:tc>
          <w:tcPr>
            <w:tcW w:w="780" w:type="dxa"/>
            <w:tcBorders>
              <w:top w:val="single" w:sz="4" w:space="0" w:color="auto"/>
              <w:bottom w:val="single" w:sz="4" w:space="0" w:color="auto"/>
            </w:tcBorders>
            <w:shd w:val="clear" w:color="auto" w:fill="auto"/>
            <w:noWrap/>
            <w:vAlign w:val="center"/>
            <w:hideMark/>
          </w:tcPr>
          <w:p w14:paraId="18FA3DF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8</w:t>
            </w:r>
          </w:p>
        </w:tc>
        <w:tc>
          <w:tcPr>
            <w:tcW w:w="1486" w:type="dxa"/>
            <w:tcBorders>
              <w:top w:val="single" w:sz="4" w:space="0" w:color="auto"/>
              <w:bottom w:val="single" w:sz="4" w:space="0" w:color="auto"/>
            </w:tcBorders>
            <w:shd w:val="clear" w:color="auto" w:fill="auto"/>
            <w:noWrap/>
            <w:vAlign w:val="center"/>
            <w:hideMark/>
          </w:tcPr>
          <w:p w14:paraId="5326DCA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8.8</w:t>
            </w:r>
          </w:p>
        </w:tc>
      </w:tr>
      <w:tr w:rsidR="00791D05" w:rsidRPr="00F60EFC" w14:paraId="703FDE02" w14:textId="77777777" w:rsidTr="00791D05">
        <w:trPr>
          <w:trHeight w:val="300"/>
          <w:jc w:val="center"/>
        </w:trPr>
        <w:tc>
          <w:tcPr>
            <w:tcW w:w="1109" w:type="dxa"/>
            <w:vMerge/>
            <w:textDirection w:val="btLr"/>
            <w:vAlign w:val="center"/>
            <w:hideMark/>
          </w:tcPr>
          <w:p w14:paraId="386CE23B"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442FC641"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restart"/>
            <w:tcBorders>
              <w:top w:val="single" w:sz="4" w:space="0" w:color="auto"/>
            </w:tcBorders>
            <w:shd w:val="clear" w:color="auto" w:fill="auto"/>
            <w:vAlign w:val="center"/>
            <w:hideMark/>
          </w:tcPr>
          <w:p w14:paraId="77D576C3"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Ensure</w:t>
            </w:r>
          </w:p>
        </w:tc>
        <w:tc>
          <w:tcPr>
            <w:tcW w:w="2802" w:type="dxa"/>
            <w:tcBorders>
              <w:top w:val="single" w:sz="4" w:space="0" w:color="auto"/>
              <w:bottom w:val="single" w:sz="4" w:space="0" w:color="auto"/>
            </w:tcBorders>
            <w:shd w:val="clear" w:color="auto" w:fill="auto"/>
            <w:noWrap/>
            <w:vAlign w:val="center"/>
            <w:hideMark/>
          </w:tcPr>
          <w:p w14:paraId="533A1E2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Social well-being</w:t>
            </w:r>
          </w:p>
        </w:tc>
        <w:tc>
          <w:tcPr>
            <w:tcW w:w="780" w:type="dxa"/>
            <w:tcBorders>
              <w:top w:val="single" w:sz="4" w:space="0" w:color="auto"/>
              <w:bottom w:val="single" w:sz="4" w:space="0" w:color="auto"/>
            </w:tcBorders>
            <w:shd w:val="clear" w:color="auto" w:fill="auto"/>
            <w:noWrap/>
            <w:vAlign w:val="center"/>
            <w:hideMark/>
          </w:tcPr>
          <w:p w14:paraId="77A3E68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1, 10</w:t>
            </w:r>
          </w:p>
        </w:tc>
        <w:tc>
          <w:tcPr>
            <w:tcW w:w="1486" w:type="dxa"/>
            <w:tcBorders>
              <w:top w:val="single" w:sz="4" w:space="0" w:color="auto"/>
              <w:bottom w:val="single" w:sz="4" w:space="0" w:color="auto"/>
            </w:tcBorders>
            <w:shd w:val="clear" w:color="auto" w:fill="auto"/>
            <w:noWrap/>
            <w:vAlign w:val="center"/>
            <w:hideMark/>
          </w:tcPr>
          <w:p w14:paraId="65CFCEDD"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1.3, 1.4, 10.4</w:t>
            </w:r>
          </w:p>
        </w:tc>
      </w:tr>
      <w:tr w:rsidR="00791D05" w:rsidRPr="00F60EFC" w14:paraId="2B9AD802" w14:textId="77777777" w:rsidTr="00791D05">
        <w:trPr>
          <w:trHeight w:val="300"/>
          <w:jc w:val="center"/>
        </w:trPr>
        <w:tc>
          <w:tcPr>
            <w:tcW w:w="1109" w:type="dxa"/>
            <w:vMerge/>
            <w:textDirection w:val="btLr"/>
            <w:vAlign w:val="center"/>
            <w:hideMark/>
          </w:tcPr>
          <w:p w14:paraId="5D34D7E1"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4F4AB4F8"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000D6CF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1E19A4D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Animal welfare</w:t>
            </w:r>
          </w:p>
        </w:tc>
        <w:tc>
          <w:tcPr>
            <w:tcW w:w="780" w:type="dxa"/>
            <w:tcBorders>
              <w:top w:val="single" w:sz="4" w:space="0" w:color="auto"/>
              <w:bottom w:val="single" w:sz="4" w:space="0" w:color="auto"/>
            </w:tcBorders>
            <w:shd w:val="clear" w:color="auto" w:fill="auto"/>
            <w:noWrap/>
            <w:vAlign w:val="center"/>
            <w:hideMark/>
          </w:tcPr>
          <w:p w14:paraId="58D55133"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D69630D">
              <w:rPr>
                <w:rFonts w:ascii="Times New Roman" w:eastAsia="Times New Roman" w:hAnsi="Times New Roman" w:cs="Times New Roman"/>
                <w:color w:val="000000" w:themeColor="text1"/>
                <w:sz w:val="16"/>
                <w:szCs w:val="16"/>
                <w:lang w:eastAsia="en-GB"/>
              </w:rPr>
              <w:t>-</w:t>
            </w:r>
          </w:p>
        </w:tc>
        <w:tc>
          <w:tcPr>
            <w:tcW w:w="1486" w:type="dxa"/>
            <w:tcBorders>
              <w:top w:val="single" w:sz="4" w:space="0" w:color="auto"/>
              <w:bottom w:val="single" w:sz="4" w:space="0" w:color="auto"/>
            </w:tcBorders>
            <w:shd w:val="clear" w:color="auto" w:fill="auto"/>
            <w:noWrap/>
            <w:vAlign w:val="center"/>
            <w:hideMark/>
          </w:tcPr>
          <w:p w14:paraId="0A99067E" w14:textId="77777777" w:rsidR="00791D05" w:rsidRPr="00F60EFC" w:rsidRDefault="00791D05" w:rsidP="00791D05">
            <w:pPr>
              <w:spacing w:after="0" w:line="240" w:lineRule="auto"/>
              <w:jc w:val="center"/>
              <w:rPr>
                <w:rFonts w:ascii="Times New Roman" w:eastAsia="Times New Roman" w:hAnsi="Times New Roman" w:cs="Times New Roman"/>
                <w:sz w:val="16"/>
                <w:szCs w:val="16"/>
                <w:lang w:eastAsia="en-GB"/>
              </w:rPr>
            </w:pPr>
            <w:r w:rsidRPr="3D69630D">
              <w:rPr>
                <w:rFonts w:ascii="Times New Roman" w:eastAsia="Times New Roman" w:hAnsi="Times New Roman" w:cs="Times New Roman"/>
                <w:sz w:val="16"/>
                <w:szCs w:val="16"/>
                <w:lang w:eastAsia="en-GB"/>
              </w:rPr>
              <w:t>-</w:t>
            </w:r>
          </w:p>
        </w:tc>
      </w:tr>
      <w:tr w:rsidR="00791D05" w:rsidRPr="00F60EFC" w14:paraId="551ABC18" w14:textId="77777777" w:rsidTr="00791D05">
        <w:trPr>
          <w:trHeight w:val="300"/>
          <w:jc w:val="center"/>
        </w:trPr>
        <w:tc>
          <w:tcPr>
            <w:tcW w:w="1109" w:type="dxa"/>
            <w:vMerge/>
            <w:textDirection w:val="btLr"/>
            <w:vAlign w:val="center"/>
            <w:hideMark/>
          </w:tcPr>
          <w:p w14:paraId="6E5D7C19"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restart"/>
            <w:tcBorders>
              <w:top w:val="single" w:sz="4" w:space="0" w:color="auto"/>
            </w:tcBorders>
            <w:shd w:val="clear" w:color="auto" w:fill="auto"/>
            <w:noWrap/>
            <w:vAlign w:val="center"/>
            <w:hideMark/>
          </w:tcPr>
          <w:p w14:paraId="136EADD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Connectedness</w:t>
            </w:r>
          </w:p>
        </w:tc>
        <w:tc>
          <w:tcPr>
            <w:tcW w:w="1548" w:type="dxa"/>
            <w:vMerge w:val="restart"/>
            <w:tcBorders>
              <w:top w:val="single" w:sz="4" w:space="0" w:color="auto"/>
            </w:tcBorders>
            <w:shd w:val="clear" w:color="auto" w:fill="auto"/>
            <w:vAlign w:val="center"/>
            <w:hideMark/>
          </w:tcPr>
          <w:p w14:paraId="180FD42B"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Increase</w:t>
            </w:r>
          </w:p>
        </w:tc>
        <w:tc>
          <w:tcPr>
            <w:tcW w:w="2802" w:type="dxa"/>
            <w:tcBorders>
              <w:top w:val="single" w:sz="4" w:space="0" w:color="auto"/>
              <w:bottom w:val="single" w:sz="4" w:space="0" w:color="000000" w:themeColor="text1"/>
            </w:tcBorders>
            <w:shd w:val="clear" w:color="auto" w:fill="auto"/>
            <w:noWrap/>
            <w:vAlign w:val="center"/>
            <w:hideMark/>
          </w:tcPr>
          <w:p w14:paraId="324B3EE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Territorial/Community engagement</w:t>
            </w:r>
          </w:p>
        </w:tc>
        <w:tc>
          <w:tcPr>
            <w:tcW w:w="780" w:type="dxa"/>
            <w:tcBorders>
              <w:top w:val="single" w:sz="4" w:space="0" w:color="auto"/>
              <w:bottom w:val="single" w:sz="4" w:space="0" w:color="000000" w:themeColor="text1"/>
            </w:tcBorders>
            <w:shd w:val="clear" w:color="auto" w:fill="auto"/>
            <w:noWrap/>
            <w:vAlign w:val="center"/>
            <w:hideMark/>
          </w:tcPr>
          <w:p w14:paraId="0BB8F02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11</w:t>
            </w:r>
          </w:p>
        </w:tc>
        <w:tc>
          <w:tcPr>
            <w:tcW w:w="1486" w:type="dxa"/>
            <w:tcBorders>
              <w:top w:val="single" w:sz="4" w:space="0" w:color="auto"/>
              <w:bottom w:val="single" w:sz="4" w:space="0" w:color="000000" w:themeColor="text1"/>
            </w:tcBorders>
            <w:shd w:val="clear" w:color="auto" w:fill="auto"/>
            <w:noWrap/>
            <w:vAlign w:val="center"/>
            <w:hideMark/>
          </w:tcPr>
          <w:p w14:paraId="50E0A4A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11.a</w:t>
            </w:r>
          </w:p>
        </w:tc>
      </w:tr>
      <w:tr w:rsidR="00791D05" w:rsidRPr="00F60EFC" w14:paraId="3150E53F" w14:textId="77777777" w:rsidTr="00791D05">
        <w:trPr>
          <w:trHeight w:val="300"/>
          <w:jc w:val="center"/>
        </w:trPr>
        <w:tc>
          <w:tcPr>
            <w:tcW w:w="1109" w:type="dxa"/>
            <w:vMerge/>
            <w:textDirection w:val="btLr"/>
            <w:vAlign w:val="center"/>
            <w:hideMark/>
          </w:tcPr>
          <w:p w14:paraId="7DAEBB7B"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335B6AED"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5521C8B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000000" w:themeColor="text1"/>
              <w:bottom w:val="single" w:sz="4" w:space="0" w:color="auto"/>
            </w:tcBorders>
            <w:shd w:val="clear" w:color="auto" w:fill="auto"/>
            <w:noWrap/>
            <w:vAlign w:val="center"/>
            <w:hideMark/>
          </w:tcPr>
          <w:p w14:paraId="0C1DB3F4"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D69630D">
              <w:rPr>
                <w:rFonts w:ascii="Times New Roman" w:eastAsia="Times New Roman" w:hAnsi="Times New Roman" w:cs="Times New Roman"/>
                <w:color w:val="000000" w:themeColor="text1"/>
                <w:sz w:val="16"/>
                <w:szCs w:val="16"/>
                <w:lang w:eastAsia="en-GB"/>
              </w:rPr>
              <w:t>Connectedness of consumers and producers</w:t>
            </w:r>
          </w:p>
        </w:tc>
        <w:tc>
          <w:tcPr>
            <w:tcW w:w="780" w:type="dxa"/>
            <w:tcBorders>
              <w:top w:val="single" w:sz="4" w:space="0" w:color="000000" w:themeColor="text1"/>
              <w:bottom w:val="single" w:sz="4" w:space="0" w:color="auto"/>
            </w:tcBorders>
            <w:shd w:val="clear" w:color="auto" w:fill="auto"/>
            <w:noWrap/>
            <w:vAlign w:val="center"/>
            <w:hideMark/>
          </w:tcPr>
          <w:p w14:paraId="6A8D5634"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11, 12</w:t>
            </w:r>
          </w:p>
        </w:tc>
        <w:tc>
          <w:tcPr>
            <w:tcW w:w="1486" w:type="dxa"/>
            <w:tcBorders>
              <w:top w:val="single" w:sz="4" w:space="0" w:color="000000" w:themeColor="text1"/>
              <w:bottom w:val="single" w:sz="4" w:space="0" w:color="auto"/>
            </w:tcBorders>
            <w:shd w:val="clear" w:color="auto" w:fill="auto"/>
            <w:noWrap/>
            <w:vAlign w:val="center"/>
            <w:hideMark/>
          </w:tcPr>
          <w:p w14:paraId="4B30FC6E"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11.a, 12.8</w:t>
            </w:r>
          </w:p>
        </w:tc>
      </w:tr>
      <w:tr w:rsidR="00791D05" w:rsidRPr="00F60EFC" w14:paraId="139208C3" w14:textId="77777777" w:rsidTr="00791D05">
        <w:trPr>
          <w:trHeight w:val="600"/>
          <w:jc w:val="center"/>
        </w:trPr>
        <w:tc>
          <w:tcPr>
            <w:tcW w:w="1109" w:type="dxa"/>
            <w:vMerge w:val="restart"/>
            <w:tcBorders>
              <w:top w:val="single" w:sz="4" w:space="0" w:color="auto"/>
            </w:tcBorders>
            <w:shd w:val="clear" w:color="auto" w:fill="auto"/>
            <w:textDirection w:val="btLr"/>
            <w:vAlign w:val="center"/>
            <w:hideMark/>
          </w:tcPr>
          <w:p w14:paraId="07778133"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Health and Nutrition</w:t>
            </w:r>
          </w:p>
        </w:tc>
        <w:tc>
          <w:tcPr>
            <w:tcW w:w="1301" w:type="dxa"/>
            <w:vMerge w:val="restart"/>
            <w:tcBorders>
              <w:top w:val="single" w:sz="4" w:space="0" w:color="auto"/>
            </w:tcBorders>
            <w:shd w:val="clear" w:color="auto" w:fill="auto"/>
            <w:vAlign w:val="center"/>
            <w:hideMark/>
          </w:tcPr>
          <w:p w14:paraId="0EA436CE"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Food environment</w:t>
            </w:r>
          </w:p>
        </w:tc>
        <w:tc>
          <w:tcPr>
            <w:tcW w:w="1548" w:type="dxa"/>
            <w:vMerge w:val="restart"/>
            <w:tcBorders>
              <w:top w:val="single" w:sz="4" w:space="0" w:color="auto"/>
            </w:tcBorders>
            <w:shd w:val="clear" w:color="auto" w:fill="auto"/>
            <w:noWrap/>
            <w:vAlign w:val="center"/>
            <w:hideMark/>
          </w:tcPr>
          <w:p w14:paraId="4CD735EE"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Provide and Promote</w:t>
            </w:r>
          </w:p>
        </w:tc>
        <w:tc>
          <w:tcPr>
            <w:tcW w:w="2802" w:type="dxa"/>
            <w:tcBorders>
              <w:top w:val="single" w:sz="4" w:space="0" w:color="auto"/>
              <w:bottom w:val="single" w:sz="4" w:space="0" w:color="auto"/>
            </w:tcBorders>
            <w:shd w:val="clear" w:color="auto" w:fill="auto"/>
            <w:vAlign w:val="center"/>
            <w:hideMark/>
          </w:tcPr>
          <w:p w14:paraId="773CD508"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Food Security</w:t>
            </w:r>
          </w:p>
        </w:tc>
        <w:tc>
          <w:tcPr>
            <w:tcW w:w="780" w:type="dxa"/>
            <w:tcBorders>
              <w:top w:val="single" w:sz="4" w:space="0" w:color="auto"/>
              <w:bottom w:val="single" w:sz="4" w:space="0" w:color="auto"/>
            </w:tcBorders>
            <w:shd w:val="clear" w:color="auto" w:fill="auto"/>
            <w:noWrap/>
            <w:vAlign w:val="center"/>
            <w:hideMark/>
          </w:tcPr>
          <w:p w14:paraId="73C5917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w:t>
            </w:r>
          </w:p>
        </w:tc>
        <w:tc>
          <w:tcPr>
            <w:tcW w:w="1486" w:type="dxa"/>
            <w:tcBorders>
              <w:top w:val="single" w:sz="4" w:space="0" w:color="auto"/>
              <w:bottom w:val="single" w:sz="4" w:space="0" w:color="auto"/>
            </w:tcBorders>
            <w:shd w:val="clear" w:color="auto" w:fill="auto"/>
            <w:noWrap/>
            <w:vAlign w:val="center"/>
            <w:hideMark/>
          </w:tcPr>
          <w:p w14:paraId="7D6B2C5E"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2.1, 2.2, 2.3</w:t>
            </w:r>
          </w:p>
        </w:tc>
      </w:tr>
      <w:tr w:rsidR="00791D05" w:rsidRPr="00F60EFC" w14:paraId="12D69EA9" w14:textId="77777777" w:rsidTr="00791D05">
        <w:trPr>
          <w:trHeight w:val="300"/>
          <w:jc w:val="center"/>
        </w:trPr>
        <w:tc>
          <w:tcPr>
            <w:tcW w:w="1109" w:type="dxa"/>
            <w:vMerge/>
            <w:textDirection w:val="btLr"/>
            <w:vAlign w:val="center"/>
            <w:hideMark/>
          </w:tcPr>
          <w:p w14:paraId="6466E8FE"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5B05556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76AA374B"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7B182124"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Food safety</w:t>
            </w:r>
          </w:p>
        </w:tc>
        <w:tc>
          <w:tcPr>
            <w:tcW w:w="780" w:type="dxa"/>
            <w:tcBorders>
              <w:top w:val="single" w:sz="4" w:space="0" w:color="auto"/>
              <w:bottom w:val="single" w:sz="4" w:space="0" w:color="auto"/>
            </w:tcBorders>
            <w:shd w:val="clear" w:color="auto" w:fill="auto"/>
            <w:noWrap/>
            <w:vAlign w:val="center"/>
            <w:hideMark/>
          </w:tcPr>
          <w:p w14:paraId="67BC6DAB"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w:t>
            </w:r>
          </w:p>
        </w:tc>
        <w:tc>
          <w:tcPr>
            <w:tcW w:w="1486" w:type="dxa"/>
            <w:tcBorders>
              <w:top w:val="single" w:sz="4" w:space="0" w:color="auto"/>
              <w:bottom w:val="single" w:sz="4" w:space="0" w:color="auto"/>
            </w:tcBorders>
            <w:shd w:val="clear" w:color="auto" w:fill="auto"/>
            <w:noWrap/>
            <w:vAlign w:val="center"/>
            <w:hideMark/>
          </w:tcPr>
          <w:p w14:paraId="42C8223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2.1, 2.2</w:t>
            </w:r>
          </w:p>
        </w:tc>
      </w:tr>
      <w:tr w:rsidR="00791D05" w:rsidRPr="00F60EFC" w14:paraId="096B5FE5" w14:textId="77777777" w:rsidTr="00791D05">
        <w:trPr>
          <w:trHeight w:val="300"/>
          <w:jc w:val="center"/>
        </w:trPr>
        <w:tc>
          <w:tcPr>
            <w:tcW w:w="1109" w:type="dxa"/>
            <w:vMerge/>
            <w:textDirection w:val="btLr"/>
            <w:vAlign w:val="center"/>
            <w:hideMark/>
          </w:tcPr>
          <w:p w14:paraId="4E916FB8"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3C77B3C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573862C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29337BA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Food quality</w:t>
            </w:r>
          </w:p>
        </w:tc>
        <w:tc>
          <w:tcPr>
            <w:tcW w:w="780" w:type="dxa"/>
            <w:tcBorders>
              <w:top w:val="single" w:sz="4" w:space="0" w:color="auto"/>
              <w:bottom w:val="single" w:sz="4" w:space="0" w:color="auto"/>
            </w:tcBorders>
            <w:shd w:val="clear" w:color="auto" w:fill="auto"/>
            <w:noWrap/>
            <w:vAlign w:val="center"/>
            <w:hideMark/>
          </w:tcPr>
          <w:p w14:paraId="371BE1C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2, 3</w:t>
            </w:r>
          </w:p>
        </w:tc>
        <w:tc>
          <w:tcPr>
            <w:tcW w:w="1486" w:type="dxa"/>
            <w:tcBorders>
              <w:top w:val="single" w:sz="4" w:space="0" w:color="auto"/>
              <w:bottom w:val="single" w:sz="4" w:space="0" w:color="auto"/>
            </w:tcBorders>
            <w:shd w:val="clear" w:color="auto" w:fill="auto"/>
            <w:noWrap/>
            <w:vAlign w:val="center"/>
            <w:hideMark/>
          </w:tcPr>
          <w:p w14:paraId="43B171E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2.1, 2.2, 3.4</w:t>
            </w:r>
          </w:p>
        </w:tc>
      </w:tr>
      <w:tr w:rsidR="00791D05" w:rsidRPr="00F60EFC" w14:paraId="053D5066" w14:textId="77777777" w:rsidTr="00791D05">
        <w:trPr>
          <w:trHeight w:val="300"/>
          <w:jc w:val="center"/>
        </w:trPr>
        <w:tc>
          <w:tcPr>
            <w:tcW w:w="1109" w:type="dxa"/>
            <w:vMerge/>
            <w:textDirection w:val="btLr"/>
            <w:vAlign w:val="center"/>
            <w:hideMark/>
          </w:tcPr>
          <w:p w14:paraId="774A97C6"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03AD80FE"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323A3FB4"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7FAAB56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Healthy diets</w:t>
            </w:r>
          </w:p>
        </w:tc>
        <w:tc>
          <w:tcPr>
            <w:tcW w:w="780" w:type="dxa"/>
            <w:tcBorders>
              <w:top w:val="single" w:sz="4" w:space="0" w:color="auto"/>
              <w:bottom w:val="single" w:sz="4" w:space="0" w:color="auto"/>
            </w:tcBorders>
            <w:shd w:val="clear" w:color="auto" w:fill="auto"/>
            <w:noWrap/>
            <w:vAlign w:val="center"/>
            <w:hideMark/>
          </w:tcPr>
          <w:p w14:paraId="52FE288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2, 3</w:t>
            </w:r>
          </w:p>
        </w:tc>
        <w:tc>
          <w:tcPr>
            <w:tcW w:w="1486" w:type="dxa"/>
            <w:tcBorders>
              <w:top w:val="single" w:sz="4" w:space="0" w:color="auto"/>
              <w:bottom w:val="single" w:sz="4" w:space="0" w:color="auto"/>
            </w:tcBorders>
            <w:shd w:val="clear" w:color="auto" w:fill="auto"/>
            <w:noWrap/>
            <w:vAlign w:val="center"/>
            <w:hideMark/>
          </w:tcPr>
          <w:p w14:paraId="7B65A37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2.2, 3.4</w:t>
            </w:r>
          </w:p>
        </w:tc>
      </w:tr>
      <w:tr w:rsidR="00791D05" w:rsidRPr="00F60EFC" w14:paraId="03FB9D14" w14:textId="77777777" w:rsidTr="00791D05">
        <w:trPr>
          <w:trHeight w:val="300"/>
          <w:jc w:val="center"/>
        </w:trPr>
        <w:tc>
          <w:tcPr>
            <w:tcW w:w="1109" w:type="dxa"/>
            <w:vMerge w:val="restart"/>
            <w:tcBorders>
              <w:top w:val="single" w:sz="4" w:space="0" w:color="auto"/>
            </w:tcBorders>
            <w:shd w:val="clear" w:color="auto" w:fill="auto"/>
            <w:textDirection w:val="btLr"/>
            <w:vAlign w:val="center"/>
            <w:hideMark/>
          </w:tcPr>
          <w:p w14:paraId="1C41FADA" w14:textId="77777777" w:rsidR="00791D05" w:rsidRPr="00F60EFC" w:rsidRDefault="00791D05" w:rsidP="00791D05">
            <w:pPr>
              <w:spacing w:after="0" w:line="240" w:lineRule="auto"/>
              <w:ind w:left="113" w:right="113"/>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Cross-cutting</w:t>
            </w:r>
          </w:p>
        </w:tc>
        <w:tc>
          <w:tcPr>
            <w:tcW w:w="1301" w:type="dxa"/>
            <w:vMerge w:val="restart"/>
            <w:tcBorders>
              <w:top w:val="single" w:sz="4" w:space="0" w:color="auto"/>
            </w:tcBorders>
            <w:shd w:val="clear" w:color="auto" w:fill="auto"/>
            <w:noWrap/>
            <w:vAlign w:val="center"/>
            <w:hideMark/>
          </w:tcPr>
          <w:p w14:paraId="2A412D9A"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Governance</w:t>
            </w:r>
          </w:p>
        </w:tc>
        <w:tc>
          <w:tcPr>
            <w:tcW w:w="1548" w:type="dxa"/>
            <w:vMerge w:val="restart"/>
            <w:tcBorders>
              <w:top w:val="single" w:sz="4" w:space="0" w:color="auto"/>
            </w:tcBorders>
            <w:shd w:val="clear" w:color="auto" w:fill="auto"/>
            <w:vAlign w:val="center"/>
            <w:hideMark/>
          </w:tcPr>
          <w:p w14:paraId="217F2D7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Guarantee</w:t>
            </w:r>
          </w:p>
        </w:tc>
        <w:tc>
          <w:tcPr>
            <w:tcW w:w="2802" w:type="dxa"/>
            <w:tcBorders>
              <w:top w:val="single" w:sz="4" w:space="0" w:color="auto"/>
              <w:bottom w:val="single" w:sz="4" w:space="0" w:color="auto"/>
            </w:tcBorders>
            <w:shd w:val="clear" w:color="auto" w:fill="auto"/>
            <w:noWrap/>
            <w:vAlign w:val="center"/>
            <w:hideMark/>
          </w:tcPr>
          <w:p w14:paraId="26FFCA68"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Food Democracy</w:t>
            </w:r>
          </w:p>
        </w:tc>
        <w:tc>
          <w:tcPr>
            <w:tcW w:w="780" w:type="dxa"/>
            <w:tcBorders>
              <w:top w:val="single" w:sz="4" w:space="0" w:color="auto"/>
              <w:bottom w:val="single" w:sz="4" w:space="0" w:color="auto"/>
            </w:tcBorders>
            <w:shd w:val="clear" w:color="auto" w:fill="auto"/>
            <w:noWrap/>
            <w:vAlign w:val="center"/>
            <w:hideMark/>
          </w:tcPr>
          <w:p w14:paraId="3E04B6A6"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4, 5, 12, 16</w:t>
            </w:r>
          </w:p>
        </w:tc>
        <w:tc>
          <w:tcPr>
            <w:tcW w:w="1486" w:type="dxa"/>
            <w:tcBorders>
              <w:top w:val="single" w:sz="4" w:space="0" w:color="auto"/>
              <w:bottom w:val="single" w:sz="4" w:space="0" w:color="auto"/>
            </w:tcBorders>
            <w:shd w:val="clear" w:color="auto" w:fill="auto"/>
            <w:noWrap/>
            <w:vAlign w:val="center"/>
            <w:hideMark/>
          </w:tcPr>
          <w:p w14:paraId="55DFC0FD"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BD12E74">
              <w:rPr>
                <w:rFonts w:ascii="Times New Roman" w:eastAsia="Times New Roman" w:hAnsi="Times New Roman" w:cs="Times New Roman"/>
                <w:color w:val="000000" w:themeColor="text1"/>
                <w:sz w:val="16"/>
                <w:szCs w:val="16"/>
                <w:lang w:eastAsia="en-GB"/>
              </w:rPr>
              <w:t>4.7, 5.c, 12.8, 16.6</w:t>
            </w:r>
          </w:p>
        </w:tc>
      </w:tr>
      <w:tr w:rsidR="00791D05" w:rsidRPr="00F60EFC" w14:paraId="05EC8C2B" w14:textId="77777777" w:rsidTr="00791D05">
        <w:trPr>
          <w:trHeight w:val="300"/>
          <w:jc w:val="center"/>
        </w:trPr>
        <w:tc>
          <w:tcPr>
            <w:tcW w:w="1109" w:type="dxa"/>
            <w:vMerge/>
            <w:vAlign w:val="center"/>
            <w:hideMark/>
          </w:tcPr>
          <w:p w14:paraId="66C5C2B5"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4BCB8DAB"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5B06B2E2"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2B09792C"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Transparency</w:t>
            </w:r>
          </w:p>
        </w:tc>
        <w:tc>
          <w:tcPr>
            <w:tcW w:w="780" w:type="dxa"/>
            <w:tcBorders>
              <w:top w:val="single" w:sz="4" w:space="0" w:color="auto"/>
              <w:bottom w:val="single" w:sz="4" w:space="0" w:color="auto"/>
            </w:tcBorders>
            <w:shd w:val="clear" w:color="auto" w:fill="auto"/>
            <w:noWrap/>
            <w:vAlign w:val="center"/>
            <w:hideMark/>
          </w:tcPr>
          <w:p w14:paraId="257A4422"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16</w:t>
            </w:r>
          </w:p>
        </w:tc>
        <w:tc>
          <w:tcPr>
            <w:tcW w:w="1486" w:type="dxa"/>
            <w:tcBorders>
              <w:top w:val="single" w:sz="4" w:space="0" w:color="auto"/>
              <w:bottom w:val="single" w:sz="4" w:space="0" w:color="auto"/>
            </w:tcBorders>
            <w:shd w:val="clear" w:color="auto" w:fill="auto"/>
            <w:noWrap/>
            <w:vAlign w:val="center"/>
            <w:hideMark/>
          </w:tcPr>
          <w:p w14:paraId="5E949A33"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16.6</w:t>
            </w:r>
          </w:p>
        </w:tc>
      </w:tr>
      <w:tr w:rsidR="00791D05" w:rsidRPr="00F60EFC" w14:paraId="2E46D55F" w14:textId="77777777" w:rsidTr="00791D05">
        <w:trPr>
          <w:trHeight w:val="300"/>
          <w:jc w:val="center"/>
        </w:trPr>
        <w:tc>
          <w:tcPr>
            <w:tcW w:w="1109" w:type="dxa"/>
            <w:vMerge/>
            <w:vAlign w:val="center"/>
            <w:hideMark/>
          </w:tcPr>
          <w:p w14:paraId="5ECA07D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301" w:type="dxa"/>
            <w:vMerge/>
            <w:vAlign w:val="center"/>
            <w:hideMark/>
          </w:tcPr>
          <w:p w14:paraId="079BA21E"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vMerge/>
            <w:vAlign w:val="center"/>
            <w:hideMark/>
          </w:tcPr>
          <w:p w14:paraId="78A718A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hideMark/>
          </w:tcPr>
          <w:p w14:paraId="3D69FB57"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D69630D">
              <w:rPr>
                <w:rFonts w:ascii="Times New Roman" w:eastAsia="Times New Roman" w:hAnsi="Times New Roman" w:cs="Times New Roman"/>
                <w:color w:val="000000" w:themeColor="text1"/>
                <w:sz w:val="16"/>
                <w:szCs w:val="16"/>
                <w:lang w:eastAsia="en-GB"/>
              </w:rPr>
              <w:t>Food Sovereignty</w:t>
            </w:r>
          </w:p>
        </w:tc>
        <w:tc>
          <w:tcPr>
            <w:tcW w:w="780" w:type="dxa"/>
            <w:tcBorders>
              <w:top w:val="single" w:sz="4" w:space="0" w:color="auto"/>
              <w:bottom w:val="single" w:sz="4" w:space="0" w:color="auto"/>
            </w:tcBorders>
            <w:shd w:val="clear" w:color="auto" w:fill="auto"/>
            <w:noWrap/>
            <w:vAlign w:val="center"/>
            <w:hideMark/>
          </w:tcPr>
          <w:p w14:paraId="25DBFA78"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2, 12</w:t>
            </w:r>
          </w:p>
        </w:tc>
        <w:tc>
          <w:tcPr>
            <w:tcW w:w="1486" w:type="dxa"/>
            <w:tcBorders>
              <w:top w:val="single" w:sz="4" w:space="0" w:color="auto"/>
              <w:bottom w:val="single" w:sz="4" w:space="0" w:color="auto"/>
            </w:tcBorders>
            <w:shd w:val="clear" w:color="auto" w:fill="auto"/>
            <w:noWrap/>
            <w:vAlign w:val="center"/>
            <w:hideMark/>
          </w:tcPr>
          <w:p w14:paraId="03249A79"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2.1, 2.3, 2.4, 2.5, 12.3</w:t>
            </w:r>
          </w:p>
        </w:tc>
      </w:tr>
      <w:tr w:rsidR="00791D05" w:rsidRPr="00F60EFC" w14:paraId="15BE3437" w14:textId="77777777" w:rsidTr="00791D05">
        <w:trPr>
          <w:trHeight w:val="300"/>
          <w:jc w:val="center"/>
        </w:trPr>
        <w:tc>
          <w:tcPr>
            <w:tcW w:w="1109" w:type="dxa"/>
            <w:vMerge/>
            <w:vAlign w:val="center"/>
            <w:hideMark/>
          </w:tcPr>
          <w:p w14:paraId="6E7466F1"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p>
        </w:tc>
        <w:tc>
          <w:tcPr>
            <w:tcW w:w="1301" w:type="dxa"/>
            <w:tcBorders>
              <w:top w:val="single" w:sz="4" w:space="0" w:color="auto"/>
              <w:bottom w:val="single" w:sz="4" w:space="0" w:color="auto"/>
            </w:tcBorders>
            <w:shd w:val="clear" w:color="auto" w:fill="auto"/>
            <w:noWrap/>
            <w:vAlign w:val="center"/>
            <w:hideMark/>
          </w:tcPr>
          <w:p w14:paraId="029E1CB2"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Resilience</w:t>
            </w:r>
          </w:p>
        </w:tc>
        <w:tc>
          <w:tcPr>
            <w:tcW w:w="1548" w:type="dxa"/>
            <w:tcBorders>
              <w:top w:val="single" w:sz="4" w:space="0" w:color="auto"/>
              <w:bottom w:val="single" w:sz="4" w:space="0" w:color="auto"/>
            </w:tcBorders>
            <w:shd w:val="clear" w:color="auto" w:fill="auto"/>
            <w:noWrap/>
            <w:vAlign w:val="center"/>
            <w:hideMark/>
          </w:tcPr>
          <w:p w14:paraId="06BF96EF"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Increase</w:t>
            </w:r>
          </w:p>
        </w:tc>
        <w:tc>
          <w:tcPr>
            <w:tcW w:w="2802" w:type="dxa"/>
            <w:tcBorders>
              <w:top w:val="single" w:sz="4" w:space="0" w:color="auto"/>
              <w:bottom w:val="single" w:sz="4" w:space="0" w:color="auto"/>
            </w:tcBorders>
            <w:shd w:val="clear" w:color="auto" w:fill="auto"/>
            <w:noWrap/>
            <w:vAlign w:val="center"/>
            <w:hideMark/>
          </w:tcPr>
          <w:p w14:paraId="7F0E002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00F60EFC">
              <w:rPr>
                <w:rFonts w:ascii="Times New Roman" w:eastAsia="Times New Roman" w:hAnsi="Times New Roman" w:cs="Times New Roman"/>
                <w:color w:val="000000"/>
                <w:sz w:val="16"/>
                <w:szCs w:val="16"/>
                <w:lang w:eastAsia="en-GB"/>
              </w:rPr>
              <w:t>Resilience</w:t>
            </w:r>
          </w:p>
        </w:tc>
        <w:tc>
          <w:tcPr>
            <w:tcW w:w="780" w:type="dxa"/>
            <w:tcBorders>
              <w:top w:val="single" w:sz="4" w:space="0" w:color="auto"/>
              <w:bottom w:val="single" w:sz="4" w:space="0" w:color="auto"/>
            </w:tcBorders>
            <w:shd w:val="clear" w:color="auto" w:fill="auto"/>
            <w:noWrap/>
            <w:vAlign w:val="center"/>
            <w:hideMark/>
          </w:tcPr>
          <w:p w14:paraId="5727D063"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D69630D">
              <w:rPr>
                <w:rFonts w:ascii="Times New Roman" w:eastAsia="Times New Roman" w:hAnsi="Times New Roman" w:cs="Times New Roman"/>
                <w:color w:val="000000" w:themeColor="text1"/>
                <w:sz w:val="16"/>
                <w:szCs w:val="16"/>
                <w:lang w:eastAsia="en-GB"/>
              </w:rPr>
              <w:t>1, 2, 9</w:t>
            </w:r>
          </w:p>
        </w:tc>
        <w:tc>
          <w:tcPr>
            <w:tcW w:w="1486" w:type="dxa"/>
            <w:tcBorders>
              <w:top w:val="single" w:sz="4" w:space="0" w:color="auto"/>
              <w:bottom w:val="single" w:sz="4" w:space="0" w:color="auto"/>
            </w:tcBorders>
            <w:shd w:val="clear" w:color="auto" w:fill="auto"/>
            <w:noWrap/>
            <w:vAlign w:val="center"/>
            <w:hideMark/>
          </w:tcPr>
          <w:p w14:paraId="2D7251F0" w14:textId="77777777" w:rsidR="00791D05" w:rsidRPr="00F60EFC" w:rsidRDefault="00791D05" w:rsidP="00791D05">
            <w:pPr>
              <w:spacing w:after="0" w:line="240" w:lineRule="auto"/>
              <w:jc w:val="center"/>
              <w:rPr>
                <w:rFonts w:ascii="Times New Roman" w:eastAsia="Times New Roman" w:hAnsi="Times New Roman" w:cs="Times New Roman"/>
                <w:color w:val="000000"/>
                <w:sz w:val="16"/>
                <w:szCs w:val="16"/>
                <w:lang w:eastAsia="en-GB"/>
              </w:rPr>
            </w:pPr>
            <w:r w:rsidRPr="3D69630D">
              <w:rPr>
                <w:rFonts w:ascii="Times New Roman" w:eastAsia="Times New Roman" w:hAnsi="Times New Roman" w:cs="Times New Roman"/>
                <w:color w:val="000000" w:themeColor="text1"/>
                <w:sz w:val="16"/>
                <w:szCs w:val="16"/>
                <w:lang w:eastAsia="en-GB"/>
              </w:rPr>
              <w:t>1.5, 2.4, 9.1</w:t>
            </w:r>
          </w:p>
        </w:tc>
      </w:tr>
      <w:tr w:rsidR="006B0C0E" w:rsidRPr="00F60EFC" w14:paraId="416CFB2C" w14:textId="77777777" w:rsidTr="00791D05">
        <w:trPr>
          <w:trHeight w:val="300"/>
          <w:jc w:val="center"/>
        </w:trPr>
        <w:tc>
          <w:tcPr>
            <w:tcW w:w="1109" w:type="dxa"/>
            <w:vAlign w:val="center"/>
          </w:tcPr>
          <w:p w14:paraId="1A3D5FAD" w14:textId="77777777" w:rsidR="006B0C0E" w:rsidRPr="00F60EFC" w:rsidRDefault="006B0C0E" w:rsidP="006B0C0E">
            <w:pPr>
              <w:spacing w:after="0" w:line="240" w:lineRule="auto"/>
              <w:rPr>
                <w:rFonts w:ascii="Times New Roman" w:eastAsia="Times New Roman" w:hAnsi="Times New Roman" w:cs="Times New Roman"/>
                <w:color w:val="000000"/>
                <w:sz w:val="16"/>
                <w:szCs w:val="16"/>
                <w:lang w:eastAsia="en-GB"/>
              </w:rPr>
            </w:pPr>
          </w:p>
        </w:tc>
        <w:tc>
          <w:tcPr>
            <w:tcW w:w="1301" w:type="dxa"/>
            <w:tcBorders>
              <w:top w:val="single" w:sz="4" w:space="0" w:color="auto"/>
              <w:bottom w:val="single" w:sz="4" w:space="0" w:color="auto"/>
            </w:tcBorders>
            <w:shd w:val="clear" w:color="auto" w:fill="auto"/>
            <w:noWrap/>
            <w:vAlign w:val="center"/>
          </w:tcPr>
          <w:p w14:paraId="3F8C3801" w14:textId="77777777" w:rsidR="006B0C0E" w:rsidRPr="00F60EFC" w:rsidRDefault="006B0C0E" w:rsidP="00791D05">
            <w:pPr>
              <w:spacing w:after="0" w:line="240" w:lineRule="auto"/>
              <w:jc w:val="center"/>
              <w:rPr>
                <w:rFonts w:ascii="Times New Roman" w:eastAsia="Times New Roman" w:hAnsi="Times New Roman" w:cs="Times New Roman"/>
                <w:color w:val="000000"/>
                <w:sz w:val="16"/>
                <w:szCs w:val="16"/>
                <w:lang w:eastAsia="en-GB"/>
              </w:rPr>
            </w:pPr>
          </w:p>
        </w:tc>
        <w:tc>
          <w:tcPr>
            <w:tcW w:w="1548" w:type="dxa"/>
            <w:tcBorders>
              <w:top w:val="single" w:sz="4" w:space="0" w:color="auto"/>
              <w:bottom w:val="single" w:sz="4" w:space="0" w:color="auto"/>
            </w:tcBorders>
            <w:shd w:val="clear" w:color="auto" w:fill="auto"/>
            <w:noWrap/>
            <w:vAlign w:val="center"/>
          </w:tcPr>
          <w:p w14:paraId="014D5522" w14:textId="77777777" w:rsidR="006B0C0E" w:rsidRPr="00F60EFC" w:rsidRDefault="006B0C0E" w:rsidP="00791D05">
            <w:pPr>
              <w:spacing w:after="0" w:line="240" w:lineRule="auto"/>
              <w:jc w:val="center"/>
              <w:rPr>
                <w:rFonts w:ascii="Times New Roman" w:eastAsia="Times New Roman" w:hAnsi="Times New Roman" w:cs="Times New Roman"/>
                <w:color w:val="000000"/>
                <w:sz w:val="16"/>
                <w:szCs w:val="16"/>
                <w:lang w:eastAsia="en-GB"/>
              </w:rPr>
            </w:pPr>
          </w:p>
        </w:tc>
        <w:tc>
          <w:tcPr>
            <w:tcW w:w="2802" w:type="dxa"/>
            <w:tcBorders>
              <w:top w:val="single" w:sz="4" w:space="0" w:color="auto"/>
              <w:bottom w:val="single" w:sz="4" w:space="0" w:color="auto"/>
            </w:tcBorders>
            <w:shd w:val="clear" w:color="auto" w:fill="auto"/>
            <w:noWrap/>
            <w:vAlign w:val="center"/>
          </w:tcPr>
          <w:p w14:paraId="0EC7B9DE" w14:textId="77777777" w:rsidR="006B0C0E" w:rsidRPr="00F60EFC" w:rsidRDefault="006B0C0E" w:rsidP="00791D05">
            <w:pPr>
              <w:spacing w:after="0" w:line="240" w:lineRule="auto"/>
              <w:jc w:val="center"/>
              <w:rPr>
                <w:rFonts w:ascii="Times New Roman" w:eastAsia="Times New Roman" w:hAnsi="Times New Roman" w:cs="Times New Roman"/>
                <w:color w:val="000000"/>
                <w:sz w:val="16"/>
                <w:szCs w:val="16"/>
                <w:lang w:eastAsia="en-GB"/>
              </w:rPr>
            </w:pPr>
          </w:p>
        </w:tc>
        <w:tc>
          <w:tcPr>
            <w:tcW w:w="780" w:type="dxa"/>
            <w:tcBorders>
              <w:top w:val="single" w:sz="4" w:space="0" w:color="auto"/>
              <w:bottom w:val="single" w:sz="4" w:space="0" w:color="auto"/>
            </w:tcBorders>
            <w:shd w:val="clear" w:color="auto" w:fill="auto"/>
            <w:noWrap/>
            <w:vAlign w:val="center"/>
          </w:tcPr>
          <w:p w14:paraId="1F323C30" w14:textId="77777777" w:rsidR="006B0C0E" w:rsidRPr="3D69630D" w:rsidRDefault="006B0C0E" w:rsidP="00791D05">
            <w:pPr>
              <w:spacing w:after="0" w:line="240" w:lineRule="auto"/>
              <w:jc w:val="center"/>
              <w:rPr>
                <w:rFonts w:ascii="Times New Roman" w:eastAsia="Times New Roman" w:hAnsi="Times New Roman" w:cs="Times New Roman"/>
                <w:color w:val="000000" w:themeColor="text1"/>
                <w:sz w:val="16"/>
                <w:szCs w:val="16"/>
                <w:lang w:eastAsia="en-GB"/>
              </w:rPr>
            </w:pPr>
          </w:p>
        </w:tc>
        <w:tc>
          <w:tcPr>
            <w:tcW w:w="1486" w:type="dxa"/>
            <w:tcBorders>
              <w:top w:val="single" w:sz="4" w:space="0" w:color="auto"/>
              <w:bottom w:val="single" w:sz="4" w:space="0" w:color="auto"/>
            </w:tcBorders>
            <w:shd w:val="clear" w:color="auto" w:fill="auto"/>
            <w:noWrap/>
            <w:vAlign w:val="center"/>
          </w:tcPr>
          <w:p w14:paraId="653BC7CD" w14:textId="77777777" w:rsidR="006B0C0E" w:rsidRPr="3D69630D" w:rsidRDefault="006B0C0E" w:rsidP="00791D05">
            <w:pPr>
              <w:spacing w:after="0" w:line="240" w:lineRule="auto"/>
              <w:jc w:val="center"/>
              <w:rPr>
                <w:rFonts w:ascii="Times New Roman" w:eastAsia="Times New Roman" w:hAnsi="Times New Roman" w:cs="Times New Roman"/>
                <w:color w:val="000000" w:themeColor="text1"/>
                <w:sz w:val="16"/>
                <w:szCs w:val="16"/>
                <w:lang w:eastAsia="en-GB"/>
              </w:rPr>
            </w:pPr>
          </w:p>
        </w:tc>
      </w:tr>
    </w:tbl>
    <w:p w14:paraId="0CEC942A" w14:textId="77777777" w:rsidR="006B0C0E" w:rsidRPr="00311827" w:rsidRDefault="006B0C0E" w:rsidP="006B0C0E">
      <w:pPr>
        <w:pStyle w:val="Didascalia"/>
        <w:keepNext/>
        <w:jc w:val="center"/>
        <w:rPr>
          <w:rFonts w:ascii="Times New Roman" w:hAnsi="Times New Roman" w:cs="Times New Roman"/>
          <w:bCs/>
          <w:i w:val="0"/>
          <w:color w:val="000000" w:themeColor="text1"/>
          <w:sz w:val="16"/>
          <w:szCs w:val="16"/>
        </w:rPr>
      </w:pPr>
      <w:r w:rsidRPr="00311827">
        <w:rPr>
          <w:rFonts w:ascii="Times New Roman" w:hAnsi="Times New Roman" w:cs="Times New Roman"/>
          <w:bCs/>
          <w:i w:val="0"/>
          <w:color w:val="000000" w:themeColor="text1"/>
          <w:sz w:val="16"/>
          <w:szCs w:val="16"/>
        </w:rPr>
        <w:t xml:space="preserve">Source: </w:t>
      </w:r>
      <w:r w:rsidRPr="00311827">
        <w:rPr>
          <w:rFonts w:ascii="Times New Roman" w:hAnsi="Times New Roman" w:cs="Times New Roman"/>
          <w:bCs/>
          <w:iCs w:val="0"/>
          <w:color w:val="000000" w:themeColor="text1"/>
          <w:sz w:val="16"/>
          <w:szCs w:val="16"/>
        </w:rPr>
        <w:t>Authors own elaboration</w:t>
      </w:r>
    </w:p>
    <w:p w14:paraId="1091762B" w14:textId="77777777" w:rsidR="00092586" w:rsidRPr="008C1952" w:rsidRDefault="00092586" w:rsidP="69EC8F09">
      <w:pPr>
        <w:spacing w:line="240" w:lineRule="auto"/>
        <w:rPr>
          <w:rFonts w:ascii="Times New Roman" w:eastAsia="Palatino Linotype" w:hAnsi="Times New Roman" w:cs="Times New Roman"/>
          <w:color w:val="000000" w:themeColor="text1"/>
          <w:sz w:val="16"/>
          <w:szCs w:val="16"/>
        </w:rPr>
        <w:sectPr w:rsidR="00092586" w:rsidRPr="008C1952" w:rsidSect="00EB48E7">
          <w:pgSz w:w="11906" w:h="16838"/>
          <w:pgMar w:top="1440" w:right="1440" w:bottom="1440" w:left="1440" w:header="708" w:footer="708" w:gutter="0"/>
          <w:cols w:space="708"/>
          <w:docGrid w:linePitch="360"/>
        </w:sectPr>
      </w:pPr>
    </w:p>
    <w:p w14:paraId="6E48E2A4" w14:textId="45B20AA8" w:rsidR="0009565C" w:rsidRPr="0009565C" w:rsidRDefault="0009565C" w:rsidP="0009565C">
      <w:pPr>
        <w:rPr>
          <w:rFonts w:ascii="Times New Roman" w:hAnsi="Times New Roman" w:cs="Times New Roman"/>
          <w:sz w:val="16"/>
          <w:szCs w:val="16"/>
        </w:rPr>
      </w:pPr>
      <w:bookmarkStart w:id="25" w:name="_Toc166589556"/>
      <w:r w:rsidRPr="0009565C">
        <w:rPr>
          <w:rFonts w:ascii="Times New Roman" w:hAnsi="Times New Roman" w:cs="Times New Roman"/>
          <w:b/>
          <w:sz w:val="16"/>
          <w:szCs w:val="16"/>
        </w:rPr>
        <w:lastRenderedPageBreak/>
        <w:t xml:space="preserve">Supplementary Figure  </w:t>
      </w:r>
      <w:r w:rsidRPr="0009565C">
        <w:rPr>
          <w:rFonts w:ascii="Times New Roman" w:hAnsi="Times New Roman" w:cs="Times New Roman"/>
          <w:b/>
          <w:sz w:val="16"/>
          <w:szCs w:val="16"/>
        </w:rPr>
        <w:fldChar w:fldCharType="begin"/>
      </w:r>
      <w:r w:rsidRPr="0009565C">
        <w:rPr>
          <w:rFonts w:ascii="Times New Roman" w:hAnsi="Times New Roman" w:cs="Times New Roman"/>
          <w:b/>
          <w:sz w:val="16"/>
          <w:szCs w:val="16"/>
        </w:rPr>
        <w:instrText xml:space="preserve"> SEQ Supplementary_Figure_ \* ALPHABETIC </w:instrText>
      </w:r>
      <w:r w:rsidRPr="0009565C">
        <w:rPr>
          <w:rFonts w:ascii="Times New Roman" w:hAnsi="Times New Roman" w:cs="Times New Roman"/>
          <w:b/>
          <w:sz w:val="16"/>
          <w:szCs w:val="16"/>
        </w:rPr>
        <w:fldChar w:fldCharType="separate"/>
      </w:r>
      <w:r w:rsidR="002C4F8E">
        <w:rPr>
          <w:rFonts w:ascii="Times New Roman" w:hAnsi="Times New Roman" w:cs="Times New Roman"/>
          <w:b/>
          <w:noProof/>
          <w:sz w:val="16"/>
          <w:szCs w:val="16"/>
        </w:rPr>
        <w:t>F</w:t>
      </w:r>
      <w:r w:rsidRPr="0009565C">
        <w:rPr>
          <w:rFonts w:ascii="Times New Roman" w:hAnsi="Times New Roman" w:cs="Times New Roman"/>
          <w:b/>
          <w:sz w:val="16"/>
          <w:szCs w:val="16"/>
        </w:rPr>
        <w:fldChar w:fldCharType="end"/>
      </w:r>
      <w:r w:rsidRPr="0009565C">
        <w:rPr>
          <w:rFonts w:ascii="Times New Roman" w:hAnsi="Times New Roman" w:cs="Times New Roman"/>
          <w:b/>
          <w:sz w:val="16"/>
          <w:szCs w:val="16"/>
        </w:rPr>
        <w:t>.</w:t>
      </w:r>
      <w:r w:rsidRPr="0009565C">
        <w:rPr>
          <w:rFonts w:ascii="Times New Roman" w:hAnsi="Times New Roman" w:cs="Times New Roman"/>
          <w:sz w:val="16"/>
          <w:szCs w:val="16"/>
        </w:rPr>
        <w:t xml:space="preserve"> Interlinkages among </w:t>
      </w:r>
      <w:r w:rsidR="00ED3846">
        <w:rPr>
          <w:rFonts w:ascii="Times New Roman" w:hAnsi="Times New Roman" w:cs="Times New Roman"/>
          <w:sz w:val="16"/>
          <w:szCs w:val="16"/>
        </w:rPr>
        <w:t>SDG</w:t>
      </w:r>
      <w:r w:rsidRPr="0009565C">
        <w:rPr>
          <w:rFonts w:ascii="Times New Roman" w:hAnsi="Times New Roman" w:cs="Times New Roman"/>
          <w:sz w:val="16"/>
          <w:szCs w:val="16"/>
        </w:rPr>
        <w:t xml:space="preserve"> targets associated to sustainability objectives. Red: trade-offs; Blu: synergies; Light red: mixed (linkages reported as trade-offs or synergies in different publications</w:t>
      </w:r>
      <w:r w:rsidRPr="0009565C">
        <w:rPr>
          <w:rFonts w:ascii="Times New Roman" w:hAnsi="Times New Roman" w:cs="Times New Roman"/>
          <w:i/>
          <w:sz w:val="16"/>
          <w:szCs w:val="16"/>
        </w:rPr>
        <w:t>).</w:t>
      </w:r>
      <w:r>
        <w:rPr>
          <w:rFonts w:ascii="Times New Roman" w:hAnsi="Times New Roman" w:cs="Times New Roman"/>
          <w:i/>
          <w:sz w:val="16"/>
          <w:szCs w:val="16"/>
        </w:rPr>
        <w:t xml:space="preserve"> </w:t>
      </w:r>
      <w:r>
        <w:rPr>
          <w:rFonts w:ascii="Times New Roman" w:hAnsi="Times New Roman" w:cs="Times New Roman"/>
          <w:sz w:val="16"/>
          <w:szCs w:val="16"/>
        </w:rPr>
        <w:t xml:space="preserve">Based on JRC </w:t>
      </w:r>
      <w:r w:rsidR="00ED3846">
        <w:rPr>
          <w:rFonts w:ascii="Times New Roman" w:hAnsi="Times New Roman" w:cs="Times New Roman"/>
          <w:sz w:val="16"/>
          <w:szCs w:val="16"/>
        </w:rPr>
        <w:t>SDG</w:t>
      </w:r>
      <w:r>
        <w:rPr>
          <w:rFonts w:ascii="Times New Roman" w:hAnsi="Times New Roman" w:cs="Times New Roman"/>
          <w:sz w:val="16"/>
          <w:szCs w:val="16"/>
        </w:rPr>
        <w:t xml:space="preserve"> Interlinkages Tool.</w:t>
      </w:r>
      <w:bookmarkEnd w:id="25"/>
      <w:r>
        <w:rPr>
          <w:rFonts w:ascii="Times New Roman" w:hAnsi="Times New Roman" w:cs="Times New Roman"/>
          <w:sz w:val="16"/>
          <w:szCs w:val="16"/>
        </w:rPr>
        <w:t xml:space="preserve"> </w:t>
      </w:r>
    </w:p>
    <w:p w14:paraId="5D2C8B79" w14:textId="189FF9F8" w:rsidR="00791D05" w:rsidRDefault="00791D05" w:rsidP="0009565C">
      <w:pPr>
        <w:jc w:val="center"/>
        <w:rPr>
          <w:noProof/>
          <w:lang w:eastAsia="en-GB"/>
        </w:rPr>
      </w:pPr>
      <w:r>
        <w:rPr>
          <w:noProof/>
          <w:lang w:eastAsia="en-GB"/>
        </w:rPr>
        <w:drawing>
          <wp:inline distT="0" distB="0" distL="0" distR="0" wp14:anchorId="4682FF3A" wp14:editId="1BA49D95">
            <wp:extent cx="7688275" cy="5085771"/>
            <wp:effectExtent l="0" t="0" r="825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icrosoftTeams-image (3).png"/>
                    <pic:cNvPicPr/>
                  </pic:nvPicPr>
                  <pic:blipFill rotWithShape="1">
                    <a:blip r:embed="rId21" cstate="print">
                      <a:extLst>
                        <a:ext uri="{28A0092B-C50C-407E-A947-70E740481C1C}">
                          <a14:useLocalDpi xmlns:a14="http://schemas.microsoft.com/office/drawing/2010/main" val="0"/>
                        </a:ext>
                      </a:extLst>
                    </a:blip>
                    <a:srcRect t="4645" r="2206" b="3851"/>
                    <a:stretch/>
                  </pic:blipFill>
                  <pic:spPr bwMode="auto">
                    <a:xfrm>
                      <a:off x="0" y="0"/>
                      <a:ext cx="7708974" cy="5099463"/>
                    </a:xfrm>
                    <a:prstGeom prst="rect">
                      <a:avLst/>
                    </a:prstGeom>
                    <a:ln>
                      <a:noFill/>
                    </a:ln>
                    <a:extLst>
                      <a:ext uri="{53640926-AAD7-44D8-BBD7-CCE9431645EC}">
                        <a14:shadowObscured xmlns:a14="http://schemas.microsoft.com/office/drawing/2010/main"/>
                      </a:ext>
                    </a:extLst>
                  </pic:spPr>
                </pic:pic>
              </a:graphicData>
            </a:graphic>
          </wp:inline>
        </w:drawing>
      </w:r>
    </w:p>
    <w:p w14:paraId="4C454B87" w14:textId="6D08302E" w:rsidR="0009565C" w:rsidRDefault="0009565C" w:rsidP="4D315CD9">
      <w:pPr>
        <w:jc w:val="center"/>
        <w:rPr>
          <w:rFonts w:ascii="Times New Roman" w:hAnsi="Times New Roman" w:cs="Times New Roman"/>
          <w:noProof/>
          <w:sz w:val="16"/>
          <w:szCs w:val="16"/>
          <w:lang w:eastAsia="en-GB"/>
        </w:rPr>
        <w:sectPr w:rsidR="0009565C" w:rsidSect="00EB48E7">
          <w:pgSz w:w="16838" w:h="11906" w:orient="landscape"/>
          <w:pgMar w:top="1440" w:right="1440" w:bottom="1440" w:left="1440" w:header="708" w:footer="708" w:gutter="0"/>
          <w:cols w:space="708"/>
          <w:docGrid w:linePitch="360"/>
        </w:sectPr>
      </w:pPr>
      <w:r w:rsidRPr="4D315CD9">
        <w:rPr>
          <w:rFonts w:ascii="Times New Roman" w:hAnsi="Times New Roman" w:cs="Times New Roman"/>
          <w:sz w:val="16"/>
          <w:szCs w:val="16"/>
        </w:rPr>
        <w:t xml:space="preserve"> </w:t>
      </w:r>
      <w:r w:rsidR="00311827" w:rsidRPr="00311827">
        <w:rPr>
          <w:rFonts w:ascii="Times New Roman" w:hAnsi="Times New Roman" w:cs="Times New Roman"/>
          <w:sz w:val="16"/>
          <w:szCs w:val="16"/>
        </w:rPr>
        <w:t xml:space="preserve">Source: </w:t>
      </w:r>
      <w:r w:rsidR="00311827" w:rsidRPr="00311827">
        <w:rPr>
          <w:rFonts w:ascii="Times New Roman" w:hAnsi="Times New Roman" w:cs="Times New Roman"/>
          <w:i/>
          <w:iCs/>
          <w:sz w:val="16"/>
          <w:szCs w:val="16"/>
        </w:rPr>
        <w:t>Authors own elaboration</w:t>
      </w:r>
    </w:p>
    <w:p w14:paraId="3B1D85C4" w14:textId="30C5DA48" w:rsidR="00F60EFC" w:rsidRPr="00F60EFC" w:rsidRDefault="00F60EFC" w:rsidP="00F60EFC">
      <w:pPr>
        <w:pStyle w:val="Titolo1"/>
        <w:rPr>
          <w:rFonts w:ascii="Times New Roman" w:eastAsia="Times New Roman" w:hAnsi="Times New Roman" w:cs="Times New Roman"/>
          <w:b/>
          <w:bCs/>
          <w:color w:val="auto"/>
          <w:sz w:val="22"/>
          <w:szCs w:val="22"/>
        </w:rPr>
      </w:pPr>
      <w:bookmarkStart w:id="26" w:name="_Toc161844665"/>
      <w:r>
        <w:rPr>
          <w:rFonts w:ascii="Times New Roman" w:eastAsia="Times New Roman" w:hAnsi="Times New Roman" w:cs="Times New Roman"/>
          <w:b/>
          <w:bCs/>
          <w:color w:val="auto"/>
          <w:sz w:val="22"/>
          <w:szCs w:val="22"/>
        </w:rPr>
        <w:lastRenderedPageBreak/>
        <w:t>Section 5.</w:t>
      </w:r>
      <w:r w:rsidRPr="00F60EFC">
        <w:t xml:space="preserve"> </w:t>
      </w:r>
      <w:r>
        <w:rPr>
          <w:rFonts w:ascii="Times New Roman" w:eastAsia="Times New Roman" w:hAnsi="Times New Roman" w:cs="Times New Roman"/>
          <w:b/>
          <w:bCs/>
          <w:color w:val="auto"/>
          <w:sz w:val="22"/>
          <w:szCs w:val="22"/>
        </w:rPr>
        <w:t>References</w:t>
      </w:r>
      <w:bookmarkEnd w:id="26"/>
      <w:r>
        <w:rPr>
          <w:rFonts w:ascii="Times New Roman" w:eastAsia="Times New Roman" w:hAnsi="Times New Roman" w:cs="Times New Roman"/>
          <w:b/>
          <w:bCs/>
          <w:color w:val="auto"/>
          <w:sz w:val="22"/>
          <w:szCs w:val="22"/>
        </w:rPr>
        <w:t xml:space="preserve"> </w:t>
      </w:r>
      <w:r w:rsidRPr="00F60EFC">
        <w:rPr>
          <w:rFonts w:ascii="Times New Roman" w:eastAsia="Times New Roman" w:hAnsi="Times New Roman" w:cs="Times New Roman"/>
          <w:b/>
          <w:bCs/>
          <w:color w:val="auto"/>
          <w:sz w:val="22"/>
          <w:szCs w:val="22"/>
        </w:rPr>
        <w:t xml:space="preserve">  </w:t>
      </w:r>
    </w:p>
    <w:p w14:paraId="499CB941" w14:textId="2FE6AA05"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eastAsia="Times New Roman" w:hAnsi="Times New Roman" w:cs="Times New Roman"/>
          <w:b/>
          <w:bCs/>
          <w:color w:val="000000" w:themeColor="text1"/>
          <w:sz w:val="14"/>
          <w:szCs w:val="14"/>
          <w:lang w:eastAsia="en-GB"/>
        </w:rPr>
        <w:fldChar w:fldCharType="begin" w:fldLock="1"/>
      </w:r>
      <w:r w:rsidRPr="0009565C">
        <w:rPr>
          <w:rFonts w:ascii="Times New Roman" w:eastAsia="Times New Roman" w:hAnsi="Times New Roman" w:cs="Times New Roman"/>
          <w:b/>
          <w:bCs/>
          <w:color w:val="000000" w:themeColor="text1"/>
          <w:sz w:val="14"/>
          <w:szCs w:val="14"/>
          <w:lang w:eastAsia="en-GB"/>
        </w:rPr>
        <w:instrText xml:space="preserve">ADDIN Mendeley Bibliography CSL_BIBLIOGRAPHY </w:instrText>
      </w:r>
      <w:r w:rsidRPr="0009565C">
        <w:rPr>
          <w:rFonts w:ascii="Times New Roman" w:eastAsia="Times New Roman" w:hAnsi="Times New Roman" w:cs="Times New Roman"/>
          <w:b/>
          <w:bCs/>
          <w:color w:val="000000" w:themeColor="text1"/>
          <w:sz w:val="14"/>
          <w:szCs w:val="14"/>
          <w:lang w:eastAsia="en-GB"/>
        </w:rPr>
        <w:fldChar w:fldCharType="separate"/>
      </w:r>
      <w:r w:rsidRPr="0009565C">
        <w:rPr>
          <w:rFonts w:ascii="Times New Roman" w:hAnsi="Times New Roman" w:cs="Times New Roman"/>
          <w:noProof/>
          <w:sz w:val="14"/>
          <w:szCs w:val="14"/>
        </w:rPr>
        <w:t>Candel, J.J.L., 2014. Food security governance: A systematic literature review. Food Secur. https://doi.org/10.1007/s12571-014-0364-2</w:t>
      </w:r>
    </w:p>
    <w:p w14:paraId="1C7BD1B3"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Caron, P., Ferrero y de Loma-Osorio, G., Nabarro, D., Hainzelin, E., Guillou, M., Andersen, I., Arnold, T., Astralaga, M., Beukeboom, M., Bickersteth, S., Bwalya, M., Caballero, P., Campbell, B.M., Divine, N., Fan, S., Frick, M., Friis, A., Gallagher, M., Halkin, J.P., Hanson, C., Lasbennes, F., Ribera, T., Rockstrom, J., Schuepbach, M., Steer, A., Tutwiler, A., Verburg, G., 2018. Food systems for sustainable development: proposals for a profound four-part transformation. Agron. Sustain. Dev. https://doi.org/10.1007/s13593-018-0519-1</w:t>
      </w:r>
    </w:p>
    <w:p w14:paraId="552886C2" w14:textId="77777777" w:rsidR="009B6410" w:rsidRPr="002C4F8E"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lang w:val="fr-BE"/>
        </w:rPr>
      </w:pPr>
      <w:r w:rsidRPr="0009565C">
        <w:rPr>
          <w:rFonts w:ascii="Times New Roman" w:hAnsi="Times New Roman" w:cs="Times New Roman"/>
          <w:noProof/>
          <w:sz w:val="14"/>
          <w:szCs w:val="14"/>
        </w:rPr>
        <w:t xml:space="preserve">Ericksen, P.J., 2008. Conceptualizing food systems for global environmental change research. </w:t>
      </w:r>
      <w:r w:rsidRPr="002C4F8E">
        <w:rPr>
          <w:rFonts w:ascii="Times New Roman" w:hAnsi="Times New Roman" w:cs="Times New Roman"/>
          <w:noProof/>
          <w:sz w:val="14"/>
          <w:szCs w:val="14"/>
          <w:lang w:val="fr-BE"/>
        </w:rPr>
        <w:t>Glob. Environ. Chang. https://doi.org/10.1016/j.gloenvcha.2007.09.002</w:t>
      </w:r>
    </w:p>
    <w:p w14:paraId="0EC6AC4D"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2C4F8E">
        <w:rPr>
          <w:rFonts w:ascii="Times New Roman" w:hAnsi="Times New Roman" w:cs="Times New Roman"/>
          <w:noProof/>
          <w:sz w:val="14"/>
          <w:szCs w:val="14"/>
          <w:lang w:val="fr-BE"/>
        </w:rPr>
        <w:t xml:space="preserve">European Environment Agency., 2017. </w:t>
      </w:r>
      <w:r w:rsidRPr="0009565C">
        <w:rPr>
          <w:rFonts w:ascii="Times New Roman" w:hAnsi="Times New Roman" w:cs="Times New Roman"/>
          <w:noProof/>
          <w:sz w:val="14"/>
          <w:szCs w:val="14"/>
        </w:rPr>
        <w:t>Food in a green light : a systems approach to sustainable food, EEA Report. https://doi.org/10.2800/884986</w:t>
      </w:r>
    </w:p>
    <w:p w14:paraId="76CCC80E"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FAO, 2018. Sustainable food systems - Concept and framework - Policy Brief. Food Agric. Organ. United Nations.</w:t>
      </w:r>
    </w:p>
    <w:p w14:paraId="2923C93B"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FAO, 2014. Food Losses and Waste in the Context of Sustainable Food Systems. High Lev. Panel Expert. Food Secur. Nutr. Comm. World Food Secur. Sustain. Food Syst.</w:t>
      </w:r>
    </w:p>
    <w:p w14:paraId="5CEBB7EB"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FAO, 2012. Sustainable Diets and Biodiversity: Directions and Solutions for Policy, Research and Action (Food and Agriculture Organization and Bioversity International, Rome)., Biodiversity and Sustainable Diets United Against Hunger.</w:t>
      </w:r>
    </w:p>
    <w:p w14:paraId="59FBAA41"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Fedorciow, L., Bayley, J., 2014. Strategies for the management and adoption of impact capture processes within research information management systems, in: Procedia Computer Science. https://doi.org/10.1016/j.procs.2014.06.005</w:t>
      </w:r>
    </w:p>
    <w:p w14:paraId="26BF716E"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2C4F8E">
        <w:rPr>
          <w:rFonts w:ascii="Times New Roman" w:hAnsi="Times New Roman" w:cs="Times New Roman"/>
          <w:noProof/>
          <w:sz w:val="14"/>
          <w:szCs w:val="14"/>
          <w:lang w:val="it-IT"/>
        </w:rPr>
        <w:t xml:space="preserve">Fronza, V., Barbero Vignola, G., Borchardt, S., Valentini, S., Buscaglia, D., Maroni, M., Marelli, L., 2023. </w:t>
      </w:r>
      <w:r w:rsidRPr="0009565C">
        <w:rPr>
          <w:rFonts w:ascii="Times New Roman" w:hAnsi="Times New Roman" w:cs="Times New Roman"/>
          <w:noProof/>
          <w:sz w:val="14"/>
          <w:szCs w:val="14"/>
        </w:rPr>
        <w:t>Uncovering SDG Interlinkages: interconnectedness at the core of the 2030 Agenda. https://doi.org/10.2760/45005</w:t>
      </w:r>
    </w:p>
    <w:p w14:paraId="196F5F6E"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Geels, F.W., 2019. Socio-technical transitions to sustainability: a review of criticisms and elaborations of the Multi-Level Perspective. Curr. Opin. Environ. Sustain. https://doi.org/10.1016/j.cosust.2019.06.009</w:t>
      </w:r>
    </w:p>
    <w:p w14:paraId="60ACC9F6"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Hammelman, C., Hayes-Conroy, A., 2015. Understanding Cultural Acceptability for Urban Food Policy. J. Plan. Lit. https://doi.org/10.1177/0885412214555433</w:t>
      </w:r>
    </w:p>
    <w:p w14:paraId="5FCCDBC0"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HLPE, 2017. High Level Panel of Experts. 2017. Nutrition and food systems. Comm. World Food Secur. 44, 1–152.</w:t>
      </w:r>
    </w:p>
    <w:p w14:paraId="5117387B"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Holt-Giménez, E., Wang, Y., 2011. Reform or Transformation? The Pivotal Role of Food Justice in the U.S. Food Movement. Race/Ethnicity Multidiscip. Glob. Context. https://doi.org/10.2979/racethmulglocon.5.1.83</w:t>
      </w:r>
    </w:p>
    <w:p w14:paraId="02DE9776"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Klein Woolthuis, R., Lankhuizen, M., Gilsing, V., 2005. A system failure framework for innovation policy design. Technovation. https://doi.org/10.1016/j.technovation.2003.11.002</w:t>
      </w:r>
    </w:p>
    <w:p w14:paraId="30653600"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Kneafsey, M., Venn, L., Schmutz, U., Balázs, B., Trenchard, L., Eyden-Wood, T., Bos, E., Sutton, G., Blackett, M., 2013. Short Food Supply Chains and Local Food Systems in the EU . A State of Play of their Socio-Economic Characteristics. JRC Sci. Policy Reports.</w:t>
      </w:r>
    </w:p>
    <w:p w14:paraId="35D57751"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La Via Campesina, 2007. Synthesis report: Nyelini Forum for Food Sovereignty. La Via Campesina.</w:t>
      </w:r>
    </w:p>
    <w:p w14:paraId="594F3CAF"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Lang, T., 2005. Food control or food democracy? Re-engaging nutrition with society and the environment. Public Health Nutr. https://doi.org/10.1079/phn2005772</w:t>
      </w:r>
    </w:p>
    <w:p w14:paraId="4FD7F2BE"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Meadows, D., 1999. Leverage Points: Places to Intervene in a System - The Donella Meadows Project. Acad. Syst. Chang.</w:t>
      </w:r>
    </w:p>
    <w:p w14:paraId="2A8855D1"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Renting, H., Schermer, M., Rossi, A., 2012. Building Food Democracy : Exploring Civic Food Networks and Newly Emerging Forms of Food Citizenship. Int. J. Sociol. Agric. Food.</w:t>
      </w:r>
    </w:p>
    <w:p w14:paraId="4B50F0E4"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Rockström, J., Edenhofer, O., Gaertner, J., DeClerck, F., 2020. Planet-proofing the global food system. Nat. Food. https://doi.org/10.1038/s43016-019-0010-4</w:t>
      </w:r>
    </w:p>
    <w:p w14:paraId="7B363CFB"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Sbicca, J., 2018. Food justice and the fight for global human flourishing. Local Environ. https://doi.org/10.1080/13549839.2018.1528444</w:t>
      </w:r>
    </w:p>
    <w:p w14:paraId="6ACE676F"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Scholes, R., Montanarella, L., Brainich, N., Barger, B., ten Brink, M., Cantele, B., Erasmus, J., Fisher, T., 2018. IPBES 2018: Summary for policymakers of the thematic assessment report on land degradation and restoration of the Intergovernamental Sience-Policy Platform on Biodiversity and Ecossystem Services, Science.</w:t>
      </w:r>
    </w:p>
    <w:p w14:paraId="0B631014"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Sdc, 2009. Food security and sustainability The perfect fit. Position Pap.</w:t>
      </w:r>
    </w:p>
    <w:p w14:paraId="726C8164"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Sonnino, Roberta, Moragues Faus, Ana and Maggio, A., 2014. Sustainable Food Security: An Emerging Research and Policy Agenda International Journal of Sociology of Agriculture and Food. Int. J. Sociol. Agric. Food 21, 173–188.</w:t>
      </w:r>
    </w:p>
    <w:p w14:paraId="47ACC706"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Swanson, K.S., Carter, R.A., Yount, T.P., Aretz, J., Buff, P.R., 2013. Nutritional sustainability of pet foods. Adv. Nutr. https://doi.org/10.3945/an.112.003335</w:t>
      </w:r>
    </w:p>
    <w:p w14:paraId="4A5C0805"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Tendall, D.M., Joerin, J., Kopainsky, B., Edwards, P., Shreck, A., Le, Q.B., Kruetli, P., Grant, M., Six, J., 2015. Food system resilience: Defining the concept. Glob. Food Sec. https://doi.org/10.1016/j.gfs.2015.08.001</w:t>
      </w:r>
    </w:p>
    <w:p w14:paraId="47AC95A9"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Weber, K.M., Rohracher, H., 2012. Legitimizing research, technology and innovation policies for transformative change: Combining insights from innovation systems and multi-level perspective in a comprehensive “failures” framework. Res. Policy. https://doi.org/10.1016/j.respol.2011.10.015</w:t>
      </w:r>
    </w:p>
    <w:p w14:paraId="42F6592C" w14:textId="77777777" w:rsidR="009B6410" w:rsidRPr="0009565C" w:rsidRDefault="009B6410" w:rsidP="009B6410">
      <w:pPr>
        <w:widowControl w:val="0"/>
        <w:autoSpaceDE w:val="0"/>
        <w:autoSpaceDN w:val="0"/>
        <w:adjustRightInd w:val="0"/>
        <w:spacing w:line="240" w:lineRule="auto"/>
        <w:ind w:left="480" w:hanging="480"/>
        <w:rPr>
          <w:rFonts w:ascii="Times New Roman" w:hAnsi="Times New Roman" w:cs="Times New Roman"/>
          <w:noProof/>
          <w:sz w:val="14"/>
          <w:szCs w:val="14"/>
        </w:rPr>
      </w:pPr>
      <w:r w:rsidRPr="0009565C">
        <w:rPr>
          <w:rFonts w:ascii="Times New Roman" w:hAnsi="Times New Roman" w:cs="Times New Roman"/>
          <w:noProof/>
          <w:sz w:val="14"/>
          <w:szCs w:val="14"/>
        </w:rPr>
        <w:t>Whatmore, S., Stassart, P., Renting, H., 2003. What’s Alternative about Alternative Food Networks? Environ. Plan. A Econ. Sp. https://doi.org/10.1068/a3621</w:t>
      </w:r>
    </w:p>
    <w:p w14:paraId="60353BE9" w14:textId="7FC7D295" w:rsidR="00092586" w:rsidRPr="008C1952" w:rsidRDefault="009B6410" w:rsidP="00C74082">
      <w:pPr>
        <w:rPr>
          <w:rFonts w:ascii="Times New Roman" w:eastAsia="Times New Roman" w:hAnsi="Times New Roman" w:cs="Times New Roman"/>
          <w:b/>
          <w:bCs/>
          <w:color w:val="000000" w:themeColor="text1"/>
          <w:sz w:val="16"/>
          <w:szCs w:val="16"/>
          <w:lang w:eastAsia="en-GB"/>
        </w:rPr>
      </w:pPr>
      <w:r w:rsidRPr="0009565C">
        <w:rPr>
          <w:rFonts w:ascii="Times New Roman" w:eastAsia="Times New Roman" w:hAnsi="Times New Roman" w:cs="Times New Roman"/>
          <w:b/>
          <w:bCs/>
          <w:color w:val="000000" w:themeColor="text1"/>
          <w:sz w:val="14"/>
          <w:szCs w:val="14"/>
          <w:lang w:eastAsia="en-GB"/>
        </w:rPr>
        <w:fldChar w:fldCharType="end"/>
      </w:r>
    </w:p>
    <w:sectPr w:rsidR="00092586" w:rsidRPr="008C1952" w:rsidSect="00EB48E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7C236B" w14:textId="77777777" w:rsidR="00126242" w:rsidRDefault="00126242" w:rsidP="00576F40">
      <w:pPr>
        <w:spacing w:after="0" w:line="240" w:lineRule="auto"/>
      </w:pPr>
      <w:r>
        <w:separator/>
      </w:r>
    </w:p>
  </w:endnote>
  <w:endnote w:type="continuationSeparator" w:id="0">
    <w:p w14:paraId="21B87AE7" w14:textId="77777777" w:rsidR="00126242" w:rsidRDefault="00126242" w:rsidP="00576F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37352347"/>
      <w:docPartObj>
        <w:docPartGallery w:val="Page Numbers (Bottom of Page)"/>
        <w:docPartUnique/>
      </w:docPartObj>
    </w:sdtPr>
    <w:sdtContent>
      <w:p w14:paraId="7AB95DAB" w14:textId="51D00119" w:rsidR="008C0ED7" w:rsidRDefault="008C0ED7">
        <w:pPr>
          <w:pStyle w:val="Pidipagina"/>
          <w:jc w:val="center"/>
        </w:pPr>
        <w:r>
          <w:fldChar w:fldCharType="begin"/>
        </w:r>
        <w:r>
          <w:instrText>PAGE   \* MERGEFORMAT</w:instrText>
        </w:r>
        <w:r>
          <w:fldChar w:fldCharType="separate"/>
        </w:r>
        <w:r>
          <w:rPr>
            <w:lang w:val="it-IT"/>
          </w:rPr>
          <w:t>2</w:t>
        </w:r>
        <w:r>
          <w:fldChar w:fldCharType="end"/>
        </w:r>
      </w:p>
    </w:sdtContent>
  </w:sdt>
  <w:p w14:paraId="582C605F" w14:textId="77777777" w:rsidR="008C0ED7" w:rsidRDefault="008C0ED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C1B846" w14:textId="77777777" w:rsidR="00126242" w:rsidRDefault="00126242" w:rsidP="00576F40">
      <w:pPr>
        <w:spacing w:after="0" w:line="240" w:lineRule="auto"/>
      </w:pPr>
      <w:r>
        <w:separator/>
      </w:r>
    </w:p>
  </w:footnote>
  <w:footnote w:type="continuationSeparator" w:id="0">
    <w:p w14:paraId="1E812F53" w14:textId="77777777" w:rsidR="00126242" w:rsidRDefault="00126242" w:rsidP="00576F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B3D0CC" w14:textId="0CCB8743" w:rsidR="008C0ED7" w:rsidRDefault="008C0ED7">
    <w:pPr>
      <w:pStyle w:val="Intestazione"/>
      <w:jc w:val="center"/>
    </w:pPr>
  </w:p>
  <w:p w14:paraId="5DCA5F96" w14:textId="77777777" w:rsidR="008C0ED7" w:rsidRDefault="008C0ED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C28AE7"/>
    <w:multiLevelType w:val="hybridMultilevel"/>
    <w:tmpl w:val="FFBA3602"/>
    <w:lvl w:ilvl="0" w:tplc="7CF8B10A">
      <w:start w:val="1"/>
      <w:numFmt w:val="bullet"/>
      <w:lvlText w:val="·"/>
      <w:lvlJc w:val="left"/>
      <w:pPr>
        <w:ind w:left="720" w:hanging="360"/>
      </w:pPr>
      <w:rPr>
        <w:rFonts w:ascii="Symbol" w:hAnsi="Symbol" w:hint="default"/>
      </w:rPr>
    </w:lvl>
    <w:lvl w:ilvl="1" w:tplc="8342F444">
      <w:start w:val="1"/>
      <w:numFmt w:val="bullet"/>
      <w:lvlText w:val="o"/>
      <w:lvlJc w:val="left"/>
      <w:pPr>
        <w:ind w:left="1440" w:hanging="360"/>
      </w:pPr>
      <w:rPr>
        <w:rFonts w:ascii="Courier New" w:hAnsi="Courier New" w:hint="default"/>
      </w:rPr>
    </w:lvl>
    <w:lvl w:ilvl="2" w:tplc="7E10A1FE">
      <w:start w:val="1"/>
      <w:numFmt w:val="bullet"/>
      <w:lvlText w:val=""/>
      <w:lvlJc w:val="left"/>
      <w:pPr>
        <w:ind w:left="2160" w:hanging="360"/>
      </w:pPr>
      <w:rPr>
        <w:rFonts w:ascii="Wingdings" w:hAnsi="Wingdings" w:hint="default"/>
      </w:rPr>
    </w:lvl>
    <w:lvl w:ilvl="3" w:tplc="14E84B0E">
      <w:start w:val="1"/>
      <w:numFmt w:val="bullet"/>
      <w:lvlText w:val=""/>
      <w:lvlJc w:val="left"/>
      <w:pPr>
        <w:ind w:left="2880" w:hanging="360"/>
      </w:pPr>
      <w:rPr>
        <w:rFonts w:ascii="Symbol" w:hAnsi="Symbol" w:hint="default"/>
      </w:rPr>
    </w:lvl>
    <w:lvl w:ilvl="4" w:tplc="B1E893B4">
      <w:start w:val="1"/>
      <w:numFmt w:val="bullet"/>
      <w:lvlText w:val="o"/>
      <w:lvlJc w:val="left"/>
      <w:pPr>
        <w:ind w:left="3600" w:hanging="360"/>
      </w:pPr>
      <w:rPr>
        <w:rFonts w:ascii="Courier New" w:hAnsi="Courier New" w:hint="default"/>
      </w:rPr>
    </w:lvl>
    <w:lvl w:ilvl="5" w:tplc="E4C4BDFA">
      <w:start w:val="1"/>
      <w:numFmt w:val="bullet"/>
      <w:lvlText w:val=""/>
      <w:lvlJc w:val="left"/>
      <w:pPr>
        <w:ind w:left="4320" w:hanging="360"/>
      </w:pPr>
      <w:rPr>
        <w:rFonts w:ascii="Wingdings" w:hAnsi="Wingdings" w:hint="default"/>
      </w:rPr>
    </w:lvl>
    <w:lvl w:ilvl="6" w:tplc="A93ACAE4">
      <w:start w:val="1"/>
      <w:numFmt w:val="bullet"/>
      <w:lvlText w:val=""/>
      <w:lvlJc w:val="left"/>
      <w:pPr>
        <w:ind w:left="5040" w:hanging="360"/>
      </w:pPr>
      <w:rPr>
        <w:rFonts w:ascii="Symbol" w:hAnsi="Symbol" w:hint="default"/>
      </w:rPr>
    </w:lvl>
    <w:lvl w:ilvl="7" w:tplc="20D8464E">
      <w:start w:val="1"/>
      <w:numFmt w:val="bullet"/>
      <w:lvlText w:val="o"/>
      <w:lvlJc w:val="left"/>
      <w:pPr>
        <w:ind w:left="5760" w:hanging="360"/>
      </w:pPr>
      <w:rPr>
        <w:rFonts w:ascii="Courier New" w:hAnsi="Courier New" w:hint="default"/>
      </w:rPr>
    </w:lvl>
    <w:lvl w:ilvl="8" w:tplc="7CA6619C">
      <w:start w:val="1"/>
      <w:numFmt w:val="bullet"/>
      <w:lvlText w:val=""/>
      <w:lvlJc w:val="left"/>
      <w:pPr>
        <w:ind w:left="6480" w:hanging="360"/>
      </w:pPr>
      <w:rPr>
        <w:rFonts w:ascii="Wingdings" w:hAnsi="Wingdings" w:hint="default"/>
      </w:rPr>
    </w:lvl>
  </w:abstractNum>
  <w:abstractNum w:abstractNumId="1" w15:restartNumberingAfterBreak="0">
    <w:nsid w:val="06B863BA"/>
    <w:multiLevelType w:val="hybridMultilevel"/>
    <w:tmpl w:val="B2DC48E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 w15:restartNumberingAfterBreak="0">
    <w:nsid w:val="0A226EE1"/>
    <w:multiLevelType w:val="hybridMultilevel"/>
    <w:tmpl w:val="F776F304"/>
    <w:lvl w:ilvl="0" w:tplc="7ECE26F6">
      <w:start w:val="2"/>
      <w:numFmt w:val="bullet"/>
      <w:lvlText w:val="-"/>
      <w:lvlJc w:val="left"/>
      <w:pPr>
        <w:ind w:left="720" w:hanging="360"/>
      </w:pPr>
      <w:rPr>
        <w:rFonts w:ascii="Palatino Linotype" w:eastAsia="Times New Roman" w:hAnsi="Palatino Linotype"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3F47D2"/>
    <w:multiLevelType w:val="hybridMultilevel"/>
    <w:tmpl w:val="A606D7BE"/>
    <w:lvl w:ilvl="0" w:tplc="126ACE0C">
      <w:start w:val="1"/>
      <w:numFmt w:val="bullet"/>
      <w:lvlText w:val="·"/>
      <w:lvlJc w:val="left"/>
      <w:pPr>
        <w:ind w:left="720" w:hanging="360"/>
      </w:pPr>
      <w:rPr>
        <w:rFonts w:ascii="Symbol" w:hAnsi="Symbol" w:hint="default"/>
      </w:rPr>
    </w:lvl>
    <w:lvl w:ilvl="1" w:tplc="2EE22142">
      <w:start w:val="1"/>
      <w:numFmt w:val="bullet"/>
      <w:lvlText w:val="o"/>
      <w:lvlJc w:val="left"/>
      <w:pPr>
        <w:ind w:left="1440" w:hanging="360"/>
      </w:pPr>
      <w:rPr>
        <w:rFonts w:ascii="Courier New" w:hAnsi="Courier New" w:hint="default"/>
      </w:rPr>
    </w:lvl>
    <w:lvl w:ilvl="2" w:tplc="2F927A62">
      <w:start w:val="1"/>
      <w:numFmt w:val="bullet"/>
      <w:lvlText w:val=""/>
      <w:lvlJc w:val="left"/>
      <w:pPr>
        <w:ind w:left="2160" w:hanging="360"/>
      </w:pPr>
      <w:rPr>
        <w:rFonts w:ascii="Wingdings" w:hAnsi="Wingdings" w:hint="default"/>
      </w:rPr>
    </w:lvl>
    <w:lvl w:ilvl="3" w:tplc="92CAEE44">
      <w:start w:val="1"/>
      <w:numFmt w:val="bullet"/>
      <w:lvlText w:val=""/>
      <w:lvlJc w:val="left"/>
      <w:pPr>
        <w:ind w:left="2880" w:hanging="360"/>
      </w:pPr>
      <w:rPr>
        <w:rFonts w:ascii="Symbol" w:hAnsi="Symbol" w:hint="default"/>
      </w:rPr>
    </w:lvl>
    <w:lvl w:ilvl="4" w:tplc="299E1BCA">
      <w:start w:val="1"/>
      <w:numFmt w:val="bullet"/>
      <w:lvlText w:val="o"/>
      <w:lvlJc w:val="left"/>
      <w:pPr>
        <w:ind w:left="3600" w:hanging="360"/>
      </w:pPr>
      <w:rPr>
        <w:rFonts w:ascii="Courier New" w:hAnsi="Courier New" w:hint="default"/>
      </w:rPr>
    </w:lvl>
    <w:lvl w:ilvl="5" w:tplc="7AAED070">
      <w:start w:val="1"/>
      <w:numFmt w:val="bullet"/>
      <w:lvlText w:val=""/>
      <w:lvlJc w:val="left"/>
      <w:pPr>
        <w:ind w:left="4320" w:hanging="360"/>
      </w:pPr>
      <w:rPr>
        <w:rFonts w:ascii="Wingdings" w:hAnsi="Wingdings" w:hint="default"/>
      </w:rPr>
    </w:lvl>
    <w:lvl w:ilvl="6" w:tplc="F878A714">
      <w:start w:val="1"/>
      <w:numFmt w:val="bullet"/>
      <w:lvlText w:val=""/>
      <w:lvlJc w:val="left"/>
      <w:pPr>
        <w:ind w:left="5040" w:hanging="360"/>
      </w:pPr>
      <w:rPr>
        <w:rFonts w:ascii="Symbol" w:hAnsi="Symbol" w:hint="default"/>
      </w:rPr>
    </w:lvl>
    <w:lvl w:ilvl="7" w:tplc="47D0769E">
      <w:start w:val="1"/>
      <w:numFmt w:val="bullet"/>
      <w:lvlText w:val="o"/>
      <w:lvlJc w:val="left"/>
      <w:pPr>
        <w:ind w:left="5760" w:hanging="360"/>
      </w:pPr>
      <w:rPr>
        <w:rFonts w:ascii="Courier New" w:hAnsi="Courier New" w:hint="default"/>
      </w:rPr>
    </w:lvl>
    <w:lvl w:ilvl="8" w:tplc="11B0CF7C">
      <w:start w:val="1"/>
      <w:numFmt w:val="bullet"/>
      <w:lvlText w:val=""/>
      <w:lvlJc w:val="left"/>
      <w:pPr>
        <w:ind w:left="6480" w:hanging="360"/>
      </w:pPr>
      <w:rPr>
        <w:rFonts w:ascii="Wingdings" w:hAnsi="Wingdings" w:hint="default"/>
      </w:rPr>
    </w:lvl>
  </w:abstractNum>
  <w:abstractNum w:abstractNumId="4" w15:restartNumberingAfterBreak="0">
    <w:nsid w:val="0B766477"/>
    <w:multiLevelType w:val="hybridMultilevel"/>
    <w:tmpl w:val="D32E0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431CEE"/>
    <w:multiLevelType w:val="hybridMultilevel"/>
    <w:tmpl w:val="567C258A"/>
    <w:lvl w:ilvl="0" w:tplc="D5EAF3A2">
      <w:start w:val="1"/>
      <w:numFmt w:val="lowerLetter"/>
      <w:lvlText w:val="%1)"/>
      <w:lvlJc w:val="left"/>
      <w:pPr>
        <w:ind w:left="644" w:hanging="360"/>
      </w:pPr>
      <w:rPr>
        <w:rFonts w:ascii="Palatino Linotype" w:hAnsi="Palatino Linotype"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6" w15:restartNumberingAfterBreak="0">
    <w:nsid w:val="1662730A"/>
    <w:multiLevelType w:val="hybridMultilevel"/>
    <w:tmpl w:val="1BBC7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42106B"/>
    <w:multiLevelType w:val="hybridMultilevel"/>
    <w:tmpl w:val="19728E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07F5B8"/>
    <w:multiLevelType w:val="hybridMultilevel"/>
    <w:tmpl w:val="02F2759A"/>
    <w:lvl w:ilvl="0" w:tplc="184A2CD8">
      <w:start w:val="1"/>
      <w:numFmt w:val="bullet"/>
      <w:lvlText w:val="·"/>
      <w:lvlJc w:val="left"/>
      <w:pPr>
        <w:ind w:left="720" w:hanging="360"/>
      </w:pPr>
      <w:rPr>
        <w:rFonts w:ascii="Symbol" w:hAnsi="Symbol" w:hint="default"/>
      </w:rPr>
    </w:lvl>
    <w:lvl w:ilvl="1" w:tplc="AB0EBA0C">
      <w:start w:val="1"/>
      <w:numFmt w:val="bullet"/>
      <w:lvlText w:val="o"/>
      <w:lvlJc w:val="left"/>
      <w:pPr>
        <w:ind w:left="1440" w:hanging="360"/>
      </w:pPr>
      <w:rPr>
        <w:rFonts w:ascii="Courier New" w:hAnsi="Courier New" w:hint="default"/>
      </w:rPr>
    </w:lvl>
    <w:lvl w:ilvl="2" w:tplc="006A407E">
      <w:start w:val="1"/>
      <w:numFmt w:val="bullet"/>
      <w:lvlText w:val=""/>
      <w:lvlJc w:val="left"/>
      <w:pPr>
        <w:ind w:left="2160" w:hanging="360"/>
      </w:pPr>
      <w:rPr>
        <w:rFonts w:ascii="Wingdings" w:hAnsi="Wingdings" w:hint="default"/>
      </w:rPr>
    </w:lvl>
    <w:lvl w:ilvl="3" w:tplc="6DEA4C5A">
      <w:start w:val="1"/>
      <w:numFmt w:val="bullet"/>
      <w:lvlText w:val=""/>
      <w:lvlJc w:val="left"/>
      <w:pPr>
        <w:ind w:left="2880" w:hanging="360"/>
      </w:pPr>
      <w:rPr>
        <w:rFonts w:ascii="Symbol" w:hAnsi="Symbol" w:hint="default"/>
      </w:rPr>
    </w:lvl>
    <w:lvl w:ilvl="4" w:tplc="67D496CC">
      <w:start w:val="1"/>
      <w:numFmt w:val="bullet"/>
      <w:lvlText w:val="o"/>
      <w:lvlJc w:val="left"/>
      <w:pPr>
        <w:ind w:left="3600" w:hanging="360"/>
      </w:pPr>
      <w:rPr>
        <w:rFonts w:ascii="Courier New" w:hAnsi="Courier New" w:hint="default"/>
      </w:rPr>
    </w:lvl>
    <w:lvl w:ilvl="5" w:tplc="AA3ADDCC">
      <w:start w:val="1"/>
      <w:numFmt w:val="bullet"/>
      <w:lvlText w:val=""/>
      <w:lvlJc w:val="left"/>
      <w:pPr>
        <w:ind w:left="4320" w:hanging="360"/>
      </w:pPr>
      <w:rPr>
        <w:rFonts w:ascii="Wingdings" w:hAnsi="Wingdings" w:hint="default"/>
      </w:rPr>
    </w:lvl>
    <w:lvl w:ilvl="6" w:tplc="A00C634C">
      <w:start w:val="1"/>
      <w:numFmt w:val="bullet"/>
      <w:lvlText w:val=""/>
      <w:lvlJc w:val="left"/>
      <w:pPr>
        <w:ind w:left="5040" w:hanging="360"/>
      </w:pPr>
      <w:rPr>
        <w:rFonts w:ascii="Symbol" w:hAnsi="Symbol" w:hint="default"/>
      </w:rPr>
    </w:lvl>
    <w:lvl w:ilvl="7" w:tplc="E976DCE8">
      <w:start w:val="1"/>
      <w:numFmt w:val="bullet"/>
      <w:lvlText w:val="o"/>
      <w:lvlJc w:val="left"/>
      <w:pPr>
        <w:ind w:left="5760" w:hanging="360"/>
      </w:pPr>
      <w:rPr>
        <w:rFonts w:ascii="Courier New" w:hAnsi="Courier New" w:hint="default"/>
      </w:rPr>
    </w:lvl>
    <w:lvl w:ilvl="8" w:tplc="5E765758">
      <w:start w:val="1"/>
      <w:numFmt w:val="bullet"/>
      <w:lvlText w:val=""/>
      <w:lvlJc w:val="left"/>
      <w:pPr>
        <w:ind w:left="6480" w:hanging="360"/>
      </w:pPr>
      <w:rPr>
        <w:rFonts w:ascii="Wingdings" w:hAnsi="Wingdings" w:hint="default"/>
      </w:rPr>
    </w:lvl>
  </w:abstractNum>
  <w:abstractNum w:abstractNumId="9" w15:restartNumberingAfterBreak="0">
    <w:nsid w:val="1EF84948"/>
    <w:multiLevelType w:val="hybridMultilevel"/>
    <w:tmpl w:val="B2A622D4"/>
    <w:lvl w:ilvl="0" w:tplc="A19C5AF8">
      <w:start w:val="1"/>
      <w:numFmt w:val="decimal"/>
      <w:lvlText w:val="%1."/>
      <w:lvlJc w:val="left"/>
      <w:pPr>
        <w:ind w:left="720" w:hanging="360"/>
      </w:pPr>
      <w:rPr>
        <w:rFonts w:hint="default"/>
        <w:b w:val="0"/>
        <w:bCs w:val="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D25C802"/>
    <w:multiLevelType w:val="hybridMultilevel"/>
    <w:tmpl w:val="D922A00A"/>
    <w:lvl w:ilvl="0" w:tplc="0FE40C1A">
      <w:start w:val="1"/>
      <w:numFmt w:val="bullet"/>
      <w:lvlText w:val="-"/>
      <w:lvlJc w:val="left"/>
      <w:pPr>
        <w:ind w:left="720" w:hanging="360"/>
      </w:pPr>
      <w:rPr>
        <w:rFonts w:ascii="Aptos" w:hAnsi="Aptos" w:hint="default"/>
      </w:rPr>
    </w:lvl>
    <w:lvl w:ilvl="1" w:tplc="C7548D82">
      <w:start w:val="1"/>
      <w:numFmt w:val="bullet"/>
      <w:lvlText w:val="o"/>
      <w:lvlJc w:val="left"/>
      <w:pPr>
        <w:ind w:left="1440" w:hanging="360"/>
      </w:pPr>
      <w:rPr>
        <w:rFonts w:ascii="Courier New" w:hAnsi="Courier New" w:hint="default"/>
      </w:rPr>
    </w:lvl>
    <w:lvl w:ilvl="2" w:tplc="2B48B300">
      <w:start w:val="1"/>
      <w:numFmt w:val="bullet"/>
      <w:lvlText w:val=""/>
      <w:lvlJc w:val="left"/>
      <w:pPr>
        <w:ind w:left="2160" w:hanging="360"/>
      </w:pPr>
      <w:rPr>
        <w:rFonts w:ascii="Wingdings" w:hAnsi="Wingdings" w:hint="default"/>
      </w:rPr>
    </w:lvl>
    <w:lvl w:ilvl="3" w:tplc="76260838">
      <w:start w:val="1"/>
      <w:numFmt w:val="bullet"/>
      <w:lvlText w:val=""/>
      <w:lvlJc w:val="left"/>
      <w:pPr>
        <w:ind w:left="2880" w:hanging="360"/>
      </w:pPr>
      <w:rPr>
        <w:rFonts w:ascii="Symbol" w:hAnsi="Symbol" w:hint="default"/>
      </w:rPr>
    </w:lvl>
    <w:lvl w:ilvl="4" w:tplc="8E34E1CA">
      <w:start w:val="1"/>
      <w:numFmt w:val="bullet"/>
      <w:lvlText w:val="o"/>
      <w:lvlJc w:val="left"/>
      <w:pPr>
        <w:ind w:left="3600" w:hanging="360"/>
      </w:pPr>
      <w:rPr>
        <w:rFonts w:ascii="Courier New" w:hAnsi="Courier New" w:hint="default"/>
      </w:rPr>
    </w:lvl>
    <w:lvl w:ilvl="5" w:tplc="9CC4A53E">
      <w:start w:val="1"/>
      <w:numFmt w:val="bullet"/>
      <w:lvlText w:val=""/>
      <w:lvlJc w:val="left"/>
      <w:pPr>
        <w:ind w:left="4320" w:hanging="360"/>
      </w:pPr>
      <w:rPr>
        <w:rFonts w:ascii="Wingdings" w:hAnsi="Wingdings" w:hint="default"/>
      </w:rPr>
    </w:lvl>
    <w:lvl w:ilvl="6" w:tplc="D0AC161A">
      <w:start w:val="1"/>
      <w:numFmt w:val="bullet"/>
      <w:lvlText w:val=""/>
      <w:lvlJc w:val="left"/>
      <w:pPr>
        <w:ind w:left="5040" w:hanging="360"/>
      </w:pPr>
      <w:rPr>
        <w:rFonts w:ascii="Symbol" w:hAnsi="Symbol" w:hint="default"/>
      </w:rPr>
    </w:lvl>
    <w:lvl w:ilvl="7" w:tplc="614C25AA">
      <w:start w:val="1"/>
      <w:numFmt w:val="bullet"/>
      <w:lvlText w:val="o"/>
      <w:lvlJc w:val="left"/>
      <w:pPr>
        <w:ind w:left="5760" w:hanging="360"/>
      </w:pPr>
      <w:rPr>
        <w:rFonts w:ascii="Courier New" w:hAnsi="Courier New" w:hint="default"/>
      </w:rPr>
    </w:lvl>
    <w:lvl w:ilvl="8" w:tplc="677EC540">
      <w:start w:val="1"/>
      <w:numFmt w:val="bullet"/>
      <w:lvlText w:val=""/>
      <w:lvlJc w:val="left"/>
      <w:pPr>
        <w:ind w:left="6480" w:hanging="360"/>
      </w:pPr>
      <w:rPr>
        <w:rFonts w:ascii="Wingdings" w:hAnsi="Wingdings" w:hint="default"/>
      </w:rPr>
    </w:lvl>
  </w:abstractNum>
  <w:abstractNum w:abstractNumId="11" w15:restartNumberingAfterBreak="0">
    <w:nsid w:val="3FE680AA"/>
    <w:multiLevelType w:val="hybridMultilevel"/>
    <w:tmpl w:val="B2DC48E4"/>
    <w:lvl w:ilvl="0" w:tplc="FFFFFFFF">
      <w:start w:val="1"/>
      <w:numFmt w:val="decimal"/>
      <w:lvlText w:val="%1."/>
      <w:lvlJc w:val="left"/>
      <w:pPr>
        <w:ind w:left="720" w:hanging="360"/>
      </w:pPr>
    </w:lvl>
    <w:lvl w:ilvl="1" w:tplc="5350AB88">
      <w:start w:val="1"/>
      <w:numFmt w:val="lowerLetter"/>
      <w:lvlText w:val="%2."/>
      <w:lvlJc w:val="left"/>
      <w:pPr>
        <w:ind w:left="1440" w:hanging="360"/>
      </w:pPr>
    </w:lvl>
    <w:lvl w:ilvl="2" w:tplc="359C1242">
      <w:start w:val="1"/>
      <w:numFmt w:val="lowerRoman"/>
      <w:lvlText w:val="%3."/>
      <w:lvlJc w:val="right"/>
      <w:pPr>
        <w:ind w:left="2160" w:hanging="180"/>
      </w:pPr>
    </w:lvl>
    <w:lvl w:ilvl="3" w:tplc="ED4ABF5A">
      <w:start w:val="1"/>
      <w:numFmt w:val="decimal"/>
      <w:lvlText w:val="%4."/>
      <w:lvlJc w:val="left"/>
      <w:pPr>
        <w:ind w:left="2880" w:hanging="360"/>
      </w:pPr>
    </w:lvl>
    <w:lvl w:ilvl="4" w:tplc="5CC8EF96">
      <w:start w:val="1"/>
      <w:numFmt w:val="lowerLetter"/>
      <w:lvlText w:val="%5."/>
      <w:lvlJc w:val="left"/>
      <w:pPr>
        <w:ind w:left="3600" w:hanging="360"/>
      </w:pPr>
    </w:lvl>
    <w:lvl w:ilvl="5" w:tplc="FB5829A8">
      <w:start w:val="1"/>
      <w:numFmt w:val="lowerRoman"/>
      <w:lvlText w:val="%6."/>
      <w:lvlJc w:val="right"/>
      <w:pPr>
        <w:ind w:left="4320" w:hanging="180"/>
      </w:pPr>
    </w:lvl>
    <w:lvl w:ilvl="6" w:tplc="5894AB82">
      <w:start w:val="1"/>
      <w:numFmt w:val="decimal"/>
      <w:lvlText w:val="%7."/>
      <w:lvlJc w:val="left"/>
      <w:pPr>
        <w:ind w:left="5040" w:hanging="360"/>
      </w:pPr>
    </w:lvl>
    <w:lvl w:ilvl="7" w:tplc="4B28A7AE">
      <w:start w:val="1"/>
      <w:numFmt w:val="lowerLetter"/>
      <w:lvlText w:val="%8."/>
      <w:lvlJc w:val="left"/>
      <w:pPr>
        <w:ind w:left="5760" w:hanging="360"/>
      </w:pPr>
    </w:lvl>
    <w:lvl w:ilvl="8" w:tplc="48369D96">
      <w:start w:val="1"/>
      <w:numFmt w:val="lowerRoman"/>
      <w:lvlText w:val="%9."/>
      <w:lvlJc w:val="right"/>
      <w:pPr>
        <w:ind w:left="6480" w:hanging="180"/>
      </w:pPr>
    </w:lvl>
  </w:abstractNum>
  <w:abstractNum w:abstractNumId="12" w15:restartNumberingAfterBreak="0">
    <w:nsid w:val="42D17E3F"/>
    <w:multiLevelType w:val="hybridMultilevel"/>
    <w:tmpl w:val="235E327C"/>
    <w:lvl w:ilvl="0" w:tplc="D5EAF3A2">
      <w:start w:val="1"/>
      <w:numFmt w:val="lowerLetter"/>
      <w:lvlText w:val="%1)"/>
      <w:lvlJc w:val="left"/>
      <w:pPr>
        <w:ind w:left="644" w:hanging="360"/>
      </w:pPr>
      <w:rPr>
        <w:rFonts w:ascii="Palatino Linotype" w:hAnsi="Palatino Linotype"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683540A"/>
    <w:multiLevelType w:val="hybridMultilevel"/>
    <w:tmpl w:val="F99A4A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3B17D78"/>
    <w:multiLevelType w:val="hybridMultilevel"/>
    <w:tmpl w:val="7B225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DA11037"/>
    <w:multiLevelType w:val="hybridMultilevel"/>
    <w:tmpl w:val="8082A38E"/>
    <w:lvl w:ilvl="0" w:tplc="0809000F">
      <w:start w:val="1"/>
      <w:numFmt w:val="decimal"/>
      <w:lvlText w:val="%1."/>
      <w:lvlJc w:val="left"/>
      <w:pPr>
        <w:ind w:left="64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ACA648D"/>
    <w:multiLevelType w:val="hybridMultilevel"/>
    <w:tmpl w:val="F2FEA254"/>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B8CFDD"/>
    <w:multiLevelType w:val="hybridMultilevel"/>
    <w:tmpl w:val="8AEE2CDE"/>
    <w:lvl w:ilvl="0" w:tplc="91B65886">
      <w:start w:val="1"/>
      <w:numFmt w:val="bullet"/>
      <w:lvlText w:val="·"/>
      <w:lvlJc w:val="left"/>
      <w:pPr>
        <w:ind w:left="720" w:hanging="360"/>
      </w:pPr>
      <w:rPr>
        <w:rFonts w:ascii="Symbol" w:hAnsi="Symbol" w:hint="default"/>
      </w:rPr>
    </w:lvl>
    <w:lvl w:ilvl="1" w:tplc="9A24F658">
      <w:start w:val="1"/>
      <w:numFmt w:val="bullet"/>
      <w:lvlText w:val="o"/>
      <w:lvlJc w:val="left"/>
      <w:pPr>
        <w:ind w:left="1440" w:hanging="360"/>
      </w:pPr>
      <w:rPr>
        <w:rFonts w:ascii="Courier New" w:hAnsi="Courier New" w:hint="default"/>
      </w:rPr>
    </w:lvl>
    <w:lvl w:ilvl="2" w:tplc="572A6D5C">
      <w:start w:val="1"/>
      <w:numFmt w:val="bullet"/>
      <w:lvlText w:val=""/>
      <w:lvlJc w:val="left"/>
      <w:pPr>
        <w:ind w:left="2160" w:hanging="360"/>
      </w:pPr>
      <w:rPr>
        <w:rFonts w:ascii="Wingdings" w:hAnsi="Wingdings" w:hint="default"/>
      </w:rPr>
    </w:lvl>
    <w:lvl w:ilvl="3" w:tplc="F880E2F6">
      <w:start w:val="1"/>
      <w:numFmt w:val="bullet"/>
      <w:lvlText w:val=""/>
      <w:lvlJc w:val="left"/>
      <w:pPr>
        <w:ind w:left="2880" w:hanging="360"/>
      </w:pPr>
      <w:rPr>
        <w:rFonts w:ascii="Symbol" w:hAnsi="Symbol" w:hint="default"/>
      </w:rPr>
    </w:lvl>
    <w:lvl w:ilvl="4" w:tplc="80883E2A">
      <w:start w:val="1"/>
      <w:numFmt w:val="bullet"/>
      <w:lvlText w:val="o"/>
      <w:lvlJc w:val="left"/>
      <w:pPr>
        <w:ind w:left="3600" w:hanging="360"/>
      </w:pPr>
      <w:rPr>
        <w:rFonts w:ascii="Courier New" w:hAnsi="Courier New" w:hint="default"/>
      </w:rPr>
    </w:lvl>
    <w:lvl w:ilvl="5" w:tplc="6448A4A0">
      <w:start w:val="1"/>
      <w:numFmt w:val="bullet"/>
      <w:lvlText w:val=""/>
      <w:lvlJc w:val="left"/>
      <w:pPr>
        <w:ind w:left="4320" w:hanging="360"/>
      </w:pPr>
      <w:rPr>
        <w:rFonts w:ascii="Wingdings" w:hAnsi="Wingdings" w:hint="default"/>
      </w:rPr>
    </w:lvl>
    <w:lvl w:ilvl="6" w:tplc="1FA445A6">
      <w:start w:val="1"/>
      <w:numFmt w:val="bullet"/>
      <w:lvlText w:val=""/>
      <w:lvlJc w:val="left"/>
      <w:pPr>
        <w:ind w:left="5040" w:hanging="360"/>
      </w:pPr>
      <w:rPr>
        <w:rFonts w:ascii="Symbol" w:hAnsi="Symbol" w:hint="default"/>
      </w:rPr>
    </w:lvl>
    <w:lvl w:ilvl="7" w:tplc="544A15AC">
      <w:start w:val="1"/>
      <w:numFmt w:val="bullet"/>
      <w:lvlText w:val="o"/>
      <w:lvlJc w:val="left"/>
      <w:pPr>
        <w:ind w:left="5760" w:hanging="360"/>
      </w:pPr>
      <w:rPr>
        <w:rFonts w:ascii="Courier New" w:hAnsi="Courier New" w:hint="default"/>
      </w:rPr>
    </w:lvl>
    <w:lvl w:ilvl="8" w:tplc="A538FDC4">
      <w:start w:val="1"/>
      <w:numFmt w:val="bullet"/>
      <w:lvlText w:val=""/>
      <w:lvlJc w:val="left"/>
      <w:pPr>
        <w:ind w:left="6480" w:hanging="360"/>
      </w:pPr>
      <w:rPr>
        <w:rFonts w:ascii="Wingdings" w:hAnsi="Wingdings" w:hint="default"/>
      </w:rPr>
    </w:lvl>
  </w:abstractNum>
  <w:num w:numId="1" w16cid:durableId="1239362326">
    <w:abstractNumId w:val="10"/>
  </w:num>
  <w:num w:numId="2" w16cid:durableId="577330106">
    <w:abstractNumId w:val="17"/>
  </w:num>
  <w:num w:numId="3" w16cid:durableId="876698873">
    <w:abstractNumId w:val="0"/>
  </w:num>
  <w:num w:numId="4" w16cid:durableId="1462727046">
    <w:abstractNumId w:val="8"/>
  </w:num>
  <w:num w:numId="5" w16cid:durableId="91820378">
    <w:abstractNumId w:val="3"/>
  </w:num>
  <w:num w:numId="6" w16cid:durableId="1823152508">
    <w:abstractNumId w:val="11"/>
  </w:num>
  <w:num w:numId="7" w16cid:durableId="2003121749">
    <w:abstractNumId w:val="4"/>
  </w:num>
  <w:num w:numId="8" w16cid:durableId="462163105">
    <w:abstractNumId w:val="13"/>
  </w:num>
  <w:num w:numId="9" w16cid:durableId="1450197925">
    <w:abstractNumId w:val="6"/>
  </w:num>
  <w:num w:numId="10" w16cid:durableId="2139713883">
    <w:abstractNumId w:val="5"/>
  </w:num>
  <w:num w:numId="11" w16cid:durableId="966398308">
    <w:abstractNumId w:val="16"/>
  </w:num>
  <w:num w:numId="12" w16cid:durableId="1240869614">
    <w:abstractNumId w:val="12"/>
  </w:num>
  <w:num w:numId="13" w16cid:durableId="2084446792">
    <w:abstractNumId w:val="15"/>
  </w:num>
  <w:num w:numId="14" w16cid:durableId="68116644">
    <w:abstractNumId w:val="14"/>
  </w:num>
  <w:num w:numId="15" w16cid:durableId="55706348">
    <w:abstractNumId w:val="9"/>
  </w:num>
  <w:num w:numId="16" w16cid:durableId="48454467">
    <w:abstractNumId w:val="2"/>
  </w:num>
  <w:num w:numId="17" w16cid:durableId="435100151">
    <w:abstractNumId w:val="1"/>
  </w:num>
  <w:num w:numId="18" w16cid:durableId="17473276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754"/>
    <w:rsid w:val="0000565E"/>
    <w:rsid w:val="0001111F"/>
    <w:rsid w:val="00016AD8"/>
    <w:rsid w:val="000450C2"/>
    <w:rsid w:val="00061596"/>
    <w:rsid w:val="0007787A"/>
    <w:rsid w:val="00092586"/>
    <w:rsid w:val="0009565C"/>
    <w:rsid w:val="000B1754"/>
    <w:rsid w:val="000B4662"/>
    <w:rsid w:val="000C3757"/>
    <w:rsid w:val="000C7ECA"/>
    <w:rsid w:val="000D4D30"/>
    <w:rsid w:val="000D6858"/>
    <w:rsid w:val="000F1B43"/>
    <w:rsid w:val="001111B8"/>
    <w:rsid w:val="00115BC3"/>
    <w:rsid w:val="00123754"/>
    <w:rsid w:val="00126242"/>
    <w:rsid w:val="001301AF"/>
    <w:rsid w:val="001362E3"/>
    <w:rsid w:val="00142A1C"/>
    <w:rsid w:val="00152573"/>
    <w:rsid w:val="00174492"/>
    <w:rsid w:val="00177513"/>
    <w:rsid w:val="001A0451"/>
    <w:rsid w:val="001A2F16"/>
    <w:rsid w:val="001A3C00"/>
    <w:rsid w:val="001B6239"/>
    <w:rsid w:val="00204306"/>
    <w:rsid w:val="002107A4"/>
    <w:rsid w:val="002158C9"/>
    <w:rsid w:val="00282C6E"/>
    <w:rsid w:val="002C4F8E"/>
    <w:rsid w:val="002D0615"/>
    <w:rsid w:val="002D090A"/>
    <w:rsid w:val="002D4BC6"/>
    <w:rsid w:val="00311827"/>
    <w:rsid w:val="00335BC4"/>
    <w:rsid w:val="003375CC"/>
    <w:rsid w:val="00344B53"/>
    <w:rsid w:val="00355EB0"/>
    <w:rsid w:val="003631F5"/>
    <w:rsid w:val="0037F527"/>
    <w:rsid w:val="00383E8E"/>
    <w:rsid w:val="003B5916"/>
    <w:rsid w:val="003C46F0"/>
    <w:rsid w:val="003C78D0"/>
    <w:rsid w:val="00403F2B"/>
    <w:rsid w:val="00423BD8"/>
    <w:rsid w:val="004253B0"/>
    <w:rsid w:val="0043022D"/>
    <w:rsid w:val="00431334"/>
    <w:rsid w:val="004322E2"/>
    <w:rsid w:val="00442100"/>
    <w:rsid w:val="00446E57"/>
    <w:rsid w:val="0045658D"/>
    <w:rsid w:val="0047256C"/>
    <w:rsid w:val="004A367A"/>
    <w:rsid w:val="004C325D"/>
    <w:rsid w:val="004C3787"/>
    <w:rsid w:val="004D06EF"/>
    <w:rsid w:val="004E7E81"/>
    <w:rsid w:val="00506440"/>
    <w:rsid w:val="00576F40"/>
    <w:rsid w:val="005832E7"/>
    <w:rsid w:val="005D37B7"/>
    <w:rsid w:val="005E5B05"/>
    <w:rsid w:val="0064403A"/>
    <w:rsid w:val="0064712D"/>
    <w:rsid w:val="006A1E29"/>
    <w:rsid w:val="006A3BCB"/>
    <w:rsid w:val="006B06BF"/>
    <w:rsid w:val="006B0C0E"/>
    <w:rsid w:val="006B5C27"/>
    <w:rsid w:val="006D1DF5"/>
    <w:rsid w:val="006D7EAC"/>
    <w:rsid w:val="006E167B"/>
    <w:rsid w:val="00706787"/>
    <w:rsid w:val="0070756D"/>
    <w:rsid w:val="00743153"/>
    <w:rsid w:val="00774657"/>
    <w:rsid w:val="00786102"/>
    <w:rsid w:val="00791D05"/>
    <w:rsid w:val="007956BD"/>
    <w:rsid w:val="007C12D3"/>
    <w:rsid w:val="007E3A07"/>
    <w:rsid w:val="007EE895"/>
    <w:rsid w:val="007F185A"/>
    <w:rsid w:val="007F4147"/>
    <w:rsid w:val="008124F5"/>
    <w:rsid w:val="00854DD3"/>
    <w:rsid w:val="008727A7"/>
    <w:rsid w:val="00897BBF"/>
    <w:rsid w:val="008B5256"/>
    <w:rsid w:val="008B6A2F"/>
    <w:rsid w:val="008C05BD"/>
    <w:rsid w:val="008C0ED7"/>
    <w:rsid w:val="008C1952"/>
    <w:rsid w:val="008D5259"/>
    <w:rsid w:val="008D53A9"/>
    <w:rsid w:val="00932814"/>
    <w:rsid w:val="0094378C"/>
    <w:rsid w:val="00947DC7"/>
    <w:rsid w:val="0097706A"/>
    <w:rsid w:val="00994DAE"/>
    <w:rsid w:val="009B6410"/>
    <w:rsid w:val="009C5AE9"/>
    <w:rsid w:val="009D1726"/>
    <w:rsid w:val="009D1A7B"/>
    <w:rsid w:val="009D4247"/>
    <w:rsid w:val="009D6B92"/>
    <w:rsid w:val="009E6AE3"/>
    <w:rsid w:val="00A00D0A"/>
    <w:rsid w:val="00A02A55"/>
    <w:rsid w:val="00A438D3"/>
    <w:rsid w:val="00A53A43"/>
    <w:rsid w:val="00A63001"/>
    <w:rsid w:val="00AA6B37"/>
    <w:rsid w:val="00AB5C5D"/>
    <w:rsid w:val="00AD1804"/>
    <w:rsid w:val="00AD24AA"/>
    <w:rsid w:val="00AE37C5"/>
    <w:rsid w:val="00AF4542"/>
    <w:rsid w:val="00B113E3"/>
    <w:rsid w:val="00B21A04"/>
    <w:rsid w:val="00B26A7A"/>
    <w:rsid w:val="00B37586"/>
    <w:rsid w:val="00B43F1E"/>
    <w:rsid w:val="00B539AF"/>
    <w:rsid w:val="00B67790"/>
    <w:rsid w:val="00B6783A"/>
    <w:rsid w:val="00B70B61"/>
    <w:rsid w:val="00B7479D"/>
    <w:rsid w:val="00B94413"/>
    <w:rsid w:val="00BB23A7"/>
    <w:rsid w:val="00BB4F49"/>
    <w:rsid w:val="00BC621E"/>
    <w:rsid w:val="00C2000C"/>
    <w:rsid w:val="00C204D5"/>
    <w:rsid w:val="00C37337"/>
    <w:rsid w:val="00C4089F"/>
    <w:rsid w:val="00C408CB"/>
    <w:rsid w:val="00C44178"/>
    <w:rsid w:val="00C66781"/>
    <w:rsid w:val="00C74082"/>
    <w:rsid w:val="00C74FA7"/>
    <w:rsid w:val="00C75B46"/>
    <w:rsid w:val="00CC01B0"/>
    <w:rsid w:val="00CC0BFF"/>
    <w:rsid w:val="00CC28B6"/>
    <w:rsid w:val="00CD5EBD"/>
    <w:rsid w:val="00D151E9"/>
    <w:rsid w:val="00D52E12"/>
    <w:rsid w:val="00D634A7"/>
    <w:rsid w:val="00D66BAA"/>
    <w:rsid w:val="00D848CC"/>
    <w:rsid w:val="00DA41ED"/>
    <w:rsid w:val="00DA4917"/>
    <w:rsid w:val="00DB094A"/>
    <w:rsid w:val="00DB0BFD"/>
    <w:rsid w:val="00DC2459"/>
    <w:rsid w:val="00DC5902"/>
    <w:rsid w:val="00DC7C0A"/>
    <w:rsid w:val="00DD1399"/>
    <w:rsid w:val="00DF20B9"/>
    <w:rsid w:val="00DF4E65"/>
    <w:rsid w:val="00E03D31"/>
    <w:rsid w:val="00E347E5"/>
    <w:rsid w:val="00EB48E7"/>
    <w:rsid w:val="00EB7D53"/>
    <w:rsid w:val="00ED3846"/>
    <w:rsid w:val="00ED5893"/>
    <w:rsid w:val="00EF6284"/>
    <w:rsid w:val="00F02424"/>
    <w:rsid w:val="00F0687B"/>
    <w:rsid w:val="00F1247D"/>
    <w:rsid w:val="00F264BC"/>
    <w:rsid w:val="00F44CC6"/>
    <w:rsid w:val="00F55AC0"/>
    <w:rsid w:val="00F60EFC"/>
    <w:rsid w:val="00F7124A"/>
    <w:rsid w:val="00F817A3"/>
    <w:rsid w:val="00F8543B"/>
    <w:rsid w:val="00FB3445"/>
    <w:rsid w:val="00FC5AD6"/>
    <w:rsid w:val="00FE7599"/>
    <w:rsid w:val="00FF7AE6"/>
    <w:rsid w:val="01437359"/>
    <w:rsid w:val="01857C43"/>
    <w:rsid w:val="01DB2DED"/>
    <w:rsid w:val="0257E20E"/>
    <w:rsid w:val="026BA74D"/>
    <w:rsid w:val="02EEC166"/>
    <w:rsid w:val="034FE06C"/>
    <w:rsid w:val="0426F942"/>
    <w:rsid w:val="044B116B"/>
    <w:rsid w:val="049F03D7"/>
    <w:rsid w:val="052A8961"/>
    <w:rsid w:val="05598EAA"/>
    <w:rsid w:val="062C30EF"/>
    <w:rsid w:val="06622415"/>
    <w:rsid w:val="0701A9A8"/>
    <w:rsid w:val="073F1870"/>
    <w:rsid w:val="0789D80B"/>
    <w:rsid w:val="07D20097"/>
    <w:rsid w:val="083EFA84"/>
    <w:rsid w:val="0852101E"/>
    <w:rsid w:val="088BAEC9"/>
    <w:rsid w:val="08B391E6"/>
    <w:rsid w:val="08F2E191"/>
    <w:rsid w:val="093F3A88"/>
    <w:rsid w:val="0AB56C44"/>
    <w:rsid w:val="0C715432"/>
    <w:rsid w:val="0C997663"/>
    <w:rsid w:val="0D0666FE"/>
    <w:rsid w:val="0E698D6C"/>
    <w:rsid w:val="0EB5245B"/>
    <w:rsid w:val="0EBB38B8"/>
    <w:rsid w:val="0EC48A3F"/>
    <w:rsid w:val="0EFEC268"/>
    <w:rsid w:val="0F7E47AC"/>
    <w:rsid w:val="0FF11311"/>
    <w:rsid w:val="101031C5"/>
    <w:rsid w:val="10506AEA"/>
    <w:rsid w:val="1058EFE8"/>
    <w:rsid w:val="10BFD032"/>
    <w:rsid w:val="10F1D653"/>
    <w:rsid w:val="110B856B"/>
    <w:rsid w:val="11202B7C"/>
    <w:rsid w:val="11ECC51D"/>
    <w:rsid w:val="1222EA90"/>
    <w:rsid w:val="125AEE6E"/>
    <w:rsid w:val="12AF4303"/>
    <w:rsid w:val="12DE9292"/>
    <w:rsid w:val="135E226A"/>
    <w:rsid w:val="137C771B"/>
    <w:rsid w:val="145B53AB"/>
    <w:rsid w:val="146686EF"/>
    <w:rsid w:val="1475F259"/>
    <w:rsid w:val="14F32121"/>
    <w:rsid w:val="15BBCFEE"/>
    <w:rsid w:val="15D8C2F9"/>
    <w:rsid w:val="15E6E414"/>
    <w:rsid w:val="15EA0F04"/>
    <w:rsid w:val="161C9BB3"/>
    <w:rsid w:val="1620E362"/>
    <w:rsid w:val="165004B0"/>
    <w:rsid w:val="16FE9E78"/>
    <w:rsid w:val="17AF9BE5"/>
    <w:rsid w:val="180D73BF"/>
    <w:rsid w:val="182FD6D0"/>
    <w:rsid w:val="18556185"/>
    <w:rsid w:val="18E3A340"/>
    <w:rsid w:val="19155452"/>
    <w:rsid w:val="19CBA731"/>
    <w:rsid w:val="1A087F18"/>
    <w:rsid w:val="1A0A5A43"/>
    <w:rsid w:val="1A22209F"/>
    <w:rsid w:val="1A492145"/>
    <w:rsid w:val="1A4AB6C0"/>
    <w:rsid w:val="1A6FA16D"/>
    <w:rsid w:val="1B28DE26"/>
    <w:rsid w:val="1B3B3FD3"/>
    <w:rsid w:val="1B8D0247"/>
    <w:rsid w:val="1BA8E8D1"/>
    <w:rsid w:val="1BB7657B"/>
    <w:rsid w:val="1C744E4B"/>
    <w:rsid w:val="1D12B7A2"/>
    <w:rsid w:val="1D13F25A"/>
    <w:rsid w:val="1E05FFC9"/>
    <w:rsid w:val="1E2CC66C"/>
    <w:rsid w:val="1E63EF06"/>
    <w:rsid w:val="1E6B667A"/>
    <w:rsid w:val="1EBE99E8"/>
    <w:rsid w:val="200736DB"/>
    <w:rsid w:val="20799BC7"/>
    <w:rsid w:val="210BFFB0"/>
    <w:rsid w:val="218D71C0"/>
    <w:rsid w:val="21917F9E"/>
    <w:rsid w:val="21A3073C"/>
    <w:rsid w:val="21F623E5"/>
    <w:rsid w:val="21F7B1A3"/>
    <w:rsid w:val="22766150"/>
    <w:rsid w:val="229225FC"/>
    <w:rsid w:val="22EB2F1A"/>
    <w:rsid w:val="23304166"/>
    <w:rsid w:val="2354AD3F"/>
    <w:rsid w:val="23920B0B"/>
    <w:rsid w:val="23DC403A"/>
    <w:rsid w:val="23E381D2"/>
    <w:rsid w:val="2439628E"/>
    <w:rsid w:val="24D27B9A"/>
    <w:rsid w:val="2529E64A"/>
    <w:rsid w:val="2542772F"/>
    <w:rsid w:val="25A164B7"/>
    <w:rsid w:val="25B281DF"/>
    <w:rsid w:val="25B54294"/>
    <w:rsid w:val="25E1A3F2"/>
    <w:rsid w:val="2631DCD4"/>
    <w:rsid w:val="2676785F"/>
    <w:rsid w:val="275112F5"/>
    <w:rsid w:val="2790D624"/>
    <w:rsid w:val="27C1AFFF"/>
    <w:rsid w:val="27C5969C"/>
    <w:rsid w:val="2887E868"/>
    <w:rsid w:val="29393C30"/>
    <w:rsid w:val="29841FD5"/>
    <w:rsid w:val="29C38DB1"/>
    <w:rsid w:val="2A845700"/>
    <w:rsid w:val="2ACFFDFB"/>
    <w:rsid w:val="2AD15635"/>
    <w:rsid w:val="2AD8C8E3"/>
    <w:rsid w:val="2B304E3F"/>
    <w:rsid w:val="2B47678C"/>
    <w:rsid w:val="2B83F493"/>
    <w:rsid w:val="2B898CFD"/>
    <w:rsid w:val="2B920213"/>
    <w:rsid w:val="2CE99CF7"/>
    <w:rsid w:val="2DA068D2"/>
    <w:rsid w:val="2DC05479"/>
    <w:rsid w:val="2E3CEEB9"/>
    <w:rsid w:val="2E5459F1"/>
    <w:rsid w:val="2F84A6D6"/>
    <w:rsid w:val="301D5AA5"/>
    <w:rsid w:val="306B5F47"/>
    <w:rsid w:val="312EEBBF"/>
    <w:rsid w:val="32591C1D"/>
    <w:rsid w:val="32ACEDF9"/>
    <w:rsid w:val="3341B592"/>
    <w:rsid w:val="3362DF44"/>
    <w:rsid w:val="33730ADD"/>
    <w:rsid w:val="339B585E"/>
    <w:rsid w:val="34F277A5"/>
    <w:rsid w:val="35C2CAAA"/>
    <w:rsid w:val="35FEF7C9"/>
    <w:rsid w:val="361D4627"/>
    <w:rsid w:val="36EDC63E"/>
    <w:rsid w:val="372B8C09"/>
    <w:rsid w:val="3778DF91"/>
    <w:rsid w:val="378D27A8"/>
    <w:rsid w:val="37D19716"/>
    <w:rsid w:val="38C75C6A"/>
    <w:rsid w:val="38CF577F"/>
    <w:rsid w:val="38D8E9EC"/>
    <w:rsid w:val="397D5992"/>
    <w:rsid w:val="39CF2E3E"/>
    <w:rsid w:val="3A1D797A"/>
    <w:rsid w:val="3A632CCB"/>
    <w:rsid w:val="3B04E65D"/>
    <w:rsid w:val="3BB7391E"/>
    <w:rsid w:val="3BB949DB"/>
    <w:rsid w:val="3BD12E74"/>
    <w:rsid w:val="3BFC4771"/>
    <w:rsid w:val="3C050D0F"/>
    <w:rsid w:val="3C540D51"/>
    <w:rsid w:val="3C66E349"/>
    <w:rsid w:val="3C6AC375"/>
    <w:rsid w:val="3CA1ED41"/>
    <w:rsid w:val="3CBC2D15"/>
    <w:rsid w:val="3CC35D73"/>
    <w:rsid w:val="3CEC7B29"/>
    <w:rsid w:val="3D06AB76"/>
    <w:rsid w:val="3D64C369"/>
    <w:rsid w:val="3D69630D"/>
    <w:rsid w:val="3D726558"/>
    <w:rsid w:val="3DCB762F"/>
    <w:rsid w:val="3DEF06A2"/>
    <w:rsid w:val="3E3345CC"/>
    <w:rsid w:val="3EB08369"/>
    <w:rsid w:val="3F1E76C8"/>
    <w:rsid w:val="3F30364A"/>
    <w:rsid w:val="3FA48A26"/>
    <w:rsid w:val="3FEABFEB"/>
    <w:rsid w:val="3FF17C7A"/>
    <w:rsid w:val="400F396A"/>
    <w:rsid w:val="40461FF0"/>
    <w:rsid w:val="405B2405"/>
    <w:rsid w:val="406A7E89"/>
    <w:rsid w:val="40FA110F"/>
    <w:rsid w:val="40FE175F"/>
    <w:rsid w:val="410E1905"/>
    <w:rsid w:val="4156E6E0"/>
    <w:rsid w:val="418269AF"/>
    <w:rsid w:val="41BC7B45"/>
    <w:rsid w:val="42288B5F"/>
    <w:rsid w:val="423078E5"/>
    <w:rsid w:val="424C257E"/>
    <w:rsid w:val="42A14C6D"/>
    <w:rsid w:val="42D3A6E7"/>
    <w:rsid w:val="42DDD195"/>
    <w:rsid w:val="42E09711"/>
    <w:rsid w:val="4322C379"/>
    <w:rsid w:val="436E01DC"/>
    <w:rsid w:val="43D858DD"/>
    <w:rsid w:val="43F17480"/>
    <w:rsid w:val="44C9F450"/>
    <w:rsid w:val="44E1ACC5"/>
    <w:rsid w:val="44E3D139"/>
    <w:rsid w:val="45252E18"/>
    <w:rsid w:val="4551B339"/>
    <w:rsid w:val="45602C21"/>
    <w:rsid w:val="4577D6E2"/>
    <w:rsid w:val="45A2EF32"/>
    <w:rsid w:val="45BDEB04"/>
    <w:rsid w:val="4653EF14"/>
    <w:rsid w:val="465A016F"/>
    <w:rsid w:val="466FE41F"/>
    <w:rsid w:val="4696AD0D"/>
    <w:rsid w:val="46D3F0EF"/>
    <w:rsid w:val="47A7EC3F"/>
    <w:rsid w:val="4883D7F5"/>
    <w:rsid w:val="48C457D7"/>
    <w:rsid w:val="495903BC"/>
    <w:rsid w:val="4991A231"/>
    <w:rsid w:val="49CBA0A0"/>
    <w:rsid w:val="49D3D9D9"/>
    <w:rsid w:val="4A602838"/>
    <w:rsid w:val="4B157AD4"/>
    <w:rsid w:val="4B8800E3"/>
    <w:rsid w:val="4BB829AD"/>
    <w:rsid w:val="4BF307C4"/>
    <w:rsid w:val="4C3A30F2"/>
    <w:rsid w:val="4CB1F5C1"/>
    <w:rsid w:val="4D315CD9"/>
    <w:rsid w:val="4D4BC02F"/>
    <w:rsid w:val="4D8999E4"/>
    <w:rsid w:val="4DAD04F8"/>
    <w:rsid w:val="4EC002A6"/>
    <w:rsid w:val="4EEF5517"/>
    <w:rsid w:val="4FAAE371"/>
    <w:rsid w:val="5093AF7C"/>
    <w:rsid w:val="50A2CA40"/>
    <w:rsid w:val="50B47B3D"/>
    <w:rsid w:val="50DD5976"/>
    <w:rsid w:val="50F7DF16"/>
    <w:rsid w:val="512C2A55"/>
    <w:rsid w:val="515BB865"/>
    <w:rsid w:val="519DC19A"/>
    <w:rsid w:val="5394C90B"/>
    <w:rsid w:val="54758577"/>
    <w:rsid w:val="54D2E28A"/>
    <w:rsid w:val="54D63003"/>
    <w:rsid w:val="54FBCEA8"/>
    <w:rsid w:val="55267681"/>
    <w:rsid w:val="552DCC3D"/>
    <w:rsid w:val="554719A5"/>
    <w:rsid w:val="55A214D0"/>
    <w:rsid w:val="55FBE7AB"/>
    <w:rsid w:val="5658D807"/>
    <w:rsid w:val="56720064"/>
    <w:rsid w:val="56C246E2"/>
    <w:rsid w:val="574529D2"/>
    <w:rsid w:val="579B6BD9"/>
    <w:rsid w:val="585E1743"/>
    <w:rsid w:val="5873484A"/>
    <w:rsid w:val="5876066F"/>
    <w:rsid w:val="59373C3A"/>
    <w:rsid w:val="59AC16AD"/>
    <w:rsid w:val="59B51637"/>
    <w:rsid w:val="59F1A596"/>
    <w:rsid w:val="5A6B135F"/>
    <w:rsid w:val="5A7CBBA5"/>
    <w:rsid w:val="5AA5DC48"/>
    <w:rsid w:val="5AD30C9B"/>
    <w:rsid w:val="5AD349AD"/>
    <w:rsid w:val="5ADFBB7B"/>
    <w:rsid w:val="5B051A01"/>
    <w:rsid w:val="5B07DF55"/>
    <w:rsid w:val="5B346C72"/>
    <w:rsid w:val="5B611E20"/>
    <w:rsid w:val="5C12A6AB"/>
    <w:rsid w:val="5CE83118"/>
    <w:rsid w:val="5CEE7AA5"/>
    <w:rsid w:val="5D2701E4"/>
    <w:rsid w:val="5D278E14"/>
    <w:rsid w:val="5D41C71E"/>
    <w:rsid w:val="5DE57788"/>
    <w:rsid w:val="5E1FF2BF"/>
    <w:rsid w:val="5E44B86E"/>
    <w:rsid w:val="5F0ACB3F"/>
    <w:rsid w:val="5F0BF75A"/>
    <w:rsid w:val="5F23B00F"/>
    <w:rsid w:val="5F493382"/>
    <w:rsid w:val="5F794D6B"/>
    <w:rsid w:val="5F957F55"/>
    <w:rsid w:val="5FFA2372"/>
    <w:rsid w:val="601FD1DA"/>
    <w:rsid w:val="60386C1D"/>
    <w:rsid w:val="6061F5D3"/>
    <w:rsid w:val="61435A7A"/>
    <w:rsid w:val="617C5930"/>
    <w:rsid w:val="6181FD12"/>
    <w:rsid w:val="62285F02"/>
    <w:rsid w:val="62768953"/>
    <w:rsid w:val="632CC554"/>
    <w:rsid w:val="63CE24D7"/>
    <w:rsid w:val="63F142E1"/>
    <w:rsid w:val="6444397F"/>
    <w:rsid w:val="64ACB95F"/>
    <w:rsid w:val="64CFCF8C"/>
    <w:rsid w:val="64FC822B"/>
    <w:rsid w:val="652B97C4"/>
    <w:rsid w:val="65407512"/>
    <w:rsid w:val="65ABEADB"/>
    <w:rsid w:val="65F5C6B6"/>
    <w:rsid w:val="6645EC77"/>
    <w:rsid w:val="66589C9D"/>
    <w:rsid w:val="66A2D5F0"/>
    <w:rsid w:val="66E05832"/>
    <w:rsid w:val="671D7186"/>
    <w:rsid w:val="6747BB3C"/>
    <w:rsid w:val="6786D4C2"/>
    <w:rsid w:val="67885D69"/>
    <w:rsid w:val="687C2893"/>
    <w:rsid w:val="689AFE3F"/>
    <w:rsid w:val="68AC282A"/>
    <w:rsid w:val="68E38B9D"/>
    <w:rsid w:val="6900BF8C"/>
    <w:rsid w:val="690A9BAE"/>
    <w:rsid w:val="69912803"/>
    <w:rsid w:val="69A2021B"/>
    <w:rsid w:val="69A78381"/>
    <w:rsid w:val="69EC8F09"/>
    <w:rsid w:val="6A03EAAB"/>
    <w:rsid w:val="6A569787"/>
    <w:rsid w:val="6B0BC145"/>
    <w:rsid w:val="6B426CF4"/>
    <w:rsid w:val="6B7602C1"/>
    <w:rsid w:val="6B90A272"/>
    <w:rsid w:val="6C1CCDDA"/>
    <w:rsid w:val="6C5A9D92"/>
    <w:rsid w:val="6CED1CE1"/>
    <w:rsid w:val="6D0AC849"/>
    <w:rsid w:val="6D97E738"/>
    <w:rsid w:val="6DF12986"/>
    <w:rsid w:val="6E1BF13F"/>
    <w:rsid w:val="6E2A1FCD"/>
    <w:rsid w:val="6E7A0DB6"/>
    <w:rsid w:val="6E8E83BC"/>
    <w:rsid w:val="6ED9D8AD"/>
    <w:rsid w:val="6F49CDE0"/>
    <w:rsid w:val="6F52ECFC"/>
    <w:rsid w:val="6F5E4D58"/>
    <w:rsid w:val="6FACD785"/>
    <w:rsid w:val="707BD7D3"/>
    <w:rsid w:val="70873A78"/>
    <w:rsid w:val="70980359"/>
    <w:rsid w:val="70B1C59B"/>
    <w:rsid w:val="70C99089"/>
    <w:rsid w:val="7199523D"/>
    <w:rsid w:val="71B1AE78"/>
    <w:rsid w:val="71D54897"/>
    <w:rsid w:val="7222B4BB"/>
    <w:rsid w:val="7314E301"/>
    <w:rsid w:val="73644863"/>
    <w:rsid w:val="737118F8"/>
    <w:rsid w:val="73ACA847"/>
    <w:rsid w:val="74AEFA29"/>
    <w:rsid w:val="74C7A5AF"/>
    <w:rsid w:val="750CE959"/>
    <w:rsid w:val="7515DA2E"/>
    <w:rsid w:val="757EAE04"/>
    <w:rsid w:val="7637816B"/>
    <w:rsid w:val="76A0D3EB"/>
    <w:rsid w:val="76A6933A"/>
    <w:rsid w:val="76A8B9BA"/>
    <w:rsid w:val="7706BAB4"/>
    <w:rsid w:val="7765CC8C"/>
    <w:rsid w:val="77BEA28A"/>
    <w:rsid w:val="780C7934"/>
    <w:rsid w:val="7867A487"/>
    <w:rsid w:val="78B031E0"/>
    <w:rsid w:val="78DC5914"/>
    <w:rsid w:val="79037818"/>
    <w:rsid w:val="7920D5B1"/>
    <w:rsid w:val="7949B95E"/>
    <w:rsid w:val="795A72EB"/>
    <w:rsid w:val="796114EC"/>
    <w:rsid w:val="79F5D8B2"/>
    <w:rsid w:val="7A8DB26B"/>
    <w:rsid w:val="7ACBDB2F"/>
    <w:rsid w:val="7AF6434C"/>
    <w:rsid w:val="7B611246"/>
    <w:rsid w:val="7BC3540B"/>
    <w:rsid w:val="7BDE3BAC"/>
    <w:rsid w:val="7C13F9D6"/>
    <w:rsid w:val="7C174A89"/>
    <w:rsid w:val="7C3B18DA"/>
    <w:rsid w:val="7D05FD94"/>
    <w:rsid w:val="7D17FB3E"/>
    <w:rsid w:val="7D2BDBE1"/>
    <w:rsid w:val="7DA22835"/>
    <w:rsid w:val="7DCEFBB5"/>
    <w:rsid w:val="7DD2E814"/>
    <w:rsid w:val="7E8F02D8"/>
    <w:rsid w:val="7F11730D"/>
    <w:rsid w:val="7F9438D5"/>
    <w:rsid w:val="7F9C607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7148A1"/>
  <w15:docId w15:val="{FE715268-CAC7-4F1A-8456-875FD99A4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11827"/>
  </w:style>
  <w:style w:type="paragraph" w:styleId="Titolo1">
    <w:name w:val="heading 1"/>
    <w:basedOn w:val="Normale"/>
    <w:next w:val="Normale"/>
    <w:link w:val="Titolo1Carattere"/>
    <w:uiPriority w:val="9"/>
    <w:qFormat/>
    <w:rsid w:val="00282C6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link w:val="Titolo2Carattere"/>
    <w:uiPriority w:val="9"/>
    <w:qFormat/>
    <w:rsid w:val="008D5259"/>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0B17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0B1754"/>
    <w:pPr>
      <w:ind w:left="720"/>
      <w:contextualSpacing/>
    </w:pPr>
  </w:style>
  <w:style w:type="paragraph" w:styleId="Testofumetto">
    <w:name w:val="Balloon Text"/>
    <w:basedOn w:val="Normale"/>
    <w:link w:val="TestofumettoCarattere"/>
    <w:uiPriority w:val="99"/>
    <w:semiHidden/>
    <w:unhideWhenUsed/>
    <w:rsid w:val="0006159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61596"/>
    <w:rPr>
      <w:rFonts w:ascii="Segoe UI" w:hAnsi="Segoe UI" w:cs="Segoe UI"/>
      <w:sz w:val="18"/>
      <w:szCs w:val="18"/>
    </w:rPr>
  </w:style>
  <w:style w:type="character" w:customStyle="1" w:styleId="Carpredefinitoparagrafo1">
    <w:name w:val="Car. predefinito paragrafo1"/>
    <w:basedOn w:val="Carpredefinitoparagrafo"/>
    <w:uiPriority w:val="1"/>
    <w:rsid w:val="50B47B3D"/>
  </w:style>
  <w:style w:type="paragraph" w:customStyle="1" w:styleId="Normale1">
    <w:name w:val="Normale1"/>
    <w:basedOn w:val="Normale"/>
    <w:uiPriority w:val="1"/>
    <w:rsid w:val="50B47B3D"/>
    <w:rPr>
      <w:rFonts w:ascii="Calibri" w:eastAsia="Calibri" w:hAnsi="Calibri" w:cs="Times New Roman"/>
    </w:rPr>
  </w:style>
  <w:style w:type="character" w:styleId="Collegamentoipertestuale">
    <w:name w:val="Hyperlink"/>
    <w:basedOn w:val="Carpredefinitoparagrafo"/>
    <w:uiPriority w:val="99"/>
    <w:unhideWhenUsed/>
    <w:rPr>
      <w:color w:val="0563C1" w:themeColor="hyperlink"/>
      <w:u w:val="single"/>
    </w:rPr>
  </w:style>
  <w:style w:type="paragraph" w:styleId="Testocommento">
    <w:name w:val="annotation text"/>
    <w:basedOn w:val="Normale"/>
    <w:link w:val="TestocommentoCarattere"/>
    <w:uiPriority w:val="99"/>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rPr>
      <w:sz w:val="20"/>
      <w:szCs w:val="20"/>
    </w:rPr>
  </w:style>
  <w:style w:type="character" w:styleId="Rimandocommento">
    <w:name w:val="annotation reference"/>
    <w:basedOn w:val="Carpredefinitoparagrafo"/>
    <w:uiPriority w:val="99"/>
    <w:semiHidden/>
    <w:unhideWhenUsed/>
    <w:rPr>
      <w:sz w:val="16"/>
      <w:szCs w:val="16"/>
    </w:rPr>
  </w:style>
  <w:style w:type="paragraph" w:styleId="Intestazione">
    <w:name w:val="header"/>
    <w:basedOn w:val="Normale"/>
    <w:link w:val="IntestazioneCarattere"/>
    <w:uiPriority w:val="99"/>
    <w:unhideWhenUsed/>
    <w:rsid w:val="00576F4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76F40"/>
  </w:style>
  <w:style w:type="paragraph" w:styleId="Pidipagina">
    <w:name w:val="footer"/>
    <w:basedOn w:val="Normale"/>
    <w:link w:val="PidipaginaCarattere"/>
    <w:uiPriority w:val="99"/>
    <w:unhideWhenUsed/>
    <w:rsid w:val="00576F4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76F40"/>
  </w:style>
  <w:style w:type="paragraph" w:customStyle="1" w:styleId="paragraph">
    <w:name w:val="paragraph"/>
    <w:basedOn w:val="Normale"/>
    <w:rsid w:val="00F264B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Carpredefinitoparagrafo"/>
    <w:rsid w:val="00F264BC"/>
  </w:style>
  <w:style w:type="character" w:customStyle="1" w:styleId="eop">
    <w:name w:val="eop"/>
    <w:basedOn w:val="Carpredefinitoparagrafo"/>
    <w:rsid w:val="00F264BC"/>
  </w:style>
  <w:style w:type="paragraph" w:styleId="Didascalia">
    <w:name w:val="caption"/>
    <w:basedOn w:val="Normale"/>
    <w:next w:val="Normale"/>
    <w:uiPriority w:val="35"/>
    <w:unhideWhenUsed/>
    <w:qFormat/>
    <w:rsid w:val="000F1B43"/>
    <w:pPr>
      <w:spacing w:after="200" w:line="240" w:lineRule="auto"/>
    </w:pPr>
    <w:rPr>
      <w:i/>
      <w:iCs/>
      <w:color w:val="44546A" w:themeColor="text2"/>
      <w:sz w:val="18"/>
      <w:szCs w:val="18"/>
    </w:rPr>
  </w:style>
  <w:style w:type="character" w:customStyle="1" w:styleId="Menzionenonrisolta1">
    <w:name w:val="Menzione non risolta1"/>
    <w:basedOn w:val="Carpredefinitoparagrafo"/>
    <w:uiPriority w:val="99"/>
    <w:semiHidden/>
    <w:unhideWhenUsed/>
    <w:rsid w:val="000F1B43"/>
    <w:rPr>
      <w:color w:val="605E5C"/>
      <w:shd w:val="clear" w:color="auto" w:fill="E1DFDD"/>
    </w:rPr>
  </w:style>
  <w:style w:type="character" w:styleId="Testosegnaposto">
    <w:name w:val="Placeholder Text"/>
    <w:basedOn w:val="Carpredefinitoparagrafo"/>
    <w:uiPriority w:val="99"/>
    <w:semiHidden/>
    <w:rsid w:val="00092586"/>
    <w:rPr>
      <w:color w:val="666666"/>
    </w:rPr>
  </w:style>
  <w:style w:type="paragraph" w:styleId="NormaleWeb">
    <w:name w:val="Normal (Web)"/>
    <w:basedOn w:val="Normale"/>
    <w:uiPriority w:val="99"/>
    <w:semiHidden/>
    <w:unhideWhenUsed/>
    <w:rsid w:val="00403F2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itolo2Carattere">
    <w:name w:val="Titolo 2 Carattere"/>
    <w:basedOn w:val="Carpredefinitoparagrafo"/>
    <w:link w:val="Titolo2"/>
    <w:uiPriority w:val="9"/>
    <w:rsid w:val="008D5259"/>
    <w:rPr>
      <w:rFonts w:ascii="Times New Roman" w:eastAsia="Times New Roman" w:hAnsi="Times New Roman" w:cs="Times New Roman"/>
      <w:b/>
      <w:bCs/>
      <w:sz w:val="36"/>
      <w:szCs w:val="36"/>
      <w:lang w:eastAsia="en-GB"/>
    </w:rPr>
  </w:style>
  <w:style w:type="character" w:customStyle="1" w:styleId="Titolo1Carattere">
    <w:name w:val="Titolo 1 Carattere"/>
    <w:basedOn w:val="Carpredefinitoparagrafo"/>
    <w:link w:val="Titolo1"/>
    <w:uiPriority w:val="9"/>
    <w:rsid w:val="00282C6E"/>
    <w:rPr>
      <w:rFonts w:asciiTheme="majorHAnsi" w:eastAsiaTheme="majorEastAsia" w:hAnsiTheme="majorHAnsi" w:cstheme="majorBidi"/>
      <w:color w:val="2E74B5" w:themeColor="accent1" w:themeShade="BF"/>
      <w:sz w:val="32"/>
      <w:szCs w:val="32"/>
    </w:rPr>
  </w:style>
  <w:style w:type="paragraph" w:styleId="Titolosommario">
    <w:name w:val="TOC Heading"/>
    <w:basedOn w:val="Titolo1"/>
    <w:next w:val="Normale"/>
    <w:uiPriority w:val="39"/>
    <w:unhideWhenUsed/>
    <w:qFormat/>
    <w:rsid w:val="00282C6E"/>
    <w:pPr>
      <w:outlineLvl w:val="9"/>
    </w:pPr>
    <w:rPr>
      <w:lang w:eastAsia="en-GB"/>
    </w:rPr>
  </w:style>
  <w:style w:type="paragraph" w:styleId="Sommario1">
    <w:name w:val="toc 1"/>
    <w:basedOn w:val="Normale"/>
    <w:next w:val="Normale"/>
    <w:autoRedefine/>
    <w:uiPriority w:val="39"/>
    <w:unhideWhenUsed/>
    <w:rsid w:val="000D6858"/>
    <w:pPr>
      <w:tabs>
        <w:tab w:val="right" w:leader="dot" w:pos="9016"/>
      </w:tabs>
      <w:spacing w:after="0" w:line="240" w:lineRule="auto"/>
    </w:pPr>
  </w:style>
  <w:style w:type="paragraph" w:styleId="Sommario2">
    <w:name w:val="toc 2"/>
    <w:basedOn w:val="Normale"/>
    <w:next w:val="Normale"/>
    <w:autoRedefine/>
    <w:uiPriority w:val="39"/>
    <w:unhideWhenUsed/>
    <w:rsid w:val="00282C6E"/>
    <w:pPr>
      <w:spacing w:after="100"/>
      <w:ind w:left="220"/>
    </w:pPr>
  </w:style>
  <w:style w:type="paragraph" w:styleId="Indicedellefigure">
    <w:name w:val="table of figures"/>
    <w:basedOn w:val="Normale"/>
    <w:next w:val="Normale"/>
    <w:uiPriority w:val="99"/>
    <w:unhideWhenUsed/>
    <w:rsid w:val="00282C6E"/>
    <w:pPr>
      <w:spacing w:after="0"/>
    </w:pPr>
  </w:style>
  <w:style w:type="paragraph" w:styleId="Testonotaapidipagina">
    <w:name w:val="footnote text"/>
    <w:basedOn w:val="Normale"/>
    <w:link w:val="TestonotaapidipaginaCarattere"/>
    <w:uiPriority w:val="99"/>
    <w:semiHidden/>
    <w:unhideWhenUsed/>
    <w:rsid w:val="004D06E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D06EF"/>
    <w:rPr>
      <w:sz w:val="20"/>
      <w:szCs w:val="20"/>
    </w:rPr>
  </w:style>
  <w:style w:type="character" w:styleId="Rimandonotaapidipagina">
    <w:name w:val="footnote reference"/>
    <w:basedOn w:val="Carpredefinitoparagrafo"/>
    <w:uiPriority w:val="99"/>
    <w:semiHidden/>
    <w:unhideWhenUsed/>
    <w:rsid w:val="004D06EF"/>
    <w:rPr>
      <w:vertAlign w:val="superscript"/>
    </w:rPr>
  </w:style>
  <w:style w:type="numbering" w:customStyle="1" w:styleId="Nessunelenco1">
    <w:name w:val="Nessun elenco1"/>
    <w:next w:val="Nessunelenco"/>
    <w:uiPriority w:val="99"/>
    <w:semiHidden/>
    <w:unhideWhenUsed/>
    <w:rsid w:val="00115BC3"/>
  </w:style>
  <w:style w:type="paragraph" w:customStyle="1" w:styleId="msonormal0">
    <w:name w:val="msonormal"/>
    <w:basedOn w:val="Normale"/>
    <w:rsid w:val="00115BC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20">
    <w:name w:val="xl20"/>
    <w:basedOn w:val="Normale"/>
    <w:rsid w:val="00115BC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21">
    <w:name w:val="xl21"/>
    <w:basedOn w:val="Normale"/>
    <w:rsid w:val="00115BC3"/>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22">
    <w:name w:val="xl22"/>
    <w:basedOn w:val="Normale"/>
    <w:rsid w:val="00115BC3"/>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23">
    <w:name w:val="xl23"/>
    <w:basedOn w:val="Normale"/>
    <w:rsid w:val="00115BC3"/>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24">
    <w:name w:val="xl24"/>
    <w:basedOn w:val="Normale"/>
    <w:rsid w:val="00115BC3"/>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51">
    <w:name w:val="xl51"/>
    <w:basedOn w:val="Normale"/>
    <w:rsid w:val="00115BC3"/>
    <w:pPr>
      <w:spacing w:before="100" w:beforeAutospacing="1" w:after="100" w:afterAutospacing="1" w:line="240" w:lineRule="auto"/>
      <w:jc w:val="center"/>
    </w:pPr>
    <w:rPr>
      <w:rFonts w:ascii="Times New Roman" w:eastAsia="Times New Roman" w:hAnsi="Times New Roman" w:cs="Times New Roman"/>
      <w:color w:val="000000"/>
      <w:sz w:val="24"/>
      <w:szCs w:val="24"/>
      <w:lang w:eastAsia="en-GB"/>
    </w:rPr>
  </w:style>
  <w:style w:type="paragraph" w:customStyle="1" w:styleId="xl52">
    <w:name w:val="xl52"/>
    <w:basedOn w:val="Normale"/>
    <w:rsid w:val="00115BC3"/>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en-GB"/>
    </w:rPr>
  </w:style>
  <w:style w:type="paragraph" w:customStyle="1" w:styleId="xl53">
    <w:name w:val="xl53"/>
    <w:basedOn w:val="Normale"/>
    <w:rsid w:val="00115BC3"/>
    <w:pPr>
      <w:spacing w:before="100" w:beforeAutospacing="1" w:after="100" w:afterAutospacing="1" w:line="240" w:lineRule="auto"/>
      <w:jc w:val="center"/>
    </w:pPr>
    <w:rPr>
      <w:rFonts w:ascii="Times New Roman" w:eastAsia="Times New Roman" w:hAnsi="Times New Roman" w:cs="Times New Roman"/>
      <w:color w:val="000000"/>
      <w:sz w:val="24"/>
      <w:szCs w:val="24"/>
      <w:lang w:eastAsia="en-GB"/>
    </w:rPr>
  </w:style>
  <w:style w:type="paragraph" w:customStyle="1" w:styleId="xl56">
    <w:name w:val="xl56"/>
    <w:basedOn w:val="Normale"/>
    <w:rsid w:val="00115BC3"/>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60">
    <w:name w:val="xl60"/>
    <w:basedOn w:val="Normale"/>
    <w:rsid w:val="00115BC3"/>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61">
    <w:name w:val="xl61"/>
    <w:basedOn w:val="Normale"/>
    <w:rsid w:val="00115BC3"/>
    <w:pPr>
      <w:pBdr>
        <w:top w:val="single" w:sz="4"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63">
    <w:name w:val="xl63"/>
    <w:basedOn w:val="Normale"/>
    <w:rsid w:val="00115BC3"/>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64">
    <w:name w:val="xl64"/>
    <w:basedOn w:val="Normale"/>
    <w:rsid w:val="00115BC3"/>
    <w:pPr>
      <w:pBdr>
        <w:top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70">
    <w:name w:val="xl70"/>
    <w:basedOn w:val="Normale"/>
    <w:rsid w:val="00115BC3"/>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71">
    <w:name w:val="xl71"/>
    <w:basedOn w:val="Normale"/>
    <w:rsid w:val="00115BC3"/>
    <w:pPr>
      <w:pBdr>
        <w:top w:val="single" w:sz="4" w:space="0" w:color="000000"/>
        <w:left w:val="single" w:sz="4" w:space="0" w:color="000000"/>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72">
    <w:name w:val="xl72"/>
    <w:basedOn w:val="Normale"/>
    <w:rsid w:val="00115BC3"/>
    <w:pPr>
      <w:pBdr>
        <w:top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74">
    <w:name w:val="xl74"/>
    <w:basedOn w:val="Normale"/>
    <w:rsid w:val="00115BC3"/>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76">
    <w:name w:val="xl76"/>
    <w:basedOn w:val="Normale"/>
    <w:rsid w:val="00115BC3"/>
    <w:pPr>
      <w:pBdr>
        <w:top w:val="single" w:sz="4" w:space="0" w:color="000000"/>
        <w:left w:val="single" w:sz="4" w:space="0" w:color="000000"/>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77">
    <w:name w:val="xl77"/>
    <w:basedOn w:val="Normale"/>
    <w:rsid w:val="00115BC3"/>
    <w:pPr>
      <w:pBdr>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78">
    <w:name w:val="xl78"/>
    <w:basedOn w:val="Normale"/>
    <w:rsid w:val="00115BC3"/>
    <w:pPr>
      <w:pBdr>
        <w:left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86">
    <w:name w:val="xl86"/>
    <w:basedOn w:val="Normale"/>
    <w:rsid w:val="00115BC3"/>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0563C1"/>
      <w:sz w:val="24"/>
      <w:szCs w:val="24"/>
      <w:u w:val="single"/>
      <w:lang w:eastAsia="en-GB"/>
    </w:rPr>
  </w:style>
  <w:style w:type="paragraph" w:customStyle="1" w:styleId="xl90">
    <w:name w:val="xl90"/>
    <w:basedOn w:val="Normale"/>
    <w:rsid w:val="00115BC3"/>
    <w:pPr>
      <w:pBdr>
        <w:top w:val="single" w:sz="4" w:space="0" w:color="000000"/>
        <w:left w:val="single" w:sz="4" w:space="0" w:color="000000"/>
        <w:bottom w:val="single" w:sz="4" w:space="0" w:color="000000"/>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91">
    <w:name w:val="xl91"/>
    <w:basedOn w:val="Normale"/>
    <w:rsid w:val="00115BC3"/>
    <w:pPr>
      <w:pBdr>
        <w:top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93">
    <w:name w:val="xl93"/>
    <w:basedOn w:val="Normale"/>
    <w:rsid w:val="00115BC3"/>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02">
    <w:name w:val="xl102"/>
    <w:basedOn w:val="Normale"/>
    <w:rsid w:val="00115BC3"/>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04">
    <w:name w:val="xl104"/>
    <w:basedOn w:val="Normale"/>
    <w:rsid w:val="00115BC3"/>
    <w:pPr>
      <w:pBdr>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08">
    <w:name w:val="xl108"/>
    <w:basedOn w:val="Normale"/>
    <w:rsid w:val="00115BC3"/>
    <w:pPr>
      <w:pBdr>
        <w:left w:val="single" w:sz="4" w:space="0" w:color="000000"/>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11">
    <w:name w:val="xl111"/>
    <w:basedOn w:val="Normale"/>
    <w:rsid w:val="00115BC3"/>
    <w:pPr>
      <w:pBdr>
        <w:lef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13">
    <w:name w:val="xl113"/>
    <w:basedOn w:val="Normale"/>
    <w:rsid w:val="00115BC3"/>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114">
    <w:name w:val="xl114"/>
    <w:basedOn w:val="Normale"/>
    <w:rsid w:val="00115BC3"/>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115">
    <w:name w:val="xl115"/>
    <w:basedOn w:val="Normale"/>
    <w:rsid w:val="00115BC3"/>
    <w:pPr>
      <w:pBdr>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17">
    <w:name w:val="xl117"/>
    <w:basedOn w:val="Normale"/>
    <w:rsid w:val="00115BC3"/>
    <w:pPr>
      <w:pBdr>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32">
    <w:name w:val="xl132"/>
    <w:basedOn w:val="Normale"/>
    <w:rsid w:val="00115BC3"/>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33">
    <w:name w:val="xl133"/>
    <w:basedOn w:val="Normale"/>
    <w:rsid w:val="00115BC3"/>
    <w:pPr>
      <w:pBdr>
        <w:top w:val="single" w:sz="4" w:space="0" w:color="000000"/>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35">
    <w:name w:val="xl135"/>
    <w:basedOn w:val="Normale"/>
    <w:rsid w:val="00115BC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38">
    <w:name w:val="xl138"/>
    <w:basedOn w:val="Normale"/>
    <w:rsid w:val="00115BC3"/>
    <w:pPr>
      <w:pBdr>
        <w:top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39">
    <w:name w:val="xl139"/>
    <w:basedOn w:val="Normale"/>
    <w:rsid w:val="00115BC3"/>
    <w:pPr>
      <w:spacing w:before="100" w:beforeAutospacing="1" w:after="100" w:afterAutospacing="1" w:line="240" w:lineRule="auto"/>
      <w:jc w:val="center"/>
    </w:pPr>
    <w:rPr>
      <w:rFonts w:ascii="Calibri" w:eastAsia="Times New Roman" w:hAnsi="Calibri" w:cs="Calibri"/>
      <w:color w:val="000000"/>
      <w:sz w:val="24"/>
      <w:szCs w:val="24"/>
      <w:lang w:eastAsia="en-GB"/>
    </w:rPr>
  </w:style>
  <w:style w:type="paragraph" w:customStyle="1" w:styleId="xl157">
    <w:name w:val="xl157"/>
    <w:basedOn w:val="Normale"/>
    <w:rsid w:val="00115BC3"/>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266">
    <w:name w:val="xl266"/>
    <w:basedOn w:val="Normale"/>
    <w:rsid w:val="00115BC3"/>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281">
    <w:name w:val="xl281"/>
    <w:basedOn w:val="Normale"/>
    <w:rsid w:val="00115BC3"/>
    <w:pPr>
      <w:pBdr>
        <w:top w:val="single" w:sz="4" w:space="0" w:color="000000"/>
        <w:left w:val="single" w:sz="4" w:space="0" w:color="000000"/>
        <w:bottom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306">
    <w:name w:val="xl306"/>
    <w:basedOn w:val="Normale"/>
    <w:rsid w:val="00115BC3"/>
    <w:pPr>
      <w:pBdr>
        <w:top w:val="single" w:sz="4" w:space="0" w:color="000000"/>
        <w:bottom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307">
    <w:name w:val="xl307"/>
    <w:basedOn w:val="Normale"/>
    <w:rsid w:val="00115BC3"/>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382">
    <w:name w:val="xl382"/>
    <w:basedOn w:val="Normale"/>
    <w:rsid w:val="00115BC3"/>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0563C1"/>
      <w:sz w:val="24"/>
      <w:szCs w:val="24"/>
      <w:u w:val="single"/>
      <w:lang w:eastAsia="en-GB"/>
    </w:rPr>
  </w:style>
  <w:style w:type="paragraph" w:customStyle="1" w:styleId="xl525">
    <w:name w:val="xl525"/>
    <w:basedOn w:val="Normale"/>
    <w:rsid w:val="00115BC3"/>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532">
    <w:name w:val="xl532"/>
    <w:basedOn w:val="Normale"/>
    <w:rsid w:val="00115BC3"/>
    <w:pPr>
      <w:pBdr>
        <w:top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541">
    <w:name w:val="xl541"/>
    <w:basedOn w:val="Normale"/>
    <w:rsid w:val="00115BC3"/>
    <w:pPr>
      <w:pBdr>
        <w:top w:val="single" w:sz="4" w:space="0" w:color="000000"/>
        <w:right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542">
    <w:name w:val="xl542"/>
    <w:basedOn w:val="Normale"/>
    <w:rsid w:val="00115BC3"/>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543">
    <w:name w:val="xl543"/>
    <w:basedOn w:val="Normale"/>
    <w:rsid w:val="00115BC3"/>
    <w:pPr>
      <w:pBdr>
        <w:left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544">
    <w:name w:val="xl544"/>
    <w:basedOn w:val="Normale"/>
    <w:rsid w:val="00115BC3"/>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0563C1"/>
      <w:sz w:val="24"/>
      <w:szCs w:val="24"/>
      <w:u w:val="single"/>
      <w:lang w:eastAsia="en-GB"/>
    </w:rPr>
  </w:style>
  <w:style w:type="paragraph" w:customStyle="1" w:styleId="xl545">
    <w:name w:val="xl545"/>
    <w:basedOn w:val="Normale"/>
    <w:rsid w:val="00115BC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546">
    <w:name w:val="xl546"/>
    <w:basedOn w:val="Normale"/>
    <w:rsid w:val="00115BC3"/>
    <w:pPr>
      <w:pBdr>
        <w:top w:val="single" w:sz="4" w:space="0" w:color="auto"/>
        <w:left w:val="single" w:sz="4" w:space="0" w:color="auto"/>
        <w:right w:val="single" w:sz="4" w:space="0" w:color="auto"/>
      </w:pBdr>
      <w:spacing w:before="100" w:beforeAutospacing="1" w:after="100" w:afterAutospacing="1" w:line="240" w:lineRule="auto"/>
      <w:jc w:val="center"/>
    </w:pPr>
    <w:rPr>
      <w:rFonts w:ascii="Calibri" w:eastAsia="Times New Roman" w:hAnsi="Calibri" w:cs="Calibri"/>
      <w:color w:val="000000"/>
      <w:sz w:val="24"/>
      <w:szCs w:val="24"/>
      <w:lang w:eastAsia="en-GB"/>
    </w:rPr>
  </w:style>
  <w:style w:type="paragraph" w:customStyle="1" w:styleId="xl547">
    <w:name w:val="xl547"/>
    <w:basedOn w:val="Normale"/>
    <w:rsid w:val="00115BC3"/>
    <w:pPr>
      <w:pBdr>
        <w:bottom w:val="single" w:sz="4" w:space="0" w:color="000000"/>
      </w:pBdr>
      <w:spacing w:before="100" w:beforeAutospacing="1" w:after="100" w:afterAutospacing="1" w:line="240" w:lineRule="auto"/>
      <w:jc w:val="center"/>
    </w:pPr>
    <w:rPr>
      <w:rFonts w:ascii="Calibri" w:eastAsia="Times New Roman" w:hAnsi="Calibri" w:cs="Calibri"/>
      <w:color w:val="000000"/>
      <w:sz w:val="24"/>
      <w:szCs w:val="24"/>
      <w:lang w:eastAsia="en-GB"/>
    </w:rPr>
  </w:style>
  <w:style w:type="paragraph" w:customStyle="1" w:styleId="xl548">
    <w:name w:val="xl548"/>
    <w:basedOn w:val="Normale"/>
    <w:rsid w:val="00115BC3"/>
    <w:pPr>
      <w:pBdr>
        <w:left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549">
    <w:name w:val="xl549"/>
    <w:basedOn w:val="Normale"/>
    <w:rsid w:val="00115BC3"/>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character" w:styleId="Collegamentovisitato">
    <w:name w:val="FollowedHyperlink"/>
    <w:basedOn w:val="Carpredefinitoparagrafo"/>
    <w:uiPriority w:val="99"/>
    <w:semiHidden/>
    <w:unhideWhenUsed/>
    <w:rsid w:val="00115BC3"/>
    <w:rPr>
      <w:color w:val="954F72"/>
      <w:u w:val="single"/>
    </w:rPr>
  </w:style>
  <w:style w:type="numbering" w:customStyle="1" w:styleId="Nessunelenco2">
    <w:name w:val="Nessun elenco2"/>
    <w:next w:val="Nessunelenco"/>
    <w:uiPriority w:val="99"/>
    <w:semiHidden/>
    <w:unhideWhenUsed/>
    <w:rsid w:val="005D37B7"/>
  </w:style>
  <w:style w:type="paragraph" w:customStyle="1" w:styleId="xl35">
    <w:name w:val="xl35"/>
    <w:basedOn w:val="Normale"/>
    <w:rsid w:val="005D37B7"/>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30">
    <w:name w:val="xl130"/>
    <w:basedOn w:val="Normale"/>
    <w:rsid w:val="005D37B7"/>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34">
    <w:name w:val="xl134"/>
    <w:basedOn w:val="Normale"/>
    <w:rsid w:val="005D37B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37">
    <w:name w:val="xl137"/>
    <w:basedOn w:val="Normale"/>
    <w:rsid w:val="005D37B7"/>
    <w:pPr>
      <w:pBdr>
        <w:top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53">
    <w:name w:val="xl153"/>
    <w:basedOn w:val="Normale"/>
    <w:rsid w:val="005D37B7"/>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259">
    <w:name w:val="xl259"/>
    <w:basedOn w:val="Normale"/>
    <w:rsid w:val="005D37B7"/>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274">
    <w:name w:val="xl274"/>
    <w:basedOn w:val="Normale"/>
    <w:rsid w:val="005D37B7"/>
    <w:pPr>
      <w:pBdr>
        <w:top w:val="single" w:sz="4" w:space="0" w:color="000000"/>
        <w:left w:val="single" w:sz="4" w:space="0" w:color="000000"/>
        <w:bottom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296">
    <w:name w:val="xl296"/>
    <w:basedOn w:val="Normale"/>
    <w:rsid w:val="005D37B7"/>
    <w:pPr>
      <w:pBdr>
        <w:top w:val="single" w:sz="4" w:space="0" w:color="000000"/>
        <w:bottom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297">
    <w:name w:val="xl297"/>
    <w:basedOn w:val="Normale"/>
    <w:rsid w:val="005D37B7"/>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370">
    <w:name w:val="xl370"/>
    <w:basedOn w:val="Normale"/>
    <w:rsid w:val="005D37B7"/>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0563C1"/>
      <w:sz w:val="24"/>
      <w:szCs w:val="24"/>
      <w:u w:val="single"/>
      <w:lang w:eastAsia="en-GB"/>
    </w:rPr>
  </w:style>
  <w:style w:type="paragraph" w:customStyle="1" w:styleId="xl394">
    <w:name w:val="xl394"/>
    <w:basedOn w:val="Normale"/>
    <w:rsid w:val="005D37B7"/>
    <w:pPr>
      <w:pBdr>
        <w:top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405">
    <w:name w:val="xl405"/>
    <w:basedOn w:val="Normale"/>
    <w:rsid w:val="005D37B7"/>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0563C1"/>
      <w:sz w:val="24"/>
      <w:szCs w:val="24"/>
      <w:u w:val="single"/>
      <w:lang w:eastAsia="en-GB"/>
    </w:rPr>
  </w:style>
  <w:style w:type="paragraph" w:customStyle="1" w:styleId="xl406">
    <w:name w:val="xl406"/>
    <w:basedOn w:val="Normale"/>
    <w:rsid w:val="005D37B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407">
    <w:name w:val="xl407"/>
    <w:basedOn w:val="Normale"/>
    <w:rsid w:val="005D37B7"/>
    <w:pPr>
      <w:pBdr>
        <w:top w:val="single" w:sz="4" w:space="0" w:color="auto"/>
        <w:left w:val="single" w:sz="4" w:space="0" w:color="auto"/>
        <w:right w:val="single" w:sz="4" w:space="0" w:color="auto"/>
      </w:pBdr>
      <w:spacing w:before="100" w:beforeAutospacing="1" w:after="100" w:afterAutospacing="1" w:line="240" w:lineRule="auto"/>
      <w:jc w:val="center"/>
    </w:pPr>
    <w:rPr>
      <w:rFonts w:ascii="Calibri" w:eastAsia="Times New Roman" w:hAnsi="Calibri" w:cs="Calibri"/>
      <w:color w:val="000000"/>
      <w:sz w:val="24"/>
      <w:szCs w:val="24"/>
      <w:lang w:eastAsia="en-GB"/>
    </w:rPr>
  </w:style>
  <w:style w:type="paragraph" w:customStyle="1" w:styleId="xl408">
    <w:name w:val="xl408"/>
    <w:basedOn w:val="Normale"/>
    <w:rsid w:val="005D37B7"/>
    <w:pPr>
      <w:pBdr>
        <w:bottom w:val="single" w:sz="4" w:space="0" w:color="000000"/>
      </w:pBdr>
      <w:spacing w:before="100" w:beforeAutospacing="1" w:after="100" w:afterAutospacing="1" w:line="240" w:lineRule="auto"/>
      <w:jc w:val="center"/>
    </w:pPr>
    <w:rPr>
      <w:rFonts w:ascii="Calibri" w:eastAsia="Times New Roman" w:hAnsi="Calibri" w:cs="Calibri"/>
      <w:color w:val="000000"/>
      <w:sz w:val="24"/>
      <w:szCs w:val="24"/>
      <w:lang w:eastAsia="en-GB"/>
    </w:rPr>
  </w:style>
  <w:style w:type="paragraph" w:customStyle="1" w:styleId="xl409">
    <w:name w:val="xl409"/>
    <w:basedOn w:val="Normale"/>
    <w:rsid w:val="005D37B7"/>
    <w:pPr>
      <w:pBdr>
        <w:left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410">
    <w:name w:val="xl410"/>
    <w:basedOn w:val="Normale"/>
    <w:rsid w:val="005D37B7"/>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539">
    <w:name w:val="xl539"/>
    <w:basedOn w:val="Normale"/>
    <w:rsid w:val="005D37B7"/>
    <w:pPr>
      <w:pBdr>
        <w:left w:val="single" w:sz="4" w:space="0" w:color="000000"/>
        <w:right w:val="single" w:sz="4"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styleId="Soggettocommento">
    <w:name w:val="annotation subject"/>
    <w:basedOn w:val="Testocommento"/>
    <w:next w:val="Testocommento"/>
    <w:link w:val="SoggettocommentoCarattere"/>
    <w:uiPriority w:val="99"/>
    <w:semiHidden/>
    <w:unhideWhenUsed/>
    <w:rsid w:val="00F60EFC"/>
    <w:rPr>
      <w:b/>
      <w:bCs/>
    </w:rPr>
  </w:style>
  <w:style w:type="character" w:customStyle="1" w:styleId="SoggettocommentoCarattere">
    <w:name w:val="Soggetto commento Carattere"/>
    <w:basedOn w:val="TestocommentoCarattere"/>
    <w:link w:val="Soggettocommento"/>
    <w:uiPriority w:val="99"/>
    <w:semiHidden/>
    <w:rsid w:val="00F60EF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1882004">
      <w:bodyDiv w:val="1"/>
      <w:marLeft w:val="0"/>
      <w:marRight w:val="0"/>
      <w:marTop w:val="0"/>
      <w:marBottom w:val="0"/>
      <w:divBdr>
        <w:top w:val="none" w:sz="0" w:space="0" w:color="auto"/>
        <w:left w:val="none" w:sz="0" w:space="0" w:color="auto"/>
        <w:bottom w:val="none" w:sz="0" w:space="0" w:color="auto"/>
        <w:right w:val="none" w:sz="0" w:space="0" w:color="auto"/>
      </w:divBdr>
    </w:div>
    <w:div w:id="107550399">
      <w:bodyDiv w:val="1"/>
      <w:marLeft w:val="0"/>
      <w:marRight w:val="0"/>
      <w:marTop w:val="0"/>
      <w:marBottom w:val="0"/>
      <w:divBdr>
        <w:top w:val="none" w:sz="0" w:space="0" w:color="auto"/>
        <w:left w:val="none" w:sz="0" w:space="0" w:color="auto"/>
        <w:bottom w:val="none" w:sz="0" w:space="0" w:color="auto"/>
        <w:right w:val="none" w:sz="0" w:space="0" w:color="auto"/>
      </w:divBdr>
    </w:div>
    <w:div w:id="261190559">
      <w:bodyDiv w:val="1"/>
      <w:marLeft w:val="0"/>
      <w:marRight w:val="0"/>
      <w:marTop w:val="0"/>
      <w:marBottom w:val="0"/>
      <w:divBdr>
        <w:top w:val="none" w:sz="0" w:space="0" w:color="auto"/>
        <w:left w:val="none" w:sz="0" w:space="0" w:color="auto"/>
        <w:bottom w:val="none" w:sz="0" w:space="0" w:color="auto"/>
        <w:right w:val="none" w:sz="0" w:space="0" w:color="auto"/>
      </w:divBdr>
      <w:divsChild>
        <w:div w:id="1547908018">
          <w:marLeft w:val="480"/>
          <w:marRight w:val="0"/>
          <w:marTop w:val="0"/>
          <w:marBottom w:val="0"/>
          <w:divBdr>
            <w:top w:val="none" w:sz="0" w:space="0" w:color="auto"/>
            <w:left w:val="none" w:sz="0" w:space="0" w:color="auto"/>
            <w:bottom w:val="none" w:sz="0" w:space="0" w:color="auto"/>
            <w:right w:val="none" w:sz="0" w:space="0" w:color="auto"/>
          </w:divBdr>
        </w:div>
        <w:div w:id="1211380469">
          <w:marLeft w:val="480"/>
          <w:marRight w:val="0"/>
          <w:marTop w:val="0"/>
          <w:marBottom w:val="0"/>
          <w:divBdr>
            <w:top w:val="none" w:sz="0" w:space="0" w:color="auto"/>
            <w:left w:val="none" w:sz="0" w:space="0" w:color="auto"/>
            <w:bottom w:val="none" w:sz="0" w:space="0" w:color="auto"/>
            <w:right w:val="none" w:sz="0" w:space="0" w:color="auto"/>
          </w:divBdr>
        </w:div>
        <w:div w:id="1795979790">
          <w:marLeft w:val="480"/>
          <w:marRight w:val="0"/>
          <w:marTop w:val="0"/>
          <w:marBottom w:val="0"/>
          <w:divBdr>
            <w:top w:val="none" w:sz="0" w:space="0" w:color="auto"/>
            <w:left w:val="none" w:sz="0" w:space="0" w:color="auto"/>
            <w:bottom w:val="none" w:sz="0" w:space="0" w:color="auto"/>
            <w:right w:val="none" w:sz="0" w:space="0" w:color="auto"/>
          </w:divBdr>
        </w:div>
        <w:div w:id="359015297">
          <w:marLeft w:val="480"/>
          <w:marRight w:val="0"/>
          <w:marTop w:val="0"/>
          <w:marBottom w:val="0"/>
          <w:divBdr>
            <w:top w:val="none" w:sz="0" w:space="0" w:color="auto"/>
            <w:left w:val="none" w:sz="0" w:space="0" w:color="auto"/>
            <w:bottom w:val="none" w:sz="0" w:space="0" w:color="auto"/>
            <w:right w:val="none" w:sz="0" w:space="0" w:color="auto"/>
          </w:divBdr>
        </w:div>
        <w:div w:id="351540507">
          <w:marLeft w:val="480"/>
          <w:marRight w:val="0"/>
          <w:marTop w:val="0"/>
          <w:marBottom w:val="0"/>
          <w:divBdr>
            <w:top w:val="none" w:sz="0" w:space="0" w:color="auto"/>
            <w:left w:val="none" w:sz="0" w:space="0" w:color="auto"/>
            <w:bottom w:val="none" w:sz="0" w:space="0" w:color="auto"/>
            <w:right w:val="none" w:sz="0" w:space="0" w:color="auto"/>
          </w:divBdr>
        </w:div>
        <w:div w:id="1161195452">
          <w:marLeft w:val="480"/>
          <w:marRight w:val="0"/>
          <w:marTop w:val="0"/>
          <w:marBottom w:val="0"/>
          <w:divBdr>
            <w:top w:val="none" w:sz="0" w:space="0" w:color="auto"/>
            <w:left w:val="none" w:sz="0" w:space="0" w:color="auto"/>
            <w:bottom w:val="none" w:sz="0" w:space="0" w:color="auto"/>
            <w:right w:val="none" w:sz="0" w:space="0" w:color="auto"/>
          </w:divBdr>
        </w:div>
        <w:div w:id="751003183">
          <w:marLeft w:val="480"/>
          <w:marRight w:val="0"/>
          <w:marTop w:val="0"/>
          <w:marBottom w:val="0"/>
          <w:divBdr>
            <w:top w:val="none" w:sz="0" w:space="0" w:color="auto"/>
            <w:left w:val="none" w:sz="0" w:space="0" w:color="auto"/>
            <w:bottom w:val="none" w:sz="0" w:space="0" w:color="auto"/>
            <w:right w:val="none" w:sz="0" w:space="0" w:color="auto"/>
          </w:divBdr>
        </w:div>
        <w:div w:id="1288270532">
          <w:marLeft w:val="480"/>
          <w:marRight w:val="0"/>
          <w:marTop w:val="0"/>
          <w:marBottom w:val="0"/>
          <w:divBdr>
            <w:top w:val="none" w:sz="0" w:space="0" w:color="auto"/>
            <w:left w:val="none" w:sz="0" w:space="0" w:color="auto"/>
            <w:bottom w:val="none" w:sz="0" w:space="0" w:color="auto"/>
            <w:right w:val="none" w:sz="0" w:space="0" w:color="auto"/>
          </w:divBdr>
        </w:div>
        <w:div w:id="1835337786">
          <w:marLeft w:val="480"/>
          <w:marRight w:val="0"/>
          <w:marTop w:val="0"/>
          <w:marBottom w:val="0"/>
          <w:divBdr>
            <w:top w:val="none" w:sz="0" w:space="0" w:color="auto"/>
            <w:left w:val="none" w:sz="0" w:space="0" w:color="auto"/>
            <w:bottom w:val="none" w:sz="0" w:space="0" w:color="auto"/>
            <w:right w:val="none" w:sz="0" w:space="0" w:color="auto"/>
          </w:divBdr>
        </w:div>
        <w:div w:id="509220859">
          <w:marLeft w:val="480"/>
          <w:marRight w:val="0"/>
          <w:marTop w:val="0"/>
          <w:marBottom w:val="0"/>
          <w:divBdr>
            <w:top w:val="none" w:sz="0" w:space="0" w:color="auto"/>
            <w:left w:val="none" w:sz="0" w:space="0" w:color="auto"/>
            <w:bottom w:val="none" w:sz="0" w:space="0" w:color="auto"/>
            <w:right w:val="none" w:sz="0" w:space="0" w:color="auto"/>
          </w:divBdr>
        </w:div>
      </w:divsChild>
    </w:div>
    <w:div w:id="330567741">
      <w:bodyDiv w:val="1"/>
      <w:marLeft w:val="0"/>
      <w:marRight w:val="0"/>
      <w:marTop w:val="0"/>
      <w:marBottom w:val="0"/>
      <w:divBdr>
        <w:top w:val="none" w:sz="0" w:space="0" w:color="auto"/>
        <w:left w:val="none" w:sz="0" w:space="0" w:color="auto"/>
        <w:bottom w:val="none" w:sz="0" w:space="0" w:color="auto"/>
        <w:right w:val="none" w:sz="0" w:space="0" w:color="auto"/>
      </w:divBdr>
    </w:div>
    <w:div w:id="352271238">
      <w:bodyDiv w:val="1"/>
      <w:marLeft w:val="0"/>
      <w:marRight w:val="0"/>
      <w:marTop w:val="0"/>
      <w:marBottom w:val="0"/>
      <w:divBdr>
        <w:top w:val="none" w:sz="0" w:space="0" w:color="auto"/>
        <w:left w:val="none" w:sz="0" w:space="0" w:color="auto"/>
        <w:bottom w:val="none" w:sz="0" w:space="0" w:color="auto"/>
        <w:right w:val="none" w:sz="0" w:space="0" w:color="auto"/>
      </w:divBdr>
    </w:div>
    <w:div w:id="403382740">
      <w:bodyDiv w:val="1"/>
      <w:marLeft w:val="0"/>
      <w:marRight w:val="0"/>
      <w:marTop w:val="0"/>
      <w:marBottom w:val="0"/>
      <w:divBdr>
        <w:top w:val="none" w:sz="0" w:space="0" w:color="auto"/>
        <w:left w:val="none" w:sz="0" w:space="0" w:color="auto"/>
        <w:bottom w:val="none" w:sz="0" w:space="0" w:color="auto"/>
        <w:right w:val="none" w:sz="0" w:space="0" w:color="auto"/>
      </w:divBdr>
      <w:divsChild>
        <w:div w:id="1013874216">
          <w:marLeft w:val="0"/>
          <w:marRight w:val="0"/>
          <w:marTop w:val="0"/>
          <w:marBottom w:val="0"/>
          <w:divBdr>
            <w:top w:val="none" w:sz="0" w:space="0" w:color="auto"/>
            <w:left w:val="none" w:sz="0" w:space="0" w:color="auto"/>
            <w:bottom w:val="none" w:sz="0" w:space="0" w:color="auto"/>
            <w:right w:val="none" w:sz="0" w:space="0" w:color="auto"/>
          </w:divBdr>
        </w:div>
        <w:div w:id="1601372164">
          <w:marLeft w:val="0"/>
          <w:marRight w:val="0"/>
          <w:marTop w:val="0"/>
          <w:marBottom w:val="0"/>
          <w:divBdr>
            <w:top w:val="none" w:sz="0" w:space="0" w:color="auto"/>
            <w:left w:val="none" w:sz="0" w:space="0" w:color="auto"/>
            <w:bottom w:val="none" w:sz="0" w:space="0" w:color="auto"/>
            <w:right w:val="none" w:sz="0" w:space="0" w:color="auto"/>
          </w:divBdr>
          <w:divsChild>
            <w:div w:id="533933061">
              <w:marLeft w:val="0"/>
              <w:marRight w:val="0"/>
              <w:marTop w:val="30"/>
              <w:marBottom w:val="30"/>
              <w:divBdr>
                <w:top w:val="none" w:sz="0" w:space="0" w:color="auto"/>
                <w:left w:val="none" w:sz="0" w:space="0" w:color="auto"/>
                <w:bottom w:val="none" w:sz="0" w:space="0" w:color="auto"/>
                <w:right w:val="none" w:sz="0" w:space="0" w:color="auto"/>
              </w:divBdr>
              <w:divsChild>
                <w:div w:id="1299843783">
                  <w:marLeft w:val="0"/>
                  <w:marRight w:val="0"/>
                  <w:marTop w:val="0"/>
                  <w:marBottom w:val="0"/>
                  <w:divBdr>
                    <w:top w:val="none" w:sz="0" w:space="0" w:color="auto"/>
                    <w:left w:val="none" w:sz="0" w:space="0" w:color="auto"/>
                    <w:bottom w:val="none" w:sz="0" w:space="0" w:color="auto"/>
                    <w:right w:val="none" w:sz="0" w:space="0" w:color="auto"/>
                  </w:divBdr>
                  <w:divsChild>
                    <w:div w:id="23291640">
                      <w:marLeft w:val="0"/>
                      <w:marRight w:val="0"/>
                      <w:marTop w:val="0"/>
                      <w:marBottom w:val="0"/>
                      <w:divBdr>
                        <w:top w:val="none" w:sz="0" w:space="0" w:color="auto"/>
                        <w:left w:val="none" w:sz="0" w:space="0" w:color="auto"/>
                        <w:bottom w:val="none" w:sz="0" w:space="0" w:color="auto"/>
                        <w:right w:val="none" w:sz="0" w:space="0" w:color="auto"/>
                      </w:divBdr>
                    </w:div>
                  </w:divsChild>
                </w:div>
                <w:div w:id="1367868446">
                  <w:marLeft w:val="0"/>
                  <w:marRight w:val="0"/>
                  <w:marTop w:val="0"/>
                  <w:marBottom w:val="0"/>
                  <w:divBdr>
                    <w:top w:val="none" w:sz="0" w:space="0" w:color="auto"/>
                    <w:left w:val="none" w:sz="0" w:space="0" w:color="auto"/>
                    <w:bottom w:val="none" w:sz="0" w:space="0" w:color="auto"/>
                    <w:right w:val="none" w:sz="0" w:space="0" w:color="auto"/>
                  </w:divBdr>
                  <w:divsChild>
                    <w:div w:id="9063485">
                      <w:marLeft w:val="0"/>
                      <w:marRight w:val="0"/>
                      <w:marTop w:val="0"/>
                      <w:marBottom w:val="0"/>
                      <w:divBdr>
                        <w:top w:val="none" w:sz="0" w:space="0" w:color="auto"/>
                        <w:left w:val="none" w:sz="0" w:space="0" w:color="auto"/>
                        <w:bottom w:val="none" w:sz="0" w:space="0" w:color="auto"/>
                        <w:right w:val="none" w:sz="0" w:space="0" w:color="auto"/>
                      </w:divBdr>
                    </w:div>
                  </w:divsChild>
                </w:div>
                <w:div w:id="37509724">
                  <w:marLeft w:val="0"/>
                  <w:marRight w:val="0"/>
                  <w:marTop w:val="0"/>
                  <w:marBottom w:val="0"/>
                  <w:divBdr>
                    <w:top w:val="none" w:sz="0" w:space="0" w:color="auto"/>
                    <w:left w:val="none" w:sz="0" w:space="0" w:color="auto"/>
                    <w:bottom w:val="none" w:sz="0" w:space="0" w:color="auto"/>
                    <w:right w:val="none" w:sz="0" w:space="0" w:color="auto"/>
                  </w:divBdr>
                  <w:divsChild>
                    <w:div w:id="217670616">
                      <w:marLeft w:val="0"/>
                      <w:marRight w:val="0"/>
                      <w:marTop w:val="0"/>
                      <w:marBottom w:val="0"/>
                      <w:divBdr>
                        <w:top w:val="none" w:sz="0" w:space="0" w:color="auto"/>
                        <w:left w:val="none" w:sz="0" w:space="0" w:color="auto"/>
                        <w:bottom w:val="none" w:sz="0" w:space="0" w:color="auto"/>
                        <w:right w:val="none" w:sz="0" w:space="0" w:color="auto"/>
                      </w:divBdr>
                    </w:div>
                  </w:divsChild>
                </w:div>
                <w:div w:id="1101415970">
                  <w:marLeft w:val="0"/>
                  <w:marRight w:val="0"/>
                  <w:marTop w:val="0"/>
                  <w:marBottom w:val="0"/>
                  <w:divBdr>
                    <w:top w:val="none" w:sz="0" w:space="0" w:color="auto"/>
                    <w:left w:val="none" w:sz="0" w:space="0" w:color="auto"/>
                    <w:bottom w:val="none" w:sz="0" w:space="0" w:color="auto"/>
                    <w:right w:val="none" w:sz="0" w:space="0" w:color="auto"/>
                  </w:divBdr>
                  <w:divsChild>
                    <w:div w:id="545066100">
                      <w:marLeft w:val="0"/>
                      <w:marRight w:val="0"/>
                      <w:marTop w:val="0"/>
                      <w:marBottom w:val="0"/>
                      <w:divBdr>
                        <w:top w:val="none" w:sz="0" w:space="0" w:color="auto"/>
                        <w:left w:val="none" w:sz="0" w:space="0" w:color="auto"/>
                        <w:bottom w:val="none" w:sz="0" w:space="0" w:color="auto"/>
                        <w:right w:val="none" w:sz="0" w:space="0" w:color="auto"/>
                      </w:divBdr>
                    </w:div>
                  </w:divsChild>
                </w:div>
                <w:div w:id="210000428">
                  <w:marLeft w:val="0"/>
                  <w:marRight w:val="0"/>
                  <w:marTop w:val="0"/>
                  <w:marBottom w:val="0"/>
                  <w:divBdr>
                    <w:top w:val="none" w:sz="0" w:space="0" w:color="auto"/>
                    <w:left w:val="none" w:sz="0" w:space="0" w:color="auto"/>
                    <w:bottom w:val="none" w:sz="0" w:space="0" w:color="auto"/>
                    <w:right w:val="none" w:sz="0" w:space="0" w:color="auto"/>
                  </w:divBdr>
                  <w:divsChild>
                    <w:div w:id="642125797">
                      <w:marLeft w:val="0"/>
                      <w:marRight w:val="0"/>
                      <w:marTop w:val="0"/>
                      <w:marBottom w:val="0"/>
                      <w:divBdr>
                        <w:top w:val="none" w:sz="0" w:space="0" w:color="auto"/>
                        <w:left w:val="none" w:sz="0" w:space="0" w:color="auto"/>
                        <w:bottom w:val="none" w:sz="0" w:space="0" w:color="auto"/>
                        <w:right w:val="none" w:sz="0" w:space="0" w:color="auto"/>
                      </w:divBdr>
                    </w:div>
                    <w:div w:id="1072392940">
                      <w:marLeft w:val="0"/>
                      <w:marRight w:val="0"/>
                      <w:marTop w:val="0"/>
                      <w:marBottom w:val="0"/>
                      <w:divBdr>
                        <w:top w:val="none" w:sz="0" w:space="0" w:color="auto"/>
                        <w:left w:val="none" w:sz="0" w:space="0" w:color="auto"/>
                        <w:bottom w:val="none" w:sz="0" w:space="0" w:color="auto"/>
                        <w:right w:val="none" w:sz="0" w:space="0" w:color="auto"/>
                      </w:divBdr>
                    </w:div>
                  </w:divsChild>
                </w:div>
                <w:div w:id="1841119298">
                  <w:marLeft w:val="0"/>
                  <w:marRight w:val="0"/>
                  <w:marTop w:val="0"/>
                  <w:marBottom w:val="0"/>
                  <w:divBdr>
                    <w:top w:val="none" w:sz="0" w:space="0" w:color="auto"/>
                    <w:left w:val="none" w:sz="0" w:space="0" w:color="auto"/>
                    <w:bottom w:val="none" w:sz="0" w:space="0" w:color="auto"/>
                    <w:right w:val="none" w:sz="0" w:space="0" w:color="auto"/>
                  </w:divBdr>
                  <w:divsChild>
                    <w:div w:id="1919053015">
                      <w:marLeft w:val="0"/>
                      <w:marRight w:val="0"/>
                      <w:marTop w:val="0"/>
                      <w:marBottom w:val="0"/>
                      <w:divBdr>
                        <w:top w:val="none" w:sz="0" w:space="0" w:color="auto"/>
                        <w:left w:val="none" w:sz="0" w:space="0" w:color="auto"/>
                        <w:bottom w:val="none" w:sz="0" w:space="0" w:color="auto"/>
                        <w:right w:val="none" w:sz="0" w:space="0" w:color="auto"/>
                      </w:divBdr>
                    </w:div>
                    <w:div w:id="726537660">
                      <w:marLeft w:val="0"/>
                      <w:marRight w:val="0"/>
                      <w:marTop w:val="0"/>
                      <w:marBottom w:val="0"/>
                      <w:divBdr>
                        <w:top w:val="none" w:sz="0" w:space="0" w:color="auto"/>
                        <w:left w:val="none" w:sz="0" w:space="0" w:color="auto"/>
                        <w:bottom w:val="none" w:sz="0" w:space="0" w:color="auto"/>
                        <w:right w:val="none" w:sz="0" w:space="0" w:color="auto"/>
                      </w:divBdr>
                    </w:div>
                  </w:divsChild>
                </w:div>
                <w:div w:id="1669559969">
                  <w:marLeft w:val="0"/>
                  <w:marRight w:val="0"/>
                  <w:marTop w:val="0"/>
                  <w:marBottom w:val="0"/>
                  <w:divBdr>
                    <w:top w:val="none" w:sz="0" w:space="0" w:color="auto"/>
                    <w:left w:val="none" w:sz="0" w:space="0" w:color="auto"/>
                    <w:bottom w:val="none" w:sz="0" w:space="0" w:color="auto"/>
                    <w:right w:val="none" w:sz="0" w:space="0" w:color="auto"/>
                  </w:divBdr>
                  <w:divsChild>
                    <w:div w:id="1234508674">
                      <w:marLeft w:val="0"/>
                      <w:marRight w:val="0"/>
                      <w:marTop w:val="0"/>
                      <w:marBottom w:val="0"/>
                      <w:divBdr>
                        <w:top w:val="none" w:sz="0" w:space="0" w:color="auto"/>
                        <w:left w:val="none" w:sz="0" w:space="0" w:color="auto"/>
                        <w:bottom w:val="none" w:sz="0" w:space="0" w:color="auto"/>
                        <w:right w:val="none" w:sz="0" w:space="0" w:color="auto"/>
                      </w:divBdr>
                    </w:div>
                  </w:divsChild>
                </w:div>
                <w:div w:id="860895278">
                  <w:marLeft w:val="0"/>
                  <w:marRight w:val="0"/>
                  <w:marTop w:val="0"/>
                  <w:marBottom w:val="0"/>
                  <w:divBdr>
                    <w:top w:val="none" w:sz="0" w:space="0" w:color="auto"/>
                    <w:left w:val="none" w:sz="0" w:space="0" w:color="auto"/>
                    <w:bottom w:val="none" w:sz="0" w:space="0" w:color="auto"/>
                    <w:right w:val="none" w:sz="0" w:space="0" w:color="auto"/>
                  </w:divBdr>
                  <w:divsChild>
                    <w:div w:id="588588615">
                      <w:marLeft w:val="0"/>
                      <w:marRight w:val="0"/>
                      <w:marTop w:val="0"/>
                      <w:marBottom w:val="0"/>
                      <w:divBdr>
                        <w:top w:val="none" w:sz="0" w:space="0" w:color="auto"/>
                        <w:left w:val="none" w:sz="0" w:space="0" w:color="auto"/>
                        <w:bottom w:val="none" w:sz="0" w:space="0" w:color="auto"/>
                        <w:right w:val="none" w:sz="0" w:space="0" w:color="auto"/>
                      </w:divBdr>
                    </w:div>
                    <w:div w:id="318505730">
                      <w:marLeft w:val="0"/>
                      <w:marRight w:val="0"/>
                      <w:marTop w:val="0"/>
                      <w:marBottom w:val="0"/>
                      <w:divBdr>
                        <w:top w:val="none" w:sz="0" w:space="0" w:color="auto"/>
                        <w:left w:val="none" w:sz="0" w:space="0" w:color="auto"/>
                        <w:bottom w:val="none" w:sz="0" w:space="0" w:color="auto"/>
                        <w:right w:val="none" w:sz="0" w:space="0" w:color="auto"/>
                      </w:divBdr>
                    </w:div>
                    <w:div w:id="1827669577">
                      <w:marLeft w:val="0"/>
                      <w:marRight w:val="0"/>
                      <w:marTop w:val="0"/>
                      <w:marBottom w:val="0"/>
                      <w:divBdr>
                        <w:top w:val="none" w:sz="0" w:space="0" w:color="auto"/>
                        <w:left w:val="none" w:sz="0" w:space="0" w:color="auto"/>
                        <w:bottom w:val="none" w:sz="0" w:space="0" w:color="auto"/>
                        <w:right w:val="none" w:sz="0" w:space="0" w:color="auto"/>
                      </w:divBdr>
                    </w:div>
                  </w:divsChild>
                </w:div>
                <w:div w:id="1709259402">
                  <w:marLeft w:val="0"/>
                  <w:marRight w:val="0"/>
                  <w:marTop w:val="0"/>
                  <w:marBottom w:val="0"/>
                  <w:divBdr>
                    <w:top w:val="none" w:sz="0" w:space="0" w:color="auto"/>
                    <w:left w:val="none" w:sz="0" w:space="0" w:color="auto"/>
                    <w:bottom w:val="none" w:sz="0" w:space="0" w:color="auto"/>
                    <w:right w:val="none" w:sz="0" w:space="0" w:color="auto"/>
                  </w:divBdr>
                  <w:divsChild>
                    <w:div w:id="1491405220">
                      <w:marLeft w:val="0"/>
                      <w:marRight w:val="0"/>
                      <w:marTop w:val="0"/>
                      <w:marBottom w:val="0"/>
                      <w:divBdr>
                        <w:top w:val="none" w:sz="0" w:space="0" w:color="auto"/>
                        <w:left w:val="none" w:sz="0" w:space="0" w:color="auto"/>
                        <w:bottom w:val="none" w:sz="0" w:space="0" w:color="auto"/>
                        <w:right w:val="none" w:sz="0" w:space="0" w:color="auto"/>
                      </w:divBdr>
                    </w:div>
                  </w:divsChild>
                </w:div>
                <w:div w:id="692222885">
                  <w:marLeft w:val="0"/>
                  <w:marRight w:val="0"/>
                  <w:marTop w:val="0"/>
                  <w:marBottom w:val="0"/>
                  <w:divBdr>
                    <w:top w:val="none" w:sz="0" w:space="0" w:color="auto"/>
                    <w:left w:val="none" w:sz="0" w:space="0" w:color="auto"/>
                    <w:bottom w:val="none" w:sz="0" w:space="0" w:color="auto"/>
                    <w:right w:val="none" w:sz="0" w:space="0" w:color="auto"/>
                  </w:divBdr>
                  <w:divsChild>
                    <w:div w:id="1306547907">
                      <w:marLeft w:val="0"/>
                      <w:marRight w:val="0"/>
                      <w:marTop w:val="0"/>
                      <w:marBottom w:val="0"/>
                      <w:divBdr>
                        <w:top w:val="none" w:sz="0" w:space="0" w:color="auto"/>
                        <w:left w:val="none" w:sz="0" w:space="0" w:color="auto"/>
                        <w:bottom w:val="none" w:sz="0" w:space="0" w:color="auto"/>
                        <w:right w:val="none" w:sz="0" w:space="0" w:color="auto"/>
                      </w:divBdr>
                    </w:div>
                  </w:divsChild>
                </w:div>
                <w:div w:id="1947613187">
                  <w:marLeft w:val="0"/>
                  <w:marRight w:val="0"/>
                  <w:marTop w:val="0"/>
                  <w:marBottom w:val="0"/>
                  <w:divBdr>
                    <w:top w:val="none" w:sz="0" w:space="0" w:color="auto"/>
                    <w:left w:val="none" w:sz="0" w:space="0" w:color="auto"/>
                    <w:bottom w:val="none" w:sz="0" w:space="0" w:color="auto"/>
                    <w:right w:val="none" w:sz="0" w:space="0" w:color="auto"/>
                  </w:divBdr>
                  <w:divsChild>
                    <w:div w:id="161160928">
                      <w:marLeft w:val="0"/>
                      <w:marRight w:val="0"/>
                      <w:marTop w:val="0"/>
                      <w:marBottom w:val="0"/>
                      <w:divBdr>
                        <w:top w:val="none" w:sz="0" w:space="0" w:color="auto"/>
                        <w:left w:val="none" w:sz="0" w:space="0" w:color="auto"/>
                        <w:bottom w:val="none" w:sz="0" w:space="0" w:color="auto"/>
                        <w:right w:val="none" w:sz="0" w:space="0" w:color="auto"/>
                      </w:divBdr>
                    </w:div>
                    <w:div w:id="2073499296">
                      <w:marLeft w:val="0"/>
                      <w:marRight w:val="0"/>
                      <w:marTop w:val="0"/>
                      <w:marBottom w:val="0"/>
                      <w:divBdr>
                        <w:top w:val="none" w:sz="0" w:space="0" w:color="auto"/>
                        <w:left w:val="none" w:sz="0" w:space="0" w:color="auto"/>
                        <w:bottom w:val="none" w:sz="0" w:space="0" w:color="auto"/>
                        <w:right w:val="none" w:sz="0" w:space="0" w:color="auto"/>
                      </w:divBdr>
                    </w:div>
                  </w:divsChild>
                </w:div>
                <w:div w:id="1689791799">
                  <w:marLeft w:val="0"/>
                  <w:marRight w:val="0"/>
                  <w:marTop w:val="0"/>
                  <w:marBottom w:val="0"/>
                  <w:divBdr>
                    <w:top w:val="none" w:sz="0" w:space="0" w:color="auto"/>
                    <w:left w:val="none" w:sz="0" w:space="0" w:color="auto"/>
                    <w:bottom w:val="none" w:sz="0" w:space="0" w:color="auto"/>
                    <w:right w:val="none" w:sz="0" w:space="0" w:color="auto"/>
                  </w:divBdr>
                  <w:divsChild>
                    <w:div w:id="1576160351">
                      <w:marLeft w:val="0"/>
                      <w:marRight w:val="0"/>
                      <w:marTop w:val="0"/>
                      <w:marBottom w:val="0"/>
                      <w:divBdr>
                        <w:top w:val="none" w:sz="0" w:space="0" w:color="auto"/>
                        <w:left w:val="none" w:sz="0" w:space="0" w:color="auto"/>
                        <w:bottom w:val="none" w:sz="0" w:space="0" w:color="auto"/>
                        <w:right w:val="none" w:sz="0" w:space="0" w:color="auto"/>
                      </w:divBdr>
                    </w:div>
                  </w:divsChild>
                </w:div>
                <w:div w:id="536546347">
                  <w:marLeft w:val="0"/>
                  <w:marRight w:val="0"/>
                  <w:marTop w:val="0"/>
                  <w:marBottom w:val="0"/>
                  <w:divBdr>
                    <w:top w:val="none" w:sz="0" w:space="0" w:color="auto"/>
                    <w:left w:val="none" w:sz="0" w:space="0" w:color="auto"/>
                    <w:bottom w:val="none" w:sz="0" w:space="0" w:color="auto"/>
                    <w:right w:val="none" w:sz="0" w:space="0" w:color="auto"/>
                  </w:divBdr>
                  <w:divsChild>
                    <w:div w:id="643776857">
                      <w:marLeft w:val="0"/>
                      <w:marRight w:val="0"/>
                      <w:marTop w:val="0"/>
                      <w:marBottom w:val="0"/>
                      <w:divBdr>
                        <w:top w:val="none" w:sz="0" w:space="0" w:color="auto"/>
                        <w:left w:val="none" w:sz="0" w:space="0" w:color="auto"/>
                        <w:bottom w:val="none" w:sz="0" w:space="0" w:color="auto"/>
                        <w:right w:val="none" w:sz="0" w:space="0" w:color="auto"/>
                      </w:divBdr>
                    </w:div>
                  </w:divsChild>
                </w:div>
                <w:div w:id="53086546">
                  <w:marLeft w:val="0"/>
                  <w:marRight w:val="0"/>
                  <w:marTop w:val="0"/>
                  <w:marBottom w:val="0"/>
                  <w:divBdr>
                    <w:top w:val="none" w:sz="0" w:space="0" w:color="auto"/>
                    <w:left w:val="none" w:sz="0" w:space="0" w:color="auto"/>
                    <w:bottom w:val="none" w:sz="0" w:space="0" w:color="auto"/>
                    <w:right w:val="none" w:sz="0" w:space="0" w:color="auto"/>
                  </w:divBdr>
                  <w:divsChild>
                    <w:div w:id="1750931544">
                      <w:marLeft w:val="0"/>
                      <w:marRight w:val="0"/>
                      <w:marTop w:val="0"/>
                      <w:marBottom w:val="0"/>
                      <w:divBdr>
                        <w:top w:val="none" w:sz="0" w:space="0" w:color="auto"/>
                        <w:left w:val="none" w:sz="0" w:space="0" w:color="auto"/>
                        <w:bottom w:val="none" w:sz="0" w:space="0" w:color="auto"/>
                        <w:right w:val="none" w:sz="0" w:space="0" w:color="auto"/>
                      </w:divBdr>
                    </w:div>
                    <w:div w:id="1772896447">
                      <w:marLeft w:val="0"/>
                      <w:marRight w:val="0"/>
                      <w:marTop w:val="0"/>
                      <w:marBottom w:val="0"/>
                      <w:divBdr>
                        <w:top w:val="none" w:sz="0" w:space="0" w:color="auto"/>
                        <w:left w:val="none" w:sz="0" w:space="0" w:color="auto"/>
                        <w:bottom w:val="none" w:sz="0" w:space="0" w:color="auto"/>
                        <w:right w:val="none" w:sz="0" w:space="0" w:color="auto"/>
                      </w:divBdr>
                    </w:div>
                  </w:divsChild>
                </w:div>
                <w:div w:id="1331516837">
                  <w:marLeft w:val="0"/>
                  <w:marRight w:val="0"/>
                  <w:marTop w:val="0"/>
                  <w:marBottom w:val="0"/>
                  <w:divBdr>
                    <w:top w:val="none" w:sz="0" w:space="0" w:color="auto"/>
                    <w:left w:val="none" w:sz="0" w:space="0" w:color="auto"/>
                    <w:bottom w:val="none" w:sz="0" w:space="0" w:color="auto"/>
                    <w:right w:val="none" w:sz="0" w:space="0" w:color="auto"/>
                  </w:divBdr>
                  <w:divsChild>
                    <w:div w:id="186481067">
                      <w:marLeft w:val="0"/>
                      <w:marRight w:val="0"/>
                      <w:marTop w:val="0"/>
                      <w:marBottom w:val="0"/>
                      <w:divBdr>
                        <w:top w:val="none" w:sz="0" w:space="0" w:color="auto"/>
                        <w:left w:val="none" w:sz="0" w:space="0" w:color="auto"/>
                        <w:bottom w:val="none" w:sz="0" w:space="0" w:color="auto"/>
                        <w:right w:val="none" w:sz="0" w:space="0" w:color="auto"/>
                      </w:divBdr>
                    </w:div>
                  </w:divsChild>
                </w:div>
                <w:div w:id="1827240976">
                  <w:marLeft w:val="0"/>
                  <w:marRight w:val="0"/>
                  <w:marTop w:val="0"/>
                  <w:marBottom w:val="0"/>
                  <w:divBdr>
                    <w:top w:val="none" w:sz="0" w:space="0" w:color="auto"/>
                    <w:left w:val="none" w:sz="0" w:space="0" w:color="auto"/>
                    <w:bottom w:val="none" w:sz="0" w:space="0" w:color="auto"/>
                    <w:right w:val="none" w:sz="0" w:space="0" w:color="auto"/>
                  </w:divBdr>
                  <w:divsChild>
                    <w:div w:id="695083483">
                      <w:marLeft w:val="0"/>
                      <w:marRight w:val="0"/>
                      <w:marTop w:val="0"/>
                      <w:marBottom w:val="0"/>
                      <w:divBdr>
                        <w:top w:val="none" w:sz="0" w:space="0" w:color="auto"/>
                        <w:left w:val="none" w:sz="0" w:space="0" w:color="auto"/>
                        <w:bottom w:val="none" w:sz="0" w:space="0" w:color="auto"/>
                        <w:right w:val="none" w:sz="0" w:space="0" w:color="auto"/>
                      </w:divBdr>
                    </w:div>
                  </w:divsChild>
                </w:div>
                <w:div w:id="1496720238">
                  <w:marLeft w:val="0"/>
                  <w:marRight w:val="0"/>
                  <w:marTop w:val="0"/>
                  <w:marBottom w:val="0"/>
                  <w:divBdr>
                    <w:top w:val="none" w:sz="0" w:space="0" w:color="auto"/>
                    <w:left w:val="none" w:sz="0" w:space="0" w:color="auto"/>
                    <w:bottom w:val="none" w:sz="0" w:space="0" w:color="auto"/>
                    <w:right w:val="none" w:sz="0" w:space="0" w:color="auto"/>
                  </w:divBdr>
                  <w:divsChild>
                    <w:div w:id="631404147">
                      <w:marLeft w:val="0"/>
                      <w:marRight w:val="0"/>
                      <w:marTop w:val="0"/>
                      <w:marBottom w:val="0"/>
                      <w:divBdr>
                        <w:top w:val="none" w:sz="0" w:space="0" w:color="auto"/>
                        <w:left w:val="none" w:sz="0" w:space="0" w:color="auto"/>
                        <w:bottom w:val="none" w:sz="0" w:space="0" w:color="auto"/>
                        <w:right w:val="none" w:sz="0" w:space="0" w:color="auto"/>
                      </w:divBdr>
                    </w:div>
                    <w:div w:id="1032728231">
                      <w:marLeft w:val="0"/>
                      <w:marRight w:val="0"/>
                      <w:marTop w:val="0"/>
                      <w:marBottom w:val="0"/>
                      <w:divBdr>
                        <w:top w:val="none" w:sz="0" w:space="0" w:color="auto"/>
                        <w:left w:val="none" w:sz="0" w:space="0" w:color="auto"/>
                        <w:bottom w:val="none" w:sz="0" w:space="0" w:color="auto"/>
                        <w:right w:val="none" w:sz="0" w:space="0" w:color="auto"/>
                      </w:divBdr>
                    </w:div>
                  </w:divsChild>
                </w:div>
                <w:div w:id="438960745">
                  <w:marLeft w:val="0"/>
                  <w:marRight w:val="0"/>
                  <w:marTop w:val="0"/>
                  <w:marBottom w:val="0"/>
                  <w:divBdr>
                    <w:top w:val="none" w:sz="0" w:space="0" w:color="auto"/>
                    <w:left w:val="none" w:sz="0" w:space="0" w:color="auto"/>
                    <w:bottom w:val="none" w:sz="0" w:space="0" w:color="auto"/>
                    <w:right w:val="none" w:sz="0" w:space="0" w:color="auto"/>
                  </w:divBdr>
                  <w:divsChild>
                    <w:div w:id="1089084942">
                      <w:marLeft w:val="0"/>
                      <w:marRight w:val="0"/>
                      <w:marTop w:val="0"/>
                      <w:marBottom w:val="0"/>
                      <w:divBdr>
                        <w:top w:val="none" w:sz="0" w:space="0" w:color="auto"/>
                        <w:left w:val="none" w:sz="0" w:space="0" w:color="auto"/>
                        <w:bottom w:val="none" w:sz="0" w:space="0" w:color="auto"/>
                        <w:right w:val="none" w:sz="0" w:space="0" w:color="auto"/>
                      </w:divBdr>
                    </w:div>
                  </w:divsChild>
                </w:div>
                <w:div w:id="1254359276">
                  <w:marLeft w:val="0"/>
                  <w:marRight w:val="0"/>
                  <w:marTop w:val="0"/>
                  <w:marBottom w:val="0"/>
                  <w:divBdr>
                    <w:top w:val="none" w:sz="0" w:space="0" w:color="auto"/>
                    <w:left w:val="none" w:sz="0" w:space="0" w:color="auto"/>
                    <w:bottom w:val="none" w:sz="0" w:space="0" w:color="auto"/>
                    <w:right w:val="none" w:sz="0" w:space="0" w:color="auto"/>
                  </w:divBdr>
                  <w:divsChild>
                    <w:div w:id="135147312">
                      <w:marLeft w:val="0"/>
                      <w:marRight w:val="0"/>
                      <w:marTop w:val="0"/>
                      <w:marBottom w:val="0"/>
                      <w:divBdr>
                        <w:top w:val="none" w:sz="0" w:space="0" w:color="auto"/>
                        <w:left w:val="none" w:sz="0" w:space="0" w:color="auto"/>
                        <w:bottom w:val="none" w:sz="0" w:space="0" w:color="auto"/>
                        <w:right w:val="none" w:sz="0" w:space="0" w:color="auto"/>
                      </w:divBdr>
                    </w:div>
                  </w:divsChild>
                </w:div>
                <w:div w:id="1838308065">
                  <w:marLeft w:val="0"/>
                  <w:marRight w:val="0"/>
                  <w:marTop w:val="0"/>
                  <w:marBottom w:val="0"/>
                  <w:divBdr>
                    <w:top w:val="none" w:sz="0" w:space="0" w:color="auto"/>
                    <w:left w:val="none" w:sz="0" w:space="0" w:color="auto"/>
                    <w:bottom w:val="none" w:sz="0" w:space="0" w:color="auto"/>
                    <w:right w:val="none" w:sz="0" w:space="0" w:color="auto"/>
                  </w:divBdr>
                  <w:divsChild>
                    <w:div w:id="1549561507">
                      <w:marLeft w:val="0"/>
                      <w:marRight w:val="0"/>
                      <w:marTop w:val="0"/>
                      <w:marBottom w:val="0"/>
                      <w:divBdr>
                        <w:top w:val="none" w:sz="0" w:space="0" w:color="auto"/>
                        <w:left w:val="none" w:sz="0" w:space="0" w:color="auto"/>
                        <w:bottom w:val="none" w:sz="0" w:space="0" w:color="auto"/>
                        <w:right w:val="none" w:sz="0" w:space="0" w:color="auto"/>
                      </w:divBdr>
                    </w:div>
                    <w:div w:id="2085296252">
                      <w:marLeft w:val="0"/>
                      <w:marRight w:val="0"/>
                      <w:marTop w:val="0"/>
                      <w:marBottom w:val="0"/>
                      <w:divBdr>
                        <w:top w:val="none" w:sz="0" w:space="0" w:color="auto"/>
                        <w:left w:val="none" w:sz="0" w:space="0" w:color="auto"/>
                        <w:bottom w:val="none" w:sz="0" w:space="0" w:color="auto"/>
                        <w:right w:val="none" w:sz="0" w:space="0" w:color="auto"/>
                      </w:divBdr>
                    </w:div>
                  </w:divsChild>
                </w:div>
                <w:div w:id="1857771579">
                  <w:marLeft w:val="0"/>
                  <w:marRight w:val="0"/>
                  <w:marTop w:val="0"/>
                  <w:marBottom w:val="0"/>
                  <w:divBdr>
                    <w:top w:val="none" w:sz="0" w:space="0" w:color="auto"/>
                    <w:left w:val="none" w:sz="0" w:space="0" w:color="auto"/>
                    <w:bottom w:val="none" w:sz="0" w:space="0" w:color="auto"/>
                    <w:right w:val="none" w:sz="0" w:space="0" w:color="auto"/>
                  </w:divBdr>
                  <w:divsChild>
                    <w:div w:id="468713591">
                      <w:marLeft w:val="0"/>
                      <w:marRight w:val="0"/>
                      <w:marTop w:val="0"/>
                      <w:marBottom w:val="0"/>
                      <w:divBdr>
                        <w:top w:val="none" w:sz="0" w:space="0" w:color="auto"/>
                        <w:left w:val="none" w:sz="0" w:space="0" w:color="auto"/>
                        <w:bottom w:val="none" w:sz="0" w:space="0" w:color="auto"/>
                        <w:right w:val="none" w:sz="0" w:space="0" w:color="auto"/>
                      </w:divBdr>
                    </w:div>
                  </w:divsChild>
                </w:div>
                <w:div w:id="770467347">
                  <w:marLeft w:val="0"/>
                  <w:marRight w:val="0"/>
                  <w:marTop w:val="0"/>
                  <w:marBottom w:val="0"/>
                  <w:divBdr>
                    <w:top w:val="none" w:sz="0" w:space="0" w:color="auto"/>
                    <w:left w:val="none" w:sz="0" w:space="0" w:color="auto"/>
                    <w:bottom w:val="none" w:sz="0" w:space="0" w:color="auto"/>
                    <w:right w:val="none" w:sz="0" w:space="0" w:color="auto"/>
                  </w:divBdr>
                  <w:divsChild>
                    <w:div w:id="55710582">
                      <w:marLeft w:val="0"/>
                      <w:marRight w:val="0"/>
                      <w:marTop w:val="0"/>
                      <w:marBottom w:val="0"/>
                      <w:divBdr>
                        <w:top w:val="none" w:sz="0" w:space="0" w:color="auto"/>
                        <w:left w:val="none" w:sz="0" w:space="0" w:color="auto"/>
                        <w:bottom w:val="none" w:sz="0" w:space="0" w:color="auto"/>
                        <w:right w:val="none" w:sz="0" w:space="0" w:color="auto"/>
                      </w:divBdr>
                    </w:div>
                  </w:divsChild>
                </w:div>
                <w:div w:id="507253581">
                  <w:marLeft w:val="0"/>
                  <w:marRight w:val="0"/>
                  <w:marTop w:val="0"/>
                  <w:marBottom w:val="0"/>
                  <w:divBdr>
                    <w:top w:val="none" w:sz="0" w:space="0" w:color="auto"/>
                    <w:left w:val="none" w:sz="0" w:space="0" w:color="auto"/>
                    <w:bottom w:val="none" w:sz="0" w:space="0" w:color="auto"/>
                    <w:right w:val="none" w:sz="0" w:space="0" w:color="auto"/>
                  </w:divBdr>
                  <w:divsChild>
                    <w:div w:id="437068943">
                      <w:marLeft w:val="0"/>
                      <w:marRight w:val="0"/>
                      <w:marTop w:val="0"/>
                      <w:marBottom w:val="0"/>
                      <w:divBdr>
                        <w:top w:val="none" w:sz="0" w:space="0" w:color="auto"/>
                        <w:left w:val="none" w:sz="0" w:space="0" w:color="auto"/>
                        <w:bottom w:val="none" w:sz="0" w:space="0" w:color="auto"/>
                        <w:right w:val="none" w:sz="0" w:space="0" w:color="auto"/>
                      </w:divBdr>
                    </w:div>
                    <w:div w:id="594480223">
                      <w:marLeft w:val="0"/>
                      <w:marRight w:val="0"/>
                      <w:marTop w:val="0"/>
                      <w:marBottom w:val="0"/>
                      <w:divBdr>
                        <w:top w:val="none" w:sz="0" w:space="0" w:color="auto"/>
                        <w:left w:val="none" w:sz="0" w:space="0" w:color="auto"/>
                        <w:bottom w:val="none" w:sz="0" w:space="0" w:color="auto"/>
                        <w:right w:val="none" w:sz="0" w:space="0" w:color="auto"/>
                      </w:divBdr>
                    </w:div>
                  </w:divsChild>
                </w:div>
                <w:div w:id="694503353">
                  <w:marLeft w:val="0"/>
                  <w:marRight w:val="0"/>
                  <w:marTop w:val="0"/>
                  <w:marBottom w:val="0"/>
                  <w:divBdr>
                    <w:top w:val="none" w:sz="0" w:space="0" w:color="auto"/>
                    <w:left w:val="none" w:sz="0" w:space="0" w:color="auto"/>
                    <w:bottom w:val="none" w:sz="0" w:space="0" w:color="auto"/>
                    <w:right w:val="none" w:sz="0" w:space="0" w:color="auto"/>
                  </w:divBdr>
                  <w:divsChild>
                    <w:div w:id="203062041">
                      <w:marLeft w:val="0"/>
                      <w:marRight w:val="0"/>
                      <w:marTop w:val="0"/>
                      <w:marBottom w:val="0"/>
                      <w:divBdr>
                        <w:top w:val="none" w:sz="0" w:space="0" w:color="auto"/>
                        <w:left w:val="none" w:sz="0" w:space="0" w:color="auto"/>
                        <w:bottom w:val="none" w:sz="0" w:space="0" w:color="auto"/>
                        <w:right w:val="none" w:sz="0" w:space="0" w:color="auto"/>
                      </w:divBdr>
                    </w:div>
                  </w:divsChild>
                </w:div>
                <w:div w:id="2014839388">
                  <w:marLeft w:val="0"/>
                  <w:marRight w:val="0"/>
                  <w:marTop w:val="0"/>
                  <w:marBottom w:val="0"/>
                  <w:divBdr>
                    <w:top w:val="none" w:sz="0" w:space="0" w:color="auto"/>
                    <w:left w:val="none" w:sz="0" w:space="0" w:color="auto"/>
                    <w:bottom w:val="none" w:sz="0" w:space="0" w:color="auto"/>
                    <w:right w:val="none" w:sz="0" w:space="0" w:color="auto"/>
                  </w:divBdr>
                  <w:divsChild>
                    <w:div w:id="414209517">
                      <w:marLeft w:val="0"/>
                      <w:marRight w:val="0"/>
                      <w:marTop w:val="0"/>
                      <w:marBottom w:val="0"/>
                      <w:divBdr>
                        <w:top w:val="none" w:sz="0" w:space="0" w:color="auto"/>
                        <w:left w:val="none" w:sz="0" w:space="0" w:color="auto"/>
                        <w:bottom w:val="none" w:sz="0" w:space="0" w:color="auto"/>
                        <w:right w:val="none" w:sz="0" w:space="0" w:color="auto"/>
                      </w:divBdr>
                    </w:div>
                  </w:divsChild>
                </w:div>
                <w:div w:id="728649537">
                  <w:marLeft w:val="0"/>
                  <w:marRight w:val="0"/>
                  <w:marTop w:val="0"/>
                  <w:marBottom w:val="0"/>
                  <w:divBdr>
                    <w:top w:val="none" w:sz="0" w:space="0" w:color="auto"/>
                    <w:left w:val="none" w:sz="0" w:space="0" w:color="auto"/>
                    <w:bottom w:val="none" w:sz="0" w:space="0" w:color="auto"/>
                    <w:right w:val="none" w:sz="0" w:space="0" w:color="auto"/>
                  </w:divBdr>
                  <w:divsChild>
                    <w:div w:id="211498609">
                      <w:marLeft w:val="0"/>
                      <w:marRight w:val="0"/>
                      <w:marTop w:val="0"/>
                      <w:marBottom w:val="0"/>
                      <w:divBdr>
                        <w:top w:val="none" w:sz="0" w:space="0" w:color="auto"/>
                        <w:left w:val="none" w:sz="0" w:space="0" w:color="auto"/>
                        <w:bottom w:val="none" w:sz="0" w:space="0" w:color="auto"/>
                        <w:right w:val="none" w:sz="0" w:space="0" w:color="auto"/>
                      </w:divBdr>
                    </w:div>
                  </w:divsChild>
                </w:div>
                <w:div w:id="213465917">
                  <w:marLeft w:val="0"/>
                  <w:marRight w:val="0"/>
                  <w:marTop w:val="0"/>
                  <w:marBottom w:val="0"/>
                  <w:divBdr>
                    <w:top w:val="none" w:sz="0" w:space="0" w:color="auto"/>
                    <w:left w:val="none" w:sz="0" w:space="0" w:color="auto"/>
                    <w:bottom w:val="none" w:sz="0" w:space="0" w:color="auto"/>
                    <w:right w:val="none" w:sz="0" w:space="0" w:color="auto"/>
                  </w:divBdr>
                  <w:divsChild>
                    <w:div w:id="160121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417173">
      <w:bodyDiv w:val="1"/>
      <w:marLeft w:val="0"/>
      <w:marRight w:val="0"/>
      <w:marTop w:val="0"/>
      <w:marBottom w:val="0"/>
      <w:divBdr>
        <w:top w:val="none" w:sz="0" w:space="0" w:color="auto"/>
        <w:left w:val="none" w:sz="0" w:space="0" w:color="auto"/>
        <w:bottom w:val="none" w:sz="0" w:space="0" w:color="auto"/>
        <w:right w:val="none" w:sz="0" w:space="0" w:color="auto"/>
      </w:divBdr>
    </w:div>
    <w:div w:id="464158057">
      <w:bodyDiv w:val="1"/>
      <w:marLeft w:val="0"/>
      <w:marRight w:val="0"/>
      <w:marTop w:val="0"/>
      <w:marBottom w:val="0"/>
      <w:divBdr>
        <w:top w:val="none" w:sz="0" w:space="0" w:color="auto"/>
        <w:left w:val="none" w:sz="0" w:space="0" w:color="auto"/>
        <w:bottom w:val="none" w:sz="0" w:space="0" w:color="auto"/>
        <w:right w:val="none" w:sz="0" w:space="0" w:color="auto"/>
      </w:divBdr>
    </w:div>
    <w:div w:id="606429966">
      <w:bodyDiv w:val="1"/>
      <w:marLeft w:val="0"/>
      <w:marRight w:val="0"/>
      <w:marTop w:val="0"/>
      <w:marBottom w:val="0"/>
      <w:divBdr>
        <w:top w:val="none" w:sz="0" w:space="0" w:color="auto"/>
        <w:left w:val="none" w:sz="0" w:space="0" w:color="auto"/>
        <w:bottom w:val="none" w:sz="0" w:space="0" w:color="auto"/>
        <w:right w:val="none" w:sz="0" w:space="0" w:color="auto"/>
      </w:divBdr>
    </w:div>
    <w:div w:id="613244703">
      <w:bodyDiv w:val="1"/>
      <w:marLeft w:val="0"/>
      <w:marRight w:val="0"/>
      <w:marTop w:val="0"/>
      <w:marBottom w:val="0"/>
      <w:divBdr>
        <w:top w:val="none" w:sz="0" w:space="0" w:color="auto"/>
        <w:left w:val="none" w:sz="0" w:space="0" w:color="auto"/>
        <w:bottom w:val="none" w:sz="0" w:space="0" w:color="auto"/>
        <w:right w:val="none" w:sz="0" w:space="0" w:color="auto"/>
      </w:divBdr>
    </w:div>
    <w:div w:id="724137197">
      <w:bodyDiv w:val="1"/>
      <w:marLeft w:val="0"/>
      <w:marRight w:val="0"/>
      <w:marTop w:val="0"/>
      <w:marBottom w:val="0"/>
      <w:divBdr>
        <w:top w:val="none" w:sz="0" w:space="0" w:color="auto"/>
        <w:left w:val="none" w:sz="0" w:space="0" w:color="auto"/>
        <w:bottom w:val="none" w:sz="0" w:space="0" w:color="auto"/>
        <w:right w:val="none" w:sz="0" w:space="0" w:color="auto"/>
      </w:divBdr>
    </w:div>
    <w:div w:id="734471338">
      <w:bodyDiv w:val="1"/>
      <w:marLeft w:val="0"/>
      <w:marRight w:val="0"/>
      <w:marTop w:val="0"/>
      <w:marBottom w:val="0"/>
      <w:divBdr>
        <w:top w:val="none" w:sz="0" w:space="0" w:color="auto"/>
        <w:left w:val="none" w:sz="0" w:space="0" w:color="auto"/>
        <w:bottom w:val="none" w:sz="0" w:space="0" w:color="auto"/>
        <w:right w:val="none" w:sz="0" w:space="0" w:color="auto"/>
      </w:divBdr>
      <w:divsChild>
        <w:div w:id="92670594">
          <w:marLeft w:val="0"/>
          <w:marRight w:val="0"/>
          <w:marTop w:val="0"/>
          <w:marBottom w:val="0"/>
          <w:divBdr>
            <w:top w:val="none" w:sz="0" w:space="0" w:color="auto"/>
            <w:left w:val="none" w:sz="0" w:space="0" w:color="auto"/>
            <w:bottom w:val="none" w:sz="0" w:space="0" w:color="auto"/>
            <w:right w:val="none" w:sz="0" w:space="0" w:color="auto"/>
          </w:divBdr>
        </w:div>
      </w:divsChild>
    </w:div>
    <w:div w:id="779302557">
      <w:bodyDiv w:val="1"/>
      <w:marLeft w:val="0"/>
      <w:marRight w:val="0"/>
      <w:marTop w:val="0"/>
      <w:marBottom w:val="0"/>
      <w:divBdr>
        <w:top w:val="none" w:sz="0" w:space="0" w:color="auto"/>
        <w:left w:val="none" w:sz="0" w:space="0" w:color="auto"/>
        <w:bottom w:val="none" w:sz="0" w:space="0" w:color="auto"/>
        <w:right w:val="none" w:sz="0" w:space="0" w:color="auto"/>
      </w:divBdr>
    </w:div>
    <w:div w:id="989095866">
      <w:bodyDiv w:val="1"/>
      <w:marLeft w:val="0"/>
      <w:marRight w:val="0"/>
      <w:marTop w:val="0"/>
      <w:marBottom w:val="0"/>
      <w:divBdr>
        <w:top w:val="none" w:sz="0" w:space="0" w:color="auto"/>
        <w:left w:val="none" w:sz="0" w:space="0" w:color="auto"/>
        <w:bottom w:val="none" w:sz="0" w:space="0" w:color="auto"/>
        <w:right w:val="none" w:sz="0" w:space="0" w:color="auto"/>
      </w:divBdr>
    </w:div>
    <w:div w:id="1034303662">
      <w:bodyDiv w:val="1"/>
      <w:marLeft w:val="0"/>
      <w:marRight w:val="0"/>
      <w:marTop w:val="0"/>
      <w:marBottom w:val="0"/>
      <w:divBdr>
        <w:top w:val="none" w:sz="0" w:space="0" w:color="auto"/>
        <w:left w:val="none" w:sz="0" w:space="0" w:color="auto"/>
        <w:bottom w:val="none" w:sz="0" w:space="0" w:color="auto"/>
        <w:right w:val="none" w:sz="0" w:space="0" w:color="auto"/>
      </w:divBdr>
      <w:divsChild>
        <w:div w:id="743915836">
          <w:marLeft w:val="480"/>
          <w:marRight w:val="0"/>
          <w:marTop w:val="0"/>
          <w:marBottom w:val="0"/>
          <w:divBdr>
            <w:top w:val="none" w:sz="0" w:space="0" w:color="auto"/>
            <w:left w:val="none" w:sz="0" w:space="0" w:color="auto"/>
            <w:bottom w:val="none" w:sz="0" w:space="0" w:color="auto"/>
            <w:right w:val="none" w:sz="0" w:space="0" w:color="auto"/>
          </w:divBdr>
        </w:div>
        <w:div w:id="806092945">
          <w:marLeft w:val="480"/>
          <w:marRight w:val="0"/>
          <w:marTop w:val="0"/>
          <w:marBottom w:val="0"/>
          <w:divBdr>
            <w:top w:val="none" w:sz="0" w:space="0" w:color="auto"/>
            <w:left w:val="none" w:sz="0" w:space="0" w:color="auto"/>
            <w:bottom w:val="none" w:sz="0" w:space="0" w:color="auto"/>
            <w:right w:val="none" w:sz="0" w:space="0" w:color="auto"/>
          </w:divBdr>
        </w:div>
        <w:div w:id="1109547471">
          <w:marLeft w:val="480"/>
          <w:marRight w:val="0"/>
          <w:marTop w:val="0"/>
          <w:marBottom w:val="0"/>
          <w:divBdr>
            <w:top w:val="none" w:sz="0" w:space="0" w:color="auto"/>
            <w:left w:val="none" w:sz="0" w:space="0" w:color="auto"/>
            <w:bottom w:val="none" w:sz="0" w:space="0" w:color="auto"/>
            <w:right w:val="none" w:sz="0" w:space="0" w:color="auto"/>
          </w:divBdr>
        </w:div>
        <w:div w:id="194470583">
          <w:marLeft w:val="480"/>
          <w:marRight w:val="0"/>
          <w:marTop w:val="0"/>
          <w:marBottom w:val="0"/>
          <w:divBdr>
            <w:top w:val="none" w:sz="0" w:space="0" w:color="auto"/>
            <w:left w:val="none" w:sz="0" w:space="0" w:color="auto"/>
            <w:bottom w:val="none" w:sz="0" w:space="0" w:color="auto"/>
            <w:right w:val="none" w:sz="0" w:space="0" w:color="auto"/>
          </w:divBdr>
        </w:div>
        <w:div w:id="468982806">
          <w:marLeft w:val="480"/>
          <w:marRight w:val="0"/>
          <w:marTop w:val="0"/>
          <w:marBottom w:val="0"/>
          <w:divBdr>
            <w:top w:val="none" w:sz="0" w:space="0" w:color="auto"/>
            <w:left w:val="none" w:sz="0" w:space="0" w:color="auto"/>
            <w:bottom w:val="none" w:sz="0" w:space="0" w:color="auto"/>
            <w:right w:val="none" w:sz="0" w:space="0" w:color="auto"/>
          </w:divBdr>
        </w:div>
        <w:div w:id="50346187">
          <w:marLeft w:val="480"/>
          <w:marRight w:val="0"/>
          <w:marTop w:val="0"/>
          <w:marBottom w:val="0"/>
          <w:divBdr>
            <w:top w:val="none" w:sz="0" w:space="0" w:color="auto"/>
            <w:left w:val="none" w:sz="0" w:space="0" w:color="auto"/>
            <w:bottom w:val="none" w:sz="0" w:space="0" w:color="auto"/>
            <w:right w:val="none" w:sz="0" w:space="0" w:color="auto"/>
          </w:divBdr>
        </w:div>
        <w:div w:id="1250777833">
          <w:marLeft w:val="480"/>
          <w:marRight w:val="0"/>
          <w:marTop w:val="0"/>
          <w:marBottom w:val="0"/>
          <w:divBdr>
            <w:top w:val="none" w:sz="0" w:space="0" w:color="auto"/>
            <w:left w:val="none" w:sz="0" w:space="0" w:color="auto"/>
            <w:bottom w:val="none" w:sz="0" w:space="0" w:color="auto"/>
            <w:right w:val="none" w:sz="0" w:space="0" w:color="auto"/>
          </w:divBdr>
        </w:div>
        <w:div w:id="971911095">
          <w:marLeft w:val="480"/>
          <w:marRight w:val="0"/>
          <w:marTop w:val="0"/>
          <w:marBottom w:val="0"/>
          <w:divBdr>
            <w:top w:val="none" w:sz="0" w:space="0" w:color="auto"/>
            <w:left w:val="none" w:sz="0" w:space="0" w:color="auto"/>
            <w:bottom w:val="none" w:sz="0" w:space="0" w:color="auto"/>
            <w:right w:val="none" w:sz="0" w:space="0" w:color="auto"/>
          </w:divBdr>
        </w:div>
        <w:div w:id="493301109">
          <w:marLeft w:val="480"/>
          <w:marRight w:val="0"/>
          <w:marTop w:val="0"/>
          <w:marBottom w:val="0"/>
          <w:divBdr>
            <w:top w:val="none" w:sz="0" w:space="0" w:color="auto"/>
            <w:left w:val="none" w:sz="0" w:space="0" w:color="auto"/>
            <w:bottom w:val="none" w:sz="0" w:space="0" w:color="auto"/>
            <w:right w:val="none" w:sz="0" w:space="0" w:color="auto"/>
          </w:divBdr>
        </w:div>
        <w:div w:id="1904364557">
          <w:marLeft w:val="480"/>
          <w:marRight w:val="0"/>
          <w:marTop w:val="0"/>
          <w:marBottom w:val="0"/>
          <w:divBdr>
            <w:top w:val="none" w:sz="0" w:space="0" w:color="auto"/>
            <w:left w:val="none" w:sz="0" w:space="0" w:color="auto"/>
            <w:bottom w:val="none" w:sz="0" w:space="0" w:color="auto"/>
            <w:right w:val="none" w:sz="0" w:space="0" w:color="auto"/>
          </w:divBdr>
        </w:div>
      </w:divsChild>
    </w:div>
    <w:div w:id="1112357718">
      <w:bodyDiv w:val="1"/>
      <w:marLeft w:val="0"/>
      <w:marRight w:val="0"/>
      <w:marTop w:val="0"/>
      <w:marBottom w:val="0"/>
      <w:divBdr>
        <w:top w:val="none" w:sz="0" w:space="0" w:color="auto"/>
        <w:left w:val="none" w:sz="0" w:space="0" w:color="auto"/>
        <w:bottom w:val="none" w:sz="0" w:space="0" w:color="auto"/>
        <w:right w:val="none" w:sz="0" w:space="0" w:color="auto"/>
      </w:divBdr>
    </w:div>
    <w:div w:id="1149129952">
      <w:bodyDiv w:val="1"/>
      <w:marLeft w:val="0"/>
      <w:marRight w:val="0"/>
      <w:marTop w:val="0"/>
      <w:marBottom w:val="0"/>
      <w:divBdr>
        <w:top w:val="none" w:sz="0" w:space="0" w:color="auto"/>
        <w:left w:val="none" w:sz="0" w:space="0" w:color="auto"/>
        <w:bottom w:val="none" w:sz="0" w:space="0" w:color="auto"/>
        <w:right w:val="none" w:sz="0" w:space="0" w:color="auto"/>
      </w:divBdr>
      <w:divsChild>
        <w:div w:id="1413963934">
          <w:marLeft w:val="0"/>
          <w:marRight w:val="0"/>
          <w:marTop w:val="0"/>
          <w:marBottom w:val="0"/>
          <w:divBdr>
            <w:top w:val="none" w:sz="0" w:space="0" w:color="auto"/>
            <w:left w:val="none" w:sz="0" w:space="0" w:color="auto"/>
            <w:bottom w:val="none" w:sz="0" w:space="0" w:color="auto"/>
            <w:right w:val="none" w:sz="0" w:space="0" w:color="auto"/>
          </w:divBdr>
        </w:div>
      </w:divsChild>
    </w:div>
    <w:div w:id="1218663100">
      <w:bodyDiv w:val="1"/>
      <w:marLeft w:val="0"/>
      <w:marRight w:val="0"/>
      <w:marTop w:val="0"/>
      <w:marBottom w:val="0"/>
      <w:divBdr>
        <w:top w:val="none" w:sz="0" w:space="0" w:color="auto"/>
        <w:left w:val="none" w:sz="0" w:space="0" w:color="auto"/>
        <w:bottom w:val="none" w:sz="0" w:space="0" w:color="auto"/>
        <w:right w:val="none" w:sz="0" w:space="0" w:color="auto"/>
      </w:divBdr>
    </w:div>
    <w:div w:id="1316029158">
      <w:bodyDiv w:val="1"/>
      <w:marLeft w:val="0"/>
      <w:marRight w:val="0"/>
      <w:marTop w:val="0"/>
      <w:marBottom w:val="0"/>
      <w:divBdr>
        <w:top w:val="none" w:sz="0" w:space="0" w:color="auto"/>
        <w:left w:val="none" w:sz="0" w:space="0" w:color="auto"/>
        <w:bottom w:val="none" w:sz="0" w:space="0" w:color="auto"/>
        <w:right w:val="none" w:sz="0" w:space="0" w:color="auto"/>
      </w:divBdr>
    </w:div>
    <w:div w:id="1324971346">
      <w:bodyDiv w:val="1"/>
      <w:marLeft w:val="0"/>
      <w:marRight w:val="0"/>
      <w:marTop w:val="0"/>
      <w:marBottom w:val="0"/>
      <w:divBdr>
        <w:top w:val="none" w:sz="0" w:space="0" w:color="auto"/>
        <w:left w:val="none" w:sz="0" w:space="0" w:color="auto"/>
        <w:bottom w:val="none" w:sz="0" w:space="0" w:color="auto"/>
        <w:right w:val="none" w:sz="0" w:space="0" w:color="auto"/>
      </w:divBdr>
      <w:divsChild>
        <w:div w:id="873882367">
          <w:marLeft w:val="480"/>
          <w:marRight w:val="0"/>
          <w:marTop w:val="0"/>
          <w:marBottom w:val="0"/>
          <w:divBdr>
            <w:top w:val="none" w:sz="0" w:space="0" w:color="auto"/>
            <w:left w:val="none" w:sz="0" w:space="0" w:color="auto"/>
            <w:bottom w:val="none" w:sz="0" w:space="0" w:color="auto"/>
            <w:right w:val="none" w:sz="0" w:space="0" w:color="auto"/>
          </w:divBdr>
        </w:div>
        <w:div w:id="1718510876">
          <w:marLeft w:val="480"/>
          <w:marRight w:val="0"/>
          <w:marTop w:val="0"/>
          <w:marBottom w:val="0"/>
          <w:divBdr>
            <w:top w:val="none" w:sz="0" w:space="0" w:color="auto"/>
            <w:left w:val="none" w:sz="0" w:space="0" w:color="auto"/>
            <w:bottom w:val="none" w:sz="0" w:space="0" w:color="auto"/>
            <w:right w:val="none" w:sz="0" w:space="0" w:color="auto"/>
          </w:divBdr>
        </w:div>
        <w:div w:id="400492168">
          <w:marLeft w:val="480"/>
          <w:marRight w:val="0"/>
          <w:marTop w:val="0"/>
          <w:marBottom w:val="0"/>
          <w:divBdr>
            <w:top w:val="none" w:sz="0" w:space="0" w:color="auto"/>
            <w:left w:val="none" w:sz="0" w:space="0" w:color="auto"/>
            <w:bottom w:val="none" w:sz="0" w:space="0" w:color="auto"/>
            <w:right w:val="none" w:sz="0" w:space="0" w:color="auto"/>
          </w:divBdr>
        </w:div>
        <w:div w:id="417484577">
          <w:marLeft w:val="480"/>
          <w:marRight w:val="0"/>
          <w:marTop w:val="0"/>
          <w:marBottom w:val="0"/>
          <w:divBdr>
            <w:top w:val="none" w:sz="0" w:space="0" w:color="auto"/>
            <w:left w:val="none" w:sz="0" w:space="0" w:color="auto"/>
            <w:bottom w:val="none" w:sz="0" w:space="0" w:color="auto"/>
            <w:right w:val="none" w:sz="0" w:space="0" w:color="auto"/>
          </w:divBdr>
        </w:div>
        <w:div w:id="924530929">
          <w:marLeft w:val="480"/>
          <w:marRight w:val="0"/>
          <w:marTop w:val="0"/>
          <w:marBottom w:val="0"/>
          <w:divBdr>
            <w:top w:val="none" w:sz="0" w:space="0" w:color="auto"/>
            <w:left w:val="none" w:sz="0" w:space="0" w:color="auto"/>
            <w:bottom w:val="none" w:sz="0" w:space="0" w:color="auto"/>
            <w:right w:val="none" w:sz="0" w:space="0" w:color="auto"/>
          </w:divBdr>
        </w:div>
        <w:div w:id="230697841">
          <w:marLeft w:val="480"/>
          <w:marRight w:val="0"/>
          <w:marTop w:val="0"/>
          <w:marBottom w:val="0"/>
          <w:divBdr>
            <w:top w:val="none" w:sz="0" w:space="0" w:color="auto"/>
            <w:left w:val="none" w:sz="0" w:space="0" w:color="auto"/>
            <w:bottom w:val="none" w:sz="0" w:space="0" w:color="auto"/>
            <w:right w:val="none" w:sz="0" w:space="0" w:color="auto"/>
          </w:divBdr>
        </w:div>
        <w:div w:id="397217804">
          <w:marLeft w:val="480"/>
          <w:marRight w:val="0"/>
          <w:marTop w:val="0"/>
          <w:marBottom w:val="0"/>
          <w:divBdr>
            <w:top w:val="none" w:sz="0" w:space="0" w:color="auto"/>
            <w:left w:val="none" w:sz="0" w:space="0" w:color="auto"/>
            <w:bottom w:val="none" w:sz="0" w:space="0" w:color="auto"/>
            <w:right w:val="none" w:sz="0" w:space="0" w:color="auto"/>
          </w:divBdr>
        </w:div>
        <w:div w:id="766584156">
          <w:marLeft w:val="480"/>
          <w:marRight w:val="0"/>
          <w:marTop w:val="0"/>
          <w:marBottom w:val="0"/>
          <w:divBdr>
            <w:top w:val="none" w:sz="0" w:space="0" w:color="auto"/>
            <w:left w:val="none" w:sz="0" w:space="0" w:color="auto"/>
            <w:bottom w:val="none" w:sz="0" w:space="0" w:color="auto"/>
            <w:right w:val="none" w:sz="0" w:space="0" w:color="auto"/>
          </w:divBdr>
        </w:div>
        <w:div w:id="1565407218">
          <w:marLeft w:val="480"/>
          <w:marRight w:val="0"/>
          <w:marTop w:val="0"/>
          <w:marBottom w:val="0"/>
          <w:divBdr>
            <w:top w:val="none" w:sz="0" w:space="0" w:color="auto"/>
            <w:left w:val="none" w:sz="0" w:space="0" w:color="auto"/>
            <w:bottom w:val="none" w:sz="0" w:space="0" w:color="auto"/>
            <w:right w:val="none" w:sz="0" w:space="0" w:color="auto"/>
          </w:divBdr>
        </w:div>
        <w:div w:id="1761900841">
          <w:marLeft w:val="480"/>
          <w:marRight w:val="0"/>
          <w:marTop w:val="0"/>
          <w:marBottom w:val="0"/>
          <w:divBdr>
            <w:top w:val="none" w:sz="0" w:space="0" w:color="auto"/>
            <w:left w:val="none" w:sz="0" w:space="0" w:color="auto"/>
            <w:bottom w:val="none" w:sz="0" w:space="0" w:color="auto"/>
            <w:right w:val="none" w:sz="0" w:space="0" w:color="auto"/>
          </w:divBdr>
        </w:div>
      </w:divsChild>
    </w:div>
    <w:div w:id="1660691529">
      <w:bodyDiv w:val="1"/>
      <w:marLeft w:val="0"/>
      <w:marRight w:val="0"/>
      <w:marTop w:val="0"/>
      <w:marBottom w:val="0"/>
      <w:divBdr>
        <w:top w:val="none" w:sz="0" w:space="0" w:color="auto"/>
        <w:left w:val="none" w:sz="0" w:space="0" w:color="auto"/>
        <w:bottom w:val="none" w:sz="0" w:space="0" w:color="auto"/>
        <w:right w:val="none" w:sz="0" w:space="0" w:color="auto"/>
      </w:divBdr>
    </w:div>
    <w:div w:id="1912930677">
      <w:bodyDiv w:val="1"/>
      <w:marLeft w:val="0"/>
      <w:marRight w:val="0"/>
      <w:marTop w:val="0"/>
      <w:marBottom w:val="0"/>
      <w:divBdr>
        <w:top w:val="none" w:sz="0" w:space="0" w:color="auto"/>
        <w:left w:val="none" w:sz="0" w:space="0" w:color="auto"/>
        <w:bottom w:val="none" w:sz="0" w:space="0" w:color="auto"/>
        <w:right w:val="none" w:sz="0" w:space="0" w:color="auto"/>
      </w:divBdr>
      <w:divsChild>
        <w:div w:id="1978413649">
          <w:marLeft w:val="0"/>
          <w:marRight w:val="0"/>
          <w:marTop w:val="0"/>
          <w:marBottom w:val="0"/>
          <w:divBdr>
            <w:top w:val="none" w:sz="0" w:space="0" w:color="auto"/>
            <w:left w:val="none" w:sz="0" w:space="0" w:color="auto"/>
            <w:bottom w:val="none" w:sz="0" w:space="0" w:color="auto"/>
            <w:right w:val="none" w:sz="0" w:space="0" w:color="auto"/>
          </w:divBdr>
        </w:div>
      </w:divsChild>
    </w:div>
    <w:div w:id="1957908476">
      <w:bodyDiv w:val="1"/>
      <w:marLeft w:val="0"/>
      <w:marRight w:val="0"/>
      <w:marTop w:val="0"/>
      <w:marBottom w:val="0"/>
      <w:divBdr>
        <w:top w:val="none" w:sz="0" w:space="0" w:color="auto"/>
        <w:left w:val="none" w:sz="0" w:space="0" w:color="auto"/>
        <w:bottom w:val="none" w:sz="0" w:space="0" w:color="auto"/>
        <w:right w:val="none" w:sz="0" w:space="0" w:color="auto"/>
      </w:divBdr>
    </w:div>
    <w:div w:id="20277508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webofscience.com/wos/woscc/summary/f1b0df67-7516-4cad-a2df-2013be371790-6f36cb30/relevance/1" TargetMode="External"/><Relationship Id="rId18"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image" Target="media/image2.jpe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diagramLayout" Target="diagrams/layout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Data" Target="diagrams/data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vivyg\Downloads\SFS%20Paper%20Database%20v15.01.24.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'Growth Rate'!$B$1</c:f>
              <c:strCache>
                <c:ptCount val="1"/>
                <c:pt idx="0">
                  <c:v>Nr. of scientific documents</c:v>
                </c:pt>
              </c:strCache>
            </c:strRef>
          </c:tx>
          <c:spPr>
            <a:solidFill>
              <a:schemeClr val="accent3">
                <a:shade val="76000"/>
              </a:schemeClr>
            </a:solidFill>
            <a:ln>
              <a:noFill/>
            </a:ln>
            <a:effectLst/>
          </c:spPr>
          <c:invertIfNegative val="0"/>
          <c:cat>
            <c:numRef>
              <c:f>'Growth Rate'!$A$2:$A$9</c:f>
              <c:numCache>
                <c:formatCode>General</c:formatCode>
                <c:ptCount val="8"/>
                <c:pt idx="0">
                  <c:v>2015</c:v>
                </c:pt>
                <c:pt idx="1">
                  <c:v>2016</c:v>
                </c:pt>
                <c:pt idx="2">
                  <c:v>2017</c:v>
                </c:pt>
                <c:pt idx="3">
                  <c:v>2018</c:v>
                </c:pt>
                <c:pt idx="4">
                  <c:v>2019</c:v>
                </c:pt>
                <c:pt idx="5">
                  <c:v>2020</c:v>
                </c:pt>
                <c:pt idx="6">
                  <c:v>2021</c:v>
                </c:pt>
                <c:pt idx="7">
                  <c:v>2022</c:v>
                </c:pt>
              </c:numCache>
            </c:numRef>
          </c:cat>
          <c:val>
            <c:numRef>
              <c:f>'Growth Rate'!$B$2:$B$9</c:f>
              <c:numCache>
                <c:formatCode>General</c:formatCode>
                <c:ptCount val="8"/>
                <c:pt idx="0">
                  <c:v>2</c:v>
                </c:pt>
                <c:pt idx="1">
                  <c:v>2</c:v>
                </c:pt>
                <c:pt idx="2">
                  <c:v>6</c:v>
                </c:pt>
                <c:pt idx="3">
                  <c:v>10</c:v>
                </c:pt>
                <c:pt idx="4">
                  <c:v>12</c:v>
                </c:pt>
                <c:pt idx="5">
                  <c:v>16</c:v>
                </c:pt>
                <c:pt idx="6">
                  <c:v>18</c:v>
                </c:pt>
                <c:pt idx="7">
                  <c:v>18</c:v>
                </c:pt>
              </c:numCache>
            </c:numRef>
          </c:val>
          <c:extLst>
            <c:ext xmlns:c16="http://schemas.microsoft.com/office/drawing/2014/chart" uri="{C3380CC4-5D6E-409C-BE32-E72D297353CC}">
              <c16:uniqueId val="{00000000-1150-4F4D-9C32-0BB6F51C0292}"/>
            </c:ext>
          </c:extLst>
        </c:ser>
        <c:dLbls>
          <c:showLegendKey val="0"/>
          <c:showVal val="0"/>
          <c:showCatName val="0"/>
          <c:showSerName val="0"/>
          <c:showPercent val="0"/>
          <c:showBubbleSize val="0"/>
        </c:dLbls>
        <c:gapWidth val="219"/>
        <c:axId val="1989809407"/>
        <c:axId val="1892730031"/>
      </c:barChart>
      <c:lineChart>
        <c:grouping val="standard"/>
        <c:varyColors val="0"/>
        <c:ser>
          <c:idx val="1"/>
          <c:order val="1"/>
          <c:tx>
            <c:strRef>
              <c:f>'Growth Rate'!$B$12</c:f>
              <c:strCache>
                <c:ptCount val="1"/>
                <c:pt idx="0">
                  <c:v>Annual growth rate of scientific documents</c:v>
                </c:pt>
              </c:strCache>
            </c:strRef>
          </c:tx>
          <c:spPr>
            <a:ln w="28575" cap="rnd">
              <a:solidFill>
                <a:schemeClr val="accent5">
                  <a:lumMod val="75000"/>
                </a:schemeClr>
              </a:solidFill>
              <a:prstDash val="lgDashDot"/>
              <a:round/>
            </a:ln>
            <a:effectLst/>
          </c:spPr>
          <c:marker>
            <c:symbol val="none"/>
          </c:marker>
          <c:cat>
            <c:numRef>
              <c:f>'Growth Rate'!$A$2:$A$9</c:f>
              <c:numCache>
                <c:formatCode>General</c:formatCode>
                <c:ptCount val="8"/>
                <c:pt idx="0">
                  <c:v>2015</c:v>
                </c:pt>
                <c:pt idx="1">
                  <c:v>2016</c:v>
                </c:pt>
                <c:pt idx="2">
                  <c:v>2017</c:v>
                </c:pt>
                <c:pt idx="3">
                  <c:v>2018</c:v>
                </c:pt>
                <c:pt idx="4">
                  <c:v>2019</c:v>
                </c:pt>
                <c:pt idx="5">
                  <c:v>2020</c:v>
                </c:pt>
                <c:pt idx="6">
                  <c:v>2021</c:v>
                </c:pt>
                <c:pt idx="7">
                  <c:v>2022</c:v>
                </c:pt>
              </c:numCache>
            </c:numRef>
          </c:cat>
          <c:val>
            <c:numRef>
              <c:f>'Growth Rate'!$B$13:$B$20</c:f>
              <c:numCache>
                <c:formatCode>0%</c:formatCode>
                <c:ptCount val="8"/>
                <c:pt idx="0" formatCode="0.00%">
                  <c:v>0</c:v>
                </c:pt>
                <c:pt idx="1">
                  <c:v>0</c:v>
                </c:pt>
                <c:pt idx="2">
                  <c:v>2</c:v>
                </c:pt>
                <c:pt idx="3">
                  <c:v>0.66666666666666663</c:v>
                </c:pt>
                <c:pt idx="4">
                  <c:v>0.2</c:v>
                </c:pt>
                <c:pt idx="5">
                  <c:v>0.33333333333333331</c:v>
                </c:pt>
                <c:pt idx="6">
                  <c:v>0.125</c:v>
                </c:pt>
                <c:pt idx="7">
                  <c:v>0</c:v>
                </c:pt>
              </c:numCache>
            </c:numRef>
          </c:val>
          <c:smooth val="0"/>
          <c:extLst>
            <c:ext xmlns:c16="http://schemas.microsoft.com/office/drawing/2014/chart" uri="{C3380CC4-5D6E-409C-BE32-E72D297353CC}">
              <c16:uniqueId val="{00000001-1150-4F4D-9C32-0BB6F51C0292}"/>
            </c:ext>
          </c:extLst>
        </c:ser>
        <c:dLbls>
          <c:showLegendKey val="0"/>
          <c:showVal val="0"/>
          <c:showCatName val="0"/>
          <c:showSerName val="0"/>
          <c:showPercent val="0"/>
          <c:showBubbleSize val="0"/>
        </c:dLbls>
        <c:marker val="1"/>
        <c:smooth val="0"/>
        <c:axId val="725911039"/>
        <c:axId val="192852879"/>
      </c:lineChart>
      <c:catAx>
        <c:axId val="198980940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892730031"/>
        <c:crosses val="autoZero"/>
        <c:auto val="1"/>
        <c:lblAlgn val="ctr"/>
        <c:lblOffset val="100"/>
        <c:noMultiLvlLbl val="0"/>
      </c:catAx>
      <c:valAx>
        <c:axId val="189273003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N. of scientific document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89809407"/>
        <c:crosses val="autoZero"/>
        <c:crossBetween val="between"/>
      </c:valAx>
      <c:valAx>
        <c:axId val="192852879"/>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Growth Rate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725911039"/>
        <c:crosses val="max"/>
        <c:crossBetween val="between"/>
      </c:valAx>
      <c:catAx>
        <c:axId val="725911039"/>
        <c:scaling>
          <c:orientation val="minMax"/>
        </c:scaling>
        <c:delete val="1"/>
        <c:axPos val="b"/>
        <c:numFmt formatCode="General" sourceLinked="1"/>
        <c:majorTickMark val="none"/>
        <c:minorTickMark val="none"/>
        <c:tickLblPos val="nextTo"/>
        <c:crossAx val="192852879"/>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57BC25-FD87-4895-B410-765662F64063}"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GB"/>
        </a:p>
      </dgm:t>
    </dgm:pt>
    <dgm:pt modelId="{90283AC8-867D-412C-A422-DCC2B28E32FB}">
      <dgm:prSet phldrT="[Testo]" custT="1">
        <dgm:style>
          <a:lnRef idx="2">
            <a:schemeClr val="dk1"/>
          </a:lnRef>
          <a:fillRef idx="1">
            <a:schemeClr val="lt1"/>
          </a:fillRef>
          <a:effectRef idx="0">
            <a:schemeClr val="dk1"/>
          </a:effectRef>
          <a:fontRef idx="minor">
            <a:schemeClr val="dk1"/>
          </a:fontRef>
        </dgm:style>
      </dgm:prSet>
      <dgm:spPr/>
      <dgm:t>
        <a:bodyPr/>
        <a:lstStyle/>
        <a:p>
          <a:pPr algn="ctr">
            <a:spcAft>
              <a:spcPct val="35000"/>
            </a:spcAft>
          </a:pPr>
          <a:r>
            <a:rPr lang="en-GB" sz="1000" b="1">
              <a:latin typeface="Times New Roman" panose="02020603050405020304" pitchFamily="18" charset="0"/>
              <a:cs typeface="Times New Roman" panose="02020603050405020304" pitchFamily="18" charset="0"/>
            </a:rPr>
            <a:t>1. Documents Context:</a:t>
          </a:r>
        </a:p>
        <a:p>
          <a:pPr algn="ctr">
            <a:spcAft>
              <a:spcPts val="0"/>
            </a:spcAft>
          </a:pPr>
          <a:r>
            <a:rPr lang="en-GB" sz="1000" b="0">
              <a:latin typeface="Times New Roman" panose="02020603050405020304" pitchFamily="18" charset="0"/>
              <a:cs typeface="Times New Roman" panose="02020603050405020304" pitchFamily="18" charset="0"/>
            </a:rPr>
            <a:t>- Bibliometric data (authors, year of publication, type of doc) </a:t>
          </a:r>
        </a:p>
        <a:p>
          <a:pPr algn="ctr">
            <a:spcAft>
              <a:spcPts val="0"/>
            </a:spcAft>
          </a:pPr>
          <a:r>
            <a:rPr lang="en-GB" sz="1000" b="0">
              <a:latin typeface="Times New Roman" panose="02020603050405020304" pitchFamily="18" charset="0"/>
              <a:cs typeface="Times New Roman" panose="02020603050405020304" pitchFamily="18" charset="0"/>
            </a:rPr>
            <a:t>- Methodology</a:t>
          </a:r>
        </a:p>
        <a:p>
          <a:pPr algn="ctr">
            <a:spcAft>
              <a:spcPts val="0"/>
            </a:spcAft>
          </a:pPr>
          <a:r>
            <a:rPr lang="en-GB" sz="1000" b="0">
              <a:latin typeface="Times New Roman" panose="02020603050405020304" pitchFamily="18" charset="0"/>
              <a:cs typeface="Times New Roman" panose="02020603050405020304" pitchFamily="18" charset="0"/>
            </a:rPr>
            <a:t>- Geographical level of the analysis </a:t>
          </a:r>
        </a:p>
        <a:p>
          <a:pPr algn="ctr">
            <a:spcAft>
              <a:spcPts val="0"/>
            </a:spcAft>
          </a:pPr>
          <a:r>
            <a:rPr lang="en-GB" sz="1000" b="0">
              <a:latin typeface="Times New Roman" panose="02020603050405020304" pitchFamily="18" charset="0"/>
              <a:cs typeface="Times New Roman" panose="02020603050405020304" pitchFamily="18" charset="0"/>
            </a:rPr>
            <a:t>- Sustainability definition  </a:t>
          </a:r>
        </a:p>
      </dgm:t>
    </dgm:pt>
    <dgm:pt modelId="{AF031B0D-7826-4BA2-A219-A2F97319EAA5}" type="parTrans" cxnId="{775CDB4F-9855-4F8B-B7A0-E030D0629E22}">
      <dgm:prSet/>
      <dgm:spPr/>
      <dgm:t>
        <a:bodyPr/>
        <a:lstStyle/>
        <a:p>
          <a:pPr algn="ctr"/>
          <a:endParaRPr lang="en-GB" sz="1000">
            <a:latin typeface="Times New Roman" panose="02020603050405020304" pitchFamily="18" charset="0"/>
            <a:cs typeface="Times New Roman" panose="02020603050405020304" pitchFamily="18" charset="0"/>
          </a:endParaRPr>
        </a:p>
      </dgm:t>
    </dgm:pt>
    <dgm:pt modelId="{7996AFEB-8939-4945-8AB4-3C1BB1F8FB91}" type="sibTrans" cxnId="{775CDB4F-9855-4F8B-B7A0-E030D0629E22}">
      <dgm:prSet/>
      <dgm:spPr/>
      <dgm:t>
        <a:bodyPr/>
        <a:lstStyle/>
        <a:p>
          <a:pPr algn="ctr"/>
          <a:endParaRPr lang="en-GB" sz="1000">
            <a:latin typeface="Times New Roman" panose="02020603050405020304" pitchFamily="18" charset="0"/>
            <a:cs typeface="Times New Roman" panose="02020603050405020304" pitchFamily="18" charset="0"/>
          </a:endParaRPr>
        </a:p>
      </dgm:t>
    </dgm:pt>
    <dgm:pt modelId="{B3C8E103-07BD-4960-836D-8B910DF31357}">
      <dgm:prSet phldrT="[Testo]" custT="1"/>
      <dgm:spPr/>
      <dgm:t>
        <a:bodyPr/>
        <a:lstStyle/>
        <a:p>
          <a:pPr algn="ctr">
            <a:spcAft>
              <a:spcPts val="0"/>
            </a:spcAft>
          </a:pPr>
          <a:r>
            <a:rPr lang="en-GB" sz="1000" b="1">
              <a:latin typeface="Times New Roman" panose="02020603050405020304" pitchFamily="18" charset="0"/>
              <a:cs typeface="Times New Roman" panose="02020603050405020304" pitchFamily="18" charset="0"/>
            </a:rPr>
            <a:t>2. Objectives and dynamics of SFS: </a:t>
          </a:r>
        </a:p>
        <a:p>
          <a:pPr algn="ctr">
            <a:spcAft>
              <a:spcPts val="0"/>
            </a:spcAft>
          </a:pPr>
          <a:r>
            <a:rPr lang="en-GB" sz="1000">
              <a:latin typeface="Times New Roman" panose="02020603050405020304" pitchFamily="18" charset="0"/>
              <a:cs typeface="Times New Roman" panose="02020603050405020304" pitchFamily="18" charset="0"/>
            </a:rPr>
            <a:t>- Social, economic and environmental impacts</a:t>
          </a:r>
        </a:p>
        <a:p>
          <a:pPr algn="ctr">
            <a:spcAft>
              <a:spcPts val="0"/>
            </a:spcAft>
          </a:pPr>
          <a:r>
            <a:rPr lang="en-GB" sz="1000">
              <a:latin typeface="Times New Roman" panose="02020603050405020304" pitchFamily="18" charset="0"/>
              <a:cs typeface="Times New Roman" panose="02020603050405020304" pitchFamily="18" charset="0"/>
            </a:rPr>
            <a:t>- Nutritional and health outcomes</a:t>
          </a:r>
        </a:p>
        <a:p>
          <a:pPr algn="ctr">
            <a:spcAft>
              <a:spcPts val="0"/>
            </a:spcAft>
          </a:pPr>
          <a:r>
            <a:rPr lang="en-GB" sz="1000">
              <a:latin typeface="Times New Roman" panose="02020603050405020304" pitchFamily="18" charset="0"/>
              <a:cs typeface="Times New Roman" panose="02020603050405020304" pitchFamily="18" charset="0"/>
            </a:rPr>
            <a:t>- Food environment </a:t>
          </a:r>
        </a:p>
        <a:p>
          <a:pPr algn="ctr">
            <a:spcAft>
              <a:spcPts val="0"/>
            </a:spcAft>
          </a:pPr>
          <a:r>
            <a:rPr lang="en-GB" sz="1000">
              <a:latin typeface="Times New Roman" panose="02020603050405020304" pitchFamily="18" charset="0"/>
              <a:cs typeface="Times New Roman" panose="02020603050405020304" pitchFamily="18" charset="0"/>
            </a:rPr>
            <a:t>- Synergies and trade-offs among aspects</a:t>
          </a:r>
        </a:p>
      </dgm:t>
    </dgm:pt>
    <dgm:pt modelId="{D6D04BBA-ACEA-4790-A52D-F127A02AE239}" type="parTrans" cxnId="{920359B3-B556-4B9D-9D62-07E3E592E921}">
      <dgm:prSet/>
      <dgm:spPr/>
      <dgm:t>
        <a:bodyPr/>
        <a:lstStyle/>
        <a:p>
          <a:pPr algn="ctr"/>
          <a:endParaRPr lang="en-GB" sz="1000">
            <a:latin typeface="Times New Roman" panose="02020603050405020304" pitchFamily="18" charset="0"/>
            <a:cs typeface="Times New Roman" panose="02020603050405020304" pitchFamily="18" charset="0"/>
          </a:endParaRPr>
        </a:p>
      </dgm:t>
    </dgm:pt>
    <dgm:pt modelId="{5A9E9B09-117C-4D6E-820B-58D24CED6C6F}" type="sibTrans" cxnId="{920359B3-B556-4B9D-9D62-07E3E592E921}">
      <dgm:prSet/>
      <dgm:spPr/>
      <dgm:t>
        <a:bodyPr/>
        <a:lstStyle/>
        <a:p>
          <a:pPr algn="ctr"/>
          <a:endParaRPr lang="en-GB" sz="1000">
            <a:latin typeface="Times New Roman" panose="02020603050405020304" pitchFamily="18" charset="0"/>
            <a:cs typeface="Times New Roman" panose="02020603050405020304" pitchFamily="18" charset="0"/>
          </a:endParaRPr>
        </a:p>
      </dgm:t>
    </dgm:pt>
    <dgm:pt modelId="{95B02228-11F2-43F9-9CBD-355EC7B8D6E3}">
      <dgm:prSet phldrT="[Testo]" custT="1"/>
      <dgm:spPr/>
      <dgm:t>
        <a:bodyPr/>
        <a:lstStyle/>
        <a:p>
          <a:pPr algn="ctr">
            <a:spcAft>
              <a:spcPct val="35000"/>
            </a:spcAft>
          </a:pPr>
          <a:r>
            <a:rPr lang="en-GB" sz="1000" b="1">
              <a:latin typeface="Times New Roman" panose="02020603050405020304" pitchFamily="18" charset="0"/>
              <a:cs typeface="Times New Roman" panose="02020603050405020304" pitchFamily="18" charset="0"/>
            </a:rPr>
            <a:t>3. Transition pathways towards SFS: </a:t>
          </a:r>
        </a:p>
        <a:p>
          <a:pPr algn="ctr">
            <a:spcAft>
              <a:spcPts val="0"/>
            </a:spcAft>
          </a:pPr>
          <a:r>
            <a:rPr lang="en-GB" sz="1000">
              <a:latin typeface="Times New Roman" panose="02020603050405020304" pitchFamily="18" charset="0"/>
              <a:cs typeface="Times New Roman" panose="02020603050405020304" pitchFamily="18" charset="0"/>
            </a:rPr>
            <a:t>- Lock-ins </a:t>
          </a:r>
        </a:p>
        <a:p>
          <a:pPr algn="ctr">
            <a:spcAft>
              <a:spcPts val="0"/>
            </a:spcAft>
          </a:pPr>
          <a:r>
            <a:rPr lang="en-GB" sz="1000">
              <a:latin typeface="Times New Roman" panose="02020603050405020304" pitchFamily="18" charset="0"/>
              <a:cs typeface="Times New Roman" panose="02020603050405020304" pitchFamily="18" charset="0"/>
            </a:rPr>
            <a:t>- Leverage points and feedback loops</a:t>
          </a:r>
        </a:p>
      </dgm:t>
    </dgm:pt>
    <dgm:pt modelId="{A150D05F-7B34-4FBE-8E6C-E779D305C702}" type="parTrans" cxnId="{8DCD6882-B97B-46BF-B614-CDE4E9C6325F}">
      <dgm:prSet/>
      <dgm:spPr/>
      <dgm:t>
        <a:bodyPr/>
        <a:lstStyle/>
        <a:p>
          <a:pPr algn="ctr"/>
          <a:endParaRPr lang="en-GB" sz="1000">
            <a:latin typeface="Times New Roman" panose="02020603050405020304" pitchFamily="18" charset="0"/>
            <a:cs typeface="Times New Roman" panose="02020603050405020304" pitchFamily="18" charset="0"/>
          </a:endParaRPr>
        </a:p>
      </dgm:t>
    </dgm:pt>
    <dgm:pt modelId="{D94055B2-5413-46EF-9A75-ED59BFC95846}" type="sibTrans" cxnId="{8DCD6882-B97B-46BF-B614-CDE4E9C6325F}">
      <dgm:prSet/>
      <dgm:spPr/>
      <dgm:t>
        <a:bodyPr/>
        <a:lstStyle/>
        <a:p>
          <a:pPr algn="ctr"/>
          <a:endParaRPr lang="en-GB" sz="1000">
            <a:latin typeface="Times New Roman" panose="02020603050405020304" pitchFamily="18" charset="0"/>
            <a:cs typeface="Times New Roman" panose="02020603050405020304" pitchFamily="18" charset="0"/>
          </a:endParaRPr>
        </a:p>
      </dgm:t>
    </dgm:pt>
    <dgm:pt modelId="{1594B1A5-04DA-43F8-B26E-3AC43F77DD96}" type="pres">
      <dgm:prSet presAssocID="{0C57BC25-FD87-4895-B410-765662F64063}" presName="hierChild1" presStyleCnt="0">
        <dgm:presLayoutVars>
          <dgm:orgChart val="1"/>
          <dgm:chPref val="1"/>
          <dgm:dir/>
          <dgm:animOne val="branch"/>
          <dgm:animLvl val="lvl"/>
          <dgm:resizeHandles/>
        </dgm:presLayoutVars>
      </dgm:prSet>
      <dgm:spPr/>
    </dgm:pt>
    <dgm:pt modelId="{06BCFEA1-B4C1-42AE-A20E-4F18323EEDFB}" type="pres">
      <dgm:prSet presAssocID="{90283AC8-867D-412C-A422-DCC2B28E32FB}" presName="hierRoot1" presStyleCnt="0">
        <dgm:presLayoutVars>
          <dgm:hierBranch val="init"/>
        </dgm:presLayoutVars>
      </dgm:prSet>
      <dgm:spPr/>
    </dgm:pt>
    <dgm:pt modelId="{6969E716-3169-41DA-BE27-46E9F185EEE1}" type="pres">
      <dgm:prSet presAssocID="{90283AC8-867D-412C-A422-DCC2B28E32FB}" presName="rootComposite1" presStyleCnt="0"/>
      <dgm:spPr/>
    </dgm:pt>
    <dgm:pt modelId="{D86F5B54-3F49-4ACD-AD6A-C1FCE3E722B5}" type="pres">
      <dgm:prSet presAssocID="{90283AC8-867D-412C-A422-DCC2B28E32FB}" presName="rootText1" presStyleLbl="node0" presStyleIdx="0" presStyleCnt="1" custLinFactNeighborX="-3908" custLinFactNeighborY="-558">
        <dgm:presLayoutVars>
          <dgm:chPref val="3"/>
        </dgm:presLayoutVars>
      </dgm:prSet>
      <dgm:spPr/>
    </dgm:pt>
    <dgm:pt modelId="{D0557CFD-1FA9-43EC-97FB-586A6CD3C2EB}" type="pres">
      <dgm:prSet presAssocID="{90283AC8-867D-412C-A422-DCC2B28E32FB}" presName="rootConnector1" presStyleLbl="node1" presStyleIdx="0" presStyleCnt="0"/>
      <dgm:spPr/>
    </dgm:pt>
    <dgm:pt modelId="{145D5855-0C61-4EF9-A2D1-445561FF24B2}" type="pres">
      <dgm:prSet presAssocID="{90283AC8-867D-412C-A422-DCC2B28E32FB}" presName="hierChild2" presStyleCnt="0"/>
      <dgm:spPr/>
    </dgm:pt>
    <dgm:pt modelId="{FFC00CA2-0CDF-4454-A0EA-F13D03D69225}" type="pres">
      <dgm:prSet presAssocID="{D6D04BBA-ACEA-4790-A52D-F127A02AE239}" presName="Name37" presStyleLbl="parChTrans1D2" presStyleIdx="0" presStyleCnt="2"/>
      <dgm:spPr/>
    </dgm:pt>
    <dgm:pt modelId="{331817CF-63EB-47AB-AE05-70BAE5D6DCB1}" type="pres">
      <dgm:prSet presAssocID="{B3C8E103-07BD-4960-836D-8B910DF31357}" presName="hierRoot2" presStyleCnt="0">
        <dgm:presLayoutVars>
          <dgm:hierBranch val="init"/>
        </dgm:presLayoutVars>
      </dgm:prSet>
      <dgm:spPr/>
    </dgm:pt>
    <dgm:pt modelId="{B2F03FD5-F974-420B-83E1-978D34A6E1AA}" type="pres">
      <dgm:prSet presAssocID="{B3C8E103-07BD-4960-836D-8B910DF31357}" presName="rootComposite" presStyleCnt="0"/>
      <dgm:spPr/>
    </dgm:pt>
    <dgm:pt modelId="{97450C72-26CF-48AC-81BA-9DC0BC20430E}" type="pres">
      <dgm:prSet presAssocID="{B3C8E103-07BD-4960-836D-8B910DF31357}" presName="rootText" presStyleLbl="node2" presStyleIdx="0" presStyleCnt="2" custLinFactNeighborX="-2233">
        <dgm:presLayoutVars>
          <dgm:chPref val="3"/>
        </dgm:presLayoutVars>
      </dgm:prSet>
      <dgm:spPr/>
    </dgm:pt>
    <dgm:pt modelId="{4F6ACB1C-2C48-4953-9C63-21B1806B1C8A}" type="pres">
      <dgm:prSet presAssocID="{B3C8E103-07BD-4960-836D-8B910DF31357}" presName="rootConnector" presStyleLbl="node2" presStyleIdx="0" presStyleCnt="2"/>
      <dgm:spPr/>
    </dgm:pt>
    <dgm:pt modelId="{5236AF74-12F8-43E5-B679-B20F3F7DE4C9}" type="pres">
      <dgm:prSet presAssocID="{B3C8E103-07BD-4960-836D-8B910DF31357}" presName="hierChild4" presStyleCnt="0"/>
      <dgm:spPr/>
    </dgm:pt>
    <dgm:pt modelId="{CEDD4B56-4041-4C84-946C-2B7075FDF584}" type="pres">
      <dgm:prSet presAssocID="{B3C8E103-07BD-4960-836D-8B910DF31357}" presName="hierChild5" presStyleCnt="0"/>
      <dgm:spPr/>
    </dgm:pt>
    <dgm:pt modelId="{3C3D0D61-5070-4919-9BB2-77C888EFB324}" type="pres">
      <dgm:prSet presAssocID="{A150D05F-7B34-4FBE-8E6C-E779D305C702}" presName="Name37" presStyleLbl="parChTrans1D2" presStyleIdx="1" presStyleCnt="2"/>
      <dgm:spPr/>
    </dgm:pt>
    <dgm:pt modelId="{CE3F8F98-6C89-4969-9CBB-FA01AE788175}" type="pres">
      <dgm:prSet presAssocID="{95B02228-11F2-43F9-9CBD-355EC7B8D6E3}" presName="hierRoot2" presStyleCnt="0">
        <dgm:presLayoutVars>
          <dgm:hierBranch val="init"/>
        </dgm:presLayoutVars>
      </dgm:prSet>
      <dgm:spPr/>
    </dgm:pt>
    <dgm:pt modelId="{6A00B820-1DB2-4538-8A27-43FF1D0678D9}" type="pres">
      <dgm:prSet presAssocID="{95B02228-11F2-43F9-9CBD-355EC7B8D6E3}" presName="rootComposite" presStyleCnt="0"/>
      <dgm:spPr/>
    </dgm:pt>
    <dgm:pt modelId="{52E9DD98-9FD2-448B-9DC3-9B99290926CC}" type="pres">
      <dgm:prSet presAssocID="{95B02228-11F2-43F9-9CBD-355EC7B8D6E3}" presName="rootText" presStyleLbl="node2" presStyleIdx="1" presStyleCnt="2">
        <dgm:presLayoutVars>
          <dgm:chPref val="3"/>
        </dgm:presLayoutVars>
      </dgm:prSet>
      <dgm:spPr/>
    </dgm:pt>
    <dgm:pt modelId="{8638B312-F6DB-475A-8480-46096DBD1FE7}" type="pres">
      <dgm:prSet presAssocID="{95B02228-11F2-43F9-9CBD-355EC7B8D6E3}" presName="rootConnector" presStyleLbl="node2" presStyleIdx="1" presStyleCnt="2"/>
      <dgm:spPr/>
    </dgm:pt>
    <dgm:pt modelId="{E50AE809-3D79-430E-9E96-8B027A774BAE}" type="pres">
      <dgm:prSet presAssocID="{95B02228-11F2-43F9-9CBD-355EC7B8D6E3}" presName="hierChild4" presStyleCnt="0"/>
      <dgm:spPr/>
    </dgm:pt>
    <dgm:pt modelId="{12E33B22-38E2-44D2-B430-6DD489F1A7B2}" type="pres">
      <dgm:prSet presAssocID="{95B02228-11F2-43F9-9CBD-355EC7B8D6E3}" presName="hierChild5" presStyleCnt="0"/>
      <dgm:spPr/>
    </dgm:pt>
    <dgm:pt modelId="{4760A86E-DC79-4EA8-8BE3-EED8156BD5D9}" type="pres">
      <dgm:prSet presAssocID="{90283AC8-867D-412C-A422-DCC2B28E32FB}" presName="hierChild3" presStyleCnt="0"/>
      <dgm:spPr/>
    </dgm:pt>
  </dgm:ptLst>
  <dgm:cxnLst>
    <dgm:cxn modelId="{DE39E323-0C3F-4DDD-9AB5-2DC548EC55F9}" type="presOf" srcId="{A150D05F-7B34-4FBE-8E6C-E779D305C702}" destId="{3C3D0D61-5070-4919-9BB2-77C888EFB324}" srcOrd="0" destOrd="0" presId="urn:microsoft.com/office/officeart/2005/8/layout/orgChart1"/>
    <dgm:cxn modelId="{F4AD674A-E09F-44E6-A6B3-EE41F48C425A}" type="presOf" srcId="{0C57BC25-FD87-4895-B410-765662F64063}" destId="{1594B1A5-04DA-43F8-B26E-3AC43F77DD96}" srcOrd="0" destOrd="0" presId="urn:microsoft.com/office/officeart/2005/8/layout/orgChart1"/>
    <dgm:cxn modelId="{775CDB4F-9855-4F8B-B7A0-E030D0629E22}" srcId="{0C57BC25-FD87-4895-B410-765662F64063}" destId="{90283AC8-867D-412C-A422-DCC2B28E32FB}" srcOrd="0" destOrd="0" parTransId="{AF031B0D-7826-4BA2-A219-A2F97319EAA5}" sibTransId="{7996AFEB-8939-4945-8AB4-3C1BB1F8FB91}"/>
    <dgm:cxn modelId="{7844AB70-BAFB-4610-BD91-00C392AC3D7A}" type="presOf" srcId="{D6D04BBA-ACEA-4790-A52D-F127A02AE239}" destId="{FFC00CA2-0CDF-4454-A0EA-F13D03D69225}" srcOrd="0" destOrd="0" presId="urn:microsoft.com/office/officeart/2005/8/layout/orgChart1"/>
    <dgm:cxn modelId="{8DCD6882-B97B-46BF-B614-CDE4E9C6325F}" srcId="{90283AC8-867D-412C-A422-DCC2B28E32FB}" destId="{95B02228-11F2-43F9-9CBD-355EC7B8D6E3}" srcOrd="1" destOrd="0" parTransId="{A150D05F-7B34-4FBE-8E6C-E779D305C702}" sibTransId="{D94055B2-5413-46EF-9A75-ED59BFC95846}"/>
    <dgm:cxn modelId="{4E343094-72BC-42FC-97AE-6FFB282A9E15}" type="presOf" srcId="{90283AC8-867D-412C-A422-DCC2B28E32FB}" destId="{D0557CFD-1FA9-43EC-97FB-586A6CD3C2EB}" srcOrd="1" destOrd="0" presId="urn:microsoft.com/office/officeart/2005/8/layout/orgChart1"/>
    <dgm:cxn modelId="{9CC3F498-8AC7-4FD4-BDBD-65586BE3967D}" type="presOf" srcId="{95B02228-11F2-43F9-9CBD-355EC7B8D6E3}" destId="{52E9DD98-9FD2-448B-9DC3-9B99290926CC}" srcOrd="0" destOrd="0" presId="urn:microsoft.com/office/officeart/2005/8/layout/orgChart1"/>
    <dgm:cxn modelId="{DD776AA9-D542-4958-AF94-DA2FFB5CBA48}" type="presOf" srcId="{95B02228-11F2-43F9-9CBD-355EC7B8D6E3}" destId="{8638B312-F6DB-475A-8480-46096DBD1FE7}" srcOrd="1" destOrd="0" presId="urn:microsoft.com/office/officeart/2005/8/layout/orgChart1"/>
    <dgm:cxn modelId="{920359B3-B556-4B9D-9D62-07E3E592E921}" srcId="{90283AC8-867D-412C-A422-DCC2B28E32FB}" destId="{B3C8E103-07BD-4960-836D-8B910DF31357}" srcOrd="0" destOrd="0" parTransId="{D6D04BBA-ACEA-4790-A52D-F127A02AE239}" sibTransId="{5A9E9B09-117C-4D6E-820B-58D24CED6C6F}"/>
    <dgm:cxn modelId="{3CECC3B4-AF9E-4F2C-BD7D-B85CAD0B89A7}" type="presOf" srcId="{90283AC8-867D-412C-A422-DCC2B28E32FB}" destId="{D86F5B54-3F49-4ACD-AD6A-C1FCE3E722B5}" srcOrd="0" destOrd="0" presId="urn:microsoft.com/office/officeart/2005/8/layout/orgChart1"/>
    <dgm:cxn modelId="{974A54C0-D65C-416C-8FBA-4C193970E576}" type="presOf" srcId="{B3C8E103-07BD-4960-836D-8B910DF31357}" destId="{97450C72-26CF-48AC-81BA-9DC0BC20430E}" srcOrd="0" destOrd="0" presId="urn:microsoft.com/office/officeart/2005/8/layout/orgChart1"/>
    <dgm:cxn modelId="{6BFFC5C3-8C21-4EEF-A232-538D57465278}" type="presOf" srcId="{B3C8E103-07BD-4960-836D-8B910DF31357}" destId="{4F6ACB1C-2C48-4953-9C63-21B1806B1C8A}" srcOrd="1" destOrd="0" presId="urn:microsoft.com/office/officeart/2005/8/layout/orgChart1"/>
    <dgm:cxn modelId="{B3B327A6-E0E2-4B06-9EF7-B63FE3DB24EF}" type="presParOf" srcId="{1594B1A5-04DA-43F8-B26E-3AC43F77DD96}" destId="{06BCFEA1-B4C1-42AE-A20E-4F18323EEDFB}" srcOrd="0" destOrd="0" presId="urn:microsoft.com/office/officeart/2005/8/layout/orgChart1"/>
    <dgm:cxn modelId="{2999E138-95AB-4821-BF1B-6CB7773D752C}" type="presParOf" srcId="{06BCFEA1-B4C1-42AE-A20E-4F18323EEDFB}" destId="{6969E716-3169-41DA-BE27-46E9F185EEE1}" srcOrd="0" destOrd="0" presId="urn:microsoft.com/office/officeart/2005/8/layout/orgChart1"/>
    <dgm:cxn modelId="{E36D6781-3D47-4F52-9A2A-6EC3BA2C4D2E}" type="presParOf" srcId="{6969E716-3169-41DA-BE27-46E9F185EEE1}" destId="{D86F5B54-3F49-4ACD-AD6A-C1FCE3E722B5}" srcOrd="0" destOrd="0" presId="urn:microsoft.com/office/officeart/2005/8/layout/orgChart1"/>
    <dgm:cxn modelId="{D99F48BE-F6C4-4435-ABD9-882941C61386}" type="presParOf" srcId="{6969E716-3169-41DA-BE27-46E9F185EEE1}" destId="{D0557CFD-1FA9-43EC-97FB-586A6CD3C2EB}" srcOrd="1" destOrd="0" presId="urn:microsoft.com/office/officeart/2005/8/layout/orgChart1"/>
    <dgm:cxn modelId="{55D851BE-5743-47FD-83C3-E95ED25F2944}" type="presParOf" srcId="{06BCFEA1-B4C1-42AE-A20E-4F18323EEDFB}" destId="{145D5855-0C61-4EF9-A2D1-445561FF24B2}" srcOrd="1" destOrd="0" presId="urn:microsoft.com/office/officeart/2005/8/layout/orgChart1"/>
    <dgm:cxn modelId="{DD9C8218-3BCF-4B6C-9022-23E3D6C21F75}" type="presParOf" srcId="{145D5855-0C61-4EF9-A2D1-445561FF24B2}" destId="{FFC00CA2-0CDF-4454-A0EA-F13D03D69225}" srcOrd="0" destOrd="0" presId="urn:microsoft.com/office/officeart/2005/8/layout/orgChart1"/>
    <dgm:cxn modelId="{E639A83E-BC5D-4A51-AF30-4999098FC63F}" type="presParOf" srcId="{145D5855-0C61-4EF9-A2D1-445561FF24B2}" destId="{331817CF-63EB-47AB-AE05-70BAE5D6DCB1}" srcOrd="1" destOrd="0" presId="urn:microsoft.com/office/officeart/2005/8/layout/orgChart1"/>
    <dgm:cxn modelId="{7B073AEB-D33C-43A4-B24D-472F4CFDD0A1}" type="presParOf" srcId="{331817CF-63EB-47AB-AE05-70BAE5D6DCB1}" destId="{B2F03FD5-F974-420B-83E1-978D34A6E1AA}" srcOrd="0" destOrd="0" presId="urn:microsoft.com/office/officeart/2005/8/layout/orgChart1"/>
    <dgm:cxn modelId="{FBC1EE77-C867-464D-B65B-A6B0C33BB728}" type="presParOf" srcId="{B2F03FD5-F974-420B-83E1-978D34A6E1AA}" destId="{97450C72-26CF-48AC-81BA-9DC0BC20430E}" srcOrd="0" destOrd="0" presId="urn:microsoft.com/office/officeart/2005/8/layout/orgChart1"/>
    <dgm:cxn modelId="{9E482EEE-5DB9-49AE-8278-41074F3CC3EC}" type="presParOf" srcId="{B2F03FD5-F974-420B-83E1-978D34A6E1AA}" destId="{4F6ACB1C-2C48-4953-9C63-21B1806B1C8A}" srcOrd="1" destOrd="0" presId="urn:microsoft.com/office/officeart/2005/8/layout/orgChart1"/>
    <dgm:cxn modelId="{00B086D4-F3F7-4382-A756-C8E4B1CC37AA}" type="presParOf" srcId="{331817CF-63EB-47AB-AE05-70BAE5D6DCB1}" destId="{5236AF74-12F8-43E5-B679-B20F3F7DE4C9}" srcOrd="1" destOrd="0" presId="urn:microsoft.com/office/officeart/2005/8/layout/orgChart1"/>
    <dgm:cxn modelId="{CB8FB233-9FA8-408D-B27E-7E6C5087F6D7}" type="presParOf" srcId="{331817CF-63EB-47AB-AE05-70BAE5D6DCB1}" destId="{CEDD4B56-4041-4C84-946C-2B7075FDF584}" srcOrd="2" destOrd="0" presId="urn:microsoft.com/office/officeart/2005/8/layout/orgChart1"/>
    <dgm:cxn modelId="{D845B1D0-3364-4181-AA44-165688C95907}" type="presParOf" srcId="{145D5855-0C61-4EF9-A2D1-445561FF24B2}" destId="{3C3D0D61-5070-4919-9BB2-77C888EFB324}" srcOrd="2" destOrd="0" presId="urn:microsoft.com/office/officeart/2005/8/layout/orgChart1"/>
    <dgm:cxn modelId="{492D8609-5A5E-43B1-AD98-8F82176BC441}" type="presParOf" srcId="{145D5855-0C61-4EF9-A2D1-445561FF24B2}" destId="{CE3F8F98-6C89-4969-9CBB-FA01AE788175}" srcOrd="3" destOrd="0" presId="urn:microsoft.com/office/officeart/2005/8/layout/orgChart1"/>
    <dgm:cxn modelId="{DA1E161E-BF82-4846-BA68-60F23235774D}" type="presParOf" srcId="{CE3F8F98-6C89-4969-9CBB-FA01AE788175}" destId="{6A00B820-1DB2-4538-8A27-43FF1D0678D9}" srcOrd="0" destOrd="0" presId="urn:microsoft.com/office/officeart/2005/8/layout/orgChart1"/>
    <dgm:cxn modelId="{26B8B64B-F3C0-400A-AD99-596DA50444C1}" type="presParOf" srcId="{6A00B820-1DB2-4538-8A27-43FF1D0678D9}" destId="{52E9DD98-9FD2-448B-9DC3-9B99290926CC}" srcOrd="0" destOrd="0" presId="urn:microsoft.com/office/officeart/2005/8/layout/orgChart1"/>
    <dgm:cxn modelId="{AF4CE9E0-7F58-4EA9-AFD7-C7F183F900D5}" type="presParOf" srcId="{6A00B820-1DB2-4538-8A27-43FF1D0678D9}" destId="{8638B312-F6DB-475A-8480-46096DBD1FE7}" srcOrd="1" destOrd="0" presId="urn:microsoft.com/office/officeart/2005/8/layout/orgChart1"/>
    <dgm:cxn modelId="{3772A39E-2969-4B0C-8723-61735F118E2C}" type="presParOf" srcId="{CE3F8F98-6C89-4969-9CBB-FA01AE788175}" destId="{E50AE809-3D79-430E-9E96-8B027A774BAE}" srcOrd="1" destOrd="0" presId="urn:microsoft.com/office/officeart/2005/8/layout/orgChart1"/>
    <dgm:cxn modelId="{A08AF6CA-F057-402B-BEB7-A761C2DCFDEA}" type="presParOf" srcId="{CE3F8F98-6C89-4969-9CBB-FA01AE788175}" destId="{12E33B22-38E2-44D2-B430-6DD489F1A7B2}" srcOrd="2" destOrd="0" presId="urn:microsoft.com/office/officeart/2005/8/layout/orgChart1"/>
    <dgm:cxn modelId="{1D5A7172-0497-4174-8BDF-E8B2432A9A17}" type="presParOf" srcId="{06BCFEA1-B4C1-42AE-A20E-4F18323EEDFB}" destId="{4760A86E-DC79-4EA8-8BE3-EED8156BD5D9}"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3D0D61-5070-4919-9BB2-77C888EFB324}">
      <dsp:nvSpPr>
        <dsp:cNvPr id="0" name=""/>
        <dsp:cNvSpPr/>
      </dsp:nvSpPr>
      <dsp:spPr>
        <a:xfrm>
          <a:off x="2103284" y="1093204"/>
          <a:ext cx="1270270" cy="419669"/>
        </a:xfrm>
        <a:custGeom>
          <a:avLst/>
          <a:gdLst/>
          <a:ahLst/>
          <a:cxnLst/>
          <a:rect l="0" t="0" r="0" b="0"/>
          <a:pathLst>
            <a:path>
              <a:moveTo>
                <a:pt x="0" y="0"/>
              </a:moveTo>
              <a:lnTo>
                <a:pt x="0" y="212586"/>
              </a:lnTo>
              <a:lnTo>
                <a:pt x="1270270" y="212586"/>
              </a:lnTo>
              <a:lnTo>
                <a:pt x="1270270" y="41966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C00CA2-0CDF-4454-A0EA-F13D03D69225}">
      <dsp:nvSpPr>
        <dsp:cNvPr id="0" name=""/>
        <dsp:cNvSpPr/>
      </dsp:nvSpPr>
      <dsp:spPr>
        <a:xfrm>
          <a:off x="986112" y="1093204"/>
          <a:ext cx="1117172" cy="419669"/>
        </a:xfrm>
        <a:custGeom>
          <a:avLst/>
          <a:gdLst/>
          <a:ahLst/>
          <a:cxnLst/>
          <a:rect l="0" t="0" r="0" b="0"/>
          <a:pathLst>
            <a:path>
              <a:moveTo>
                <a:pt x="1117172" y="0"/>
              </a:moveTo>
              <a:lnTo>
                <a:pt x="1117172" y="212586"/>
              </a:lnTo>
              <a:lnTo>
                <a:pt x="0" y="212586"/>
              </a:lnTo>
              <a:lnTo>
                <a:pt x="0" y="41966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86F5B54-3F49-4ACD-AD6A-C1FCE3E722B5}">
      <dsp:nvSpPr>
        <dsp:cNvPr id="0" name=""/>
        <dsp:cNvSpPr/>
      </dsp:nvSpPr>
      <dsp:spPr>
        <a:xfrm>
          <a:off x="1117172" y="107092"/>
          <a:ext cx="1972224" cy="986112"/>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b="1" kern="1200">
              <a:latin typeface="Times New Roman" panose="02020603050405020304" pitchFamily="18" charset="0"/>
              <a:cs typeface="Times New Roman" panose="02020603050405020304" pitchFamily="18" charset="0"/>
            </a:rPr>
            <a:t>1. Documents Context:</a:t>
          </a:r>
        </a:p>
        <a:p>
          <a:pPr marL="0" lvl="0" indent="0" algn="ctr" defTabSz="444500">
            <a:lnSpc>
              <a:spcPct val="90000"/>
            </a:lnSpc>
            <a:spcBef>
              <a:spcPct val="0"/>
            </a:spcBef>
            <a:spcAft>
              <a:spcPts val="0"/>
            </a:spcAft>
            <a:buNone/>
          </a:pPr>
          <a:r>
            <a:rPr lang="en-GB" sz="1000" b="0" kern="1200">
              <a:latin typeface="Times New Roman" panose="02020603050405020304" pitchFamily="18" charset="0"/>
              <a:cs typeface="Times New Roman" panose="02020603050405020304" pitchFamily="18" charset="0"/>
            </a:rPr>
            <a:t>- Bibliometric data (authors, year of publication, type of doc) </a:t>
          </a:r>
        </a:p>
        <a:p>
          <a:pPr marL="0" lvl="0" indent="0" algn="ctr" defTabSz="444500">
            <a:lnSpc>
              <a:spcPct val="90000"/>
            </a:lnSpc>
            <a:spcBef>
              <a:spcPct val="0"/>
            </a:spcBef>
            <a:spcAft>
              <a:spcPts val="0"/>
            </a:spcAft>
            <a:buNone/>
          </a:pPr>
          <a:r>
            <a:rPr lang="en-GB" sz="1000" b="0" kern="1200">
              <a:latin typeface="Times New Roman" panose="02020603050405020304" pitchFamily="18" charset="0"/>
              <a:cs typeface="Times New Roman" panose="02020603050405020304" pitchFamily="18" charset="0"/>
            </a:rPr>
            <a:t>- Methodology</a:t>
          </a:r>
        </a:p>
        <a:p>
          <a:pPr marL="0" lvl="0" indent="0" algn="ctr" defTabSz="444500">
            <a:lnSpc>
              <a:spcPct val="90000"/>
            </a:lnSpc>
            <a:spcBef>
              <a:spcPct val="0"/>
            </a:spcBef>
            <a:spcAft>
              <a:spcPts val="0"/>
            </a:spcAft>
            <a:buNone/>
          </a:pPr>
          <a:r>
            <a:rPr lang="en-GB" sz="1000" b="0" kern="1200">
              <a:latin typeface="Times New Roman" panose="02020603050405020304" pitchFamily="18" charset="0"/>
              <a:cs typeface="Times New Roman" panose="02020603050405020304" pitchFamily="18" charset="0"/>
            </a:rPr>
            <a:t>- Geographical level of the analysis </a:t>
          </a:r>
        </a:p>
        <a:p>
          <a:pPr marL="0" lvl="0" indent="0" algn="ctr" defTabSz="444500">
            <a:lnSpc>
              <a:spcPct val="90000"/>
            </a:lnSpc>
            <a:spcBef>
              <a:spcPct val="0"/>
            </a:spcBef>
            <a:spcAft>
              <a:spcPts val="0"/>
            </a:spcAft>
            <a:buNone/>
          </a:pPr>
          <a:r>
            <a:rPr lang="en-GB" sz="1000" b="0" kern="1200">
              <a:latin typeface="Times New Roman" panose="02020603050405020304" pitchFamily="18" charset="0"/>
              <a:cs typeface="Times New Roman" panose="02020603050405020304" pitchFamily="18" charset="0"/>
            </a:rPr>
            <a:t>- Sustainability definition  </a:t>
          </a:r>
        </a:p>
      </dsp:txBody>
      <dsp:txXfrm>
        <a:off x="1117172" y="107092"/>
        <a:ext cx="1972224" cy="986112"/>
      </dsp:txXfrm>
    </dsp:sp>
    <dsp:sp modelId="{97450C72-26CF-48AC-81BA-9DC0BC20430E}">
      <dsp:nvSpPr>
        <dsp:cNvPr id="0" name=""/>
        <dsp:cNvSpPr/>
      </dsp:nvSpPr>
      <dsp:spPr>
        <a:xfrm>
          <a:off x="0" y="1512874"/>
          <a:ext cx="1972224" cy="98611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ts val="0"/>
            </a:spcAft>
            <a:buNone/>
          </a:pPr>
          <a:r>
            <a:rPr lang="en-GB" sz="1000" b="1" kern="1200">
              <a:latin typeface="Times New Roman" panose="02020603050405020304" pitchFamily="18" charset="0"/>
              <a:cs typeface="Times New Roman" panose="02020603050405020304" pitchFamily="18" charset="0"/>
            </a:rPr>
            <a:t>2. Objectives and dynamics of SFS: </a:t>
          </a:r>
        </a:p>
        <a:p>
          <a:pPr marL="0" lvl="0" indent="0" algn="ctr" defTabSz="444500">
            <a:lnSpc>
              <a:spcPct val="90000"/>
            </a:lnSpc>
            <a:spcBef>
              <a:spcPct val="0"/>
            </a:spcBef>
            <a:spcAft>
              <a:spcPts val="0"/>
            </a:spcAft>
            <a:buNone/>
          </a:pPr>
          <a:r>
            <a:rPr lang="en-GB" sz="1000" kern="1200">
              <a:latin typeface="Times New Roman" panose="02020603050405020304" pitchFamily="18" charset="0"/>
              <a:cs typeface="Times New Roman" panose="02020603050405020304" pitchFamily="18" charset="0"/>
            </a:rPr>
            <a:t>- Social, economic and environmental impacts</a:t>
          </a:r>
        </a:p>
        <a:p>
          <a:pPr marL="0" lvl="0" indent="0" algn="ctr" defTabSz="444500">
            <a:lnSpc>
              <a:spcPct val="90000"/>
            </a:lnSpc>
            <a:spcBef>
              <a:spcPct val="0"/>
            </a:spcBef>
            <a:spcAft>
              <a:spcPts val="0"/>
            </a:spcAft>
            <a:buNone/>
          </a:pPr>
          <a:r>
            <a:rPr lang="en-GB" sz="1000" kern="1200">
              <a:latin typeface="Times New Roman" panose="02020603050405020304" pitchFamily="18" charset="0"/>
              <a:cs typeface="Times New Roman" panose="02020603050405020304" pitchFamily="18" charset="0"/>
            </a:rPr>
            <a:t>- Nutritional and health outcomes</a:t>
          </a:r>
        </a:p>
        <a:p>
          <a:pPr marL="0" lvl="0" indent="0" algn="ctr" defTabSz="444500">
            <a:lnSpc>
              <a:spcPct val="90000"/>
            </a:lnSpc>
            <a:spcBef>
              <a:spcPct val="0"/>
            </a:spcBef>
            <a:spcAft>
              <a:spcPts val="0"/>
            </a:spcAft>
            <a:buNone/>
          </a:pPr>
          <a:r>
            <a:rPr lang="en-GB" sz="1000" kern="1200">
              <a:latin typeface="Times New Roman" panose="02020603050405020304" pitchFamily="18" charset="0"/>
              <a:cs typeface="Times New Roman" panose="02020603050405020304" pitchFamily="18" charset="0"/>
            </a:rPr>
            <a:t>- Food environment </a:t>
          </a:r>
        </a:p>
        <a:p>
          <a:pPr marL="0" lvl="0" indent="0" algn="ctr" defTabSz="444500">
            <a:lnSpc>
              <a:spcPct val="90000"/>
            </a:lnSpc>
            <a:spcBef>
              <a:spcPct val="0"/>
            </a:spcBef>
            <a:spcAft>
              <a:spcPts val="0"/>
            </a:spcAft>
            <a:buNone/>
          </a:pPr>
          <a:r>
            <a:rPr lang="en-GB" sz="1000" kern="1200">
              <a:latin typeface="Times New Roman" panose="02020603050405020304" pitchFamily="18" charset="0"/>
              <a:cs typeface="Times New Roman" panose="02020603050405020304" pitchFamily="18" charset="0"/>
            </a:rPr>
            <a:t>- Synergies and trade-offs among aspects</a:t>
          </a:r>
        </a:p>
      </dsp:txBody>
      <dsp:txXfrm>
        <a:off x="0" y="1512874"/>
        <a:ext cx="1972224" cy="986112"/>
      </dsp:txXfrm>
    </dsp:sp>
    <dsp:sp modelId="{52E9DD98-9FD2-448B-9DC3-9B99290926CC}">
      <dsp:nvSpPr>
        <dsp:cNvPr id="0" name=""/>
        <dsp:cNvSpPr/>
      </dsp:nvSpPr>
      <dsp:spPr>
        <a:xfrm>
          <a:off x="2387442" y="1512874"/>
          <a:ext cx="1972224" cy="98611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b="1" kern="1200">
              <a:latin typeface="Times New Roman" panose="02020603050405020304" pitchFamily="18" charset="0"/>
              <a:cs typeface="Times New Roman" panose="02020603050405020304" pitchFamily="18" charset="0"/>
            </a:rPr>
            <a:t>3. Transition pathways towards SFS: </a:t>
          </a:r>
        </a:p>
        <a:p>
          <a:pPr marL="0" lvl="0" indent="0" algn="ctr" defTabSz="444500">
            <a:lnSpc>
              <a:spcPct val="90000"/>
            </a:lnSpc>
            <a:spcBef>
              <a:spcPct val="0"/>
            </a:spcBef>
            <a:spcAft>
              <a:spcPts val="0"/>
            </a:spcAft>
            <a:buNone/>
          </a:pPr>
          <a:r>
            <a:rPr lang="en-GB" sz="1000" kern="1200">
              <a:latin typeface="Times New Roman" panose="02020603050405020304" pitchFamily="18" charset="0"/>
              <a:cs typeface="Times New Roman" panose="02020603050405020304" pitchFamily="18" charset="0"/>
            </a:rPr>
            <a:t>- Lock-ins </a:t>
          </a:r>
        </a:p>
        <a:p>
          <a:pPr marL="0" lvl="0" indent="0" algn="ctr" defTabSz="444500">
            <a:lnSpc>
              <a:spcPct val="90000"/>
            </a:lnSpc>
            <a:spcBef>
              <a:spcPct val="0"/>
            </a:spcBef>
            <a:spcAft>
              <a:spcPts val="0"/>
            </a:spcAft>
            <a:buNone/>
          </a:pPr>
          <a:r>
            <a:rPr lang="en-GB" sz="1000" kern="1200">
              <a:latin typeface="Times New Roman" panose="02020603050405020304" pitchFamily="18" charset="0"/>
              <a:cs typeface="Times New Roman" panose="02020603050405020304" pitchFamily="18" charset="0"/>
            </a:rPr>
            <a:t>- Leverage points and feedback loops</a:t>
          </a:r>
        </a:p>
      </dsp:txBody>
      <dsp:txXfrm>
        <a:off x="2387442" y="1512874"/>
        <a:ext cx="1972224" cy="98611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1FE0E61-C00E-4AC2-87B6-213BA1813616}">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ac75eba2-b2d4-43d4-8983-e51eeb0d4f54&quot;,&quot;citationItems&quot;:[{&quot;id&quot;:&quot;4aadf4eb-6a90-5c0e-b51a-ed470769a76a&quot;,&quot;itemData&quot;:{&quot;DOI&quot;:&quot;10.1007/s12571-011-0149-9&quot;,&quot;ISSN&quot;:&quot;18764517&quot;,&quot;abstract&quot;:&quot;There is growing concern that satisfying societal demand for food over coming decades will be increasingly challenging. Much of the debate centres on increasing food production which has always been-and remains-an important strategy to alleviate food insecurity. However, despite the fact that more than enough food is currently produced per capita to adequately feed the global population, about 925 million people remained food insecure in 2010. Meeting future demand will be further complicated by deleterious changes in climate and other environmental factors (collectively termed 'global environmental change', GEC). This paper lays out a case for a food systems approach to research the complex food security/GEC arena and provides a number of examples of how this can help. These include (i) providing a framework for structuring dialogues aimed at enhancing food security and identifying the range of actors and other interested parties who should be involved; (ii) integrating analyses of the full set of food system activities (i. e. producing, storing, processing, packaging, trading and consuming food) with those of the food security outcomes i. e. stability of food access, utilisation and availability, and all their nine elements (rather than only food production); (iii) helping to both assess the impacts of GEC on food systems and identify feedbacks to the earth system from food system activities; (iv) helping to identify intervention points for enhancing food security and analysing synergies and trade-offs between food security, ecosystem services and social welfare outcomes of different adaptation pathways; and (v) highlighting where new research is needed. © 2011 Springer Science + Business Media B.V. &amp; International Society for Plant Pathology.&quot;,&quot;author&quot;:[{&quot;dropping-particle&quot;:&quot;&quot;,&quot;family&quot;:&quot;Ingram&quot;,&quot;given&quot;:&quot;John&quot;,&quot;non-dropping-particle&quot;:&quot;&quot;,&quot;parse-names&quot;:false,&quot;suffix&quot;:&quot;&quot;}],&quot;container-title&quot;:&quot;Food Security&quot;,&quot;id&quot;:&quot;4aadf4eb-6a90-5c0e-b51a-ed470769a76a&quot;,&quot;issued&quot;:{&quot;date-parts&quot;:[[&quot;2011&quot;]]},&quot;title&quot;:&quot;A food systems approach to researching food security and its interactions with global environmental change&quot;,&quot;type&quot;:&quot;article-journal&quot;},&quot;uris&quot;:[&quot;http://www.mendeley.com/documents/?uuid=b29aafa8-711e-4238-8b4b-eb437c4723a9&quot;],&quot;isTemporary&quot;:false,&quot;legacyDesktopId&quot;:&quot;b29aafa8-711e-4238-8b4b-eb437c4723a9&quot;}],&quot;properties&quot;:{&quot;noteIndex&quot;:0},&quot;isEdited&quot;:false,&quot;manualOverride&quot;:{&quot;citeprocText&quot;:&quot;(Ingram, 2011)&quot;,&quot;isManuallyOverridden&quot;:false,&quot;manualOverrideText&quot;:&quot;&quot;},&quot;citationTag&quot;:&quot;MENDELEY_CITATION_v3_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&quot;},{&quot;citationID&quot;:&quot;MENDELEY_CITATION_7b902acb-f346-4ef8-b988-5d1a5be7b5c9&quot;,&quot;citationItems&quot;:[{&quot;id&quot;:&quot;04650f25-a0da-5596-938b-41500ea37a96&quot;,&quot;itemData&quot;:{&quot;DOI&quot;:&quot;10.1016/J.GLOENVCHA.2007.09.002&quot;,&quot;ISSN&quot;:&quot;0959-3780&quot;,&quot;abstract&quot;:&quot;This paper outlines a framework for studying the multiple interactions of broadly defined food systems with global environmental change and evaluating the major societal outcomes affected by these interactions: food security, ecosystem services and social welfare. In building the framework the paper explores and synthesizes disparate literature on food systems food security and global environmental change, bridging social science and natural science perspectives. This collected evidence justifies a representation of food systems, which can be used to identify key processes and determinants of food security in a given place or time, particularly the impacts of environmental change. It also enables analysis of the feedbacks from food system outcomes to drivers of environmental and social change, as well as tradeoffs among the food system outcomes themselves. In food systems these tradeoffs are often between different scales or levels of decision-making or management, so solutions to manage them must be context-specific. With sufficient empirical evidence, the framework could be used to build a database of typologies of food system interactions useful for different management or analytical purposes. © 2007 Elsevier Ltd. All rights reserved.&quot;,&quot;author&quot;:[{&quot;dropping-particle&quot;:&quot;&quot;,&quot;family&quot;:&quot;Ericksen&quot;,&quot;given&quot;:&quot;Polly J.&quot;,&quot;non-dropping-particle&quot;:&quot;&quot;,&quot;parse-names&quot;:false,&quot;suffix&quot;:&quot;&quot;}],&quot;container-title&quot;:&quot;Global Environmental Change&quot;,&quot;id&quot;:&quot;04650f25-a0da-5596-938b-41500ea37a96&quot;,&quot;issue&quot;:&quot;1&quot;,&quot;issued&quot;:{&quot;date-parts&quot;:[[&quot;2008&quot;,&quot;2&quot;,&quot;1&quot;]]},&quot;page&quot;:&quot;234-245&quot;,&quot;publisher&quot;:&quot;Pergamon&quot;,&quot;title&quot;:&quot;Conceptualizing food systems for global environmental change research&quot;,&quot;type&quot;:&quot;article-journal&quot;,&quot;volume&quot;:&quot;18&quot;},&quot;uris&quot;:[&quot;http://www.mendeley.com/documents/?uuid=880b4297-be6e-34d4-a43b-583410593ba9&quot;],&quot;isTemporary&quot;:false,&quot;legacyDesktopId&quot;:&quot;880b4297-be6e-34d4-a43b-583410593ba9&quot;}],&quot;properties&quot;:{&quot;noteIndex&quot;:0},&quot;isEdited&quot;:false,&quot;manualOverride&quot;:{&quot;citeprocText&quot;:&quot;(Ericksen, 2008)&quot;,&quot;isManuallyOverridden&quot;:false,&quot;manualOverrideText&quot;:&quot;&quot;},&quot;citationTag&quot;:&quot;MENDELEY_CITATION_v3_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&quot;},{&quot;citationID&quot;:&quot;MENDELEY_CITATION_c4052ced-4a33-4eda-9a8f-6b7f8521b53c&quot;,&quot;citationItems&quot;:[{&quot;id&quot;:&quot;3d7a200e-4428-5f93-ac38-5592432f40ad&quot;,&quot;itemData&quot;:{&quot;author&quot;:[{&quot;dropping-particle&quot;:&quot;&quot;,&quot;family&quot;:&quot;HLPE&quot;,&quot;given&quot;:&quot;&quot;,&quot;non-dropping-particle&quot;:&quot;&quot;,&quot;parse-names&quot;:false,&quot;suffix&quot;:&quot;&quot;}],&quot;container-title&quot;:&quot;Committee of World Food Security (CFS)&quot;,&quot;id&quot;:&quot;3d7a200e-4428-5f93-ac38-5592432f40ad&quot;,&quot;issue&quot;:&quot;September&quot;,&quot;issued&quot;:{&quot;date-parts&quot;:[[&quot;2017&quot;]]},&quot;page&quot;:&quot;1-152&quot;,&quot;title&quot;:&quot;High Level Panel of Experts. 2017. Nutrition and food systems&quot;,&quot;type&quot;:&quot;article-journal&quot;,&quot;volume&quot;:&quot;44&quot;},&quot;uris&quot;:[&quot;http://www.mendeley.com/documents/?uuid=bcec92ed-2bf7-45e8-8150-25f843b9aa6c&quot;],&quot;isTemporary&quot;:false,&quot;legacyDesktopId&quot;:&quot;bcec92ed-2bf7-45e8-8150-25f843b9aa6c&quot;}],&quot;properties&quot;:{&quot;noteIndex&quot;:0},&quot;isEdited&quot;:false,&quot;manualOverride&quot;:{&quot;citeprocText&quot;:&quot;(HLPE, 2017)&quot;,&quot;isManuallyOverridden&quot;:false,&quot;manualOverrideText&quot;:&quot;&quot;},&quot;citationTag&quot;:&quot;MENDELEY_CITATION_v3_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&quot;},{&quot;citationID&quot;:&quot;MENDELEY_CITATION_14632287-da0d-454a-9a7c-228053ee9537&quot;,&quot;citationItems&quot;:[{&quot;id&quot;:&quot;368e54e2-b3af-5c0a-a7c0-1a16e4b258e4&quot;,&quot;itemData&quot;:{&quot;DOI&quot;:&quot;10.2760/381319&quot;,&quot;ISBN&quot;:&quot;9789276437277&quot;,&quot;abstract&quot;:&quot;Food systems, worldwide and in the EU, need urgent and significant transformation to become sustainable. The EU Farm to Fork Strategy, a cornerstone of the European Green Deal, takes a food system perspective and sets out actions to move towards a ‘fair, healthy and environmentally- friendly food system’. Its Action Plan foresees the development of a legislative framework for sustainable food systems, to facilitate and accelerate the transition towards a sustainable EU food system. The Joint Research Centre of the European Commission carried out an inclusive participatory process to explore possible building blocks for such a legislative initiative. The intention of the exercise was to generate a non-binding source of collective reflections from a broad international group of people with in-depth knowledge of different aspects of the EU food system. The report summarises the collective views provided by the participants. Focussing on food system actors as potential ‘agents of change’, five building blocks were identified and discussed: a sustainability assessment framework, transparency, dealing with consequences of the transition, policy coherence and multi-level governance, and international trade. In addition, the report includes participants’ considerations on key aspects for a transition to a sustainable EU food system and further ideas for actions.&quot;,&quot;author&quot;:[{&quot;dropping-particle&quot;:&quot;&quot;,&quot;family&quot;:&quot;Bock&quot;,&quot;given&quot;:&quot;A.K.&quot;,&quot;non-dropping-particle&quot;:&quot;&quot;,&quot;parse-names&quot;:false,&quot;suffix&quot;:&quot;&quot;},{&quot;dropping-particle&quot;:&quot;&quot;,&quot;family&quot;:&quot;Bontoux&quot;,&quot;given&quot;:&quot;L.&quot;,&quot;non-dropping-particle&quot;:&quot;&quot;,&quot;parse-names&quot;:false,&quot;suffix&quot;:&quot;&quot;},{&quot;dropping-particle&quot;:&quot;&quot;,&quot;family&quot;:&quot;Rudkin&quot;,&quot;given&quot;:&quot;J.&quot;,&quot;non-dropping-particle&quot;:&quot;&quot;,&quot;parse-names&quot;:false,&quot;suffix&quot;:&quot;&quot;}],&quot;id&quot;:&quot;368e54e2-b3af-5c0a-a7c0-1a16e4b258e4&quot;,&quot;issued&quot;:{&quot;date-parts&quot;:[[&quot;2022&quot;]]},&quot;number-of-pages&quot;:&quot;1-88&quot;,&quot;title&quot;:&quot;Concepts for a sustainable EU food system,&quot;,&quot;type&quot;:&quot;book&quot;},&quot;uris&quot;:[&quot;http://www.mendeley.com/documents/?uuid=3330f8ae-db05-4383-a8f2-aa2ab54139be&quot;],&quot;isTemporary&quot;:false,&quot;legacyDesktopId&quot;:&quot;3330f8ae-db05-4383-a8f2-aa2ab54139be&quot;}],&quot;properties&quot;:{&quot;noteIndex&quot;:0},&quot;isEdited&quot;:false,&quot;manualOverride&quot;:{&quot;citeprocText&quot;:&quot;(Bock et al., 2022)&quot;,&quot;isManuallyOverridden&quot;:false,&quot;manualOverrideText&quot;:&quot;&quot;},&quot;citationTag&quot;:&quot;MENDELEY_CITATION_v3_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&quot;},{&quot;citationID&quot;:&quot;MENDELEY_CITATION_280a955b-f22e-484a-81e5-81fe80408ec3&quot;,&quot;citationItems&quot;:[{&quot;id&quot;:&quot;2730e47a-6b18-5c64-90bd-b5a95b073426&quot;,&quot;itemData&quot;:{&quot;DOI&quot;:&quot;10.1016/j.cosust.2019.06.009&quot;,&quot;ISSN&quot;:&quot;18773435&quot;,&quot;abstract&quot;:&quot;This article discusses the socio-technical transition literature, particularly the Multi-Level Perspective, which investigates the fundamental changes in (energy, transport, housing, agro-food) systems that are needed to address persistent sustainability problems. The article positions the MLP within the wider academic debate on sustainability transformations, and reviews criticisms and seven recent elaborations of the MLP with regard to: (1) politics and power, (2) cultural discourse and framing struggles, (3) grassroots innovation, (4) multiple transition pathways, (5) incumbent firm resistance and reorientation, (6) destabilization and decline, (7) policy analysis. Mobilizing insights from the wider social sciences, these elaborations have nuanced and differentiated the understanding of socio-technical transitions to sustainability and made the MLP the central pillar of a multi-facetted, cumulative research programme with a broad empirical evidence base.&quot;,&quot;author&quot;:[{&quot;dropping-particle&quot;:&quot;&quot;,&quot;family&quot;:&quot;Geels&quot;,&quot;given&quot;:&quot;Frank W.&quot;,&quot;non-dropping-particle&quot;:&quot;&quot;,&quot;parse-names&quot;:false,&quot;suffix&quot;:&quot;&quot;}],&quot;container-title&quot;:&quot;Current Opinion in Environmental Sustainability&quot;,&quot;id&quot;:&quot;2730e47a-6b18-5c64-90bd-b5a95b073426&quot;,&quot;issued&quot;:{&quot;date-parts&quot;:[[&quot;2019&quot;]]},&quot;title&quot;:&quot;Socio-technical transitions to sustainability: a review of criticisms and elaborations of the Multi-Level Perspective&quot;,&quot;type&quot;:&quot;article&quot;},&quot;uris&quot;:[&quot;http://www.mendeley.com/documents/?uuid=5c8c2394-d659-482e-a8dc-41df41dcd924&quot;],&quot;isTemporary&quot;:false,&quot;legacyDesktopId&quot;:&quot;5c8c2394-d659-482e-a8dc-41df41dcd924&quot;}],&quot;properties&quot;:{&quot;noteIndex&quot;:0},&quot;isEdited&quot;:false,&quot;manualOverride&quot;:{&quot;citeprocText&quot;:&quot;(Geels, 2019)&quot;,&quot;isManuallyOverridden&quot;:false,&quot;manualOverrideText&quot;:&quot;&quot;},&quot;citationTag&quot;:&quot;MENDELEY_CITATION_v3_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&quot;},{&quot;citationID&quot;:&quot;MENDELEY_CITATION_3ac943a9-c437-4942-b52f-693028a5cb99&quot;,&quot;citationItems&quot;:[{&quot;id&quot;:&quot;42b6938e-4252-5f51-8b30-da32e2687f1a&quot;,&quot;itemData&quot;:{&quot;DOI&quot;:&quot;10.1016/j.respol.2011.10.015&quot;,&quot;ISSN&quot;:&quot;00487333&quot;,&quot;abstract&quot;:&quot;The recent policy debates about orientating research, technology and innovation policy towards societal challenges, rather than economic growth objectives only, call for new lines of argumentation to systematically legitimize policy interventions. While the multi-level perspective on long-term transitions has attracted quite some interest over the past years as a framework for dealing with long-term processes of transformative change, but the innovation systems approach is still the dominant perspective for devising innovation policy. Innovation systems approaches stress the importance of improving innovation capabilities of firms and the institutional settings to support them, but they are less suited for dealing with the strategic challenges of transforming systems of innovation, production and consumption, and thus with long-term challenges such as climate change or resource depletion. It is therefore suggested to consider insights from transition studies more prominently in a policy framework that is based on the innovation systems approach and the associated notion of 'failures'. We propose a comprehensive framework that allows legitimizing and devising policies for transformative change that draws on a combination of market failures, structural system failures and transformational system failures. © 2012 Elsevier B.V. All rights reserved.&quot;,&quot;author&quot;:[{&quot;dropping-particle&quot;:&quot;&quot;,&quot;family&quot;:&quot;Weber&quot;,&quot;given&quot;:&quot;K. Matthias&quot;,&quot;non-dropping-particle&quot;:&quot;&quot;,&quot;parse-names&quot;:false,&quot;suffix&quot;:&quot;&quot;},{&quot;dropping-particle&quot;:&quot;&quot;,&quot;family&quot;:&quot;Rohracher&quot;,&quot;given&quot;:&quot;Harald&quot;,&quot;non-dropping-particle&quot;:&quot;&quot;,&quot;parse-names&quot;:false,&quot;suffix&quot;:&quot;&quot;}],&quot;container-title&quot;:&quot;Research Policy&quot;,&quot;id&quot;:&quot;42b6938e-4252-5f51-8b30-da32e2687f1a&quot;,&quot;issued&quot;:{&quot;date-parts&quot;:[[&quot;2012&quot;]]},&quot;title&quot;:&quot;Legitimizing research, technology and innovation policies for transformative change: Combining insights from innovation systems and multi-level perspective in a comprehensive 'failures' framework&quot;,&quot;type&quot;:&quot;article-journal&quot;},&quot;uris&quot;:[&quot;http://www.mendeley.com/documents/?uuid=450e08e9-4bfc-4443-9591-a82e2af60795&quot;],&quot;isTemporary&quot;:false,&quot;legacyDesktopId&quot;:&quot;450e08e9-4bfc-4443-9591-a82e2af60795&quot;}],&quot;properties&quot;:{&quot;noteIndex&quot;:0},&quot;isEdited&quot;:false,&quot;manualOverride&quot;:{&quot;citeprocText&quot;:&quot;(Weber and Rohracher, 2012)&quot;,&quot;isManuallyOverridden&quot;:false,&quot;manualOverrideText&quot;:&quot;&quot;},&quot;citationTag&quot;:&quot;MENDELEY_CITATION_v3_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&quot;},{&quot;citationID&quot;:&quot;MENDELEY_CITATION_1cd90ad1-2ef5-4e04-a7b9-d0166a34a830&quot;,&quot;citationItems&quot;:[{&quot;id&quot;:&quot;828c6d3e-d578-560d-b1d2-dc3f2813c49f&quot;,&quot;itemData&quot;:{&quot;abstract&quot;:&quot;By Donella Meadows~ Folks who do systems analysis have a great belief in “leverage points.” These are places within a complex system (a corporation, an economy, a living body, a city, an ecosystem) where a small shift in one thing can produce big changes in everything. This idea is not unique to systems analysis — …&quot;,&quot;author&quot;:[{&quot;dropping-particle&quot;:&quot;&quot;,&quot;family&quot;:&quot;Meadows&quot;,&quot;given&quot;:&quot;Donella&quot;,&quot;non-dropping-particle&quot;:&quot;&quot;,&quot;parse-names&quot;:false,&quot;suffix&quot;:&quot;&quot;}],&quot;container-title&quot;:&quot;Academy for Systems Change&quot;,&quot;id&quot;:&quot;828c6d3e-d578-560d-b1d2-dc3f2813c49f&quot;,&quot;issued&quot;:{&quot;date-parts&quot;:[[&quot;1999&quot;]]},&quot;title&quot;:&quot;Leverage Points: Places to Intervene in a System - The Donella Meadows Project&quot;,&quot;type&quot;:&quot;article-journal&quot;},&quot;uris&quot;:[&quot;http://www.mendeley.com/documents/?uuid=648e3d43-bef5-4dd5-84dd-63c8e09c548a&quot;],&quot;isTemporary&quot;:false,&quot;legacyDesktopId&quot;:&quot;648e3d43-bef5-4dd5-84dd-63c8e09c548a&quot;}],&quot;properties&quot;:{&quot;noteIndex&quot;:0},&quot;isEdited&quot;:false,&quot;manualOverride&quot;:{&quot;citeprocText&quot;:&quot;(Meadows, 1999)&quot;,&quot;isManuallyOverridden&quot;:false,&quot;manualOverrideText&quot;:&quot;&quot;},&quot;citationTag&quot;:&quot;MENDELEY_CITATION_v3_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&quot;},{&quot;citationID&quot;:&quot;MENDELEY_CITATION_207794a5-b03a-40ec-9164-1b26a967c9e3&quot;,&quot;citationItems&quot;:[{&quot;id&quot;:&quot;2730e47a-6b18-5c64-90bd-b5a95b073426&quot;,&quot;itemData&quot;:{&quot;DOI&quot;:&quot;10.1016/j.cosust.2019.06.009&quot;,&quot;ISSN&quot;:&quot;18773435&quot;,&quot;abstract&quot;:&quot;This article discusses the socio-technical transition literature, particularly the Multi-Level Perspective, which investigates the fundamental changes in (energy, transport, housing, agro-food) systems that are needed to address persistent sustainability problems. The article positions the MLP within the wider academic debate on sustainability transformations, and reviews criticisms and seven recent elaborations of the MLP with regard to: (1) politics and power, (2) cultural discourse and framing struggles, (3) grassroots innovation, (4) multiple transition pathways, (5) incumbent firm resistance and reorientation, (6) destabilization and decline, (7) policy analysis. Mobilizing insights from the wider social sciences, these elaborations have nuanced and differentiated the understanding of socio-technical transitions to sustainability and made the MLP the central pillar of a multi-facetted, cumulative research programme with a broad empirical evidence base.&quot;,&quot;author&quot;:[{&quot;dropping-particle&quot;:&quot;&quot;,&quot;family&quot;:&quot;Geels&quot;,&quot;given&quot;:&quot;Frank W.&quot;,&quot;non-dropping-particle&quot;:&quot;&quot;,&quot;parse-names&quot;:false,&quot;suffix&quot;:&quot;&quot;}],&quot;container-title&quot;:&quot;Current Opinion in Environmental Sustainability&quot;,&quot;id&quot;:&quot;2730e47a-6b18-5c64-90bd-b5a95b073426&quot;,&quot;issued&quot;:{&quot;date-parts&quot;:[[&quot;2019&quot;]]},&quot;title&quot;:&quot;Socio-technical transitions to sustainability: a review of criticisms and elaborations of the Multi-Level Perspective&quot;,&quot;type&quot;:&quot;article&quot;},&quot;uris&quot;:[&quot;http://www.mendeley.com/documents/?uuid=5c8c2394-d659-482e-a8dc-41df41dcd924&quot;],&quot;isTemporary&quot;:false,&quot;legacyDesktopId&quot;:&quot;5c8c2394-d659-482e-a8dc-41df41dcd924&quot;}],&quot;properties&quot;:{&quot;noteIndex&quot;:0},&quot;isEdited&quot;:false,&quot;manualOverride&quot;:{&quot;citeprocText&quot;:&quot;(Geels, 2019)&quot;,&quot;isManuallyOverridden&quot;:false,&quot;manualOverrideText&quot;:&quot;&quot;},&quot;citationTag&quot;:&quot;MENDELEY_CITATION_v3_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&quot;},{&quot;citationID&quot;:&quot;MENDELEY_CITATION_df89cf84-b67f-49ca-ad57-dace93f1b84f&quot;,&quot;citationItems&quot;:[{&quot;id&quot;:&quot;ae3bcd26-d34e-5ff0-bcaa-92b6c2511b04&quot;,&quot;itemData&quot;:{&quot;DOI&quot;:&quot;10.1007/S11625-022-01156-5/TABLES/7&quot;,&quot;ISSN&quot;:&quot;18624057&quot;,&quot;abstract&quot;:&quot;Transitions towards more sustainable agricultural systems are often characterised by ‘lock-ins’, understood as self-reinforcing mechanisms that reproduce the status quo and impede change. While socioeconomic, technological and institutional lock-ins have been widely used to understand processes of sustainable transitions in agri-food systems, the role of so-called cognitive lock-ins is still under-investigated. In this study, we focus on how institutional settings create cognitive lock-ins in farmers’ decision-making related to the adoption of sustainable agricultural practices. We apply goal framing for environmental behaviour and transition theory in explaining how socio-technical conditions may shape farmer’s decision-making. Empirically, we focus on the example of diversifying crop rotations with legumes as an established strategy to increase biodiversity and soil health, and reduce agrochemical use, emissions and pollution, which still remains rare in European agriculture. We use two cases in the Atlantic pedo-climatic region, Cornwall, UK, and Gelderland, Netherlands. Using in-depth interview data with farmers and extensive supplementary secondary data, we explore how context-specific socio-technical settings interact with farmers’ normative, gain-oriented and hedonic goal frames to shape the (un-)desirability of crop diversification with legumes. This creates conditions recognisable as cognitive lock-ins: the context of farmers’ decision-making creates cognitive processes that drastically reduce the perceived viability of alternative agricultural practices. Our findings in this case suggest the framework developed for this study may help to identify regionally specific, as well as common, barriers and solutions to crop diversification and comparable practices that are relevant to transitions towards sustainability in agri-food systems.&quot;,&quot;author&quot;:[{&quot;dropping-particle&quot;:&quot;&quot;,&quot;family&quot;:&quot;Weituschat&quot;,&quot;given&quot;:&quot;Chiara Sophia&quot;,&quot;non-dropping-particle&quot;:&quot;&quot;,&quot;parse-names&quot;:false,&quot;suffix&quot;:&quot;&quot;},{&quot;dropping-particle&quot;:&quot;&quot;,&quot;family&quot;:&quot;Pascucci&quot;,&quot;given&quot;:&quot;Stefano&quot;,&quot;non-dropping-particle&quot;:&quot;&quot;,&quot;parse-names&quot;:false,&quot;suffix&quot;:&quot;&quot;},{&quot;dropping-particle&quot;:&quot;&quot;,&quot;family&quot;:&quot;Materia&quot;,&quot;given&quot;:&quot;Valentina Cristiana&quot;,&quot;non-dropping-particle&quot;:&quot;&quot;,&quot;parse-names&quot;:false,&quot;suffix&quot;:&quot;&quot;},{&quot;dropping-particle&quot;:&quot;&quot;,&quot;family&quot;:&quot;Tamas&quot;,&quot;given&quot;:&quot;Peter&quot;,&quot;non-dropping-particle&quot;:&quot;&quot;,&quot;parse-names&quot;:false,&quot;suffix&quot;:&quot;&quot;},{&quot;dropping-particle&quot;:&quot;&quot;,&quot;family&quot;:&quot;Jong&quot;,&quot;given&quot;:&quot;Ruth&quot;,&quot;non-dropping-particle&quot;:&quot;de&quot;,&quot;parse-names&quot;:false,&quot;suffix&quot;:&quot;&quot;},{&quot;dropping-particle&quot;:&quot;&quot;,&quot;family&quot;:&quot;Trienekens&quot;,&quot;given&quot;:&quot;Jacques&quot;,&quot;non-dropping-particle&quot;:&quot;&quot;,&quot;parse-names&quot;:false,&quot;suffix&quot;:&quot;&quot;}],&quot;container-title&quot;:&quot;Sustainability Science&quot;,&quot;id&quot;:&quot;ae3bcd26-d34e-5ff0-bcaa-92b6c2511b04&quot;,&quot;issue&quot;:&quot;6&quot;,&quot;issued&quot;:{&quot;date-parts&quot;:[[&quot;2022&quot;,&quot;11&quot;,&quot;1&quot;]]},&quot;page&quot;:&quot;2203-2219&quot;,&quot;publisher&quot;:&quot;Springer&quot;,&quot;title&quot;:&quot;Goal frames and sustainability transitions: how cognitive lock-ins can impede crop diversification&quot;,&quot;type&quot;:&quot;article-journal&quot;,&quot;volume&quot;:&quot;17&quot;},&quot;uris&quot;:[&quot;http://www.mendeley.com/documents/?uuid=07467ed3-ce00-3541-9037-95e6503d0292&quot;],&quot;isTemporary&quot;:false,&quot;legacyDesktopId&quot;:&quot;07467ed3-ce00-3541-9037-95e6503d0292&quot;}],&quot;properties&quot;:{&quot;noteIndex&quot;:0},&quot;isEdited&quot;:false,&quot;manualOverride&quot;:{&quot;citeprocText&quot;:&quot;(Weituschat et al., 2022)&quot;,&quot;isManuallyOverridden&quot;:false,&quot;manualOverrideText&quot;:&quot;&quot;},&quot;citationTag&quot;:&quot;MENDELEY_CITATION_v3_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&quot;},{&quot;citationID&quot;:&quot;MENDELEY_CITATION_2de20ed0-dc2a-425f-bda3-3b12151dcf66&quot;,&quot;citationItems&quot;:[{&quot;id&quot;:&quot;2730e47a-6b18-5c64-90bd-b5a95b073426&quot;,&quot;itemData&quot;:{&quot;DOI&quot;:&quot;10.1016/j.cosust.2019.06.009&quot;,&quot;ISSN&quot;:&quot;18773435&quot;,&quot;abstract&quot;:&quot;This article discusses the socio-technical transition literature, particularly the Multi-Level Perspective, which investigates the fundamental changes in (energy, transport, housing, agro-food) systems that are needed to address persistent sustainability problems. The article positions the MLP within the wider academic debate on sustainability transformations, and reviews criticisms and seven recent elaborations of the MLP with regard to: (1) politics and power, (2) cultural discourse and framing struggles, (3) grassroots innovation, (4) multiple transition pathways, (5) incumbent firm resistance and reorientation, (6) destabilization and decline, (7) policy analysis. Mobilizing insights from the wider social sciences, these elaborations have nuanced and differentiated the understanding of socio-technical transitions to sustainability and made the MLP the central pillar of a multi-facetted, cumulative research programme with a broad empirical evidence base.&quot;,&quot;author&quot;:[{&quot;dropping-particle&quot;:&quot;&quot;,&quot;family&quot;:&quot;Geels&quot;,&quot;given&quot;:&quot;Frank W.&quot;,&quot;non-dropping-particle&quot;:&quot;&quot;,&quot;parse-names&quot;:false,&quot;suffix&quot;:&quot;&quot;}],&quot;container-title&quot;:&quot;Current Opinion in Environmental Sustainability&quot;,&quot;id&quot;:&quot;2730e47a-6b18-5c64-90bd-b5a95b073426&quot;,&quot;issued&quot;:{&quot;date-parts&quot;:[[&quot;2019&quot;]]},&quot;title&quot;:&quot;Socio-technical transitions to sustainability: a review of criticisms and elaborations of the Multi-Level Perspective&quot;,&quot;type&quot;:&quot;article&quot;},&quot;uris&quot;:[&quot;http://www.mendeley.com/documents/?uuid=5c8c2394-d659-482e-a8dc-41df41dcd924&quot;],&quot;isTemporary&quot;:false,&quot;legacyDesktopId&quot;:&quot;5c8c2394-d659-482e-a8dc-41df41dcd924&quot;}],&quot;properties&quot;:{&quot;noteIndex&quot;:0},&quot;isEdited&quot;:false,&quot;manualOverride&quot;:{&quot;citeprocText&quot;:&quot;(Geels, 2019)&quot;,&quot;isManuallyOverridden&quot;:false,&quot;manualOverrideText&quot;:&quot;&quot;},&quot;citationTag&quot;:&quot;MENDELEY_CITATION_v3_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&quot;},{&quot;citationID&quot;:&quot;MENDELEY_CITATION_d2c19210-86c0-4d94-b8c8-c3fceebbdef7&quot;,&quot;citationItems&quot;:[{&quot;id&quot;:&quot;42b6938e-4252-5f51-8b30-da32e2687f1a&quot;,&quot;itemData&quot;:{&quot;DOI&quot;:&quot;10.1016/j.respol.2011.10.015&quot;,&quot;ISSN&quot;:&quot;00487333&quot;,&quot;abstract&quot;:&quot;The recent policy debates about orientating research, technology and innovation policy towards societal challenges, rather than economic growth objectives only, call for new lines of argumentation to systematically legitimize policy interventions. While the multi-level perspective on long-term transitions has attracted quite some interest over the past years as a framework for dealing with long-term processes of transformative change, but the innovation systems approach is still the dominant perspective for devising innovation policy. Innovation systems approaches stress the importance of improving innovation capabilities of firms and the institutional settings to support them, but they are less suited for dealing with the strategic challenges of transforming systems of innovation, production and consumption, and thus with long-term challenges such as climate change or resource depletion. It is therefore suggested to consider insights from transition studies more prominently in a policy framework that is based on the innovation systems approach and the associated notion of 'failures'. We propose a comprehensive framework that allows legitimizing and devising policies for transformative change that draws on a combination of market failures, structural system failures and transformational system failures. © 2012 Elsevier B.V. All rights reserved.&quot;,&quot;author&quot;:[{&quot;dropping-particle&quot;:&quot;&quot;,&quot;family&quot;:&quot;Weber&quot;,&quot;given&quot;:&quot;K. Matthias&quot;,&quot;non-dropping-particle&quot;:&quot;&quot;,&quot;parse-names&quot;:false,&quot;suffix&quot;:&quot;&quot;},{&quot;dropping-particle&quot;:&quot;&quot;,&quot;family&quot;:&quot;Rohracher&quot;,&quot;given&quot;:&quot;Harald&quot;,&quot;non-dropping-particle&quot;:&quot;&quot;,&quot;parse-names&quot;:false,&quot;suffix&quot;:&quot;&quot;}],&quot;container-title&quot;:&quot;Research Policy&quot;,&quot;id&quot;:&quot;42b6938e-4252-5f51-8b30-da32e2687f1a&quot;,&quot;issued&quot;:{&quot;date-parts&quot;:[[&quot;2012&quot;]]},&quot;title&quot;:&quot;Legitimizing research, technology and innovation policies for transformative change: Combining insights from innovation systems and multi-level perspective in a comprehensive 'failures' framework&quot;,&quot;type&quot;:&quot;article-journal&quot;},&quot;uris&quot;:[&quot;http://www.mendeley.com/documents/?uuid=450e08e9-4bfc-4443-9591-a82e2af60795&quot;],&quot;isTemporary&quot;:false,&quot;legacyDesktopId&quot;:&quot;450e08e9-4bfc-4443-9591-a82e2af60795&quot;}],&quot;properties&quot;:{&quot;noteIndex&quot;:0},&quot;isEdited&quot;:false,&quot;manualOverride&quot;:{&quot;citeprocText&quot;:&quot;(Weber and Rohracher, 2012)&quot;,&quot;isManuallyOverridden&quot;:false,&quot;manualOverrideText&quot;:&quot;&quot;},&quot;citationTag&quot;:&quot;MENDELEY_CITATION_v3_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&quot;},{&quot;citationID&quot;:&quot;MENDELEY_CITATION_fdde57e4-635b-4155-96f6-6a38e800dd3c&quot;,&quot;citationItems&quot;:[{&quot;id&quot;:&quot;42b6938e-4252-5f51-8b30-da32e2687f1a&quot;,&quot;itemData&quot;:{&quot;DOI&quot;:&quot;10.1016/j.respol.2011.10.015&quot;,&quot;ISSN&quot;:&quot;00487333&quot;,&quot;abstract&quot;:&quot;The recent policy debates about orientating research, technology and innovation policy towards societal challenges, rather than economic growth objectives only, call for new lines of argumentation to systematically legitimize policy interventions. While the multi-level perspective on long-term transitions has attracted quite some interest over the past years as a framework for dealing with long-term processes of transformative change, but the innovation systems approach is still the dominant perspective for devising innovation policy. Innovation systems approaches stress the importance of improving innovation capabilities of firms and the institutional settings to support them, but they are less suited for dealing with the strategic challenges of transforming systems of innovation, production and consumption, and thus with long-term challenges such as climate change or resource depletion. It is therefore suggested to consider insights from transition studies more prominently in a policy framework that is based on the innovation systems approach and the associated notion of 'failures'. We propose a comprehensive framework that allows legitimizing and devising policies for transformative change that draws on a combination of market failures, structural system failures and transformational system failures. © 2012 Elsevier B.V. All rights reserved.&quot;,&quot;author&quot;:[{&quot;dropping-particle&quot;:&quot;&quot;,&quot;family&quot;:&quot;Weber&quot;,&quot;given&quot;:&quot;K. Matthias&quot;,&quot;non-dropping-particle&quot;:&quot;&quot;,&quot;parse-names&quot;:false,&quot;suffix&quot;:&quot;&quot;},{&quot;dropping-particle&quot;:&quot;&quot;,&quot;family&quot;:&quot;Rohracher&quot;,&quot;given&quot;:&quot;Harald&quot;,&quot;non-dropping-particle&quot;:&quot;&quot;,&quot;parse-names&quot;:false,&quot;suffix&quot;:&quot;&quot;}],&quot;container-title&quot;:&quot;Research Policy&quot;,&quot;id&quot;:&quot;42b6938e-4252-5f51-8b30-da32e2687f1a&quot;,&quot;issued&quot;:{&quot;date-parts&quot;:[[&quot;2012&quot;]]},&quot;title&quot;:&quot;Legitimizing research, technology and innovation policies for transformative change: Combining insights from innovation systems and multi-level perspective in a comprehensive 'failures' framework&quot;,&quot;type&quot;:&quot;article-journal&quot;},&quot;uris&quot;:[&quot;http://www.mendeley.com/documents/?uuid=450e08e9-4bfc-4443-9591-a82e2af60795&quot;],&quot;isTemporary&quot;:false,&quot;legacyDesktopId&quot;:&quot;450e08e9-4bfc-4443-9591-a82e2af60795&quot;}],&quot;properties&quot;:{&quot;noteIndex&quot;:0},&quot;isEdited&quot;:false,&quot;manualOverride&quot;:{&quot;citeprocText&quot;:&quot;(Weber and Rohracher, 2012)&quot;,&quot;isManuallyOverridden&quot;:false,&quot;manualOverrideText&quot;:&quot;&quot;},&quot;citationTag&quot;:&quot;MENDELEY_CITATION_v3_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&quot;},{&quot;citationID&quot;:&quot;MENDELEY_CITATION_a23b2600-1a4e-47c0-a0f7-0b872a4c45b8&quot;,&quot;citationItems&quot;:[{&quot;id&quot;:&quot;9cb948f1-32ec-5bc0-9130-ee4ea10d480a&quot;,&quot;itemData&quot;:{&quot;DOI&quot;:&quot;10.1016/j.technovation.2003.11.002&quot;,&quot;ISSN&quot;:&quot;01664972&quot;,&quot;abstract&quot;:&quot;This article sets out a policy framework for implementing 'system of innovation' (SI)-based strategies. On the basis of a literature review on system failures, the study designs an SI-policy framework that can provide policy makers with practical leads how to design, analyse and evaluate policy measures in the field of innovation. The functioning of the framework is illustrated on the basis of an evaluation of Dutch cluster policy. From this illustration, it can be concluded that the SI-framework provides helpful leads for policy design and evaluation and renders more specific policy recommendations than the generally used market failure approach. © 2004 Elsevier Ltd. All rights reserved.&quot;,&quot;author&quot;:[{&quot;dropping-particle&quot;:&quot;&quot;,&quot;family&quot;:&quot;Klein Woolthuis&quot;,&quot;given&quot;:&quot;Rosalinde&quot;,&quot;non-dropping-particle&quot;:&quot;&quot;,&quot;parse-names&quot;:false,&quot;suffix&quot;:&quot;&quot;},{&quot;dropping-particle&quot;:&quot;&quot;,&quot;family&quot;:&quot;Lankhuizen&quot;,&quot;given&quot;:&quot;Maureen&quot;,&quot;non-dropping-particle&quot;:&quot;&quot;,&quot;parse-names&quot;:false,&quot;suffix&quot;:&quot;&quot;},{&quot;dropping-particle&quot;:&quot;&quot;,&quot;family&quot;:&quot;Gilsing&quot;,&quot;given&quot;:&quot;Victor&quot;,&quot;non-dropping-particle&quot;:&quot;&quot;,&quot;parse-names&quot;:false,&quot;suffix&quot;:&quot;&quot;}],&quot;container-title&quot;:&quot;Technovation&quot;,&quot;id&quot;:&quot;9cb948f1-32ec-5bc0-9130-ee4ea10d480a&quot;,&quot;issued&quot;:{&quot;date-parts&quot;:[[&quot;2005&quot;]]},&quot;title&quot;:&quot;A system failure framework for innovation policy design&quot;,&quot;type&quot;:&quot;article-journal&quot;},&quot;uris&quot;:[&quot;http://www.mendeley.com/documents/?uuid=25699681-2eab-4aa2-b152-d720c946199c&quot;],&quot;isTemporary&quot;:false,&quot;legacyDesktopId&quot;:&quot;25699681-2eab-4aa2-b152-d720c946199c&quot;}],&quot;properties&quot;:{&quot;noteIndex&quot;:0},&quot;isEdited&quot;:false,&quot;manualOverride&quot;:{&quot;citeprocText&quot;:&quot;(Klein Woolthuis et al., 2005)&quot;,&quot;isManuallyOverridden&quot;:false,&quot;manualOverrideText&quot;:&quot;&quot;},&quot;citationTag&quot;:&quot;MENDELEY_CITATION_v3_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&quot;},{&quot;citationID&quot;:&quot;MENDELEY_CITATION_862db0ce-50f3-487a-b122-468c362336cb&quot;,&quot;citationItems&quot;:[{&quot;id&quot;:&quot;ee1f0a3c-1299-5b0a-a148-4daa3d5d9084&quot;,&quot;itemData&quot;:{&quot;DOI&quot;:&quot;10.1037//1061-4087.45.4.31&quot;,&quot;ISSN&quot;:&quot;1065-9293&quot;,&quot;abstract&quot;:&quot;Peter Senge, founder and director of the Society for Organisational Learning and senior lecturer at MIT, has found the means of creating a 'learning organisation'. In The Fifth Discipline, he draws the blueprints for an organisation where people expand their capacity to create the results they truly desire, where new and expansive patterns of thinking are nutured, where collective aspiration is set free, and where people are contually learning together. The Fifth Discipline fuses these features together into a coherent body of theory and practice, making the whole of an organisation more effective than the sum of its parts.&quot;,&quot;author&quot;:[{&quot;dropping-particle&quot;:&quot;&quot;,&quot;family&quot;:&quot;Senge&quot;,&quot;given&quot;:&quot;Peter M.&quot;,&quot;non-dropping-particle&quot;:&quot;&quot;,&quot;parse-names&quot;:false,&quot;suffix&quot;:&quot;&quot;}],&quot;container-title&quot;:&quot;Consulting Psychology Journal: Practice and Research&quot;,&quot;id&quot;:&quot;ee1f0a3c-1299-5b0a-a148-4daa3d5d9084&quot;,&quot;issued&quot;:{&quot;date-parts&quot;:[[&quot;1993&quot;]]},&quot;title&quot;:&quot;The Fifth Discipline: The Art and Practice of the Learning Organization: Book review.&quot;,&quot;type&quot;:&quot;article-journal&quot;},&quot;uris&quot;:[&quot;http://www.mendeley.com/documents/?uuid=46652c12-ffb3-4f91-a5c7-b571dceceb99&quot;],&quot;isTemporary&quot;:false,&quot;legacyDesktopId&quot;:&quot;46652c12-ffb3-4f91-a5c7-b571dceceb99&quot;}],&quot;properties&quot;:{&quot;noteIndex&quot;:0},&quot;isEdited&quot;:false,&quot;manualOverride&quot;:{&quot;citeprocText&quot;:&quot;(Senge, 1993)&quot;,&quot;isManuallyOverridden&quot;:false,&quot;manualOverrideText&quot;:&quot;&quot;},&quot;citationTag&quot;:&quot;MENDELEY_CITATION_v3_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&quot;}]"/>
    <we:property name="MENDELEY_CITATIONS_LOCALE_CODE" value="&quot;en-US&quot;"/>
    <we:property name="MENDELEY_CITATIONS_STYLE" value="{&quot;id&quot;:&quot;https://www.zotero.org/styles/elsevier-harvard&quot;,&quot;title&quot;:&quot;Elsevier - Harvard (with titles)&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fa8e0d7-989e-4c74-b44b-d107593b2d7a">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HarvardAnglia2008OfficeOnline.xsl" StyleName="Harvard - Anglia" Version="2008"/>
</file>

<file path=customXml/item4.xml><?xml version="1.0" encoding="utf-8"?>
<ct:contentTypeSchema xmlns:ct="http://schemas.microsoft.com/office/2006/metadata/contentType" xmlns:ma="http://schemas.microsoft.com/office/2006/metadata/properties/metaAttributes" ct:_="" ma:_="" ma:contentTypeName="Document" ma:contentTypeID="0x0101004B20E47311041446BA210B94869B0EEF" ma:contentTypeVersion="12" ma:contentTypeDescription="Create a new document." ma:contentTypeScope="" ma:versionID="039519d85b38402cfa952172af7d8361">
  <xsd:schema xmlns:xsd="http://www.w3.org/2001/XMLSchema" xmlns:xs="http://www.w3.org/2001/XMLSchema" xmlns:p="http://schemas.microsoft.com/office/2006/metadata/properties" xmlns:ns2="9fa8e0d7-989e-4c74-b44b-d107593b2d7a" xmlns:ns3="ed7fdc6a-aaaa-425b-bfde-62b584c384ff" targetNamespace="http://schemas.microsoft.com/office/2006/metadata/properties" ma:root="true" ma:fieldsID="5b3bb18407a76c6f60fb04620b5d7f11" ns2:_="" ns3:_="">
    <xsd:import namespace="9fa8e0d7-989e-4c74-b44b-d107593b2d7a"/>
    <xsd:import namespace="ed7fdc6a-aaaa-425b-bfde-62b584c384ff"/>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a8e0d7-989e-4c74-b44b-d107593b2d7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d7fdc6a-aaaa-425b-bfde-62b584c384f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6418B30-0DD6-4573-AB1B-0AF562202AFA}">
  <ds:schemaRefs>
    <ds:schemaRef ds:uri="http://schemas.microsoft.com/sharepoint/v3/contenttype/forms"/>
  </ds:schemaRefs>
</ds:datastoreItem>
</file>

<file path=customXml/itemProps2.xml><?xml version="1.0" encoding="utf-8"?>
<ds:datastoreItem xmlns:ds="http://schemas.openxmlformats.org/officeDocument/2006/customXml" ds:itemID="{8285F6E7-95FD-4046-8295-D3B519810323}">
  <ds:schemaRefs>
    <ds:schemaRef ds:uri="http://schemas.microsoft.com/office/2006/metadata/properties"/>
    <ds:schemaRef ds:uri="http://schemas.microsoft.com/office/infopath/2007/PartnerControls"/>
    <ds:schemaRef ds:uri="9fa8e0d7-989e-4c74-b44b-d107593b2d7a"/>
  </ds:schemaRefs>
</ds:datastoreItem>
</file>

<file path=customXml/itemProps3.xml><?xml version="1.0" encoding="utf-8"?>
<ds:datastoreItem xmlns:ds="http://schemas.openxmlformats.org/officeDocument/2006/customXml" ds:itemID="{0B588F6D-F6CB-47C4-B130-0D5D85C45ABA}">
  <ds:schemaRefs>
    <ds:schemaRef ds:uri="http://schemas.openxmlformats.org/officeDocument/2006/bibliography"/>
  </ds:schemaRefs>
</ds:datastoreItem>
</file>

<file path=customXml/itemProps4.xml><?xml version="1.0" encoding="utf-8"?>
<ds:datastoreItem xmlns:ds="http://schemas.openxmlformats.org/officeDocument/2006/customXml" ds:itemID="{2337BFB3-F48C-49E4-AC29-5BAF6B8ED5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a8e0d7-989e-4c74-b44b-d107593b2d7a"/>
    <ds:schemaRef ds:uri="ed7fdc6a-aaaa-425b-bfde-62b584c384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22921</Words>
  <Characters>130656</Characters>
  <Application>Microsoft Office Word</Application>
  <DocSecurity>0</DocSecurity>
  <Lines>1088</Lines>
  <Paragraphs>306</Paragraphs>
  <ScaleCrop>false</ScaleCrop>
  <HeadingPairs>
    <vt:vector size="2" baseType="variant">
      <vt:variant>
        <vt:lpstr>Titolo</vt:lpstr>
      </vt:variant>
      <vt:variant>
        <vt:i4>1</vt:i4>
      </vt:variant>
    </vt:vector>
  </HeadingPairs>
  <TitlesOfParts>
    <vt:vector size="1" baseType="lpstr">
      <vt:lpstr/>
    </vt:vector>
  </TitlesOfParts>
  <Company>European Commission</Company>
  <LinksUpToDate>false</LinksUpToDate>
  <CharactersWithSpaces>153271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GUERRIERI Valentina (JRC-ISPRA-EXT)</dc:creator>
  <cp:keywords/>
  <dc:description/>
  <cp:lastModifiedBy>Valentina Guerrieri</cp:lastModifiedBy>
  <cp:revision>14</cp:revision>
  <dcterms:created xsi:type="dcterms:W3CDTF">2024-03-08T08:58:00Z</dcterms:created>
  <dcterms:modified xsi:type="dcterms:W3CDTF">2024-06-10T15:40:00Z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0x0101004B20E47311041446BA210B94869B0EEF</vt:lpwstr>
  </property>
  <property fmtid="{D5CDD505-2E9C-101B-9397-08002B2CF9AE}" pid="3" name="MediaServiceImageTags">
    <vt:lpwstr/>
  </property>
  <property fmtid="{D5CDD505-2E9C-101B-9397-08002B2CF9AE}" pid="4" name="Mendeley Document_1">
    <vt:lpwstr>True</vt:lpwstr>
  </property>
  <property fmtid="{D5CDD505-2E9C-101B-9397-08002B2CF9AE}" pid="5" name="Mendeley Unique User Id_1">
    <vt:lpwstr>b4adfb1d-439e-33f5-ae26-2bddc66f8fc9</vt:lpwstr>
  </property>
  <property fmtid="{D5CDD505-2E9C-101B-9397-08002B2CF9AE}" pid="6" name="Mendeley Citation Style_1">
    <vt:lpwstr>http://www.zotero.org/styles/elsevier-harvard</vt:lpwstr>
  </property>
  <property fmtid="{D5CDD505-2E9C-101B-9397-08002B2CF9AE}" pid="7" name="Mendeley Recent Style Id 0_1">
    <vt:lpwstr>http://www.zotero.org/styles/american-political-science-association</vt:lpwstr>
  </property>
  <property fmtid="{D5CDD505-2E9C-101B-9397-08002B2CF9AE}" pid="8" name="Mendeley Recent Style Name 0_1">
    <vt:lpwstr>American Political Science Association</vt:lpwstr>
  </property>
  <property fmtid="{D5CDD505-2E9C-101B-9397-08002B2CF9AE}" pid="9" name="Mendeley Recent Style Id 1_1">
    <vt:lpwstr>http://www.zotero.org/styles/apa</vt:lpwstr>
  </property>
  <property fmtid="{D5CDD505-2E9C-101B-9397-08002B2CF9AE}" pid="10" name="Mendeley Recent Style Name 1_1">
    <vt:lpwstr>American Psychological Association 7th edition</vt:lpwstr>
  </property>
  <property fmtid="{D5CDD505-2E9C-101B-9397-08002B2CF9AE}" pid="11" name="Mendeley Recent Style Id 2_1">
    <vt:lpwstr>http://www.zotero.org/styles/american-sociological-association</vt:lpwstr>
  </property>
  <property fmtid="{D5CDD505-2E9C-101B-9397-08002B2CF9AE}" pid="12" name="Mendeley Recent Style Name 2_1">
    <vt:lpwstr>American Sociological Association 6th edition</vt:lpwstr>
  </property>
  <property fmtid="{D5CDD505-2E9C-101B-9397-08002B2CF9AE}" pid="13" name="Mendeley Recent Style Id 3_1">
    <vt:lpwstr>http://www.zotero.org/styles/chicago-author-date</vt:lpwstr>
  </property>
  <property fmtid="{D5CDD505-2E9C-101B-9397-08002B2CF9AE}" pid="14" name="Mendeley Recent Style Name 3_1">
    <vt:lpwstr>Chicago Manual of Style 17th edition (author-date)</vt:lpwstr>
  </property>
  <property fmtid="{D5CDD505-2E9C-101B-9397-08002B2CF9AE}" pid="15" name="Mendeley Recent Style Id 4_1">
    <vt:lpwstr>http://www.zotero.org/styles/harvard-cite-them-right</vt:lpwstr>
  </property>
  <property fmtid="{D5CDD505-2E9C-101B-9397-08002B2CF9AE}" pid="16" name="Mendeley Recent Style Name 4_1">
    <vt:lpwstr>Cite Them Right 11th edition - Harvard</vt:lpwstr>
  </property>
  <property fmtid="{D5CDD505-2E9C-101B-9397-08002B2CF9AE}" pid="17" name="Mendeley Recent Style Id 5_1">
    <vt:lpwstr>http://www.zotero.org/styles/elsevier-harvard</vt:lpwstr>
  </property>
  <property fmtid="{D5CDD505-2E9C-101B-9397-08002B2CF9AE}" pid="18" name="Mendeley Recent Style Name 5_1">
    <vt:lpwstr>Elsevier - Harvard (with titles)</vt:lpwstr>
  </property>
  <property fmtid="{D5CDD505-2E9C-101B-9397-08002B2CF9AE}" pid="19" name="Mendeley Recent Style Id 6_1">
    <vt:lpwstr>http://www.zotero.org/styles/ieee</vt:lpwstr>
  </property>
  <property fmtid="{D5CDD505-2E9C-101B-9397-08002B2CF9AE}" pid="20" name="Mendeley Recent Style Name 6_1">
    <vt:lpwstr>IEEE</vt:lpwstr>
  </property>
  <property fmtid="{D5CDD505-2E9C-101B-9397-08002B2CF9AE}" pid="21" name="Mendeley Recent Style Id 7_1">
    <vt:lpwstr>http://www.zotero.org/styles/modern-humanities-research-association</vt:lpwstr>
  </property>
  <property fmtid="{D5CDD505-2E9C-101B-9397-08002B2CF9AE}" pid="22" name="Mendeley Recent Style Name 7_1">
    <vt:lpwstr>Modern Humanities Research Association 3rd edition (note with bibliography)</vt:lpwstr>
  </property>
  <property fmtid="{D5CDD505-2E9C-101B-9397-08002B2CF9AE}" pid="23" name="Mendeley Recent Style Id 8_1">
    <vt:lpwstr>http://www.zotero.org/styles/modern-language-association</vt:lpwstr>
  </property>
  <property fmtid="{D5CDD505-2E9C-101B-9397-08002B2CF9AE}" pid="24" name="Mendeley Recent Style Name 8_1">
    <vt:lpwstr>Modern Language Association 9th edition</vt:lpwstr>
  </property>
  <property fmtid="{D5CDD505-2E9C-101B-9397-08002B2CF9AE}" pid="25" name="Mendeley Recent Style Id 9_1">
    <vt:lpwstr>http://www.zotero.org/styles/nature</vt:lpwstr>
  </property>
  <property fmtid="{D5CDD505-2E9C-101B-9397-08002B2CF9AE}" pid="26" name="Mendeley Recent Style Name 9_1">
    <vt:lpwstr>Nature</vt:lpwstr>
  </property>
</Properties>
</file>