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60E674" w14:textId="77777777" w:rsidR="00C33E15" w:rsidRPr="00C33E15" w:rsidRDefault="00C33E15" w:rsidP="00C33E15">
      <w:pPr>
        <w:spacing w:line="480" w:lineRule="auto"/>
        <w:jc w:val="both"/>
        <w:rPr>
          <w:rFonts w:ascii="Arial" w:hAnsi="Arial" w:cs="Arial"/>
          <w:sz w:val="20"/>
          <w:szCs w:val="20"/>
          <w:lang w:val="en-GB"/>
        </w:rPr>
      </w:pPr>
      <w:r w:rsidRPr="00C33E15">
        <w:rPr>
          <w:rFonts w:ascii="Arial" w:hAnsi="Arial" w:cs="Arial"/>
          <w:sz w:val="20"/>
          <w:szCs w:val="20"/>
          <w:lang w:val="en-GB"/>
        </w:rPr>
        <w:t>Distribution of endocannabinoid system receptors in the equine hoof: dysregulation as a potential therapeutic target for laminitis</w:t>
      </w:r>
    </w:p>
    <w:p w14:paraId="6B75D4D8" w14:textId="77777777" w:rsidR="00C33E15" w:rsidRPr="00C33E15" w:rsidRDefault="00C33E15" w:rsidP="00C33E15">
      <w:pPr>
        <w:spacing w:line="480" w:lineRule="auto"/>
        <w:jc w:val="both"/>
        <w:rPr>
          <w:rFonts w:ascii="Arial" w:hAnsi="Arial" w:cs="Arial"/>
          <w:sz w:val="20"/>
          <w:szCs w:val="20"/>
          <w:lang w:val="en-GB"/>
        </w:rPr>
      </w:pPr>
      <w:r w:rsidRPr="00C33E15">
        <w:rPr>
          <w:rFonts w:ascii="Arial" w:hAnsi="Arial" w:cs="Arial"/>
          <w:sz w:val="20"/>
          <w:szCs w:val="20"/>
          <w:lang w:val="en-GB"/>
        </w:rPr>
        <w:t>Histochemistry and Cell Biology</w:t>
      </w:r>
    </w:p>
    <w:p w14:paraId="2273411B" w14:textId="77777777" w:rsidR="00C33E15" w:rsidRPr="00C33E15" w:rsidRDefault="00C33E15" w:rsidP="00C33E15">
      <w:pPr>
        <w:spacing w:line="480" w:lineRule="auto"/>
        <w:jc w:val="both"/>
        <w:rPr>
          <w:rFonts w:ascii="Arial" w:hAnsi="Arial" w:cs="Arial"/>
          <w:sz w:val="20"/>
          <w:szCs w:val="20"/>
        </w:rPr>
      </w:pPr>
      <w:r w:rsidRPr="00C33E15">
        <w:rPr>
          <w:rFonts w:ascii="Arial" w:hAnsi="Arial" w:cs="Arial"/>
          <w:sz w:val="20"/>
          <w:szCs w:val="20"/>
        </w:rPr>
        <w:t>Rodrigo Zamith Cunha</w:t>
      </w:r>
      <w:bookmarkStart w:id="0" w:name="_Hlk135216839"/>
      <w:r w:rsidRPr="00C33E15">
        <w:rPr>
          <w:rFonts w:ascii="Arial" w:hAnsi="Arial" w:cs="Arial"/>
          <w:sz w:val="20"/>
          <w:szCs w:val="20"/>
          <w:vertAlign w:val="superscript"/>
        </w:rPr>
        <w:t>1,2</w:t>
      </w:r>
      <w:r w:rsidRPr="00C33E15">
        <w:rPr>
          <w:rFonts w:ascii="Arial" w:hAnsi="Arial" w:cs="Arial"/>
          <w:sz w:val="20"/>
          <w:szCs w:val="20"/>
        </w:rPr>
        <w:t>*</w:t>
      </w:r>
      <w:bookmarkEnd w:id="0"/>
      <w:r w:rsidRPr="00C33E15">
        <w:rPr>
          <w:rFonts w:ascii="Arial" w:hAnsi="Arial" w:cs="Arial"/>
          <w:sz w:val="20"/>
          <w:szCs w:val="20"/>
        </w:rPr>
        <w:t>, Francesca Gobbo</w:t>
      </w:r>
      <w:r w:rsidRPr="00C33E15">
        <w:rPr>
          <w:rFonts w:ascii="Arial" w:hAnsi="Arial" w:cs="Arial"/>
          <w:sz w:val="20"/>
          <w:szCs w:val="20"/>
          <w:vertAlign w:val="superscript"/>
        </w:rPr>
        <w:t>1</w:t>
      </w:r>
      <w:r w:rsidRPr="00C33E15">
        <w:rPr>
          <w:rFonts w:ascii="Arial" w:hAnsi="Arial" w:cs="Arial"/>
          <w:sz w:val="20"/>
          <w:szCs w:val="20"/>
        </w:rPr>
        <w:t>, Maria Morini</w:t>
      </w:r>
      <w:r w:rsidRPr="00C33E15">
        <w:rPr>
          <w:rFonts w:ascii="Arial" w:hAnsi="Arial" w:cs="Arial"/>
          <w:sz w:val="20"/>
          <w:szCs w:val="20"/>
          <w:vertAlign w:val="superscript"/>
        </w:rPr>
        <w:t>1</w:t>
      </w:r>
      <w:r w:rsidRPr="00C33E15">
        <w:rPr>
          <w:rFonts w:ascii="Arial" w:hAnsi="Arial" w:cs="Arial"/>
          <w:sz w:val="20"/>
          <w:szCs w:val="20"/>
        </w:rPr>
        <w:t>, Augusta Zannoni</w:t>
      </w:r>
      <w:r w:rsidRPr="00C33E15">
        <w:rPr>
          <w:rFonts w:ascii="Arial" w:hAnsi="Arial" w:cs="Arial"/>
          <w:sz w:val="20"/>
          <w:szCs w:val="20"/>
          <w:vertAlign w:val="superscript"/>
        </w:rPr>
        <w:t>1</w:t>
      </w:r>
      <w:r w:rsidRPr="00C33E15">
        <w:rPr>
          <w:rFonts w:ascii="Arial" w:hAnsi="Arial" w:cs="Arial"/>
          <w:sz w:val="20"/>
          <w:szCs w:val="20"/>
        </w:rPr>
        <w:t>, Carlo Mainardi</w:t>
      </w:r>
      <w:r w:rsidRPr="00C33E15">
        <w:rPr>
          <w:rFonts w:ascii="Arial" w:hAnsi="Arial" w:cs="Arial"/>
          <w:sz w:val="20"/>
          <w:szCs w:val="20"/>
          <w:vertAlign w:val="superscript"/>
        </w:rPr>
        <w:t>1</w:t>
      </w:r>
      <w:r w:rsidRPr="00C33E15">
        <w:rPr>
          <w:rFonts w:ascii="Arial" w:hAnsi="Arial" w:cs="Arial"/>
          <w:sz w:val="20"/>
          <w:szCs w:val="20"/>
        </w:rPr>
        <w:t>, Lorenzo D’arpe</w:t>
      </w:r>
      <w:r w:rsidRPr="00C33E15">
        <w:rPr>
          <w:rFonts w:ascii="Arial" w:hAnsi="Arial" w:cs="Arial"/>
          <w:sz w:val="20"/>
          <w:szCs w:val="20"/>
          <w:vertAlign w:val="superscript"/>
        </w:rPr>
        <w:t>1</w:t>
      </w:r>
      <w:r w:rsidRPr="00C33E15">
        <w:rPr>
          <w:rFonts w:ascii="Arial" w:hAnsi="Arial" w:cs="Arial"/>
          <w:sz w:val="20"/>
          <w:szCs w:val="20"/>
        </w:rPr>
        <w:t>, Alessandro Gramenzi</w:t>
      </w:r>
      <w:r w:rsidRPr="00C33E15">
        <w:rPr>
          <w:rFonts w:ascii="Arial" w:hAnsi="Arial" w:cs="Arial"/>
          <w:sz w:val="20"/>
          <w:szCs w:val="20"/>
          <w:vertAlign w:val="superscript"/>
        </w:rPr>
        <w:t>2</w:t>
      </w:r>
      <w:r w:rsidRPr="00C33E15">
        <w:rPr>
          <w:rFonts w:ascii="Arial" w:hAnsi="Arial" w:cs="Arial"/>
          <w:sz w:val="20"/>
          <w:szCs w:val="20"/>
        </w:rPr>
        <w:t>, Roberto Chiocchetti</w:t>
      </w:r>
      <w:r w:rsidRPr="00C33E15">
        <w:rPr>
          <w:rFonts w:ascii="Arial" w:hAnsi="Arial" w:cs="Arial"/>
          <w:sz w:val="20"/>
          <w:szCs w:val="20"/>
          <w:vertAlign w:val="superscript"/>
        </w:rPr>
        <w:t>1</w:t>
      </w:r>
      <w:r w:rsidRPr="00C33E15">
        <w:rPr>
          <w:rFonts w:ascii="Arial" w:hAnsi="Arial" w:cs="Arial"/>
          <w:sz w:val="20"/>
          <w:szCs w:val="20"/>
        </w:rPr>
        <w:t xml:space="preserve"> </w:t>
      </w:r>
    </w:p>
    <w:p w14:paraId="3A956C2B" w14:textId="77777777" w:rsidR="00C33E15" w:rsidRPr="00C33E15" w:rsidRDefault="00C33E15" w:rsidP="00C33E15">
      <w:pPr>
        <w:spacing w:line="480" w:lineRule="auto"/>
        <w:jc w:val="both"/>
        <w:rPr>
          <w:rFonts w:ascii="Arial" w:hAnsi="Arial" w:cs="Arial"/>
          <w:sz w:val="20"/>
          <w:szCs w:val="20"/>
          <w:lang w:val="en-GB"/>
        </w:rPr>
      </w:pPr>
      <w:r w:rsidRPr="00C33E15">
        <w:rPr>
          <w:rFonts w:ascii="Arial" w:hAnsi="Arial" w:cs="Arial"/>
          <w:sz w:val="20"/>
          <w:szCs w:val="20"/>
          <w:vertAlign w:val="superscript"/>
          <w:lang w:val="en-GB"/>
        </w:rPr>
        <w:t>1</w:t>
      </w:r>
      <w:r w:rsidRPr="00C33E15">
        <w:rPr>
          <w:rFonts w:ascii="Arial" w:hAnsi="Arial" w:cs="Arial"/>
          <w:sz w:val="20"/>
          <w:szCs w:val="20"/>
          <w:lang w:val="en-GB"/>
        </w:rPr>
        <w:t xml:space="preserve"> Department of Veterinary Medical Sciences (UNI EN ISO 9001:2008), University of Bologna, Italy</w:t>
      </w:r>
    </w:p>
    <w:p w14:paraId="116392C7" w14:textId="77777777" w:rsidR="00C33E15" w:rsidRPr="00C33E15" w:rsidRDefault="00C33E15" w:rsidP="00C33E15">
      <w:pPr>
        <w:spacing w:line="480" w:lineRule="auto"/>
        <w:jc w:val="both"/>
        <w:rPr>
          <w:rFonts w:ascii="Arial" w:hAnsi="Arial" w:cs="Arial"/>
          <w:sz w:val="20"/>
          <w:szCs w:val="20"/>
          <w:lang w:val="en-GB"/>
        </w:rPr>
      </w:pPr>
      <w:bookmarkStart w:id="1" w:name="_Hlk135139673"/>
      <w:r w:rsidRPr="00C33E15">
        <w:rPr>
          <w:rFonts w:ascii="Arial" w:hAnsi="Arial" w:cs="Arial"/>
          <w:sz w:val="20"/>
          <w:szCs w:val="20"/>
          <w:vertAlign w:val="superscript"/>
          <w:lang w:val="en-GB"/>
        </w:rPr>
        <w:t xml:space="preserve">2 </w:t>
      </w:r>
      <w:r w:rsidRPr="00C33E15">
        <w:rPr>
          <w:rFonts w:ascii="Arial" w:hAnsi="Arial" w:cs="Arial"/>
          <w:sz w:val="20"/>
          <w:szCs w:val="20"/>
          <w:lang w:val="en-GB"/>
        </w:rPr>
        <w:t>Department of Veterinary Medicine, University of Teramo, Teramo, Italy</w:t>
      </w:r>
    </w:p>
    <w:bookmarkEnd w:id="1"/>
    <w:p w14:paraId="34029803" w14:textId="77777777" w:rsidR="00C33E15" w:rsidRPr="00C33E15" w:rsidRDefault="00C33E15" w:rsidP="00C33E15">
      <w:pPr>
        <w:spacing w:line="480" w:lineRule="auto"/>
        <w:jc w:val="both"/>
        <w:rPr>
          <w:rFonts w:ascii="Arial" w:hAnsi="Arial" w:cs="Arial"/>
          <w:sz w:val="20"/>
          <w:szCs w:val="20"/>
          <w:lang w:val="en-GB"/>
        </w:rPr>
      </w:pPr>
      <w:r w:rsidRPr="00C33E15">
        <w:rPr>
          <w:rFonts w:ascii="Arial" w:hAnsi="Arial" w:cs="Arial"/>
          <w:sz w:val="20"/>
          <w:szCs w:val="20"/>
          <w:lang w:val="en-GB"/>
        </w:rPr>
        <w:t xml:space="preserve">* Corresponding author email: rodrigo.zamithcunha@studio.unibo.it </w:t>
      </w:r>
    </w:p>
    <w:p w14:paraId="11369411" w14:textId="71D2557F" w:rsidR="00AB3FF4" w:rsidRDefault="00AB3FF4" w:rsidP="00C33E15">
      <w:pPr>
        <w:spacing w:line="480" w:lineRule="auto"/>
        <w:jc w:val="both"/>
        <w:rPr>
          <w:rFonts w:ascii="Arial" w:hAnsi="Arial" w:cs="Arial"/>
          <w:sz w:val="20"/>
          <w:szCs w:val="20"/>
          <w:lang w:val="en-GB"/>
        </w:rPr>
      </w:pPr>
      <w:bookmarkStart w:id="2" w:name="_GoBack"/>
      <w:bookmarkEnd w:id="2"/>
    </w:p>
    <w:p w14:paraId="3417971A" w14:textId="4C383335" w:rsidR="00C33E15" w:rsidRDefault="00C33E15" w:rsidP="00C33E15">
      <w:pPr>
        <w:spacing w:line="480" w:lineRule="auto"/>
        <w:jc w:val="center"/>
        <w:rPr>
          <w:rFonts w:ascii="Arial" w:hAnsi="Arial" w:cs="Arial"/>
          <w:b/>
          <w:bCs/>
          <w:sz w:val="20"/>
          <w:szCs w:val="20"/>
          <w:lang w:val="en-GB"/>
        </w:rPr>
      </w:pPr>
      <w:r>
        <w:rPr>
          <w:noProof/>
          <w:lang w:eastAsia="it-IT"/>
        </w:rPr>
        <w:drawing>
          <wp:inline distT="0" distB="0" distL="0" distR="0" wp14:anchorId="23115C5C" wp14:editId="6C1102AC">
            <wp:extent cx="2827020" cy="3191030"/>
            <wp:effectExtent l="0" t="0" r="0" b="952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31056" cy="3195585"/>
                    </a:xfrm>
                    <a:prstGeom prst="rect">
                      <a:avLst/>
                    </a:prstGeom>
                    <a:noFill/>
                    <a:ln>
                      <a:noFill/>
                    </a:ln>
                  </pic:spPr>
                </pic:pic>
              </a:graphicData>
            </a:graphic>
          </wp:inline>
        </w:drawing>
      </w:r>
    </w:p>
    <w:p w14:paraId="75DB07D8" w14:textId="51CCAD0C" w:rsidR="00AB3FF4" w:rsidRPr="00AB3FF4" w:rsidRDefault="00AB3FF4" w:rsidP="00AB3FF4">
      <w:pPr>
        <w:spacing w:line="480" w:lineRule="auto"/>
        <w:jc w:val="both"/>
        <w:rPr>
          <w:rFonts w:ascii="Arial" w:hAnsi="Arial" w:cs="Arial"/>
          <w:sz w:val="20"/>
          <w:szCs w:val="20"/>
          <w:lang w:val="en-GB"/>
        </w:rPr>
      </w:pPr>
      <w:r w:rsidRPr="00AB3FF4">
        <w:rPr>
          <w:rFonts w:ascii="Arial" w:hAnsi="Arial" w:cs="Arial"/>
          <w:b/>
          <w:bCs/>
          <w:sz w:val="20"/>
          <w:szCs w:val="20"/>
          <w:lang w:val="en-GB"/>
        </w:rPr>
        <w:t xml:space="preserve">Supplementary item </w:t>
      </w:r>
      <w:r w:rsidR="00D9024C">
        <w:rPr>
          <w:rFonts w:ascii="Arial" w:hAnsi="Arial" w:cs="Arial"/>
          <w:b/>
          <w:bCs/>
          <w:sz w:val="20"/>
          <w:szCs w:val="20"/>
          <w:lang w:val="en-GB"/>
        </w:rPr>
        <w:t>4</w:t>
      </w:r>
      <w:r w:rsidRPr="00AB3FF4">
        <w:rPr>
          <w:rFonts w:ascii="Arial" w:hAnsi="Arial" w:cs="Arial"/>
          <w:sz w:val="20"/>
          <w:szCs w:val="20"/>
          <w:lang w:val="en-GB"/>
        </w:rPr>
        <w:t xml:space="preserve">. The quantification of GPR55 immunofluorescence in the abaxial and the axial regions of healthy (HL) and laminitic (ALL, CLL) laminae. The bar graph illustrates the intensity of GPR55 immunoreactivity (measured in pixels) across the abaxial and the axial regions of healthy laminae (HL), acute laminitic laminae (ALL), and chronic laminitic laminae (CLL). Significant differences in GPR55 expression are observed between the abaxial and the axial regions of each group, with marked upregulation in the ALL group as compared to the HL group (**p &lt; 0.01, 95% CI; ***p &lt; 0.001, 95% CI), and between the ALL and CLL groups (*p &lt; 0.05, 95% CI). The CLL group shows variable GPR55 expression, with a notable difference between its </w:t>
      </w:r>
      <w:r w:rsidRPr="00AB3FF4">
        <w:rPr>
          <w:rFonts w:ascii="Arial" w:hAnsi="Arial" w:cs="Arial"/>
          <w:sz w:val="20"/>
          <w:szCs w:val="20"/>
          <w:lang w:val="en-GB"/>
        </w:rPr>
        <w:lastRenderedPageBreak/>
        <w:t>abaxial and axial regions (*p &lt; 0.05, 95% CI). The data are represented as mean + SD, and statistical significance was determined using one-way ANOVA followed by a Tukey's post-hoc test.</w:t>
      </w:r>
    </w:p>
    <w:p w14:paraId="3A08F95A" w14:textId="77777777" w:rsidR="00D741F5" w:rsidRDefault="00D741F5"/>
    <w:sectPr w:rsidR="00D741F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FF4"/>
    <w:rsid w:val="006129A9"/>
    <w:rsid w:val="00AB3FF4"/>
    <w:rsid w:val="00C33E15"/>
    <w:rsid w:val="00D7071B"/>
    <w:rsid w:val="00D741F5"/>
    <w:rsid w:val="00D9024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38647"/>
  <w15:chartTrackingRefBased/>
  <w15:docId w15:val="{E6680B31-72F0-45FA-B6F9-945EDAE57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B3FF4"/>
    <w:rPr>
      <w:rFonts w:ascii="Calibri" w:eastAsia="Calibri" w:hAnsi="Calibri" w:cs="Calibri"/>
      <w:lang w:eastAsia="en-GB"/>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tif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EC4DE3863E28141909C79BD03963C10" ma:contentTypeVersion="18" ma:contentTypeDescription="Create a new document." ma:contentTypeScope="" ma:versionID="2e56725d16bc96d250def2bb89f2f536">
  <xsd:schema xmlns:xsd="http://www.w3.org/2001/XMLSchema" xmlns:xs="http://www.w3.org/2001/XMLSchema" xmlns:p="http://schemas.microsoft.com/office/2006/metadata/properties" xmlns:ns3="8ebd270b-f57d-4265-b562-91bdaf440e4f" xmlns:ns4="c8393b63-87b4-40f5-9660-2b85662daf79" targetNamespace="http://schemas.microsoft.com/office/2006/metadata/properties" ma:root="true" ma:fieldsID="81cabf63d0ad4355ea4885eafadb83e0" ns3:_="" ns4:_="">
    <xsd:import namespace="8ebd270b-f57d-4265-b562-91bdaf440e4f"/>
    <xsd:import namespace="c8393b63-87b4-40f5-9660-2b85662daf79"/>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bd270b-f57d-4265-b562-91bdaf440e4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393b63-87b4-40f5-9660-2b85662daf79"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8ebd270b-f57d-4265-b562-91bdaf440e4f" xsi:nil="true"/>
  </documentManagement>
</p:properties>
</file>

<file path=customXml/itemProps1.xml><?xml version="1.0" encoding="utf-8"?>
<ds:datastoreItem xmlns:ds="http://schemas.openxmlformats.org/officeDocument/2006/customXml" ds:itemID="{7D12A4AB-C442-4971-AB8C-EDDD9E7CB0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bd270b-f57d-4265-b562-91bdaf440e4f"/>
    <ds:schemaRef ds:uri="c8393b63-87b4-40f5-9660-2b85662daf7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620866-0074-40C4-8241-D8943C5EF4A5}">
  <ds:schemaRefs>
    <ds:schemaRef ds:uri="http://schemas.microsoft.com/sharepoint/v3/contenttype/forms"/>
  </ds:schemaRefs>
</ds:datastoreItem>
</file>

<file path=customXml/itemProps3.xml><?xml version="1.0" encoding="utf-8"?>
<ds:datastoreItem xmlns:ds="http://schemas.openxmlformats.org/officeDocument/2006/customXml" ds:itemID="{97589069-D61C-4754-AD42-002BF82E2CEB}">
  <ds:schemaRefs>
    <ds:schemaRef ds:uri="http://schemas.openxmlformats.org/package/2006/metadata/core-properties"/>
    <ds:schemaRef ds:uri="http://schemas.microsoft.com/office/2006/documentManagement/types"/>
    <ds:schemaRef ds:uri="c8393b63-87b4-40f5-9660-2b85662daf79"/>
    <ds:schemaRef ds:uri="8ebd270b-f57d-4265-b562-91bdaf440e4f"/>
    <ds:schemaRef ds:uri="http://purl.org/dc/elements/1.1/"/>
    <ds:schemaRef ds:uri="http://schemas.microsoft.com/office/2006/metadata/properties"/>
    <ds:schemaRef ds:uri="http://purl.org/dc/term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222</Words>
  <Characters>1270</Characters>
  <Application>Microsoft Office Word</Application>
  <DocSecurity>0</DocSecurity>
  <Lines>10</Lines>
  <Paragraphs>2</Paragraphs>
  <ScaleCrop>false</ScaleCrop>
  <HeadingPairs>
    <vt:vector size="2" baseType="variant">
      <vt:variant>
        <vt:lpstr>Titolo</vt:lpstr>
      </vt:variant>
      <vt:variant>
        <vt:i4>1</vt:i4>
      </vt:variant>
    </vt:vector>
  </HeadingPairs>
  <TitlesOfParts>
    <vt:vector size="1" baseType="lpstr">
      <vt:lpstr/>
    </vt:vector>
  </TitlesOfParts>
  <Company>Alma Mater Studiorum - Universita di Bologna</Company>
  <LinksUpToDate>false</LinksUpToDate>
  <CharactersWithSpaces>1490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Chiocchetti</dc:creator>
  <cp:keywords/>
  <dc:description/>
  <cp:lastModifiedBy>Roberto Chiocchetti</cp:lastModifiedBy>
  <cp:revision>2</cp:revision>
  <dcterms:created xsi:type="dcterms:W3CDTF">2025-04-07T10:18:00Z</dcterms:created>
  <dcterms:modified xsi:type="dcterms:W3CDTF">2025-04-07T10:18:00Z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0x0101005EC4DE3863E28141909C79BD03963C10</vt:lpwstr>
  </property>
</Properties>
</file>