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0832A7" w14:textId="67B32C1F" w:rsidR="00BE6087" w:rsidRDefault="00BE6087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2C2E06">
        <w:rPr>
          <w:rFonts w:ascii="Times New Roman" w:hAnsi="Times New Roman" w:cs="Times New Roman"/>
          <w:b/>
          <w:bCs/>
          <w:sz w:val="28"/>
          <w:szCs w:val="28"/>
        </w:rPr>
        <w:t>S</w:t>
      </w:r>
      <w:r w:rsidR="007D2757">
        <w:rPr>
          <w:rFonts w:ascii="Times New Roman" w:hAnsi="Times New Roman" w:cs="Times New Roman"/>
          <w:b/>
          <w:bCs/>
          <w:sz w:val="28"/>
          <w:szCs w:val="28"/>
        </w:rPr>
        <w:t>UPPLEMENTARY MATERIAL</w:t>
      </w:r>
    </w:p>
    <w:p w14:paraId="2A218FA6" w14:textId="77777777" w:rsidR="00BC6B1D" w:rsidRDefault="00BC6B1D" w:rsidP="00BD3BF6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18C47A6E" w14:textId="24615CDE" w:rsidR="00BC6B1D" w:rsidRPr="00BC3EB7" w:rsidRDefault="00653BBE" w:rsidP="00BC3EB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C3EB7">
        <w:rPr>
          <w:rFonts w:ascii="Times New Roman" w:hAnsi="Times New Roman" w:cs="Times New Roman"/>
          <w:b/>
          <w:bCs/>
          <w:sz w:val="24"/>
          <w:szCs w:val="24"/>
        </w:rPr>
        <w:t>Supplementary M</w:t>
      </w:r>
      <w:r w:rsidR="00BD3BF6" w:rsidRPr="00BC3EB7">
        <w:rPr>
          <w:rFonts w:ascii="Times New Roman" w:hAnsi="Times New Roman" w:cs="Times New Roman"/>
          <w:b/>
          <w:bCs/>
          <w:sz w:val="24"/>
          <w:szCs w:val="24"/>
        </w:rPr>
        <w:t>ethods</w:t>
      </w:r>
      <w:r w:rsidR="004418D8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947E75" w:rsidRPr="00BC3EB7">
        <w:rPr>
          <w:rFonts w:ascii="Times New Roman" w:hAnsi="Times New Roman" w:cs="Times New Roman"/>
          <w:sz w:val="24"/>
          <w:szCs w:val="24"/>
        </w:rPr>
        <w:tab/>
        <w:t xml:space="preserve">sCJD </w:t>
      </w:r>
      <w:r w:rsidR="00CC6806" w:rsidRPr="00BC3EB7">
        <w:rPr>
          <w:rFonts w:ascii="Times New Roman" w:hAnsi="Times New Roman" w:cs="Times New Roman"/>
          <w:sz w:val="24"/>
          <w:szCs w:val="24"/>
        </w:rPr>
        <w:t>patient</w:t>
      </w:r>
      <w:r w:rsidR="00947E75" w:rsidRPr="00BC3EB7">
        <w:rPr>
          <w:rFonts w:ascii="Times New Roman" w:hAnsi="Times New Roman" w:cs="Times New Roman"/>
          <w:sz w:val="24"/>
          <w:szCs w:val="24"/>
        </w:rPr>
        <w:t xml:space="preserve"> classification</w:t>
      </w:r>
    </w:p>
    <w:p w14:paraId="686DF6A0" w14:textId="4B4FC94D" w:rsidR="00BC3EB7" w:rsidRPr="00BC3EB7" w:rsidRDefault="00441325" w:rsidP="00BC3EB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="00BC3EB7"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3EB7" w:rsidRPr="00BC3EB7">
        <w:rPr>
          <w:rFonts w:ascii="Times New Roman" w:hAnsi="Times New Roman" w:cs="Times New Roman"/>
          <w:b/>
          <w:bCs/>
          <w:sz w:val="24"/>
          <w:szCs w:val="24"/>
        </w:rPr>
        <w:t>1.</w:t>
      </w:r>
      <w:r w:rsidR="00BC3EB7" w:rsidRPr="00BC3EB7">
        <w:rPr>
          <w:rFonts w:ascii="Times New Roman" w:hAnsi="Times New Roman" w:cs="Times New Roman"/>
          <w:sz w:val="24"/>
          <w:szCs w:val="24"/>
        </w:rPr>
        <w:t xml:space="preserve"> Differential expression analysis results</w:t>
      </w:r>
    </w:p>
    <w:p w14:paraId="4C07F9D0" w14:textId="7E6FACC5" w:rsidR="00BC3EB7" w:rsidRPr="00BC3EB7" w:rsidRDefault="00441325" w:rsidP="00BC3EB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3EB7" w:rsidRPr="00BC3EB7">
        <w:rPr>
          <w:rFonts w:ascii="Times New Roman" w:hAnsi="Times New Roman" w:cs="Times New Roman"/>
          <w:b/>
          <w:bCs/>
          <w:sz w:val="24"/>
          <w:szCs w:val="24"/>
        </w:rPr>
        <w:t>2.</w:t>
      </w:r>
      <w:r w:rsidR="00BC3EB7" w:rsidRPr="00BC3EB7">
        <w:rPr>
          <w:rFonts w:ascii="Times New Roman" w:hAnsi="Times New Roman" w:cs="Times New Roman"/>
          <w:sz w:val="24"/>
          <w:szCs w:val="24"/>
        </w:rPr>
        <w:t xml:space="preserve"> Biomarkers distinguishing V2-strain-related subtypes and MM(V)1</w:t>
      </w:r>
    </w:p>
    <w:p w14:paraId="32883F38" w14:textId="56E1DED8" w:rsidR="00BC3EB7" w:rsidRDefault="00441325" w:rsidP="00BC3EB7">
      <w:pPr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3EB7" w:rsidRPr="00BC3EB7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="00BC3EB7" w:rsidRPr="00BC3EB7">
        <w:rPr>
          <w:rFonts w:ascii="Times New Roman" w:hAnsi="Times New Roman" w:cs="Times New Roman"/>
          <w:sz w:val="24"/>
          <w:szCs w:val="24"/>
          <w:lang w:val="en-US"/>
        </w:rPr>
        <w:t>UMAP projection of top 20 biomarker candidates’ expression profiles</w:t>
      </w:r>
    </w:p>
    <w:p w14:paraId="12B7099C" w14:textId="6D301673" w:rsidR="00BC289B" w:rsidRPr="00BC289B" w:rsidRDefault="00BC289B" w:rsidP="00BC3EB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>. 4</w:t>
      </w:r>
      <w:r w:rsidRPr="00464BF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464BFE">
        <w:rPr>
          <w:rFonts w:ascii="Times New Roman" w:hAnsi="Times New Roman" w:cs="Times New Roman"/>
          <w:sz w:val="24"/>
          <w:szCs w:val="24"/>
        </w:rPr>
        <w:t xml:space="preserve"> </w:t>
      </w:r>
      <w:r w:rsidR="00680F9C" w:rsidRPr="00680F9C">
        <w:rPr>
          <w:rFonts w:ascii="Times New Roman" w:hAnsi="Times New Roman" w:cs="Times New Roman"/>
          <w:sz w:val="24"/>
          <w:szCs w:val="24"/>
        </w:rPr>
        <w:t>Orthogonal partial least squares–discriminant analysis (OPLS-DA) results</w:t>
      </w:r>
    </w:p>
    <w:p w14:paraId="08DB2669" w14:textId="191D7FE4" w:rsidR="004609B9" w:rsidRPr="00464BFE" w:rsidRDefault="00441325" w:rsidP="00BC3EB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289B">
        <w:rPr>
          <w:rFonts w:ascii="Times New Roman" w:hAnsi="Times New Roman" w:cs="Times New Roman"/>
          <w:b/>
          <w:bCs/>
          <w:sz w:val="24"/>
          <w:szCs w:val="24"/>
        </w:rPr>
        <w:t>5</w:t>
      </w:r>
      <w:r w:rsidR="00BC3EB7" w:rsidRPr="00464BF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BC3EB7" w:rsidRPr="00464BFE">
        <w:rPr>
          <w:rFonts w:ascii="Times New Roman" w:hAnsi="Times New Roman" w:cs="Times New Roman"/>
          <w:sz w:val="24"/>
          <w:szCs w:val="24"/>
        </w:rPr>
        <w:t xml:space="preserve"> </w:t>
      </w:r>
      <w:r w:rsidR="004609B9" w:rsidRPr="00464BFE">
        <w:rPr>
          <w:rFonts w:ascii="Times New Roman" w:hAnsi="Times New Roman" w:cs="Times New Roman"/>
          <w:sz w:val="24"/>
          <w:szCs w:val="24"/>
        </w:rPr>
        <w:t>A panel of six biomarkers accurately classifies sCJD subtypes</w:t>
      </w:r>
    </w:p>
    <w:p w14:paraId="7A25E1F4" w14:textId="4442AAF7" w:rsidR="00BC3EB7" w:rsidRPr="00464BFE" w:rsidRDefault="00441325" w:rsidP="00BC3EB7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Supplementary </w:t>
      </w:r>
      <w:r w:rsidRPr="00BC3EB7">
        <w:rPr>
          <w:rFonts w:ascii="Times New Roman" w:hAnsi="Times New Roman" w:cs="Times New Roman"/>
          <w:b/>
          <w:bCs/>
          <w:sz w:val="24"/>
          <w:szCs w:val="24"/>
        </w:rPr>
        <w:t>Fig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289B">
        <w:rPr>
          <w:rFonts w:ascii="Times New Roman" w:hAnsi="Times New Roman" w:cs="Times New Roman"/>
          <w:b/>
          <w:bCs/>
          <w:sz w:val="24"/>
          <w:szCs w:val="24"/>
        </w:rPr>
        <w:t>6</w:t>
      </w:r>
      <w:r w:rsidR="004609B9" w:rsidRPr="00464BFE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BC3EB7" w:rsidRPr="00464BFE">
        <w:rPr>
          <w:rFonts w:ascii="Times New Roman" w:hAnsi="Times New Roman" w:cs="Times New Roman"/>
          <w:sz w:val="24"/>
          <w:szCs w:val="24"/>
        </w:rPr>
        <w:t>Biomarker prognostic performance</w:t>
      </w:r>
    </w:p>
    <w:p w14:paraId="4F7E2F3B" w14:textId="77777777" w:rsidR="00A00E96" w:rsidRDefault="00A00E96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99B23A5" w14:textId="77777777" w:rsidR="00847543" w:rsidRDefault="00847543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06A7CBD" w14:textId="77777777" w:rsidR="00847543" w:rsidRDefault="00847543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7A53C21" w14:textId="77777777" w:rsidR="00847543" w:rsidRDefault="00847543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047CF77" w14:textId="77777777" w:rsidR="00BC6B1D" w:rsidRDefault="00BC6B1D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DE6C89" w14:textId="77777777" w:rsidR="00F524A1" w:rsidRDefault="00F524A1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96F0763" w14:textId="77777777" w:rsidR="00F524A1" w:rsidRDefault="00F524A1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E90C171" w14:textId="77777777" w:rsidR="00F524A1" w:rsidRDefault="00F524A1" w:rsidP="00680F9C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2ACD106B" w14:textId="77777777" w:rsidR="00F524A1" w:rsidRDefault="00F524A1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DF8424F" w14:textId="77777777" w:rsidR="00F524A1" w:rsidRDefault="00F524A1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DDFBB2D" w14:textId="77777777" w:rsidR="00BC6B1D" w:rsidRDefault="00BC6B1D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E839C4" w14:textId="77777777" w:rsidR="00B67A1E" w:rsidRDefault="00B67A1E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F048318" w14:textId="77777777" w:rsidR="00B67A1E" w:rsidRDefault="00B67A1E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85889B" w14:textId="77777777" w:rsidR="00BC6B1D" w:rsidRDefault="00BC6B1D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C27CE7F" w14:textId="77777777" w:rsidR="00910754" w:rsidRDefault="00910754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5B51B2D" w14:textId="77777777" w:rsidR="009307EF" w:rsidRDefault="009307EF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8174BBE" w14:textId="77777777" w:rsidR="00323040" w:rsidRDefault="00323040" w:rsidP="002C2E06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2A5E61" w14:textId="77777777" w:rsidR="00815D5A" w:rsidRDefault="00815D5A" w:rsidP="007D2757">
      <w:pPr>
        <w:spacing w:line="240" w:lineRule="auto"/>
        <w:rPr>
          <w:rFonts w:ascii="Times New Roman" w:hAnsi="Times New Roman" w:cs="Times New Roman"/>
          <w:b/>
          <w:bCs/>
        </w:rPr>
      </w:pPr>
    </w:p>
    <w:p w14:paraId="602A582A" w14:textId="2CCF2B41" w:rsidR="002C2E06" w:rsidRPr="007D2757" w:rsidRDefault="007D2757" w:rsidP="007D2757">
      <w:pPr>
        <w:spacing w:line="240" w:lineRule="auto"/>
        <w:rPr>
          <w:rFonts w:ascii="Times New Roman" w:hAnsi="Times New Roman" w:cs="Times New Roman"/>
          <w:b/>
          <w:bCs/>
        </w:rPr>
      </w:pPr>
      <w:r w:rsidRPr="007D2757">
        <w:rPr>
          <w:rFonts w:ascii="Times New Roman" w:hAnsi="Times New Roman" w:cs="Times New Roman"/>
          <w:b/>
          <w:bCs/>
        </w:rPr>
        <w:lastRenderedPageBreak/>
        <w:t>SUPPLEMENTARY METHODS</w:t>
      </w:r>
    </w:p>
    <w:p w14:paraId="28A4DF2A" w14:textId="4ED7D46F" w:rsidR="00EA03E8" w:rsidRPr="00B0700C" w:rsidRDefault="004B031B" w:rsidP="00B0700C">
      <w:pPr>
        <w:spacing w:line="276" w:lineRule="auto"/>
        <w:jc w:val="both"/>
        <w:rPr>
          <w:rFonts w:ascii="Times New Roman" w:hAnsi="Times New Roman" w:cs="Times New Roman"/>
          <w:b/>
          <w:bCs/>
        </w:rPr>
      </w:pPr>
      <w:bookmarkStart w:id="0" w:name="_Hlk192440276"/>
      <w:r w:rsidRPr="00B0700C">
        <w:rPr>
          <w:rFonts w:ascii="Times New Roman" w:hAnsi="Times New Roman" w:cs="Times New Roman"/>
          <w:b/>
          <w:bCs/>
        </w:rPr>
        <w:t>sC</w:t>
      </w:r>
      <w:r w:rsidR="00CE4D46" w:rsidRPr="00B0700C">
        <w:rPr>
          <w:rFonts w:ascii="Times New Roman" w:hAnsi="Times New Roman" w:cs="Times New Roman"/>
          <w:b/>
          <w:bCs/>
        </w:rPr>
        <w:t>JD patient classification</w:t>
      </w:r>
    </w:p>
    <w:bookmarkEnd w:id="0"/>
    <w:p w14:paraId="4EA02E6B" w14:textId="36298E5C" w:rsidR="00AD4826" w:rsidRDefault="00AD4826" w:rsidP="00A83530">
      <w:pPr>
        <w:spacing w:line="360" w:lineRule="auto"/>
        <w:jc w:val="both"/>
        <w:rPr>
          <w:rFonts w:ascii="Times New Roman" w:hAnsi="Times New Roman" w:cs="Times New Roman"/>
        </w:rPr>
      </w:pPr>
      <w:r w:rsidRPr="00AD4826">
        <w:rPr>
          <w:rFonts w:ascii="Times New Roman" w:hAnsi="Times New Roman" w:cs="Times New Roman"/>
        </w:rPr>
        <w:t xml:space="preserve">The classification of probable </w:t>
      </w:r>
      <w:r w:rsidR="008C6DCB">
        <w:rPr>
          <w:rFonts w:ascii="Times New Roman" w:hAnsi="Times New Roman" w:cs="Times New Roman"/>
        </w:rPr>
        <w:t>sporadic Creutzfeldt-Jakob (</w:t>
      </w:r>
      <w:r w:rsidRPr="00AD4826">
        <w:rPr>
          <w:rFonts w:ascii="Times New Roman" w:hAnsi="Times New Roman" w:cs="Times New Roman"/>
        </w:rPr>
        <w:t>sCJD</w:t>
      </w:r>
      <w:r w:rsidR="008C6DCB">
        <w:rPr>
          <w:rFonts w:ascii="Times New Roman" w:hAnsi="Times New Roman" w:cs="Times New Roman"/>
        </w:rPr>
        <w:t>)</w:t>
      </w:r>
      <w:r w:rsidRPr="00AD4826">
        <w:rPr>
          <w:rFonts w:ascii="Times New Roman" w:hAnsi="Times New Roman" w:cs="Times New Roman"/>
        </w:rPr>
        <w:t xml:space="preserve"> subtypes was established through the consensus of two consultant neurologists (SB and PP) following a comprehensive review of genetic testing results (codon 129 genotype), clinical characteristics, CSF biomarkers, and brain MRI, as previously described </w:t>
      </w:r>
      <w:r w:rsidR="00B242C1" w:rsidRPr="00B242C1">
        <w:rPr>
          <w:rFonts w:ascii="Times New Roman" w:hAnsi="Times New Roman" w:cs="Times New Roman"/>
        </w:rPr>
        <w:t>[2]</w:t>
      </w:r>
      <w:r w:rsidR="002D4832">
        <w:rPr>
          <w:rFonts w:ascii="Times New Roman" w:hAnsi="Times New Roman" w:cs="Times New Roman"/>
        </w:rPr>
        <w:t>.</w:t>
      </w:r>
      <w:r w:rsidRPr="00AD4826">
        <w:rPr>
          <w:rFonts w:ascii="Times New Roman" w:hAnsi="Times New Roman" w:cs="Times New Roman"/>
        </w:rPr>
        <w:t xml:space="preserve"> Probable sCJD VV2 cases were characterized by homozygosity for VV at codon 129, an early onset of rapidly progressive ataxia, a disease duration of less than 12 months, positivity in prion RT-QuIC testing</w:t>
      </w:r>
      <w:r w:rsidR="00ED4105">
        <w:rPr>
          <w:rFonts w:ascii="Times New Roman" w:hAnsi="Times New Roman" w:cs="Times New Roman"/>
        </w:rPr>
        <w:t xml:space="preserve"> 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[3]</w:t>
      </w:r>
      <w:r w:rsidR="002D4832">
        <w:rPr>
          <w:rFonts w:ascii="Times New Roman" w:hAnsi="Times New Roman" w:cs="Times New Roman"/>
        </w:rPr>
        <w:t>,</w:t>
      </w:r>
      <w:r w:rsidRPr="00AD4826">
        <w:rPr>
          <w:rFonts w:ascii="Times New Roman" w:hAnsi="Times New Roman" w:cs="Times New Roman"/>
        </w:rPr>
        <w:t xml:space="preserve"> and the presence of at least two of the following criteria: a positive 14-3-3 test and/or t-tau levels exceeding 1250 </w:t>
      </w:r>
      <w:proofErr w:type="spellStart"/>
      <w:r w:rsidRPr="00AD4826">
        <w:rPr>
          <w:rFonts w:ascii="Times New Roman" w:hAnsi="Times New Roman" w:cs="Times New Roman"/>
        </w:rPr>
        <w:t>pg</w:t>
      </w:r>
      <w:proofErr w:type="spellEnd"/>
      <w:r w:rsidRPr="00AD4826">
        <w:rPr>
          <w:rFonts w:ascii="Times New Roman" w:hAnsi="Times New Roman" w:cs="Times New Roman"/>
        </w:rPr>
        <w:t>/ml, as well as marked striatal and/or thalamic involvement in the early stages of the disease as observed on brain MRI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[1, 4–6]</w:t>
      </w:r>
      <w:r w:rsidRPr="00AD4826">
        <w:rPr>
          <w:rFonts w:ascii="Times New Roman" w:hAnsi="Times New Roman" w:cs="Times New Roman"/>
        </w:rPr>
        <w:t>. Patients (129-VV) exhibiting clinical features strongly indicative of the VV1 subtype</w:t>
      </w:r>
      <w:r>
        <w:rPr>
          <w:rFonts w:ascii="Times New Roman" w:hAnsi="Times New Roman" w:cs="Times New Roman"/>
        </w:rPr>
        <w:t xml:space="preserve"> (e.g., </w:t>
      </w:r>
      <w:r w:rsidRPr="00AD4826">
        <w:rPr>
          <w:rFonts w:ascii="Times New Roman" w:hAnsi="Times New Roman" w:cs="Times New Roman"/>
        </w:rPr>
        <w:t>age at onset of ≤36 years, a disease duration of ≥17 months, and predominant cortical symptoms or signs without ataxia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[1]</w:t>
      </w:r>
      <w:r>
        <w:rPr>
          <w:rFonts w:ascii="Times New Roman" w:hAnsi="Times New Roman" w:cs="Times New Roman"/>
        </w:rPr>
        <w:t xml:space="preserve">) </w:t>
      </w:r>
      <w:r w:rsidRPr="00AD4826">
        <w:rPr>
          <w:rFonts w:ascii="Times New Roman" w:hAnsi="Times New Roman" w:cs="Times New Roman"/>
        </w:rPr>
        <w:t>were exclude</w:t>
      </w:r>
      <w:r>
        <w:rPr>
          <w:rFonts w:ascii="Times New Roman" w:hAnsi="Times New Roman" w:cs="Times New Roman"/>
        </w:rPr>
        <w:t xml:space="preserve">d. </w:t>
      </w:r>
      <w:r w:rsidRPr="00AD4826">
        <w:rPr>
          <w:rFonts w:ascii="Times New Roman" w:hAnsi="Times New Roman" w:cs="Times New Roman"/>
        </w:rPr>
        <w:t>Probable sCJD MV2K cases were heterozygous MV at codon 129, presented with either prominent ataxia or cognitive decline at disease onset, had a disease duration exceeding 8 months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[4, 5]</w:t>
      </w:r>
      <w:r w:rsidRPr="00AD4826">
        <w:rPr>
          <w:rFonts w:ascii="Times New Roman" w:hAnsi="Times New Roman" w:cs="Times New Roman"/>
        </w:rPr>
        <w:t xml:space="preserve">, and were positive </w:t>
      </w:r>
      <w:r>
        <w:rPr>
          <w:rFonts w:ascii="Times New Roman" w:hAnsi="Times New Roman" w:cs="Times New Roman"/>
        </w:rPr>
        <w:t>at</w:t>
      </w:r>
      <w:r w:rsidRPr="00AD4826">
        <w:rPr>
          <w:rFonts w:ascii="Times New Roman" w:hAnsi="Times New Roman" w:cs="Times New Roman"/>
        </w:rPr>
        <w:t xml:space="preserve"> prion RT-QuIC testing as well as </w:t>
      </w:r>
      <w:r>
        <w:rPr>
          <w:rFonts w:ascii="Times New Roman" w:hAnsi="Times New Roman" w:cs="Times New Roman"/>
        </w:rPr>
        <w:t>at</w:t>
      </w:r>
      <w:r w:rsidRPr="00AD4826">
        <w:rPr>
          <w:rFonts w:ascii="Times New Roman" w:hAnsi="Times New Roman" w:cs="Times New Roman"/>
        </w:rPr>
        <w:t xml:space="preserve"> brain MRI (DWI/FLAIR sequences)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[3, 6]</w:t>
      </w:r>
      <w:r w:rsidRPr="00AD4826">
        <w:rPr>
          <w:rFonts w:ascii="Times New Roman" w:hAnsi="Times New Roman" w:cs="Times New Roman"/>
        </w:rPr>
        <w:t>. Patients (129-MV) whose clinical presentation strongly suggested the MV1 subtype</w:t>
      </w:r>
      <w:r>
        <w:rPr>
          <w:rFonts w:ascii="Times New Roman" w:hAnsi="Times New Roman" w:cs="Times New Roman"/>
        </w:rPr>
        <w:t xml:space="preserve"> (i.e., </w:t>
      </w:r>
      <w:r w:rsidRPr="00AD4826">
        <w:rPr>
          <w:rFonts w:ascii="Times New Roman" w:hAnsi="Times New Roman" w:cs="Times New Roman"/>
        </w:rPr>
        <w:t xml:space="preserve">disease duration of less than 8 months and the presence of a multisystemic neurological syndrome </w:t>
      </w:r>
      <w:r w:rsidR="00B242C1" w:rsidRPr="00B242C1">
        <w:rPr>
          <w:rFonts w:ascii="Times New Roman" w:hAnsi="Times New Roman" w:cs="Times New Roman"/>
        </w:rPr>
        <w:t>[4, 5]</w:t>
      </w:r>
      <w:r>
        <w:rPr>
          <w:rFonts w:ascii="Times New Roman" w:hAnsi="Times New Roman" w:cs="Times New Roman"/>
        </w:rPr>
        <w:t xml:space="preserve">) </w:t>
      </w:r>
      <w:r w:rsidRPr="00AD4826">
        <w:rPr>
          <w:rFonts w:ascii="Times New Roman" w:hAnsi="Times New Roman" w:cs="Times New Roman"/>
        </w:rPr>
        <w:t>were excluded and classified accordingly, as previously reported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[2]</w:t>
      </w:r>
      <w:r w:rsidRPr="00AD4826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Probable </w:t>
      </w:r>
      <w:r w:rsidRPr="00AD4826">
        <w:rPr>
          <w:rFonts w:ascii="Times New Roman" w:hAnsi="Times New Roman" w:cs="Times New Roman"/>
        </w:rPr>
        <w:t>sCJD MM</w:t>
      </w:r>
      <w:r>
        <w:rPr>
          <w:rFonts w:ascii="Times New Roman" w:hAnsi="Times New Roman" w:cs="Times New Roman"/>
        </w:rPr>
        <w:t>1</w:t>
      </w:r>
      <w:r w:rsidRPr="00AD4826">
        <w:rPr>
          <w:rFonts w:ascii="Times New Roman" w:hAnsi="Times New Roman" w:cs="Times New Roman"/>
        </w:rPr>
        <w:t xml:space="preserve"> cases were homozygous MM at codon 129, </w:t>
      </w:r>
      <w:r>
        <w:rPr>
          <w:rFonts w:ascii="Times New Roman" w:hAnsi="Times New Roman" w:cs="Times New Roman"/>
        </w:rPr>
        <w:t xml:space="preserve">showed </w:t>
      </w:r>
      <w:r w:rsidRPr="00AD4826">
        <w:rPr>
          <w:rFonts w:ascii="Times New Roman" w:hAnsi="Times New Roman" w:cs="Times New Roman"/>
        </w:rPr>
        <w:t>a disease duration of fewer than 6 months and a presentation consistent with a multisystemic neurological syndrome</w:t>
      </w:r>
      <w:r w:rsidR="00B242C1">
        <w:rPr>
          <w:rFonts w:ascii="Times New Roman" w:hAnsi="Times New Roman" w:cs="Times New Roman"/>
        </w:rPr>
        <w:t xml:space="preserve"> </w:t>
      </w:r>
      <w:r w:rsidR="00B242C1" w:rsidRPr="00B242C1">
        <w:rPr>
          <w:rFonts w:ascii="Times New Roman" w:hAnsi="Times New Roman" w:cs="Times New Roman"/>
        </w:rPr>
        <w:t>[4, 5]</w:t>
      </w:r>
      <w:r>
        <w:rPr>
          <w:rFonts w:ascii="Times New Roman" w:hAnsi="Times New Roman" w:cs="Times New Roman"/>
        </w:rPr>
        <w:t xml:space="preserve">. </w:t>
      </w:r>
    </w:p>
    <w:p w14:paraId="1092B145" w14:textId="77777777" w:rsidR="00AD4826" w:rsidRPr="00BE6087" w:rsidRDefault="00AD4826" w:rsidP="00E536AE">
      <w:pPr>
        <w:spacing w:line="276" w:lineRule="auto"/>
        <w:jc w:val="both"/>
        <w:rPr>
          <w:rFonts w:ascii="Times New Roman" w:hAnsi="Times New Roman" w:cs="Times New Roman"/>
          <w:vertAlign w:val="superscript"/>
        </w:rPr>
      </w:pPr>
    </w:p>
    <w:p w14:paraId="0934B7B0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73D197EA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70D9DF6E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2A90E3D5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5CE22531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6FD1F18A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0DA2BE60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16BE14CF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15799214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5377894D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135D325B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2E4D4545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40F165A6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220BF5A6" w14:textId="77777777" w:rsidR="0096674C" w:rsidRDefault="0096674C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16B9E8BF" w14:textId="77777777" w:rsidR="00A83530" w:rsidRDefault="00A83530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49E60091" w14:textId="5B2E3526" w:rsidR="00C84368" w:rsidRDefault="007D2757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  <w:r w:rsidRPr="00CC52B8">
        <w:rPr>
          <w:rFonts w:ascii="Times New Roman" w:hAnsi="Times New Roman" w:cs="Times New Roman"/>
          <w:b/>
          <w:bCs/>
        </w:rPr>
        <w:lastRenderedPageBreak/>
        <w:t>SUPPLEMENTARY FIGURES</w:t>
      </w:r>
    </w:p>
    <w:p w14:paraId="2879E67E" w14:textId="77777777" w:rsidR="00D024AA" w:rsidRDefault="00D024AA" w:rsidP="00EC4E09">
      <w:pPr>
        <w:spacing w:line="240" w:lineRule="auto"/>
        <w:jc w:val="both"/>
        <w:rPr>
          <w:rFonts w:ascii="Times New Roman" w:hAnsi="Times New Roman" w:cs="Times New Roman"/>
          <w:b/>
          <w:bCs/>
        </w:rPr>
      </w:pPr>
    </w:p>
    <w:p w14:paraId="18A018E7" w14:textId="4622DE18" w:rsidR="00BB0B33" w:rsidRDefault="005C0B09" w:rsidP="004628A5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14:ligatures w14:val="standardContextual"/>
        </w:rPr>
        <w:drawing>
          <wp:inline distT="0" distB="0" distL="0" distR="0" wp14:anchorId="42AF0FB7" wp14:editId="0390C76C">
            <wp:extent cx="6120130" cy="6218555"/>
            <wp:effectExtent l="0" t="0" r="0" b="0"/>
            <wp:docPr id="477923477" name="Picture 1" descr="A group of diagrams with different colored circ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923477" name="Picture 1" descr="A group of diagrams with different colored circles&#10;&#10;AI-generated content may be incorrect.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21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ECF1A" w14:textId="21BC7A17" w:rsidR="004628A5" w:rsidRPr="00BC3EB7" w:rsidRDefault="005E3656" w:rsidP="003F41FA">
      <w:pPr>
        <w:spacing w:line="240" w:lineRule="auto"/>
        <w:jc w:val="both"/>
        <w:rPr>
          <w:rFonts w:ascii="Times New Roman" w:hAnsi="Times New Roman" w:cs="Times New Roman"/>
        </w:rPr>
      </w:pPr>
      <w:r w:rsidRPr="005E3656">
        <w:rPr>
          <w:rFonts w:ascii="Times New Roman" w:hAnsi="Times New Roman" w:cs="Times New Roman"/>
          <w:b/>
          <w:bCs/>
        </w:rPr>
        <w:t xml:space="preserve">Supplementary Fig. </w:t>
      </w:r>
      <w:r w:rsidR="00D024AA" w:rsidRPr="00BC3EB7">
        <w:rPr>
          <w:rFonts w:ascii="Times New Roman" w:hAnsi="Times New Roman" w:cs="Times New Roman"/>
          <w:b/>
          <w:bCs/>
        </w:rPr>
        <w:t>1.</w:t>
      </w:r>
      <w:r w:rsidR="00D024AA" w:rsidRPr="00BC3EB7">
        <w:rPr>
          <w:rFonts w:ascii="Times New Roman" w:hAnsi="Times New Roman" w:cs="Times New Roman"/>
        </w:rPr>
        <w:t xml:space="preserve"> </w:t>
      </w:r>
      <w:r w:rsidR="003268AA" w:rsidRPr="00BC3EB7">
        <w:rPr>
          <w:rFonts w:ascii="Times New Roman" w:hAnsi="Times New Roman" w:cs="Times New Roman"/>
          <w:b/>
          <w:bCs/>
        </w:rPr>
        <w:t>Differential expression analysis results.</w:t>
      </w:r>
      <w:r w:rsidR="00D024AA" w:rsidRPr="00BC3EB7">
        <w:rPr>
          <w:rFonts w:ascii="Times New Roman" w:hAnsi="Times New Roman" w:cs="Times New Roman"/>
          <w:b/>
          <w:bCs/>
          <w:lang w:val="en-US"/>
        </w:rPr>
        <w:t xml:space="preserve"> </w:t>
      </w:r>
      <w:r w:rsidR="00CD2386" w:rsidRPr="00BC3EB7">
        <w:rPr>
          <w:rFonts w:ascii="Times New Roman" w:hAnsi="Times New Roman" w:cs="Times New Roman"/>
          <w:b/>
          <w:bCs/>
          <w:lang w:val="en-US"/>
        </w:rPr>
        <w:t>(A</w:t>
      </w:r>
      <w:r w:rsidR="00464BFE">
        <w:rPr>
          <w:rFonts w:ascii="Times New Roman" w:hAnsi="Times New Roman" w:cs="Times New Roman"/>
          <w:b/>
          <w:bCs/>
          <w:lang w:val="en-US"/>
        </w:rPr>
        <w:t xml:space="preserve">, </w:t>
      </w:r>
      <w:r w:rsidR="00CD2386" w:rsidRPr="00BC3EB7">
        <w:rPr>
          <w:rFonts w:ascii="Times New Roman" w:hAnsi="Times New Roman" w:cs="Times New Roman"/>
          <w:b/>
          <w:bCs/>
          <w:lang w:val="en-US"/>
        </w:rPr>
        <w:t xml:space="preserve">E) </w:t>
      </w:r>
      <w:r w:rsidR="00CD2386" w:rsidRPr="00BC3EB7">
        <w:rPr>
          <w:rFonts w:ascii="Times New Roman" w:hAnsi="Times New Roman" w:cs="Times New Roman"/>
          <w:lang w:val="en-US"/>
        </w:rPr>
        <w:t xml:space="preserve">Venn diagram showing the number and the overlap of DEPs between each sCJD subtype and CTRL (A) and among sCJD subtypes (E). </w:t>
      </w:r>
      <w:r w:rsidR="00CD2386" w:rsidRPr="00BC3EB7">
        <w:rPr>
          <w:rFonts w:ascii="Times New Roman" w:hAnsi="Times New Roman" w:cs="Times New Roman"/>
          <w:b/>
          <w:bCs/>
          <w:lang w:val="en-US"/>
        </w:rPr>
        <w:t>(B-D, F)</w:t>
      </w:r>
      <w:r w:rsidR="00CD2386" w:rsidRPr="00BC3EB7">
        <w:rPr>
          <w:rFonts w:ascii="Times New Roman" w:hAnsi="Times New Roman" w:cs="Times New Roman"/>
          <w:lang w:val="en-US"/>
        </w:rPr>
        <w:t xml:space="preserve"> Trajectory plots showing the relative abundance (Log2-Fold Change) of proteins in each sCJD subtype compared to CTRL. </w:t>
      </w:r>
      <w:r w:rsidR="000A79A1" w:rsidRPr="00BC3EB7">
        <w:rPr>
          <w:rFonts w:ascii="Times New Roman" w:hAnsi="Times New Roman" w:cs="Times New Roman"/>
          <w:lang w:val="en-US"/>
        </w:rPr>
        <w:t>DEPs selectively dysregulated in VV2 (B), MM(V)1 (C), and MV2K (D) are shown.</w:t>
      </w:r>
      <w:r w:rsidR="003F41FA" w:rsidRPr="00BC3EB7">
        <w:rPr>
          <w:rFonts w:ascii="Times New Roman" w:hAnsi="Times New Roman" w:cs="Times New Roman"/>
          <w:lang w:val="en-US"/>
        </w:rPr>
        <w:t xml:space="preserve"> Overlapping 20 biomarkers distinguishing all sCJD subtypes.</w:t>
      </w:r>
      <w:r w:rsidR="000A79A1" w:rsidRPr="00BC3EB7">
        <w:rPr>
          <w:rFonts w:ascii="Times New Roman" w:hAnsi="Times New Roman" w:cs="Times New Roman"/>
          <w:lang w:val="en-US"/>
        </w:rPr>
        <w:t xml:space="preserve"> </w:t>
      </w:r>
      <w:r w:rsidR="00CD2386" w:rsidRPr="00BC3EB7">
        <w:rPr>
          <w:rFonts w:ascii="Times New Roman" w:hAnsi="Times New Roman" w:cs="Times New Roman"/>
          <w:lang w:val="en-US"/>
        </w:rPr>
        <w:t xml:space="preserve"> </w:t>
      </w:r>
      <w:r w:rsidR="00D024AA" w:rsidRPr="00BC3EB7">
        <w:rPr>
          <w:rFonts w:ascii="Times New Roman" w:hAnsi="Times New Roman" w:cs="Times New Roman"/>
          <w:lang w:val="en-US"/>
        </w:rPr>
        <w:t xml:space="preserve">Abbreviations: </w:t>
      </w:r>
      <w:r w:rsidR="003469BD" w:rsidRPr="00BC3EB7">
        <w:rPr>
          <w:rFonts w:ascii="Times New Roman" w:hAnsi="Times New Roman" w:cs="Times New Roman"/>
          <w:lang w:val="en-US"/>
        </w:rPr>
        <w:t xml:space="preserve">CTRL, controls; sCJD, sporadic Creutzfeldt-Jakob disease </w:t>
      </w:r>
    </w:p>
    <w:p w14:paraId="26B416E1" w14:textId="77777777" w:rsidR="00D024AA" w:rsidRPr="00BC3EB7" w:rsidRDefault="00D024AA" w:rsidP="00EC4E09">
      <w:pPr>
        <w:spacing w:line="240" w:lineRule="auto"/>
        <w:jc w:val="both"/>
        <w:rPr>
          <w:rFonts w:ascii="Times New Roman" w:hAnsi="Times New Roman" w:cs="Times New Roman"/>
        </w:rPr>
      </w:pPr>
    </w:p>
    <w:p w14:paraId="351A87BC" w14:textId="6FA25980" w:rsidR="00900F37" w:rsidRPr="00BC3EB7" w:rsidRDefault="00AA6A6E" w:rsidP="00EC4E09">
      <w:pPr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14:ligatures w14:val="standardContextual"/>
        </w:rPr>
        <w:lastRenderedPageBreak/>
        <w:drawing>
          <wp:inline distT="0" distB="0" distL="0" distR="0" wp14:anchorId="42506415" wp14:editId="676516EA">
            <wp:extent cx="6120130" cy="2721610"/>
            <wp:effectExtent l="0" t="0" r="0" b="2540"/>
            <wp:docPr id="572940085" name="Picture 2" descr="A diagram of different colored shap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940085" name="Picture 2" descr="A diagram of different colored shapes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72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1E1C0" w14:textId="7F50CFA4" w:rsidR="00EC4E09" w:rsidRPr="00BC3EB7" w:rsidRDefault="005E3656" w:rsidP="0031656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5E3656">
        <w:rPr>
          <w:rFonts w:ascii="Times New Roman" w:hAnsi="Times New Roman" w:cs="Times New Roman"/>
          <w:b/>
          <w:bCs/>
        </w:rPr>
        <w:t xml:space="preserve">Supplementary Fig. </w:t>
      </w:r>
      <w:r w:rsidR="00A96EF2" w:rsidRPr="005E3656">
        <w:rPr>
          <w:rFonts w:ascii="Times New Roman" w:hAnsi="Times New Roman" w:cs="Times New Roman"/>
          <w:b/>
          <w:bCs/>
        </w:rPr>
        <w:t>2</w:t>
      </w:r>
      <w:r w:rsidR="00EC4E09" w:rsidRPr="005E3656">
        <w:rPr>
          <w:rFonts w:ascii="Times New Roman" w:hAnsi="Times New Roman" w:cs="Times New Roman"/>
          <w:b/>
          <w:bCs/>
        </w:rPr>
        <w:t>.</w:t>
      </w:r>
      <w:r w:rsidR="00EC4E09" w:rsidRPr="00BC3EB7">
        <w:rPr>
          <w:rFonts w:ascii="Times New Roman" w:hAnsi="Times New Roman" w:cs="Times New Roman"/>
        </w:rPr>
        <w:t xml:space="preserve"> </w:t>
      </w:r>
      <w:r w:rsidR="00EC4E09" w:rsidRPr="00BC3EB7">
        <w:rPr>
          <w:rFonts w:ascii="Times New Roman" w:hAnsi="Times New Roman" w:cs="Times New Roman"/>
          <w:b/>
          <w:bCs/>
        </w:rPr>
        <w:t xml:space="preserve">Biomarkers </w:t>
      </w:r>
      <w:r w:rsidR="003F41FA" w:rsidRPr="00BC3EB7">
        <w:rPr>
          <w:rFonts w:ascii="Times New Roman" w:hAnsi="Times New Roman" w:cs="Times New Roman"/>
          <w:b/>
          <w:bCs/>
        </w:rPr>
        <w:t>distinguishing V2-strain-related subtypes and MM(V)1</w:t>
      </w:r>
      <w:r w:rsidR="00EC4E09" w:rsidRPr="00BC3EB7">
        <w:rPr>
          <w:rFonts w:ascii="Times New Roman" w:hAnsi="Times New Roman" w:cs="Times New Roman"/>
          <w:b/>
          <w:bCs/>
        </w:rPr>
        <w:t>.</w:t>
      </w:r>
      <w:r w:rsidR="00EC4E09" w:rsidRPr="00BC3EB7">
        <w:rPr>
          <w:rFonts w:ascii="Times New Roman" w:hAnsi="Times New Roman" w:cs="Times New Roman"/>
        </w:rPr>
        <w:t xml:space="preserve"> </w:t>
      </w:r>
      <w:r w:rsidR="0031656E" w:rsidRPr="0031656E">
        <w:rPr>
          <w:rFonts w:ascii="Times New Roman" w:hAnsi="Times New Roman" w:cs="Times New Roman"/>
          <w:lang w:val="en-US"/>
        </w:rPr>
        <w:t>Box plots with violin plots show the distribution of relative protein abundance for the</w:t>
      </w:r>
      <w:r w:rsidR="00BA5BD5" w:rsidRPr="00BC3EB7">
        <w:rPr>
          <w:rFonts w:ascii="Times New Roman" w:hAnsi="Times New Roman" w:cs="Times New Roman"/>
          <w:lang w:val="en-US"/>
        </w:rPr>
        <w:t xml:space="preserve"> top</w:t>
      </w:r>
      <w:r w:rsidR="0031656E" w:rsidRPr="0031656E">
        <w:rPr>
          <w:rFonts w:ascii="Times New Roman" w:hAnsi="Times New Roman" w:cs="Times New Roman"/>
          <w:lang w:val="en-US"/>
        </w:rPr>
        <w:t xml:space="preserve"> biomarkers</w:t>
      </w:r>
      <w:r w:rsidR="00BA5BD5" w:rsidRPr="00BC3EB7">
        <w:rPr>
          <w:rFonts w:ascii="Times New Roman" w:hAnsi="Times New Roman" w:cs="Times New Roman"/>
          <w:lang w:val="en-US"/>
        </w:rPr>
        <w:t xml:space="preserve"> differentiating V2-strain-related subtypes and MM(V)1</w:t>
      </w:r>
      <w:r w:rsidR="0031656E" w:rsidRPr="0031656E">
        <w:rPr>
          <w:rFonts w:ascii="Times New Roman" w:hAnsi="Times New Roman" w:cs="Times New Roman"/>
          <w:lang w:val="en-US"/>
        </w:rPr>
        <w:t>. Statistical significance between groups is indicated by asterisks (* p</w:t>
      </w:r>
      <w:r w:rsidR="0031656E" w:rsidRPr="0031656E">
        <w:rPr>
          <w:rFonts w:ascii="Times New Roman" w:hAnsi="Times New Roman" w:cs="Times New Roman" w:hint="eastAsia"/>
          <w:lang w:val="en-US"/>
        </w:rPr>
        <w:t>≤</w:t>
      </w:r>
      <w:r w:rsidR="0031656E" w:rsidRPr="0031656E">
        <w:rPr>
          <w:rFonts w:ascii="Times New Roman" w:hAnsi="Times New Roman" w:cs="Times New Roman"/>
          <w:lang w:val="en-US"/>
        </w:rPr>
        <w:t>0.05, ** p</w:t>
      </w:r>
      <w:r w:rsidR="0031656E" w:rsidRPr="0031656E">
        <w:rPr>
          <w:rFonts w:ascii="Times New Roman" w:hAnsi="Times New Roman" w:cs="Times New Roman" w:hint="eastAsia"/>
          <w:lang w:val="en-US"/>
        </w:rPr>
        <w:t>≤</w:t>
      </w:r>
      <w:r w:rsidR="0031656E" w:rsidRPr="0031656E">
        <w:rPr>
          <w:rFonts w:ascii="Times New Roman" w:hAnsi="Times New Roman" w:cs="Times New Roman"/>
          <w:lang w:val="en-US"/>
        </w:rPr>
        <w:t>0.01,</w:t>
      </w:r>
      <w:r w:rsidR="00BA5BD5" w:rsidRPr="00BC3EB7">
        <w:rPr>
          <w:rFonts w:ascii="Times New Roman" w:hAnsi="Times New Roman" w:cs="Times New Roman"/>
          <w:lang w:val="en-US"/>
        </w:rPr>
        <w:t xml:space="preserve"> </w:t>
      </w:r>
      <w:r w:rsidR="0031656E" w:rsidRPr="00BC3EB7">
        <w:rPr>
          <w:rFonts w:ascii="Times New Roman" w:hAnsi="Times New Roman" w:cs="Times New Roman"/>
          <w:lang w:val="en-US"/>
        </w:rPr>
        <w:t>*** p</w:t>
      </w:r>
      <w:r w:rsidR="0031656E" w:rsidRPr="00BC3EB7">
        <w:rPr>
          <w:rFonts w:ascii="Times New Roman" w:hAnsi="Times New Roman" w:cs="Times New Roman" w:hint="eastAsia"/>
          <w:lang w:val="en-US"/>
        </w:rPr>
        <w:t>≤</w:t>
      </w:r>
      <w:r w:rsidR="0031656E" w:rsidRPr="00BC3EB7">
        <w:rPr>
          <w:rFonts w:ascii="Times New Roman" w:hAnsi="Times New Roman" w:cs="Times New Roman"/>
          <w:lang w:val="en-US"/>
        </w:rPr>
        <w:t>0.001, ns: not significant) based on Mann-Whitney U tests.</w:t>
      </w:r>
      <w:r w:rsidR="00BA5BD5" w:rsidRPr="00BC3EB7">
        <w:rPr>
          <w:rFonts w:ascii="Times New Roman" w:hAnsi="Times New Roman" w:cs="Times New Roman"/>
        </w:rPr>
        <w:t xml:space="preserve"> </w:t>
      </w:r>
      <w:r w:rsidR="00CA3938" w:rsidRPr="00BC3EB7">
        <w:rPr>
          <w:rFonts w:ascii="Times New Roman" w:hAnsi="Times New Roman" w:cs="Times New Roman"/>
        </w:rPr>
        <w:t>Abbreviations:</w:t>
      </w:r>
      <w:r w:rsidR="00BA5BD5" w:rsidRPr="00BC3EB7">
        <w:rPr>
          <w:rFonts w:ascii="Times New Roman" w:hAnsi="Times New Roman" w:cs="Times New Roman"/>
        </w:rPr>
        <w:t xml:space="preserve"> CTRL, controls.  </w:t>
      </w:r>
    </w:p>
    <w:p w14:paraId="7438F4C7" w14:textId="77777777" w:rsidR="00BA5BD5" w:rsidRPr="00BC3EB7" w:rsidRDefault="00BA5BD5" w:rsidP="0031656E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EBF13C1" w14:textId="77777777" w:rsidR="00BA5BD5" w:rsidRDefault="00BA5BD5" w:rsidP="001566A2">
      <w:pPr>
        <w:spacing w:after="0" w:line="240" w:lineRule="auto"/>
        <w:jc w:val="both"/>
        <w:rPr>
          <w:rFonts w:ascii="Times New Roman" w:hAnsi="Times New Roman" w:cs="Times New Roman"/>
          <w:noProof/>
          <w14:ligatures w14:val="standardContextual"/>
        </w:rPr>
      </w:pPr>
    </w:p>
    <w:p w14:paraId="5C790442" w14:textId="77777777" w:rsidR="00701EAF" w:rsidRDefault="00701EAF" w:rsidP="001566A2">
      <w:pPr>
        <w:spacing w:after="0" w:line="240" w:lineRule="auto"/>
        <w:jc w:val="both"/>
        <w:rPr>
          <w:rFonts w:ascii="Times New Roman" w:hAnsi="Times New Roman" w:cs="Times New Roman"/>
          <w:noProof/>
          <w14:ligatures w14:val="standardContextual"/>
        </w:rPr>
      </w:pPr>
    </w:p>
    <w:p w14:paraId="439CD7C4" w14:textId="77777777" w:rsidR="00701EAF" w:rsidRDefault="00701EAF" w:rsidP="001566A2">
      <w:pPr>
        <w:spacing w:after="0" w:line="240" w:lineRule="auto"/>
        <w:jc w:val="both"/>
        <w:rPr>
          <w:rFonts w:ascii="Times New Roman" w:hAnsi="Times New Roman" w:cs="Times New Roman"/>
          <w:noProof/>
          <w14:ligatures w14:val="standardContextual"/>
        </w:rPr>
      </w:pPr>
    </w:p>
    <w:p w14:paraId="184CC4D2" w14:textId="77777777" w:rsidR="00A00E96" w:rsidRPr="00BC3EB7" w:rsidRDefault="00A00E96" w:rsidP="001566A2">
      <w:pPr>
        <w:spacing w:after="0" w:line="240" w:lineRule="auto"/>
        <w:jc w:val="both"/>
        <w:rPr>
          <w:rFonts w:ascii="Times New Roman" w:hAnsi="Times New Roman" w:cs="Times New Roman"/>
          <w:noProof/>
          <w14:ligatures w14:val="standardContextual"/>
        </w:rPr>
      </w:pPr>
    </w:p>
    <w:p w14:paraId="7E0E190B" w14:textId="224B0333" w:rsidR="00FF2E8F" w:rsidRPr="00BC3EB7" w:rsidRDefault="00C75F6F" w:rsidP="001566A2">
      <w:pPr>
        <w:spacing w:after="0" w:line="240" w:lineRule="auto"/>
        <w:jc w:val="both"/>
        <w:rPr>
          <w:rFonts w:ascii="Times New Roman" w:hAnsi="Times New Roman" w:cs="Times New Roman"/>
        </w:rPr>
      </w:pPr>
      <w:r w:rsidRPr="00BC3EB7">
        <w:rPr>
          <w:rFonts w:ascii="Times New Roman" w:hAnsi="Times New Roman" w:cs="Times New Roman"/>
          <w:noProof/>
          <w14:ligatures w14:val="standardContextual"/>
        </w:rPr>
        <w:drawing>
          <wp:inline distT="0" distB="0" distL="0" distR="0" wp14:anchorId="32C67C31" wp14:editId="6F9DA39E">
            <wp:extent cx="6120130" cy="2423795"/>
            <wp:effectExtent l="0" t="0" r="0" b="0"/>
            <wp:docPr id="26007772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077721" name="Picture 26007772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944E8" w14:textId="67BD555A" w:rsidR="00BA5BD5" w:rsidRPr="00BC3EB7" w:rsidRDefault="005E3656" w:rsidP="00BA5BD5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 w:rsidRPr="005E3656">
        <w:rPr>
          <w:rFonts w:ascii="Times New Roman" w:hAnsi="Times New Roman" w:cs="Times New Roman"/>
          <w:b/>
          <w:bCs/>
        </w:rPr>
        <w:t xml:space="preserve">Supplementary Fig. </w:t>
      </w:r>
      <w:r w:rsidR="00BA5BD5" w:rsidRPr="005E3656">
        <w:rPr>
          <w:rFonts w:ascii="Times New Roman" w:hAnsi="Times New Roman" w:cs="Times New Roman"/>
          <w:b/>
          <w:bCs/>
        </w:rPr>
        <w:t>3.</w:t>
      </w:r>
      <w:r w:rsidR="007963FB" w:rsidRPr="00BC3EB7">
        <w:rPr>
          <w:rFonts w:ascii="Times New Roman" w:hAnsi="Times New Roman" w:cs="Times New Roman"/>
          <w:b/>
          <w:bCs/>
        </w:rPr>
        <w:t xml:space="preserve"> </w:t>
      </w:r>
      <w:r w:rsidR="00BA5BD5" w:rsidRPr="00BC3EB7">
        <w:rPr>
          <w:rFonts w:ascii="Times New Roman" w:hAnsi="Times New Roman" w:cs="Times New Roman"/>
          <w:b/>
          <w:bCs/>
          <w:lang w:val="en-US"/>
        </w:rPr>
        <w:t xml:space="preserve">UMAP projection of </w:t>
      </w:r>
      <w:r w:rsidR="007963FB" w:rsidRPr="00BC3EB7">
        <w:rPr>
          <w:rFonts w:ascii="Times New Roman" w:hAnsi="Times New Roman" w:cs="Times New Roman"/>
          <w:b/>
          <w:bCs/>
          <w:lang w:val="en-US"/>
        </w:rPr>
        <w:t>top 20 biomarker candidates’</w:t>
      </w:r>
      <w:r w:rsidR="00BA5BD5" w:rsidRPr="00BC3EB7">
        <w:rPr>
          <w:rFonts w:ascii="Times New Roman" w:hAnsi="Times New Roman" w:cs="Times New Roman"/>
          <w:b/>
          <w:bCs/>
          <w:lang w:val="en-US"/>
        </w:rPr>
        <w:t xml:space="preserve"> expression profiles</w:t>
      </w:r>
      <w:r w:rsidR="007963FB" w:rsidRPr="00BC3EB7">
        <w:rPr>
          <w:rFonts w:ascii="Times New Roman" w:hAnsi="Times New Roman" w:cs="Times New Roman"/>
          <w:b/>
          <w:bCs/>
          <w:lang w:val="en-US"/>
        </w:rPr>
        <w:t xml:space="preserve">. </w:t>
      </w:r>
      <w:r w:rsidR="007963FB" w:rsidRPr="00BC3EB7">
        <w:rPr>
          <w:rFonts w:ascii="Times New Roman" w:hAnsi="Times New Roman" w:cs="Times New Roman"/>
          <w:lang w:val="en-US"/>
        </w:rPr>
        <w:t xml:space="preserve"> </w:t>
      </w:r>
      <w:r w:rsidR="00E32B1D" w:rsidRPr="00BC3EB7">
        <w:rPr>
          <w:rFonts w:ascii="Times New Roman" w:hAnsi="Times New Roman" w:cs="Times New Roman"/>
          <w:lang w:val="en-US"/>
        </w:rPr>
        <w:t>S</w:t>
      </w:r>
      <w:r w:rsidR="007963FB" w:rsidRPr="00BC3EB7">
        <w:rPr>
          <w:rFonts w:ascii="Times New Roman" w:hAnsi="Times New Roman" w:cs="Times New Roman"/>
          <w:lang w:val="en-US"/>
        </w:rPr>
        <w:t xml:space="preserve">amples </w:t>
      </w:r>
      <w:r w:rsidR="00E32B1D" w:rsidRPr="00BC3EB7">
        <w:rPr>
          <w:rFonts w:ascii="Times New Roman" w:hAnsi="Times New Roman" w:cs="Times New Roman"/>
          <w:lang w:val="en-US"/>
        </w:rPr>
        <w:t xml:space="preserve">are </w:t>
      </w:r>
      <w:r w:rsidR="007963FB" w:rsidRPr="00BC3EB7">
        <w:rPr>
          <w:rFonts w:ascii="Times New Roman" w:hAnsi="Times New Roman" w:cs="Times New Roman"/>
          <w:lang w:val="en-US"/>
        </w:rPr>
        <w:t xml:space="preserve">colored based on the sCJD </w:t>
      </w:r>
      <w:r w:rsidR="00E32B1D" w:rsidRPr="00BC3EB7">
        <w:rPr>
          <w:rFonts w:ascii="Times New Roman" w:hAnsi="Times New Roman" w:cs="Times New Roman"/>
          <w:lang w:val="en-US"/>
        </w:rPr>
        <w:t xml:space="preserve">subtype </w:t>
      </w:r>
      <w:r w:rsidR="00E32B1D" w:rsidRPr="00BC3EB7">
        <w:rPr>
          <w:rFonts w:ascii="Times New Roman" w:hAnsi="Times New Roman" w:cs="Times New Roman"/>
          <w:b/>
          <w:bCs/>
          <w:lang w:val="en-US"/>
        </w:rPr>
        <w:t>(</w:t>
      </w:r>
      <w:r w:rsidR="009A0F01" w:rsidRPr="00BC3EB7">
        <w:rPr>
          <w:rFonts w:ascii="Times New Roman" w:hAnsi="Times New Roman" w:cs="Times New Roman"/>
          <w:b/>
          <w:bCs/>
          <w:lang w:val="en-US"/>
        </w:rPr>
        <w:t>A</w:t>
      </w:r>
      <w:r w:rsidR="00E32B1D" w:rsidRPr="00BC3EB7">
        <w:rPr>
          <w:rFonts w:ascii="Times New Roman" w:hAnsi="Times New Roman" w:cs="Times New Roman"/>
          <w:b/>
          <w:bCs/>
          <w:lang w:val="en-US"/>
        </w:rPr>
        <w:t>)</w:t>
      </w:r>
      <w:r w:rsidR="00E32B1D" w:rsidRPr="00BC3EB7">
        <w:rPr>
          <w:rFonts w:ascii="Times New Roman" w:hAnsi="Times New Roman" w:cs="Times New Roman"/>
          <w:lang w:val="en-US"/>
        </w:rPr>
        <w:t xml:space="preserve"> or the survival risk group </w:t>
      </w:r>
      <w:r w:rsidR="00E32B1D" w:rsidRPr="00BC3EB7">
        <w:rPr>
          <w:rFonts w:ascii="Times New Roman" w:hAnsi="Times New Roman" w:cs="Times New Roman"/>
          <w:b/>
          <w:bCs/>
          <w:lang w:val="en-US"/>
        </w:rPr>
        <w:t>(</w:t>
      </w:r>
      <w:r w:rsidR="009A0F01" w:rsidRPr="00BC3EB7">
        <w:rPr>
          <w:rFonts w:ascii="Times New Roman" w:hAnsi="Times New Roman" w:cs="Times New Roman"/>
          <w:b/>
          <w:bCs/>
          <w:lang w:val="en-US"/>
        </w:rPr>
        <w:t>B</w:t>
      </w:r>
      <w:r w:rsidR="00E32B1D" w:rsidRPr="00BC3EB7">
        <w:rPr>
          <w:rFonts w:ascii="Times New Roman" w:hAnsi="Times New Roman" w:cs="Times New Roman"/>
          <w:b/>
          <w:bCs/>
          <w:lang w:val="en-US"/>
        </w:rPr>
        <w:t>)</w:t>
      </w:r>
      <w:r w:rsidR="00BA5BD5" w:rsidRPr="00BC3EB7">
        <w:rPr>
          <w:rFonts w:ascii="Times New Roman" w:hAnsi="Times New Roman" w:cs="Times New Roman"/>
          <w:lang w:val="en-US"/>
        </w:rPr>
        <w:t xml:space="preserve">. The </w:t>
      </w:r>
      <w:r w:rsidR="00E32B1D" w:rsidRPr="00BC3EB7">
        <w:rPr>
          <w:rFonts w:ascii="Times New Roman" w:hAnsi="Times New Roman" w:cs="Times New Roman"/>
          <w:lang w:val="en-US"/>
        </w:rPr>
        <w:t xml:space="preserve">sample </w:t>
      </w:r>
      <w:r w:rsidR="00BA5BD5" w:rsidRPr="00BC3EB7">
        <w:rPr>
          <w:rFonts w:ascii="Times New Roman" w:hAnsi="Times New Roman" w:cs="Times New Roman"/>
          <w:lang w:val="en-US"/>
        </w:rPr>
        <w:t xml:space="preserve">distribution </w:t>
      </w:r>
      <w:r w:rsidR="00E32B1D" w:rsidRPr="00BC3EB7">
        <w:rPr>
          <w:rFonts w:ascii="Times New Roman" w:hAnsi="Times New Roman" w:cs="Times New Roman"/>
          <w:lang w:val="en-US"/>
        </w:rPr>
        <w:t xml:space="preserve">across the two plots suggests that top 20 biomarker candidates are effectively able to differentiate different subtypes, </w:t>
      </w:r>
      <w:r w:rsidR="00F57C71" w:rsidRPr="00BC3EB7">
        <w:rPr>
          <w:rFonts w:ascii="Times New Roman" w:hAnsi="Times New Roman" w:cs="Times New Roman"/>
          <w:lang w:val="en-US"/>
        </w:rPr>
        <w:t xml:space="preserve">and that they partly convey some prognostic information. </w:t>
      </w:r>
      <w:r w:rsidR="00BA5BD5" w:rsidRPr="00BC3EB7">
        <w:rPr>
          <w:rFonts w:ascii="Times New Roman" w:hAnsi="Times New Roman" w:cs="Times New Roman"/>
        </w:rPr>
        <w:t xml:space="preserve">Abbreviations: </w:t>
      </w:r>
      <w:r w:rsidR="002F3FC1">
        <w:rPr>
          <w:rFonts w:ascii="Times New Roman" w:hAnsi="Times New Roman" w:cs="Times New Roman"/>
        </w:rPr>
        <w:t>s</w:t>
      </w:r>
      <w:r w:rsidR="00BA5BD5" w:rsidRPr="00BC3EB7">
        <w:rPr>
          <w:rFonts w:ascii="Times New Roman" w:hAnsi="Times New Roman" w:cs="Times New Roman"/>
        </w:rPr>
        <w:t xml:space="preserve">CJD, </w:t>
      </w:r>
      <w:r w:rsidR="002F3FC1">
        <w:rPr>
          <w:rFonts w:ascii="Times New Roman" w:hAnsi="Times New Roman" w:cs="Times New Roman"/>
        </w:rPr>
        <w:t xml:space="preserve">sporadic </w:t>
      </w:r>
      <w:r w:rsidR="00BA5BD5" w:rsidRPr="00BC3EB7">
        <w:rPr>
          <w:rFonts w:ascii="Times New Roman" w:hAnsi="Times New Roman" w:cs="Times New Roman"/>
        </w:rPr>
        <w:t xml:space="preserve">Creutzfeldt-Jakob disease, </w:t>
      </w:r>
      <w:r w:rsidR="00BA5BD5" w:rsidRPr="00BC3EB7">
        <w:rPr>
          <w:rFonts w:ascii="Times New Roman" w:hAnsi="Times New Roman" w:cs="Times New Roman"/>
          <w:lang w:val="en-US"/>
        </w:rPr>
        <w:t>UMAP, Uniform Manifold Approximation and Projection.</w:t>
      </w:r>
    </w:p>
    <w:p w14:paraId="704A56FE" w14:textId="76F5374B" w:rsidR="00BA5BD5" w:rsidRDefault="00BA5BD5" w:rsidP="00BA5BD5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</w:p>
    <w:p w14:paraId="79704D34" w14:textId="1B408367" w:rsidR="00BC289B" w:rsidRDefault="00680F9C" w:rsidP="00BA5BD5">
      <w:pPr>
        <w:spacing w:after="0" w:line="240" w:lineRule="auto"/>
        <w:jc w:val="both"/>
        <w:rPr>
          <w:rFonts w:ascii="Times New Roman" w:hAnsi="Times New Roman" w:cs="Times New Roman"/>
          <w:lang w:val="en-US"/>
        </w:rPr>
      </w:pPr>
      <w:r>
        <w:rPr>
          <w:rFonts w:ascii="Times New Roman" w:hAnsi="Times New Roman" w:cs="Times New Roman"/>
          <w:b/>
          <w:bCs/>
          <w:noProof/>
          <w14:ligatures w14:val="standardContextual"/>
        </w:rPr>
        <w:lastRenderedPageBreak/>
        <w:drawing>
          <wp:inline distT="0" distB="0" distL="0" distR="0" wp14:anchorId="14FDBB05" wp14:editId="1054C7AF">
            <wp:extent cx="6120130" cy="1464945"/>
            <wp:effectExtent l="0" t="0" r="0" b="1905"/>
            <wp:docPr id="315204751" name="Picture 1" descr="A blue and orange bar graph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7366028" name="Picture 1" descr="A blue and orange bar graph&#10;&#10;AI-generated content may be incorrect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46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4D875D" w14:textId="5C1B5C33" w:rsidR="00F663A6" w:rsidRDefault="00BC289B" w:rsidP="001566A2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t>S</w:t>
      </w:r>
      <w:r w:rsidRPr="005E3656">
        <w:rPr>
          <w:rFonts w:ascii="Times New Roman" w:hAnsi="Times New Roman" w:cs="Times New Roman"/>
          <w:b/>
          <w:bCs/>
        </w:rPr>
        <w:t xml:space="preserve">upplementary Fig. </w:t>
      </w:r>
      <w:r w:rsidR="00680F9C">
        <w:rPr>
          <w:rFonts w:ascii="Times New Roman" w:hAnsi="Times New Roman" w:cs="Times New Roman"/>
          <w:b/>
          <w:bCs/>
        </w:rPr>
        <w:t>4</w:t>
      </w:r>
      <w:r w:rsidRPr="005E3656">
        <w:rPr>
          <w:rFonts w:ascii="Times New Roman" w:hAnsi="Times New Roman" w:cs="Times New Roman"/>
          <w:b/>
          <w:bCs/>
        </w:rPr>
        <w:t>.</w:t>
      </w:r>
      <w:r w:rsidRPr="005E3656">
        <w:rPr>
          <w:rFonts w:ascii="Times New Roman" w:hAnsi="Times New Roman" w:cs="Times New Roman"/>
        </w:rPr>
        <w:t xml:space="preserve"> </w:t>
      </w:r>
      <w:bookmarkStart w:id="1" w:name="_Hlk207614352"/>
      <w:r w:rsidR="00680F9C">
        <w:rPr>
          <w:rFonts w:ascii="Times New Roman" w:hAnsi="Times New Roman" w:cs="Times New Roman"/>
          <w:b/>
          <w:bCs/>
        </w:rPr>
        <w:t>O</w:t>
      </w:r>
      <w:r w:rsidR="00680F9C" w:rsidRPr="00680F9C">
        <w:rPr>
          <w:rFonts w:ascii="Times New Roman" w:hAnsi="Times New Roman" w:cs="Times New Roman"/>
          <w:b/>
          <w:bCs/>
        </w:rPr>
        <w:t>rthogonal partial least squares–discriminant analysis (OPLS-DA) results</w:t>
      </w:r>
      <w:bookmarkEnd w:id="1"/>
      <w:r w:rsidR="00680F9C" w:rsidRPr="00680F9C">
        <w:rPr>
          <w:rFonts w:ascii="Times New Roman" w:hAnsi="Times New Roman" w:cs="Times New Roman"/>
          <w:b/>
          <w:bCs/>
        </w:rPr>
        <w:t xml:space="preserve">. </w:t>
      </w:r>
      <w:r w:rsidR="00680F9C" w:rsidRPr="00680F9C">
        <w:rPr>
          <w:rFonts w:ascii="Times New Roman" w:hAnsi="Times New Roman" w:cs="Times New Roman"/>
        </w:rPr>
        <w:t>Bar plots show the top 10 proteins ranked by Variable Importance in Projection (VIP) scores for each pairwise comparison: MM(V)1 vs. VV2 (</w:t>
      </w:r>
      <w:r w:rsidR="00680F9C" w:rsidRPr="00680F9C">
        <w:rPr>
          <w:rFonts w:ascii="Times New Roman" w:hAnsi="Times New Roman" w:cs="Times New Roman"/>
          <w:b/>
          <w:bCs/>
        </w:rPr>
        <w:t>A</w:t>
      </w:r>
      <w:r w:rsidR="00680F9C" w:rsidRPr="00680F9C">
        <w:rPr>
          <w:rFonts w:ascii="Times New Roman" w:hAnsi="Times New Roman" w:cs="Times New Roman"/>
        </w:rPr>
        <w:t>), MM(V)1 vs. MV2K (</w:t>
      </w:r>
      <w:r w:rsidR="00680F9C" w:rsidRPr="00680F9C">
        <w:rPr>
          <w:rFonts w:ascii="Times New Roman" w:hAnsi="Times New Roman" w:cs="Times New Roman"/>
          <w:b/>
          <w:bCs/>
        </w:rPr>
        <w:t>B</w:t>
      </w:r>
      <w:r w:rsidR="00680F9C" w:rsidRPr="00680F9C">
        <w:rPr>
          <w:rFonts w:ascii="Times New Roman" w:hAnsi="Times New Roman" w:cs="Times New Roman"/>
        </w:rPr>
        <w:t>), and VV2 vs. MV2K (</w:t>
      </w:r>
      <w:r w:rsidR="00680F9C" w:rsidRPr="00680F9C">
        <w:rPr>
          <w:rFonts w:ascii="Times New Roman" w:hAnsi="Times New Roman" w:cs="Times New Roman"/>
          <w:b/>
          <w:bCs/>
        </w:rPr>
        <w:t>C</w:t>
      </w:r>
      <w:r w:rsidR="00680F9C" w:rsidRPr="00680F9C">
        <w:rPr>
          <w:rFonts w:ascii="Times New Roman" w:hAnsi="Times New Roman" w:cs="Times New Roman"/>
        </w:rPr>
        <w:t>). Orange bars mark proteins also ranked among the top 20 contributors</w:t>
      </w:r>
      <w:r w:rsidR="00680F9C">
        <w:rPr>
          <w:rFonts w:ascii="Times New Roman" w:hAnsi="Times New Roman" w:cs="Times New Roman"/>
        </w:rPr>
        <w:t xml:space="preserve"> to subtype classification</w:t>
      </w:r>
      <w:r w:rsidR="00680F9C" w:rsidRPr="00680F9C">
        <w:rPr>
          <w:rFonts w:ascii="Times New Roman" w:hAnsi="Times New Roman" w:cs="Times New Roman"/>
        </w:rPr>
        <w:t xml:space="preserve"> in the random forest multiclass analysis. Five proteins (ALDH1A1, ENO2, SRP14, HMOX2, </w:t>
      </w:r>
      <w:r w:rsidR="00680F9C">
        <w:rPr>
          <w:rFonts w:ascii="Times New Roman" w:hAnsi="Times New Roman" w:cs="Times New Roman"/>
        </w:rPr>
        <w:t xml:space="preserve">and </w:t>
      </w:r>
      <w:r w:rsidR="00680F9C" w:rsidRPr="00680F9C">
        <w:rPr>
          <w:rFonts w:ascii="Times New Roman" w:hAnsi="Times New Roman" w:cs="Times New Roman"/>
        </w:rPr>
        <w:t>CRKL) were identified by OPLS-DA but not by the random forest model.</w:t>
      </w:r>
    </w:p>
    <w:p w14:paraId="1B50F098" w14:textId="77777777" w:rsidR="00680F9C" w:rsidRPr="00680F9C" w:rsidRDefault="00680F9C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E97FC74" w14:textId="77777777" w:rsidR="00F663A6" w:rsidRDefault="00F663A6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2A23C0FC" w14:textId="77777777" w:rsidR="00F663A6" w:rsidRDefault="00F663A6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D3ADAAA" w14:textId="48D409C6" w:rsidR="00F663A6" w:rsidRPr="00BC3EB7" w:rsidRDefault="0074374D" w:rsidP="00F663A6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14:ligatures w14:val="standardContextual"/>
        </w:rPr>
        <w:drawing>
          <wp:inline distT="0" distB="0" distL="0" distR="0" wp14:anchorId="0987D39D" wp14:editId="60DF9BAB">
            <wp:extent cx="6120130" cy="5020945"/>
            <wp:effectExtent l="0" t="0" r="0" b="8255"/>
            <wp:docPr id="1891051465" name="Picture 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51465" name="Picture 3" descr="A screenshot of a computer&#10;&#10;AI-generated content may be incorrect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02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3ADD6" w14:textId="7D2009D0" w:rsidR="00F663A6" w:rsidRPr="00BC3EB7" w:rsidRDefault="005E3656" w:rsidP="00F663A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5E3656">
        <w:rPr>
          <w:rFonts w:ascii="Times New Roman" w:hAnsi="Times New Roman" w:cs="Times New Roman"/>
          <w:b/>
          <w:bCs/>
        </w:rPr>
        <w:t xml:space="preserve">Supplementary Fig. </w:t>
      </w:r>
      <w:r w:rsidR="00BC289B">
        <w:rPr>
          <w:rFonts w:ascii="Times New Roman" w:hAnsi="Times New Roman" w:cs="Times New Roman"/>
          <w:b/>
          <w:bCs/>
        </w:rPr>
        <w:t>5</w:t>
      </w:r>
      <w:r w:rsidR="00F663A6" w:rsidRPr="00BC3EB7">
        <w:rPr>
          <w:rFonts w:ascii="Times New Roman" w:hAnsi="Times New Roman" w:cs="Times New Roman"/>
          <w:b/>
          <w:bCs/>
        </w:rPr>
        <w:t>.</w:t>
      </w:r>
      <w:r w:rsidR="00F663A6" w:rsidRPr="00BC3EB7">
        <w:rPr>
          <w:rFonts w:ascii="Times New Roman" w:hAnsi="Times New Roman" w:cs="Times New Roman"/>
        </w:rPr>
        <w:t xml:space="preserve"> </w:t>
      </w:r>
      <w:bookmarkStart w:id="2" w:name="_Hlk196383972"/>
      <w:r w:rsidR="00F663A6" w:rsidRPr="00BC3EB7">
        <w:rPr>
          <w:rFonts w:ascii="Times New Roman" w:hAnsi="Times New Roman" w:cs="Times New Roman"/>
          <w:b/>
          <w:bCs/>
        </w:rPr>
        <w:t>A panel of six biomarkers accurately classifies sCJD subtypes.</w:t>
      </w:r>
      <w:r w:rsidR="00F663A6" w:rsidRPr="00BC3EB7">
        <w:rPr>
          <w:rFonts w:ascii="Times New Roman" w:hAnsi="Times New Roman" w:cs="Times New Roman"/>
        </w:rPr>
        <w:t xml:space="preserve"> </w:t>
      </w:r>
      <w:bookmarkEnd w:id="2"/>
      <w:r w:rsidR="00F663A6" w:rsidRPr="00BC3EB7">
        <w:rPr>
          <w:rFonts w:ascii="Times New Roman" w:hAnsi="Times New Roman" w:cs="Times New Roman"/>
          <w:b/>
          <w:bCs/>
        </w:rPr>
        <w:t>(A)</w:t>
      </w:r>
      <w:r w:rsidR="00F663A6" w:rsidRPr="00BC3EB7">
        <w:rPr>
          <w:rFonts w:ascii="Times New Roman" w:hAnsi="Times New Roman" w:cs="Times New Roman"/>
        </w:rPr>
        <w:t xml:space="preserve"> Horizontal bar chart showing Gini feature importance scores for the decision tree model for the top 10 features. </w:t>
      </w:r>
      <w:r w:rsidR="00F663A6" w:rsidRPr="00BC3EB7">
        <w:rPr>
          <w:rFonts w:ascii="Times New Roman" w:hAnsi="Times New Roman" w:cs="Times New Roman"/>
          <w:b/>
          <w:bCs/>
        </w:rPr>
        <w:t>(B)</w:t>
      </w:r>
      <w:r w:rsidR="00F663A6" w:rsidRPr="00BC3EB7">
        <w:rPr>
          <w:rFonts w:ascii="Times New Roman" w:hAnsi="Times New Roman" w:cs="Times New Roman"/>
        </w:rPr>
        <w:t xml:space="preserve"> A confusion matrix heatmap for the decision tree model displaying the averaged classification results across all folds, with results expressed as percentages. </w:t>
      </w:r>
      <w:r w:rsidR="00F663A6" w:rsidRPr="00BC3EB7">
        <w:rPr>
          <w:rFonts w:ascii="Times New Roman" w:hAnsi="Times New Roman" w:cs="Times New Roman"/>
          <w:b/>
          <w:bCs/>
        </w:rPr>
        <w:t>(C)</w:t>
      </w:r>
      <w:r w:rsidR="00F663A6" w:rsidRPr="00BC3EB7">
        <w:rPr>
          <w:rFonts w:ascii="Times New Roman" w:hAnsi="Times New Roman" w:cs="Times New Roman"/>
        </w:rPr>
        <w:t xml:space="preserve"> Decision tree visualization for sCJD subtype classification. Each node represents a decision based on a feature threshold, with branches indicating dataset splits. The Gini index measures impurity, and sample sizes show data distribution at each node. The </w:t>
      </w:r>
      <w:proofErr w:type="spellStart"/>
      <w:r w:rsidR="00F663A6" w:rsidRPr="00BC3EB7">
        <w:rPr>
          <w:rFonts w:ascii="Times New Roman" w:hAnsi="Times New Roman" w:cs="Times New Roman"/>
        </w:rPr>
        <w:t>color</w:t>
      </w:r>
      <w:proofErr w:type="spellEnd"/>
      <w:r w:rsidR="00F663A6" w:rsidRPr="00BC3EB7">
        <w:rPr>
          <w:rFonts w:ascii="Times New Roman" w:hAnsi="Times New Roman" w:cs="Times New Roman"/>
        </w:rPr>
        <w:t xml:space="preserve"> coding highlights the dominant class in each split.</w:t>
      </w:r>
    </w:p>
    <w:p w14:paraId="24CC1E45" w14:textId="56AD1BA5" w:rsidR="00FF2E8F" w:rsidRPr="00BC3EB7" w:rsidRDefault="0074374D" w:rsidP="001566A2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14:ligatures w14:val="standardContextual"/>
        </w:rPr>
        <w:lastRenderedPageBreak/>
        <w:drawing>
          <wp:inline distT="0" distB="0" distL="0" distR="0" wp14:anchorId="4A0A6268" wp14:editId="7168E9D6">
            <wp:extent cx="6120130" cy="3023870"/>
            <wp:effectExtent l="0" t="0" r="0" b="5080"/>
            <wp:docPr id="2071104935" name="Picture 4" descr="A group of graphs on a white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104935" name="Picture 4" descr="A group of graphs on a white background&#10;&#10;AI-generated content may be incorrect.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23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FB7E8" w14:textId="57E58E9D" w:rsidR="00B45C0C" w:rsidRPr="00BC3EB7" w:rsidRDefault="005E3656" w:rsidP="003F41FA">
      <w:pPr>
        <w:spacing w:after="0" w:line="240" w:lineRule="auto"/>
        <w:jc w:val="both"/>
        <w:rPr>
          <w:rFonts w:ascii="Times New Roman" w:hAnsi="Times New Roman" w:cs="Times New Roman"/>
        </w:rPr>
      </w:pPr>
      <w:r w:rsidRPr="005E3656">
        <w:rPr>
          <w:rFonts w:ascii="Times New Roman" w:hAnsi="Times New Roman" w:cs="Times New Roman"/>
          <w:b/>
          <w:bCs/>
        </w:rPr>
        <w:t xml:space="preserve">Supplementary Fig. </w:t>
      </w:r>
      <w:r w:rsidR="00BC289B">
        <w:rPr>
          <w:rFonts w:ascii="Times New Roman" w:hAnsi="Times New Roman" w:cs="Times New Roman"/>
          <w:b/>
          <w:bCs/>
        </w:rPr>
        <w:t>6</w:t>
      </w:r>
      <w:r w:rsidR="003F41FA" w:rsidRPr="005E3656">
        <w:rPr>
          <w:rFonts w:ascii="Times New Roman" w:hAnsi="Times New Roman" w:cs="Times New Roman"/>
          <w:b/>
          <w:bCs/>
        </w:rPr>
        <w:t>.</w:t>
      </w:r>
      <w:r w:rsidR="003F41FA" w:rsidRPr="005E3656">
        <w:rPr>
          <w:rFonts w:ascii="Times New Roman" w:hAnsi="Times New Roman" w:cs="Times New Roman"/>
        </w:rPr>
        <w:t xml:space="preserve"> </w:t>
      </w:r>
      <w:r w:rsidR="003F41FA" w:rsidRPr="005E3656">
        <w:rPr>
          <w:rFonts w:ascii="Times New Roman" w:hAnsi="Times New Roman" w:cs="Times New Roman"/>
          <w:b/>
          <w:bCs/>
        </w:rPr>
        <w:t>Biomarker</w:t>
      </w:r>
      <w:r w:rsidR="003F41FA" w:rsidRPr="00BC3EB7">
        <w:rPr>
          <w:rFonts w:ascii="Times New Roman" w:hAnsi="Times New Roman" w:cs="Times New Roman"/>
          <w:b/>
          <w:bCs/>
        </w:rPr>
        <w:t xml:space="preserve"> prognostic performance.</w:t>
      </w:r>
      <w:r w:rsidR="00AE363B" w:rsidRPr="00BC3EB7">
        <w:rPr>
          <w:rFonts w:ascii="Times New Roman" w:hAnsi="Times New Roman" w:cs="Times New Roman"/>
        </w:rPr>
        <w:t xml:space="preserve"> </w:t>
      </w:r>
      <w:r w:rsidR="00B45C0C" w:rsidRPr="00BC3EB7">
        <w:rPr>
          <w:rFonts w:ascii="Times New Roman" w:hAnsi="Times New Roman" w:cs="Times New Roman"/>
        </w:rPr>
        <w:t xml:space="preserve">Kaplan–Meier survival curves displaying time from sampling to death </w:t>
      </w:r>
      <w:r w:rsidR="00C01562" w:rsidRPr="00BC3EB7">
        <w:rPr>
          <w:rFonts w:ascii="Times New Roman" w:hAnsi="Times New Roman" w:cs="Times New Roman"/>
        </w:rPr>
        <w:t xml:space="preserve">in each sCJD subtype </w:t>
      </w:r>
      <w:r w:rsidR="00B45C0C" w:rsidRPr="00BC3EB7">
        <w:rPr>
          <w:rFonts w:ascii="Times New Roman" w:hAnsi="Times New Roman" w:cs="Times New Roman"/>
        </w:rPr>
        <w:t xml:space="preserve">as a function of biomarker levels. </w:t>
      </w:r>
      <w:r w:rsidR="00B45C0C" w:rsidRPr="00BC3EB7">
        <w:rPr>
          <w:rFonts w:ascii="Times New Roman" w:hAnsi="Times New Roman" w:cs="Times New Roman"/>
          <w:lang w:val="en-US"/>
        </w:rPr>
        <w:t xml:space="preserve">Time is shown in </w:t>
      </w:r>
      <w:r w:rsidR="00B45C0C" w:rsidRPr="006A58E3">
        <w:rPr>
          <w:rFonts w:ascii="Times New Roman" w:hAnsi="Times New Roman" w:cs="Times New Roman"/>
          <w:lang w:val="en-US"/>
        </w:rPr>
        <w:t xml:space="preserve">months from disease onset, and survival probability is shown on the y-axis. </w:t>
      </w:r>
      <w:r w:rsidR="00B45C0C" w:rsidRPr="00BC3EB7">
        <w:rPr>
          <w:rFonts w:ascii="Times New Roman" w:hAnsi="Times New Roman" w:cs="Times New Roman"/>
        </w:rPr>
        <w:t xml:space="preserve">Biomarker concentrations are binned in tertiles. </w:t>
      </w:r>
      <w:r w:rsidR="00C01562" w:rsidRPr="00BC3EB7">
        <w:rPr>
          <w:rFonts w:ascii="Times New Roman" w:hAnsi="Times New Roman" w:cs="Times New Roman"/>
        </w:rPr>
        <w:t xml:space="preserve">Only upper and lower tertiles are shown for clarity. </w:t>
      </w:r>
      <w:r w:rsidR="00B45C0C" w:rsidRPr="006A58E3">
        <w:rPr>
          <w:rFonts w:ascii="Times New Roman" w:hAnsi="Times New Roman" w:cs="Times New Roman"/>
          <w:lang w:val="en-US"/>
        </w:rPr>
        <w:t xml:space="preserve">p-values were calculated using the log-rank test. </w:t>
      </w:r>
      <w:r w:rsidR="00B45C0C" w:rsidRPr="00BC3EB7">
        <w:rPr>
          <w:rFonts w:ascii="Times New Roman" w:hAnsi="Times New Roman" w:cs="Times New Roman"/>
        </w:rPr>
        <w:t xml:space="preserve">All patients were deceased at the time of the analysis. Only </w:t>
      </w:r>
      <w:r w:rsidR="00AD5E8F">
        <w:rPr>
          <w:rFonts w:ascii="Times New Roman" w:hAnsi="Times New Roman" w:cs="Times New Roman"/>
        </w:rPr>
        <w:t xml:space="preserve">the </w:t>
      </w:r>
      <w:r w:rsidR="00B45C0C" w:rsidRPr="00BC3EB7">
        <w:rPr>
          <w:rFonts w:ascii="Times New Roman" w:hAnsi="Times New Roman" w:cs="Times New Roman"/>
        </w:rPr>
        <w:t>top 10 prognostic biomarkers are shown.</w:t>
      </w:r>
    </w:p>
    <w:p w14:paraId="444684E7" w14:textId="77777777" w:rsidR="00AE363B" w:rsidRDefault="00AE363B" w:rsidP="003F41F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8A85E5D" w14:textId="77777777" w:rsidR="00DD07CC" w:rsidRDefault="00DD07CC" w:rsidP="003F41F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1C025FA2" w14:textId="77777777" w:rsidR="00DD07CC" w:rsidRPr="00BC3EB7" w:rsidRDefault="00DD07CC" w:rsidP="003F41FA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6D24AF76" w14:textId="5D56DF73" w:rsidR="00FF2E8F" w:rsidRPr="00BC3EB7" w:rsidRDefault="00FF2E8F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CDEEA52" w14:textId="77777777" w:rsidR="00FA6F74" w:rsidRPr="00BC3EB7" w:rsidRDefault="00FA6F74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766FC51D" w14:textId="77777777" w:rsidR="003464B3" w:rsidRDefault="003464B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5476E509" w14:textId="25A4D0D0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7FCE9FEA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20C38EFE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117F85D4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3455F6B1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68745FFB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C6E3D3C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182AE3AD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33EDFF48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3146945F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2D4E89A0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2F6EBE8C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3D092360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42FA53A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739643E3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1FCF28B4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1FC68962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13FBE80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0FD2B46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6B97828A" w14:textId="77777777" w:rsidR="00847543" w:rsidRDefault="00847543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9949781" w14:textId="77777777" w:rsidR="00847543" w:rsidRPr="00BC3EB7" w:rsidRDefault="00847543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D8A0CC4" w14:textId="77777777" w:rsidR="00F26647" w:rsidRDefault="00F26647" w:rsidP="001566A2">
      <w:pPr>
        <w:spacing w:after="0" w:line="240" w:lineRule="auto"/>
        <w:jc w:val="both"/>
        <w:rPr>
          <w:rFonts w:ascii="Times New Roman" w:hAnsi="Times New Roman" w:cs="Times New Roman"/>
        </w:rPr>
      </w:pPr>
    </w:p>
    <w:p w14:paraId="4B7EAEF0" w14:textId="77777777" w:rsidR="000B2A3D" w:rsidRDefault="000B2A3D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328F6FAC" w14:textId="77777777" w:rsidR="00DD07CC" w:rsidRDefault="00DD07CC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5BA5133A" w14:textId="77777777" w:rsidR="000B2A3D" w:rsidRDefault="000B2A3D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294F1935" w14:textId="77777777" w:rsidR="000B2A3D" w:rsidRDefault="000B2A3D" w:rsidP="001566A2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67801DC0" w14:textId="66DF8DC8" w:rsidR="00C84368" w:rsidRPr="00CC52B8" w:rsidRDefault="007D2757" w:rsidP="00AE1233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  <w:r w:rsidRPr="00CC52B8">
        <w:rPr>
          <w:rFonts w:ascii="Times New Roman" w:hAnsi="Times New Roman" w:cs="Times New Roman"/>
          <w:b/>
          <w:bCs/>
        </w:rPr>
        <w:lastRenderedPageBreak/>
        <w:t>SUPPLEMENTARY REFERENCES</w:t>
      </w:r>
    </w:p>
    <w:p w14:paraId="1800F278" w14:textId="33AFD398" w:rsidR="00D53432" w:rsidRDefault="00D53432" w:rsidP="00AE1233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48ECEC2E" w14:textId="77777777" w:rsidR="00B242C1" w:rsidRDefault="00B242C1" w:rsidP="00AE1233">
      <w:pPr>
        <w:spacing w:after="0" w:line="240" w:lineRule="auto"/>
        <w:jc w:val="both"/>
        <w:rPr>
          <w:rFonts w:ascii="Times New Roman" w:hAnsi="Times New Roman" w:cs="Times New Roman"/>
          <w:b/>
          <w:bCs/>
        </w:rPr>
      </w:pPr>
    </w:p>
    <w:p w14:paraId="631BE5D0" w14:textId="5729D5A9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1. </w:t>
      </w:r>
      <w:r w:rsidRPr="00B242C1">
        <w:rPr>
          <w:rFonts w:ascii="Times New Roman" w:hAnsi="Times New Roman" w:cs="Times New Roman"/>
        </w:rPr>
        <w:tab/>
        <w:t xml:space="preserve">Baiardi S, </w:t>
      </w:r>
      <w:proofErr w:type="spellStart"/>
      <w:r w:rsidRPr="00B242C1">
        <w:rPr>
          <w:rFonts w:ascii="Times New Roman" w:hAnsi="Times New Roman" w:cs="Times New Roman"/>
        </w:rPr>
        <w:t>Magherini</w:t>
      </w:r>
      <w:proofErr w:type="spellEnd"/>
      <w:r w:rsidRPr="00B242C1">
        <w:rPr>
          <w:rFonts w:ascii="Times New Roman" w:hAnsi="Times New Roman" w:cs="Times New Roman"/>
        </w:rPr>
        <w:t xml:space="preserve"> A, Capellari S, </w:t>
      </w:r>
      <w:proofErr w:type="spellStart"/>
      <w:r w:rsidRPr="00B242C1">
        <w:rPr>
          <w:rFonts w:ascii="Times New Roman" w:hAnsi="Times New Roman" w:cs="Times New Roman"/>
        </w:rPr>
        <w:t>Redaelli</w:t>
      </w:r>
      <w:proofErr w:type="spellEnd"/>
      <w:r w:rsidRPr="00B242C1">
        <w:rPr>
          <w:rFonts w:ascii="Times New Roman" w:hAnsi="Times New Roman" w:cs="Times New Roman"/>
        </w:rPr>
        <w:t xml:space="preserve"> V, Ladogana A, Rossi M</w:t>
      </w:r>
      <w:r>
        <w:rPr>
          <w:rFonts w:ascii="Times New Roman" w:hAnsi="Times New Roman" w:cs="Times New Roman"/>
        </w:rPr>
        <w:t xml:space="preserve"> et al </w:t>
      </w:r>
      <w:r w:rsidRPr="00B242C1">
        <w:rPr>
          <w:rFonts w:ascii="Times New Roman" w:hAnsi="Times New Roman" w:cs="Times New Roman"/>
        </w:rPr>
        <w:t xml:space="preserve">(2017) Towards an early clinical diagnosis of sporadic CJD VV2 (ataxic type). J </w:t>
      </w:r>
      <w:proofErr w:type="spellStart"/>
      <w:r w:rsidRPr="00B242C1">
        <w:rPr>
          <w:rFonts w:ascii="Times New Roman" w:hAnsi="Times New Roman" w:cs="Times New Roman"/>
        </w:rPr>
        <w:t>Neurol</w:t>
      </w:r>
      <w:proofErr w:type="spellEnd"/>
      <w:r w:rsidRPr="00B242C1">
        <w:rPr>
          <w:rFonts w:ascii="Times New Roman" w:hAnsi="Times New Roman" w:cs="Times New Roman"/>
        </w:rPr>
        <w:t xml:space="preserve"> </w:t>
      </w:r>
      <w:proofErr w:type="spellStart"/>
      <w:r w:rsidRPr="00B242C1">
        <w:rPr>
          <w:rFonts w:ascii="Times New Roman" w:hAnsi="Times New Roman" w:cs="Times New Roman"/>
        </w:rPr>
        <w:t>Neurosurg</w:t>
      </w:r>
      <w:proofErr w:type="spellEnd"/>
      <w:r w:rsidRPr="00B242C1">
        <w:rPr>
          <w:rFonts w:ascii="Times New Roman" w:hAnsi="Times New Roman" w:cs="Times New Roman"/>
        </w:rPr>
        <w:t xml:space="preserve"> Psychiatry 88:764–772. </w:t>
      </w:r>
      <w:proofErr w:type="spellStart"/>
      <w:r w:rsidRPr="00B242C1">
        <w:rPr>
          <w:rFonts w:ascii="Times New Roman" w:hAnsi="Times New Roman" w:cs="Times New Roman"/>
        </w:rPr>
        <w:t>doi</w:t>
      </w:r>
      <w:proofErr w:type="spellEnd"/>
      <w:r w:rsidRPr="00B242C1">
        <w:rPr>
          <w:rFonts w:ascii="Times New Roman" w:hAnsi="Times New Roman" w:cs="Times New Roman"/>
        </w:rPr>
        <w:t>: 10.1136/jnnp-2017-315942</w:t>
      </w:r>
    </w:p>
    <w:p w14:paraId="404C44B7" w14:textId="778A4C21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2. </w:t>
      </w:r>
      <w:r w:rsidRPr="00B242C1">
        <w:rPr>
          <w:rFonts w:ascii="Times New Roman" w:hAnsi="Times New Roman" w:cs="Times New Roman"/>
        </w:rPr>
        <w:tab/>
        <w:t>Bentivenga GM, Gonzalez-Ortiz F, Baiardi S, Kirsebom B-E, Mastrangelo A, Mammana A</w:t>
      </w:r>
      <w:r>
        <w:rPr>
          <w:rFonts w:ascii="Times New Roman" w:hAnsi="Times New Roman" w:cs="Times New Roman"/>
        </w:rPr>
        <w:t xml:space="preserve"> et al (2024)</w:t>
      </w:r>
      <w:r w:rsidRPr="00B242C1">
        <w:rPr>
          <w:rFonts w:ascii="Times New Roman" w:hAnsi="Times New Roman" w:cs="Times New Roman"/>
        </w:rPr>
        <w:t xml:space="preserve"> Clinical value of novel blood-based tau biomarkers in Creutzfeldt–Jakob disease. </w:t>
      </w:r>
      <w:proofErr w:type="spellStart"/>
      <w:r w:rsidRPr="00B242C1">
        <w:rPr>
          <w:rFonts w:ascii="Times New Roman" w:hAnsi="Times New Roman" w:cs="Times New Roman"/>
        </w:rPr>
        <w:t>Alzheimers</w:t>
      </w:r>
      <w:proofErr w:type="spellEnd"/>
      <w:r w:rsidRPr="00B242C1">
        <w:rPr>
          <w:rFonts w:ascii="Times New Roman" w:hAnsi="Times New Roman" w:cs="Times New Roman"/>
        </w:rPr>
        <w:t xml:space="preserve"> Dement </w:t>
      </w:r>
      <w:r>
        <w:rPr>
          <w:rFonts w:ascii="Times New Roman" w:hAnsi="Times New Roman" w:cs="Times New Roman"/>
        </w:rPr>
        <w:t>1-12</w:t>
      </w:r>
      <w:r w:rsidRPr="00B242C1">
        <w:rPr>
          <w:rFonts w:ascii="Times New Roman" w:hAnsi="Times New Roman" w:cs="Times New Roman"/>
        </w:rPr>
        <w:t xml:space="preserve">. </w:t>
      </w:r>
      <w:proofErr w:type="spellStart"/>
      <w:r w:rsidRPr="00B242C1">
        <w:rPr>
          <w:rFonts w:ascii="Times New Roman" w:hAnsi="Times New Roman" w:cs="Times New Roman"/>
        </w:rPr>
        <w:t>doi</w:t>
      </w:r>
      <w:proofErr w:type="spellEnd"/>
      <w:r w:rsidRPr="00B242C1">
        <w:rPr>
          <w:rFonts w:ascii="Times New Roman" w:hAnsi="Times New Roman" w:cs="Times New Roman"/>
        </w:rPr>
        <w:t>: 10.1002/alz.14422</w:t>
      </w:r>
    </w:p>
    <w:p w14:paraId="48F4E663" w14:textId="5952D336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3. </w:t>
      </w:r>
      <w:r w:rsidRPr="00B242C1">
        <w:rPr>
          <w:rFonts w:ascii="Times New Roman" w:hAnsi="Times New Roman" w:cs="Times New Roman"/>
        </w:rPr>
        <w:tab/>
      </w:r>
      <w:proofErr w:type="spellStart"/>
      <w:r w:rsidRPr="00B242C1">
        <w:rPr>
          <w:rFonts w:ascii="Times New Roman" w:hAnsi="Times New Roman" w:cs="Times New Roman"/>
        </w:rPr>
        <w:t>Lattanzio</w:t>
      </w:r>
      <w:proofErr w:type="spellEnd"/>
      <w:r w:rsidRPr="00B242C1">
        <w:rPr>
          <w:rFonts w:ascii="Times New Roman" w:hAnsi="Times New Roman" w:cs="Times New Roman"/>
        </w:rPr>
        <w:t xml:space="preserve"> F, Abu-Rumeileh S, </w:t>
      </w:r>
      <w:proofErr w:type="spellStart"/>
      <w:r w:rsidRPr="00B242C1">
        <w:rPr>
          <w:rFonts w:ascii="Times New Roman" w:hAnsi="Times New Roman" w:cs="Times New Roman"/>
        </w:rPr>
        <w:t>Franceschini</w:t>
      </w:r>
      <w:proofErr w:type="spellEnd"/>
      <w:r w:rsidRPr="00B242C1">
        <w:rPr>
          <w:rFonts w:ascii="Times New Roman" w:hAnsi="Times New Roman" w:cs="Times New Roman"/>
        </w:rPr>
        <w:t xml:space="preserve"> A, Kai H, Amore G, </w:t>
      </w:r>
      <w:proofErr w:type="spellStart"/>
      <w:r w:rsidRPr="00B242C1">
        <w:rPr>
          <w:rFonts w:ascii="Times New Roman" w:hAnsi="Times New Roman" w:cs="Times New Roman"/>
        </w:rPr>
        <w:t>Poggiolini</w:t>
      </w:r>
      <w:proofErr w:type="spellEnd"/>
      <w:r w:rsidRPr="00B242C1">
        <w:rPr>
          <w:rFonts w:ascii="Times New Roman" w:hAnsi="Times New Roman" w:cs="Times New Roman"/>
        </w:rPr>
        <w:t xml:space="preserve"> I</w:t>
      </w:r>
      <w:r>
        <w:rPr>
          <w:rFonts w:ascii="Times New Roman" w:hAnsi="Times New Roman" w:cs="Times New Roman"/>
        </w:rPr>
        <w:t xml:space="preserve"> et al </w:t>
      </w:r>
      <w:r w:rsidRPr="00B242C1">
        <w:rPr>
          <w:rFonts w:ascii="Times New Roman" w:hAnsi="Times New Roman" w:cs="Times New Roman"/>
        </w:rPr>
        <w:t xml:space="preserve">(2017) Prion-specific and surrogate CSF biomarkers in Creutzfeldt-Jakob disease: diagnostic accuracy in relation to molecular subtypes and analysis of neuropathological correlates of p-tau and Aβ42 levels. Acta </w:t>
      </w:r>
      <w:proofErr w:type="spellStart"/>
      <w:r w:rsidRPr="00B242C1">
        <w:rPr>
          <w:rFonts w:ascii="Times New Roman" w:hAnsi="Times New Roman" w:cs="Times New Roman"/>
        </w:rPr>
        <w:t>Neuropathol</w:t>
      </w:r>
      <w:proofErr w:type="spellEnd"/>
      <w:r w:rsidRPr="00B242C1">
        <w:rPr>
          <w:rFonts w:ascii="Times New Roman" w:hAnsi="Times New Roman" w:cs="Times New Roman"/>
        </w:rPr>
        <w:t xml:space="preserve"> 133:559–578. </w:t>
      </w:r>
      <w:proofErr w:type="spellStart"/>
      <w:r w:rsidRPr="00B242C1">
        <w:rPr>
          <w:rFonts w:ascii="Times New Roman" w:hAnsi="Times New Roman" w:cs="Times New Roman"/>
        </w:rPr>
        <w:t>doi</w:t>
      </w:r>
      <w:proofErr w:type="spellEnd"/>
      <w:r w:rsidRPr="00B242C1">
        <w:rPr>
          <w:rFonts w:ascii="Times New Roman" w:hAnsi="Times New Roman" w:cs="Times New Roman"/>
        </w:rPr>
        <w:t>: 10.1007/s00401-017-1683-0</w:t>
      </w:r>
    </w:p>
    <w:p w14:paraId="76374FDC" w14:textId="41B0794A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4. </w:t>
      </w:r>
      <w:r w:rsidRPr="00B242C1">
        <w:rPr>
          <w:rFonts w:ascii="Times New Roman" w:hAnsi="Times New Roman" w:cs="Times New Roman"/>
        </w:rPr>
        <w:tab/>
        <w:t xml:space="preserve">Parchi P, de </w:t>
      </w:r>
      <w:proofErr w:type="spellStart"/>
      <w:r w:rsidRPr="00B242C1">
        <w:rPr>
          <w:rFonts w:ascii="Times New Roman" w:hAnsi="Times New Roman" w:cs="Times New Roman"/>
        </w:rPr>
        <w:t>Boni</w:t>
      </w:r>
      <w:proofErr w:type="spellEnd"/>
      <w:r w:rsidRPr="00B242C1">
        <w:rPr>
          <w:rFonts w:ascii="Times New Roman" w:hAnsi="Times New Roman" w:cs="Times New Roman"/>
        </w:rPr>
        <w:t xml:space="preserve"> L, </w:t>
      </w:r>
      <w:proofErr w:type="spellStart"/>
      <w:r w:rsidRPr="00B242C1">
        <w:rPr>
          <w:rFonts w:ascii="Times New Roman" w:hAnsi="Times New Roman" w:cs="Times New Roman"/>
        </w:rPr>
        <w:t>Saverioni</w:t>
      </w:r>
      <w:proofErr w:type="spellEnd"/>
      <w:r w:rsidRPr="00B242C1">
        <w:rPr>
          <w:rFonts w:ascii="Times New Roman" w:hAnsi="Times New Roman" w:cs="Times New Roman"/>
        </w:rPr>
        <w:t xml:space="preserve"> D, Cohen ML, Ferrer I, </w:t>
      </w:r>
      <w:proofErr w:type="spellStart"/>
      <w:r w:rsidRPr="00B242C1">
        <w:rPr>
          <w:rFonts w:ascii="Times New Roman" w:hAnsi="Times New Roman" w:cs="Times New Roman"/>
        </w:rPr>
        <w:t>Gambetti</w:t>
      </w:r>
      <w:proofErr w:type="spellEnd"/>
      <w:r w:rsidRPr="00B242C1">
        <w:rPr>
          <w:rFonts w:ascii="Times New Roman" w:hAnsi="Times New Roman" w:cs="Times New Roman"/>
        </w:rPr>
        <w:t xml:space="preserve"> P</w:t>
      </w:r>
      <w:r>
        <w:rPr>
          <w:rFonts w:ascii="Times New Roman" w:hAnsi="Times New Roman" w:cs="Times New Roman"/>
        </w:rPr>
        <w:t xml:space="preserve"> et al</w:t>
      </w:r>
      <w:r w:rsidRPr="00B242C1">
        <w:rPr>
          <w:rFonts w:ascii="Times New Roman" w:hAnsi="Times New Roman" w:cs="Times New Roman"/>
        </w:rPr>
        <w:t xml:space="preserve"> (2012) Consensus classification of human prion disease </w:t>
      </w:r>
      <w:proofErr w:type="spellStart"/>
      <w:r w:rsidRPr="00B242C1">
        <w:rPr>
          <w:rFonts w:ascii="Times New Roman" w:hAnsi="Times New Roman" w:cs="Times New Roman"/>
        </w:rPr>
        <w:t>histotypes</w:t>
      </w:r>
      <w:proofErr w:type="spellEnd"/>
      <w:r w:rsidRPr="00B242C1">
        <w:rPr>
          <w:rFonts w:ascii="Times New Roman" w:hAnsi="Times New Roman" w:cs="Times New Roman"/>
        </w:rPr>
        <w:t xml:space="preserve"> allows reliable identification of molecular subtypes: an inter-rater study among surveillance centres in Europe and USA. Acta </w:t>
      </w:r>
      <w:proofErr w:type="spellStart"/>
      <w:r w:rsidRPr="00B242C1">
        <w:rPr>
          <w:rFonts w:ascii="Times New Roman" w:hAnsi="Times New Roman" w:cs="Times New Roman"/>
        </w:rPr>
        <w:t>Neuropathol</w:t>
      </w:r>
      <w:proofErr w:type="spellEnd"/>
      <w:r w:rsidRPr="00B242C1">
        <w:rPr>
          <w:rFonts w:ascii="Times New Roman" w:hAnsi="Times New Roman" w:cs="Times New Roman"/>
        </w:rPr>
        <w:t xml:space="preserve"> 124:517–529. </w:t>
      </w:r>
      <w:proofErr w:type="spellStart"/>
      <w:r w:rsidRPr="00B242C1">
        <w:rPr>
          <w:rFonts w:ascii="Times New Roman" w:hAnsi="Times New Roman" w:cs="Times New Roman"/>
        </w:rPr>
        <w:t>doi</w:t>
      </w:r>
      <w:proofErr w:type="spellEnd"/>
      <w:r w:rsidRPr="00B242C1">
        <w:rPr>
          <w:rFonts w:ascii="Times New Roman" w:hAnsi="Times New Roman" w:cs="Times New Roman"/>
        </w:rPr>
        <w:t>: 10.1007/s00401-012-1002-8</w:t>
      </w:r>
    </w:p>
    <w:p w14:paraId="42FF9A57" w14:textId="4B72ED70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5. </w:t>
      </w:r>
      <w:r w:rsidRPr="00B242C1">
        <w:rPr>
          <w:rFonts w:ascii="Times New Roman" w:hAnsi="Times New Roman" w:cs="Times New Roman"/>
        </w:rPr>
        <w:tab/>
        <w:t xml:space="preserve">Parchi P, Giese A, Capellari S, Brown P, Schulz-Schaeffer W, </w:t>
      </w:r>
      <w:proofErr w:type="spellStart"/>
      <w:r w:rsidRPr="00B242C1">
        <w:rPr>
          <w:rFonts w:ascii="Times New Roman" w:hAnsi="Times New Roman" w:cs="Times New Roman"/>
        </w:rPr>
        <w:t>Windl</w:t>
      </w:r>
      <w:proofErr w:type="spellEnd"/>
      <w:r w:rsidRPr="00B242C1">
        <w:rPr>
          <w:rFonts w:ascii="Times New Roman" w:hAnsi="Times New Roman" w:cs="Times New Roman"/>
        </w:rPr>
        <w:t xml:space="preserve"> O</w:t>
      </w:r>
      <w:r>
        <w:rPr>
          <w:rFonts w:ascii="Times New Roman" w:hAnsi="Times New Roman" w:cs="Times New Roman"/>
        </w:rPr>
        <w:t xml:space="preserve"> et al</w:t>
      </w:r>
      <w:r w:rsidRPr="00B242C1">
        <w:rPr>
          <w:rFonts w:ascii="Times New Roman" w:hAnsi="Times New Roman" w:cs="Times New Roman"/>
        </w:rPr>
        <w:t xml:space="preserve"> (1999) Classification of sporadic Creutzfeldt-Jakob disease based on molecular and phenotypic analysis of 300 subjects. Ann </w:t>
      </w:r>
      <w:r>
        <w:rPr>
          <w:rFonts w:ascii="Times New Roman" w:hAnsi="Times New Roman" w:cs="Times New Roman"/>
        </w:rPr>
        <w:t>Neu</w:t>
      </w:r>
      <w:r w:rsidRPr="00B242C1">
        <w:rPr>
          <w:rFonts w:ascii="Times New Roman" w:hAnsi="Times New Roman" w:cs="Times New Roman"/>
        </w:rPr>
        <w:t>rol 46(2):224-233.</w:t>
      </w:r>
    </w:p>
    <w:p w14:paraId="62D0D957" w14:textId="7269AA52" w:rsidR="00B242C1" w:rsidRPr="00B242C1" w:rsidRDefault="00B242C1" w:rsidP="00B242C1">
      <w:pPr>
        <w:pStyle w:val="Bibliografia"/>
        <w:spacing w:line="360" w:lineRule="auto"/>
        <w:jc w:val="both"/>
        <w:rPr>
          <w:rFonts w:ascii="Times New Roman" w:hAnsi="Times New Roman" w:cs="Times New Roman"/>
        </w:rPr>
      </w:pPr>
      <w:r w:rsidRPr="00B242C1">
        <w:rPr>
          <w:rFonts w:ascii="Times New Roman" w:hAnsi="Times New Roman" w:cs="Times New Roman"/>
        </w:rPr>
        <w:t xml:space="preserve">6. </w:t>
      </w:r>
      <w:r w:rsidRPr="00B242C1">
        <w:rPr>
          <w:rFonts w:ascii="Times New Roman" w:hAnsi="Times New Roman" w:cs="Times New Roman"/>
        </w:rPr>
        <w:tab/>
        <w:t xml:space="preserve">Zerr I, Kallenberg K, Summers DM, Romero C, </w:t>
      </w:r>
      <w:proofErr w:type="spellStart"/>
      <w:r w:rsidRPr="00B242C1">
        <w:rPr>
          <w:rFonts w:ascii="Times New Roman" w:hAnsi="Times New Roman" w:cs="Times New Roman"/>
        </w:rPr>
        <w:t>Taratuto</w:t>
      </w:r>
      <w:proofErr w:type="spellEnd"/>
      <w:r w:rsidRPr="00B242C1">
        <w:rPr>
          <w:rFonts w:ascii="Times New Roman" w:hAnsi="Times New Roman" w:cs="Times New Roman"/>
        </w:rPr>
        <w:t xml:space="preserve"> A, Heinemann U </w:t>
      </w:r>
      <w:r>
        <w:rPr>
          <w:rFonts w:ascii="Times New Roman" w:hAnsi="Times New Roman" w:cs="Times New Roman"/>
        </w:rPr>
        <w:t xml:space="preserve">et al </w:t>
      </w:r>
      <w:r w:rsidRPr="00B242C1">
        <w:rPr>
          <w:rFonts w:ascii="Times New Roman" w:hAnsi="Times New Roman" w:cs="Times New Roman"/>
        </w:rPr>
        <w:t xml:space="preserve">(2009) Updated clinical diagnostic criteria for sporadic Creutzfeldt-Jakob disease. Brain 132:2659–2668. </w:t>
      </w:r>
      <w:proofErr w:type="spellStart"/>
      <w:r w:rsidRPr="00B242C1">
        <w:rPr>
          <w:rFonts w:ascii="Times New Roman" w:hAnsi="Times New Roman" w:cs="Times New Roman"/>
        </w:rPr>
        <w:t>doi</w:t>
      </w:r>
      <w:proofErr w:type="spellEnd"/>
      <w:r w:rsidRPr="00B242C1">
        <w:rPr>
          <w:rFonts w:ascii="Times New Roman" w:hAnsi="Times New Roman" w:cs="Times New Roman"/>
        </w:rPr>
        <w:t>: 10.1093/brain/awp191</w:t>
      </w:r>
    </w:p>
    <w:p w14:paraId="1D845EC3" w14:textId="577DDDDE" w:rsidR="00B242C1" w:rsidRPr="00BE6087" w:rsidRDefault="00B242C1" w:rsidP="00B242C1">
      <w:pPr>
        <w:spacing w:after="0" w:line="360" w:lineRule="auto"/>
        <w:jc w:val="both"/>
        <w:rPr>
          <w:rFonts w:ascii="Times New Roman" w:hAnsi="Times New Roman" w:cs="Times New Roman"/>
          <w:b/>
          <w:bCs/>
        </w:rPr>
      </w:pPr>
    </w:p>
    <w:sectPr w:rsidR="00B242C1" w:rsidRPr="00BE6087" w:rsidSect="00235273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Calibri"/>
    <w:charset w:val="00"/>
    <w:family w:val="swiss"/>
    <w:pitch w:val="variable"/>
    <w:sig w:usb0="20000287" w:usb1="00000003" w:usb2="0000000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40D6"/>
    <w:multiLevelType w:val="multilevel"/>
    <w:tmpl w:val="8A987D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 w15:restartNumberingAfterBreak="0">
    <w:nsid w:val="41435CD8"/>
    <w:multiLevelType w:val="hybridMultilevel"/>
    <w:tmpl w:val="4BA8BA8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A1014DE"/>
    <w:multiLevelType w:val="multilevel"/>
    <w:tmpl w:val="8A987DD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4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0D73"/>
    <w:rsid w:val="0000773B"/>
    <w:rsid w:val="000160B9"/>
    <w:rsid w:val="00024EB1"/>
    <w:rsid w:val="000339C6"/>
    <w:rsid w:val="0004421C"/>
    <w:rsid w:val="0005611C"/>
    <w:rsid w:val="000564C2"/>
    <w:rsid w:val="00060AC7"/>
    <w:rsid w:val="00062AF1"/>
    <w:rsid w:val="00065C4E"/>
    <w:rsid w:val="00067E88"/>
    <w:rsid w:val="00091163"/>
    <w:rsid w:val="00093B67"/>
    <w:rsid w:val="000A5F3D"/>
    <w:rsid w:val="000A79A1"/>
    <w:rsid w:val="000B2638"/>
    <w:rsid w:val="000B2A3D"/>
    <w:rsid w:val="000B60A1"/>
    <w:rsid w:val="000C3BE5"/>
    <w:rsid w:val="000C7DFA"/>
    <w:rsid w:val="000D2BA6"/>
    <w:rsid w:val="000D70BD"/>
    <w:rsid w:val="000E0DB0"/>
    <w:rsid w:val="000E3492"/>
    <w:rsid w:val="000E4E16"/>
    <w:rsid w:val="000F43C8"/>
    <w:rsid w:val="0010326A"/>
    <w:rsid w:val="00112EB4"/>
    <w:rsid w:val="001148FB"/>
    <w:rsid w:val="00115317"/>
    <w:rsid w:val="00115633"/>
    <w:rsid w:val="0012490B"/>
    <w:rsid w:val="00130DBA"/>
    <w:rsid w:val="001318DF"/>
    <w:rsid w:val="00131AE5"/>
    <w:rsid w:val="00132E5A"/>
    <w:rsid w:val="001419A9"/>
    <w:rsid w:val="00142799"/>
    <w:rsid w:val="001566A2"/>
    <w:rsid w:val="001629B7"/>
    <w:rsid w:val="001705FC"/>
    <w:rsid w:val="00175F0A"/>
    <w:rsid w:val="001810F9"/>
    <w:rsid w:val="0018382F"/>
    <w:rsid w:val="00185967"/>
    <w:rsid w:val="00186BAA"/>
    <w:rsid w:val="00190955"/>
    <w:rsid w:val="001B23B6"/>
    <w:rsid w:val="001B534A"/>
    <w:rsid w:val="001F65E7"/>
    <w:rsid w:val="002011A0"/>
    <w:rsid w:val="0020521F"/>
    <w:rsid w:val="00206E6A"/>
    <w:rsid w:val="00224630"/>
    <w:rsid w:val="00225FA4"/>
    <w:rsid w:val="00235273"/>
    <w:rsid w:val="0023618F"/>
    <w:rsid w:val="00240D85"/>
    <w:rsid w:val="0024127E"/>
    <w:rsid w:val="002470B8"/>
    <w:rsid w:val="002526E0"/>
    <w:rsid w:val="002560B8"/>
    <w:rsid w:val="0026237A"/>
    <w:rsid w:val="00263404"/>
    <w:rsid w:val="00264D17"/>
    <w:rsid w:val="002656AC"/>
    <w:rsid w:val="002678A9"/>
    <w:rsid w:val="00281B56"/>
    <w:rsid w:val="00282DE6"/>
    <w:rsid w:val="00283561"/>
    <w:rsid w:val="0028503B"/>
    <w:rsid w:val="002977A0"/>
    <w:rsid w:val="002C2E06"/>
    <w:rsid w:val="002C5309"/>
    <w:rsid w:val="002D026F"/>
    <w:rsid w:val="002D1156"/>
    <w:rsid w:val="002D4832"/>
    <w:rsid w:val="002D5D86"/>
    <w:rsid w:val="002E5217"/>
    <w:rsid w:val="002F3FC1"/>
    <w:rsid w:val="002F6781"/>
    <w:rsid w:val="002F740B"/>
    <w:rsid w:val="003028B1"/>
    <w:rsid w:val="00303679"/>
    <w:rsid w:val="003037C3"/>
    <w:rsid w:val="00307EC0"/>
    <w:rsid w:val="0031196C"/>
    <w:rsid w:val="0031656E"/>
    <w:rsid w:val="00323040"/>
    <w:rsid w:val="003268AA"/>
    <w:rsid w:val="00327621"/>
    <w:rsid w:val="00333827"/>
    <w:rsid w:val="00333C5B"/>
    <w:rsid w:val="00335AA9"/>
    <w:rsid w:val="00341BA9"/>
    <w:rsid w:val="00345372"/>
    <w:rsid w:val="003464B3"/>
    <w:rsid w:val="003469BD"/>
    <w:rsid w:val="0035030A"/>
    <w:rsid w:val="003652EA"/>
    <w:rsid w:val="00371B0F"/>
    <w:rsid w:val="00371F21"/>
    <w:rsid w:val="00385BEA"/>
    <w:rsid w:val="003A37A1"/>
    <w:rsid w:val="003A5541"/>
    <w:rsid w:val="003C1599"/>
    <w:rsid w:val="003D07BE"/>
    <w:rsid w:val="003D31FF"/>
    <w:rsid w:val="003F3EE1"/>
    <w:rsid w:val="003F41FA"/>
    <w:rsid w:val="003F7423"/>
    <w:rsid w:val="004031EC"/>
    <w:rsid w:val="00410AA1"/>
    <w:rsid w:val="004208AA"/>
    <w:rsid w:val="00424311"/>
    <w:rsid w:val="00425896"/>
    <w:rsid w:val="00426462"/>
    <w:rsid w:val="004337BA"/>
    <w:rsid w:val="004369F5"/>
    <w:rsid w:val="00436BF2"/>
    <w:rsid w:val="00441325"/>
    <w:rsid w:val="004418D8"/>
    <w:rsid w:val="00442868"/>
    <w:rsid w:val="00444E3F"/>
    <w:rsid w:val="0044759F"/>
    <w:rsid w:val="004609B9"/>
    <w:rsid w:val="004628A5"/>
    <w:rsid w:val="00464BFE"/>
    <w:rsid w:val="00467B26"/>
    <w:rsid w:val="00470329"/>
    <w:rsid w:val="00473475"/>
    <w:rsid w:val="00480DFA"/>
    <w:rsid w:val="00486463"/>
    <w:rsid w:val="004A5FC8"/>
    <w:rsid w:val="004B031B"/>
    <w:rsid w:val="004B2EC4"/>
    <w:rsid w:val="004C2EA6"/>
    <w:rsid w:val="004C4810"/>
    <w:rsid w:val="004C4F2E"/>
    <w:rsid w:val="004C73B6"/>
    <w:rsid w:val="004D3232"/>
    <w:rsid w:val="004E4EB9"/>
    <w:rsid w:val="004F0AAE"/>
    <w:rsid w:val="004F3DC0"/>
    <w:rsid w:val="004F795C"/>
    <w:rsid w:val="00503ED8"/>
    <w:rsid w:val="00507FFA"/>
    <w:rsid w:val="0051744F"/>
    <w:rsid w:val="00521E56"/>
    <w:rsid w:val="005236D3"/>
    <w:rsid w:val="00531F2E"/>
    <w:rsid w:val="005337BA"/>
    <w:rsid w:val="0053636E"/>
    <w:rsid w:val="005414A7"/>
    <w:rsid w:val="005445F6"/>
    <w:rsid w:val="0054493A"/>
    <w:rsid w:val="00552EE7"/>
    <w:rsid w:val="005536D9"/>
    <w:rsid w:val="005568B6"/>
    <w:rsid w:val="00560EBC"/>
    <w:rsid w:val="00564731"/>
    <w:rsid w:val="00573F43"/>
    <w:rsid w:val="00587034"/>
    <w:rsid w:val="00590EB0"/>
    <w:rsid w:val="005B6536"/>
    <w:rsid w:val="005B7378"/>
    <w:rsid w:val="005C0B09"/>
    <w:rsid w:val="005C6F0C"/>
    <w:rsid w:val="005D29D6"/>
    <w:rsid w:val="005D5586"/>
    <w:rsid w:val="005E1644"/>
    <w:rsid w:val="005E3656"/>
    <w:rsid w:val="005F09A7"/>
    <w:rsid w:val="005F3AC6"/>
    <w:rsid w:val="005F51D5"/>
    <w:rsid w:val="00600B36"/>
    <w:rsid w:val="006022FD"/>
    <w:rsid w:val="0060315A"/>
    <w:rsid w:val="00606CBB"/>
    <w:rsid w:val="00610B24"/>
    <w:rsid w:val="00624803"/>
    <w:rsid w:val="00626E35"/>
    <w:rsid w:val="00634256"/>
    <w:rsid w:val="0063488B"/>
    <w:rsid w:val="00635258"/>
    <w:rsid w:val="00637887"/>
    <w:rsid w:val="00644582"/>
    <w:rsid w:val="00650336"/>
    <w:rsid w:val="00651CFF"/>
    <w:rsid w:val="00653BBE"/>
    <w:rsid w:val="00653D01"/>
    <w:rsid w:val="006647E8"/>
    <w:rsid w:val="006715B0"/>
    <w:rsid w:val="006743EE"/>
    <w:rsid w:val="00680F9C"/>
    <w:rsid w:val="00683788"/>
    <w:rsid w:val="006951CB"/>
    <w:rsid w:val="006A6537"/>
    <w:rsid w:val="006C25FD"/>
    <w:rsid w:val="006D070E"/>
    <w:rsid w:val="006D5C5F"/>
    <w:rsid w:val="006E45BE"/>
    <w:rsid w:val="006F0218"/>
    <w:rsid w:val="006F22F7"/>
    <w:rsid w:val="006F5CE0"/>
    <w:rsid w:val="006F6290"/>
    <w:rsid w:val="00701EAF"/>
    <w:rsid w:val="00705452"/>
    <w:rsid w:val="00723E7C"/>
    <w:rsid w:val="00724734"/>
    <w:rsid w:val="0072599F"/>
    <w:rsid w:val="0073211F"/>
    <w:rsid w:val="007414EC"/>
    <w:rsid w:val="0074374D"/>
    <w:rsid w:val="00745AF8"/>
    <w:rsid w:val="00750AEC"/>
    <w:rsid w:val="00751FD2"/>
    <w:rsid w:val="0075307B"/>
    <w:rsid w:val="00771964"/>
    <w:rsid w:val="00777382"/>
    <w:rsid w:val="00795515"/>
    <w:rsid w:val="007963FB"/>
    <w:rsid w:val="00796BEA"/>
    <w:rsid w:val="007A5073"/>
    <w:rsid w:val="007A5425"/>
    <w:rsid w:val="007B6D36"/>
    <w:rsid w:val="007C04E0"/>
    <w:rsid w:val="007D2757"/>
    <w:rsid w:val="007D2BC0"/>
    <w:rsid w:val="007E2214"/>
    <w:rsid w:val="007F5B2D"/>
    <w:rsid w:val="00800A68"/>
    <w:rsid w:val="00801FF8"/>
    <w:rsid w:val="00815D5A"/>
    <w:rsid w:val="00817862"/>
    <w:rsid w:val="008202EE"/>
    <w:rsid w:val="0082777B"/>
    <w:rsid w:val="0083531F"/>
    <w:rsid w:val="00845386"/>
    <w:rsid w:val="008457C9"/>
    <w:rsid w:val="00846682"/>
    <w:rsid w:val="00847543"/>
    <w:rsid w:val="008523FA"/>
    <w:rsid w:val="008552A9"/>
    <w:rsid w:val="00855636"/>
    <w:rsid w:val="008578A5"/>
    <w:rsid w:val="008668B6"/>
    <w:rsid w:val="00866D90"/>
    <w:rsid w:val="008A3001"/>
    <w:rsid w:val="008B4393"/>
    <w:rsid w:val="008C27C3"/>
    <w:rsid w:val="008C6DCB"/>
    <w:rsid w:val="008D351D"/>
    <w:rsid w:val="008D5A66"/>
    <w:rsid w:val="008D77C0"/>
    <w:rsid w:val="008E1C15"/>
    <w:rsid w:val="008E40C1"/>
    <w:rsid w:val="008F48ED"/>
    <w:rsid w:val="00900F37"/>
    <w:rsid w:val="00902153"/>
    <w:rsid w:val="00910754"/>
    <w:rsid w:val="00915E61"/>
    <w:rsid w:val="00917471"/>
    <w:rsid w:val="00930784"/>
    <w:rsid w:val="009307EF"/>
    <w:rsid w:val="009462DE"/>
    <w:rsid w:val="00947E75"/>
    <w:rsid w:val="00951F34"/>
    <w:rsid w:val="00954BCE"/>
    <w:rsid w:val="0096674C"/>
    <w:rsid w:val="00967549"/>
    <w:rsid w:val="00973231"/>
    <w:rsid w:val="0098003B"/>
    <w:rsid w:val="00984DBB"/>
    <w:rsid w:val="00987C6A"/>
    <w:rsid w:val="00992090"/>
    <w:rsid w:val="009A0F01"/>
    <w:rsid w:val="009B568B"/>
    <w:rsid w:val="009C1568"/>
    <w:rsid w:val="009C2C02"/>
    <w:rsid w:val="009D13AB"/>
    <w:rsid w:val="009D7747"/>
    <w:rsid w:val="00A00E96"/>
    <w:rsid w:val="00A067FC"/>
    <w:rsid w:val="00A12325"/>
    <w:rsid w:val="00A3496C"/>
    <w:rsid w:val="00A41CBB"/>
    <w:rsid w:val="00A42891"/>
    <w:rsid w:val="00A452F6"/>
    <w:rsid w:val="00A458DE"/>
    <w:rsid w:val="00A45951"/>
    <w:rsid w:val="00A55F69"/>
    <w:rsid w:val="00A57619"/>
    <w:rsid w:val="00A62D0F"/>
    <w:rsid w:val="00A63913"/>
    <w:rsid w:val="00A7081D"/>
    <w:rsid w:val="00A7186F"/>
    <w:rsid w:val="00A71FED"/>
    <w:rsid w:val="00A83530"/>
    <w:rsid w:val="00A96EF2"/>
    <w:rsid w:val="00AA6A6E"/>
    <w:rsid w:val="00AB717F"/>
    <w:rsid w:val="00AB76D7"/>
    <w:rsid w:val="00AC75C6"/>
    <w:rsid w:val="00AD4826"/>
    <w:rsid w:val="00AD5E8F"/>
    <w:rsid w:val="00AD6AF6"/>
    <w:rsid w:val="00AE035E"/>
    <w:rsid w:val="00AE1233"/>
    <w:rsid w:val="00AE2CBB"/>
    <w:rsid w:val="00AE363B"/>
    <w:rsid w:val="00AF3DA5"/>
    <w:rsid w:val="00AF4E79"/>
    <w:rsid w:val="00AF7182"/>
    <w:rsid w:val="00AF7C43"/>
    <w:rsid w:val="00B017C0"/>
    <w:rsid w:val="00B03702"/>
    <w:rsid w:val="00B0700C"/>
    <w:rsid w:val="00B15233"/>
    <w:rsid w:val="00B242C1"/>
    <w:rsid w:val="00B25EF8"/>
    <w:rsid w:val="00B414F7"/>
    <w:rsid w:val="00B416BA"/>
    <w:rsid w:val="00B454BE"/>
    <w:rsid w:val="00B45642"/>
    <w:rsid w:val="00B45C0C"/>
    <w:rsid w:val="00B4670B"/>
    <w:rsid w:val="00B46FAD"/>
    <w:rsid w:val="00B61EEE"/>
    <w:rsid w:val="00B62877"/>
    <w:rsid w:val="00B669B3"/>
    <w:rsid w:val="00B67A1E"/>
    <w:rsid w:val="00B75F9A"/>
    <w:rsid w:val="00B94443"/>
    <w:rsid w:val="00BA0984"/>
    <w:rsid w:val="00BA1E70"/>
    <w:rsid w:val="00BA5BD5"/>
    <w:rsid w:val="00BB0B33"/>
    <w:rsid w:val="00BC0439"/>
    <w:rsid w:val="00BC289B"/>
    <w:rsid w:val="00BC291B"/>
    <w:rsid w:val="00BC3EB7"/>
    <w:rsid w:val="00BC6B1D"/>
    <w:rsid w:val="00BD3BF6"/>
    <w:rsid w:val="00BD5706"/>
    <w:rsid w:val="00BD5CD0"/>
    <w:rsid w:val="00BE316D"/>
    <w:rsid w:val="00BE6087"/>
    <w:rsid w:val="00BF2677"/>
    <w:rsid w:val="00C0030A"/>
    <w:rsid w:val="00C01562"/>
    <w:rsid w:val="00C06C6A"/>
    <w:rsid w:val="00C06EAF"/>
    <w:rsid w:val="00C07ED4"/>
    <w:rsid w:val="00C119D1"/>
    <w:rsid w:val="00C27E29"/>
    <w:rsid w:val="00C4238D"/>
    <w:rsid w:val="00C5138C"/>
    <w:rsid w:val="00C51D0F"/>
    <w:rsid w:val="00C5687B"/>
    <w:rsid w:val="00C64336"/>
    <w:rsid w:val="00C647EC"/>
    <w:rsid w:val="00C668E2"/>
    <w:rsid w:val="00C706A9"/>
    <w:rsid w:val="00C708CD"/>
    <w:rsid w:val="00C71F84"/>
    <w:rsid w:val="00C75F6F"/>
    <w:rsid w:val="00C77634"/>
    <w:rsid w:val="00C77AE1"/>
    <w:rsid w:val="00C8001F"/>
    <w:rsid w:val="00C84368"/>
    <w:rsid w:val="00C85F6E"/>
    <w:rsid w:val="00C86B3B"/>
    <w:rsid w:val="00C92EFC"/>
    <w:rsid w:val="00C94C8C"/>
    <w:rsid w:val="00CA3938"/>
    <w:rsid w:val="00CA5270"/>
    <w:rsid w:val="00CA6C58"/>
    <w:rsid w:val="00CB5E04"/>
    <w:rsid w:val="00CB7698"/>
    <w:rsid w:val="00CC52B8"/>
    <w:rsid w:val="00CC6806"/>
    <w:rsid w:val="00CC79F6"/>
    <w:rsid w:val="00CD046A"/>
    <w:rsid w:val="00CD2386"/>
    <w:rsid w:val="00CE4D46"/>
    <w:rsid w:val="00CE66DC"/>
    <w:rsid w:val="00CF2416"/>
    <w:rsid w:val="00D024AA"/>
    <w:rsid w:val="00D03597"/>
    <w:rsid w:val="00D05575"/>
    <w:rsid w:val="00D10A42"/>
    <w:rsid w:val="00D16054"/>
    <w:rsid w:val="00D21567"/>
    <w:rsid w:val="00D508F4"/>
    <w:rsid w:val="00D50D73"/>
    <w:rsid w:val="00D52DDA"/>
    <w:rsid w:val="00D53432"/>
    <w:rsid w:val="00D613D7"/>
    <w:rsid w:val="00D65916"/>
    <w:rsid w:val="00D71943"/>
    <w:rsid w:val="00D73EE9"/>
    <w:rsid w:val="00D82720"/>
    <w:rsid w:val="00D8795E"/>
    <w:rsid w:val="00D90924"/>
    <w:rsid w:val="00DB4922"/>
    <w:rsid w:val="00DD07CC"/>
    <w:rsid w:val="00DD0B04"/>
    <w:rsid w:val="00DD68F7"/>
    <w:rsid w:val="00DE0394"/>
    <w:rsid w:val="00DF0E5C"/>
    <w:rsid w:val="00E012ED"/>
    <w:rsid w:val="00E22220"/>
    <w:rsid w:val="00E2551D"/>
    <w:rsid w:val="00E31D4D"/>
    <w:rsid w:val="00E324C1"/>
    <w:rsid w:val="00E32B1D"/>
    <w:rsid w:val="00E37607"/>
    <w:rsid w:val="00E434A0"/>
    <w:rsid w:val="00E536AE"/>
    <w:rsid w:val="00E6001D"/>
    <w:rsid w:val="00E61917"/>
    <w:rsid w:val="00E62BF3"/>
    <w:rsid w:val="00E64982"/>
    <w:rsid w:val="00E65D01"/>
    <w:rsid w:val="00E67269"/>
    <w:rsid w:val="00E674BA"/>
    <w:rsid w:val="00E7432D"/>
    <w:rsid w:val="00E74D7B"/>
    <w:rsid w:val="00E76355"/>
    <w:rsid w:val="00E817FB"/>
    <w:rsid w:val="00E81B28"/>
    <w:rsid w:val="00E94006"/>
    <w:rsid w:val="00E97A03"/>
    <w:rsid w:val="00EA03E8"/>
    <w:rsid w:val="00EA5B56"/>
    <w:rsid w:val="00EA5B68"/>
    <w:rsid w:val="00EB414C"/>
    <w:rsid w:val="00EC4E09"/>
    <w:rsid w:val="00ED048A"/>
    <w:rsid w:val="00ED4105"/>
    <w:rsid w:val="00ED45B1"/>
    <w:rsid w:val="00ED6CD5"/>
    <w:rsid w:val="00EF236A"/>
    <w:rsid w:val="00F07E8F"/>
    <w:rsid w:val="00F121A2"/>
    <w:rsid w:val="00F26647"/>
    <w:rsid w:val="00F455B1"/>
    <w:rsid w:val="00F524A1"/>
    <w:rsid w:val="00F54598"/>
    <w:rsid w:val="00F558C3"/>
    <w:rsid w:val="00F57C71"/>
    <w:rsid w:val="00F663A6"/>
    <w:rsid w:val="00F67676"/>
    <w:rsid w:val="00F7142F"/>
    <w:rsid w:val="00F753A1"/>
    <w:rsid w:val="00F82414"/>
    <w:rsid w:val="00F829E8"/>
    <w:rsid w:val="00F95E5C"/>
    <w:rsid w:val="00F97F72"/>
    <w:rsid w:val="00FA1A7F"/>
    <w:rsid w:val="00FA5885"/>
    <w:rsid w:val="00FA6F74"/>
    <w:rsid w:val="00FB1610"/>
    <w:rsid w:val="00FB6F1B"/>
    <w:rsid w:val="00FC0999"/>
    <w:rsid w:val="00FE060B"/>
    <w:rsid w:val="00FE1DC6"/>
    <w:rsid w:val="00FE3583"/>
    <w:rsid w:val="00FF24DD"/>
    <w:rsid w:val="00FF2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282410"/>
  <w15:chartTrackingRefBased/>
  <w15:docId w15:val="{C6B310D3-25AD-4B49-8547-0899EDCA00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D026F"/>
    <w:pPr>
      <w:spacing w:line="480" w:lineRule="auto"/>
    </w:pPr>
    <w:rPr>
      <w:rFonts w:eastAsiaTheme="minorEastAsia"/>
      <w:kern w:val="0"/>
      <w:lang w:val="en-GB"/>
      <w14:ligatures w14:val="none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D50D73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it-IT"/>
      <w14:ligatures w14:val="standardContextual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D50D73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it-IT"/>
      <w14:ligatures w14:val="standardContextual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D50D73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0F4761" w:themeColor="accent1" w:themeShade="BF"/>
      <w:kern w:val="2"/>
      <w:sz w:val="28"/>
      <w:szCs w:val="28"/>
      <w:lang w:val="it-IT"/>
      <w14:ligatures w14:val="standardContextual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D50D73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0F4761" w:themeColor="accent1" w:themeShade="BF"/>
      <w:kern w:val="2"/>
      <w:lang w:val="it-IT"/>
      <w14:ligatures w14:val="standardContextual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D50D73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0F4761" w:themeColor="accent1" w:themeShade="BF"/>
      <w:kern w:val="2"/>
      <w:lang w:val="it-IT"/>
      <w14:ligatures w14:val="standardContextual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D50D73"/>
    <w:pPr>
      <w:keepNext/>
      <w:keepLines/>
      <w:spacing w:before="40" w:after="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lang w:val="it-IT"/>
      <w14:ligatures w14:val="standardContextual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D50D73"/>
    <w:pPr>
      <w:keepNext/>
      <w:keepLines/>
      <w:spacing w:before="40" w:after="0" w:line="259" w:lineRule="auto"/>
      <w:outlineLvl w:val="6"/>
    </w:pPr>
    <w:rPr>
      <w:rFonts w:eastAsiaTheme="majorEastAsia" w:cstheme="majorBidi"/>
      <w:color w:val="595959" w:themeColor="text1" w:themeTint="A6"/>
      <w:kern w:val="2"/>
      <w:lang w:val="it-IT"/>
      <w14:ligatures w14:val="standardContextual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D50D73"/>
    <w:pPr>
      <w:keepNext/>
      <w:keepLines/>
      <w:spacing w:after="0"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lang w:val="it-IT"/>
      <w14:ligatures w14:val="standardContextual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D50D73"/>
    <w:pPr>
      <w:keepNext/>
      <w:keepLines/>
      <w:spacing w:after="0" w:line="259" w:lineRule="auto"/>
      <w:outlineLvl w:val="8"/>
    </w:pPr>
    <w:rPr>
      <w:rFonts w:eastAsiaTheme="majorEastAsia" w:cstheme="majorBidi"/>
      <w:color w:val="272727" w:themeColor="text1" w:themeTint="D8"/>
      <w:kern w:val="2"/>
      <w:lang w:val="it-IT"/>
      <w14:ligatures w14:val="standardContextual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D50D7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D50D7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D50D7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D50D73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D50D73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D50D73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D50D73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D50D73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D50D73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D50D7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it-IT"/>
      <w14:ligatures w14:val="standardContextual"/>
    </w:rPr>
  </w:style>
  <w:style w:type="character" w:customStyle="1" w:styleId="TitoloCarattere">
    <w:name w:val="Titolo Carattere"/>
    <w:basedOn w:val="Carpredefinitoparagrafo"/>
    <w:link w:val="Titolo"/>
    <w:uiPriority w:val="10"/>
    <w:rsid w:val="00D50D7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D50D73"/>
    <w:pPr>
      <w:numPr>
        <w:ilvl w:val="1"/>
      </w:numPr>
      <w:spacing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it-IT"/>
      <w14:ligatures w14:val="standardContextual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D50D7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D50D73"/>
    <w:pPr>
      <w:spacing w:before="160" w:line="259" w:lineRule="auto"/>
      <w:jc w:val="center"/>
    </w:pPr>
    <w:rPr>
      <w:rFonts w:eastAsiaTheme="minorHAnsi"/>
      <w:i/>
      <w:iCs/>
      <w:color w:val="404040" w:themeColor="text1" w:themeTint="BF"/>
      <w:kern w:val="2"/>
      <w:lang w:val="it-IT"/>
      <w14:ligatures w14:val="standardContextual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D50D73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D50D73"/>
    <w:pPr>
      <w:spacing w:line="259" w:lineRule="auto"/>
      <w:ind w:left="720"/>
      <w:contextualSpacing/>
    </w:pPr>
    <w:rPr>
      <w:rFonts w:eastAsiaTheme="minorHAnsi"/>
      <w:kern w:val="2"/>
      <w:lang w:val="it-IT"/>
      <w14:ligatures w14:val="standardContextual"/>
    </w:rPr>
  </w:style>
  <w:style w:type="character" w:styleId="Enfasiintensa">
    <w:name w:val="Intense Emphasis"/>
    <w:basedOn w:val="Carpredefinitoparagrafo"/>
    <w:uiPriority w:val="21"/>
    <w:qFormat/>
    <w:rsid w:val="00D50D73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D50D7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59" w:lineRule="auto"/>
      <w:ind w:left="864" w:right="864"/>
      <w:jc w:val="center"/>
    </w:pPr>
    <w:rPr>
      <w:rFonts w:eastAsiaTheme="minorHAnsi"/>
      <w:i/>
      <w:iCs/>
      <w:color w:val="0F4761" w:themeColor="accent1" w:themeShade="BF"/>
      <w:kern w:val="2"/>
      <w:lang w:val="it-IT"/>
      <w14:ligatures w14:val="standardContextual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D50D73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D50D73"/>
    <w:rPr>
      <w:b/>
      <w:bCs/>
      <w:smallCaps/>
      <w:color w:val="0F4761" w:themeColor="accent1" w:themeShade="BF"/>
      <w:spacing w:val="5"/>
    </w:rPr>
  </w:style>
  <w:style w:type="table" w:styleId="Grigliatabella">
    <w:name w:val="Table Grid"/>
    <w:basedOn w:val="Tabellanormale"/>
    <w:uiPriority w:val="39"/>
    <w:rsid w:val="00235273"/>
    <w:pPr>
      <w:spacing w:after="0" w:line="240" w:lineRule="auto"/>
    </w:pPr>
    <w:rPr>
      <w:rFonts w:eastAsiaTheme="minorEastAsia"/>
      <w:kern w:val="0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MDPI41threelinetable">
    <w:name w:val="MDPI_4.1_three_line_table"/>
    <w:basedOn w:val="Tabellanormale"/>
    <w:uiPriority w:val="99"/>
    <w:rsid w:val="005536D9"/>
    <w:pPr>
      <w:adjustRightInd w:val="0"/>
      <w:snapToGrid w:val="0"/>
      <w:spacing w:after="0" w:line="240" w:lineRule="auto"/>
      <w:jc w:val="center"/>
    </w:pPr>
    <w:rPr>
      <w:rFonts w:ascii="Palatino Linotype" w:eastAsia="SimSun" w:hAnsi="Palatino Linotype" w:cs="Times New Roman"/>
      <w:color w:val="000000"/>
      <w:kern w:val="0"/>
      <w:sz w:val="20"/>
      <w:szCs w:val="20"/>
      <w:lang w:val="en-US" w:eastAsia="zh-CN"/>
      <w14:ligatures w14:val="none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styleId="Bibliografia">
    <w:name w:val="Bibliography"/>
    <w:basedOn w:val="Normale"/>
    <w:next w:val="Normale"/>
    <w:uiPriority w:val="37"/>
    <w:unhideWhenUsed/>
    <w:rsid w:val="00D53432"/>
    <w:pPr>
      <w:tabs>
        <w:tab w:val="left" w:pos="384"/>
      </w:tabs>
      <w:spacing w:after="240" w:line="240" w:lineRule="auto"/>
      <w:ind w:left="384" w:hanging="384"/>
    </w:pPr>
  </w:style>
  <w:style w:type="character" w:styleId="Rimandocommento">
    <w:name w:val="annotation reference"/>
    <w:basedOn w:val="Carpredefinitoparagrafo"/>
    <w:uiPriority w:val="99"/>
    <w:semiHidden/>
    <w:unhideWhenUsed/>
    <w:rsid w:val="00BE6087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BE6087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BE6087"/>
    <w:rPr>
      <w:rFonts w:eastAsiaTheme="minorEastAsia"/>
      <w:kern w:val="0"/>
      <w:sz w:val="20"/>
      <w:szCs w:val="20"/>
      <w:lang w:val="en-GB"/>
      <w14:ligatures w14:val="non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E6087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E6087"/>
    <w:rPr>
      <w:rFonts w:eastAsiaTheme="minorEastAsia"/>
      <w:b/>
      <w:bCs/>
      <w:kern w:val="0"/>
      <w:sz w:val="20"/>
      <w:szCs w:val="20"/>
      <w:lang w:val="en-GB"/>
      <w14:ligatures w14:val="none"/>
    </w:rPr>
  </w:style>
  <w:style w:type="table" w:customStyle="1" w:styleId="TableGrid1">
    <w:name w:val="Table Grid1"/>
    <w:basedOn w:val="Tabellanormale"/>
    <w:next w:val="Grigliatabella"/>
    <w:uiPriority w:val="39"/>
    <w:rsid w:val="00F95E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llegamentoipertestuale">
    <w:name w:val="Hyperlink"/>
    <w:basedOn w:val="Carpredefinitoparagrafo"/>
    <w:uiPriority w:val="99"/>
    <w:unhideWhenUsed/>
    <w:rsid w:val="00C71F84"/>
    <w:rPr>
      <w:color w:val="0563C1"/>
      <w:u w:val="single"/>
    </w:rPr>
  </w:style>
  <w:style w:type="character" w:styleId="Collegamentovisitato">
    <w:name w:val="FollowedHyperlink"/>
    <w:basedOn w:val="Carpredefinitoparagrafo"/>
    <w:uiPriority w:val="99"/>
    <w:semiHidden/>
    <w:unhideWhenUsed/>
    <w:rsid w:val="00C71F84"/>
    <w:rPr>
      <w:color w:val="954F72"/>
      <w:u w:val="single"/>
    </w:rPr>
  </w:style>
  <w:style w:type="paragraph" w:customStyle="1" w:styleId="msonormal0">
    <w:name w:val="msonormal"/>
    <w:basedOn w:val="Normale"/>
    <w:rsid w:val="00C71F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t-IT" w:eastAsia="it-IT"/>
    </w:rPr>
  </w:style>
  <w:style w:type="paragraph" w:customStyle="1" w:styleId="xl65">
    <w:name w:val="xl65"/>
    <w:basedOn w:val="Normale"/>
    <w:rsid w:val="00C71F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  <w:lang w:val="it-IT" w:eastAsia="it-IT"/>
    </w:rPr>
  </w:style>
  <w:style w:type="character" w:styleId="Menzionenonrisolta">
    <w:name w:val="Unresolved Mention"/>
    <w:basedOn w:val="Carpredefinitoparagrafo"/>
    <w:uiPriority w:val="99"/>
    <w:semiHidden/>
    <w:unhideWhenUsed/>
    <w:rsid w:val="00AE123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200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844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1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6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84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media/image6.tiff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1118</TotalTime>
  <Pages>7</Pages>
  <Words>1033</Words>
  <Characters>6219</Characters>
  <Application>Microsoft Office Word</Application>
  <DocSecurity>0</DocSecurity>
  <Lines>172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Titolo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Giuseppe Mario Bentivenga - giuseppe.bentivenga@studio.unibo.it</dc:creator>
  <cp:keywords/>
  <dc:description/>
  <cp:lastModifiedBy>Piero Parchi</cp:lastModifiedBy>
  <cp:revision>408</cp:revision>
  <dcterms:created xsi:type="dcterms:W3CDTF">2024-05-28T16:31:00Z</dcterms:created>
  <dcterms:modified xsi:type="dcterms:W3CDTF">2025-09-03T13:44:00Z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079a4eb6d635ced81b8081a0da2e72575c6b9f7c891d228995c404233e1cf746</vt:lpwstr>
  </property>
  <property fmtid="{D5CDD505-2E9C-101B-9397-08002B2CF9AE}" pid="3" name="ZOTERO_PREF_1">
    <vt:lpwstr>&lt;data data-version="3" zotero-version="6.0.36"&gt;&lt;session id="GBRpqwBm"/&gt;&lt;style id="http://www.zotero.org/styles/acta-neuropathologica" hasBibliography="1" bibliographyStyleHasBeenSet="1"/&gt;&lt;prefs&gt;&lt;pref name="fieldType" value="Field"/&gt;&lt;/prefs&gt;&lt;/data&gt;</vt:lpwstr>
  </property>
</Properties>
</file>