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184DA" w14:textId="43BC7FC9" w:rsidR="00CE6EAA" w:rsidRPr="00BF1BF9" w:rsidRDefault="00DF24CC" w:rsidP="00FF3503">
      <w:pPr>
        <w:spacing w:before="100" w:beforeAutospacing="1" w:after="100" w:afterAutospacing="1"/>
        <w:jc w:val="center"/>
        <w:rPr>
          <w:rFonts w:ascii="Myriad Pro" w:hAnsi="Myriad Pro"/>
          <w:i/>
          <w:sz w:val="22"/>
          <w:szCs w:val="22"/>
        </w:rPr>
      </w:pPr>
      <w:r>
        <w:rPr>
          <w:rFonts w:ascii="Myriad Pro" w:hAnsi="Myriad Pro"/>
          <w:i/>
          <w:sz w:val="22"/>
          <w:szCs w:val="22"/>
        </w:rPr>
        <w:t>Earth’s Future</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41AF8B92" w14:textId="3DAD473D" w:rsidR="00824D9D" w:rsidRDefault="00F95F8E" w:rsidP="00824D9D">
      <w:pPr>
        <w:spacing w:before="100" w:beforeAutospacing="1" w:after="100" w:afterAutospacing="1"/>
        <w:jc w:val="center"/>
        <w:rPr>
          <w:rFonts w:ascii="Myriad Pro" w:hAnsi="Myriad Pro"/>
          <w:b/>
          <w:sz w:val="22"/>
          <w:szCs w:val="22"/>
          <w:lang w:val="en-GB"/>
        </w:rPr>
      </w:pPr>
      <w:r w:rsidRPr="00064CD8">
        <w:rPr>
          <w:rFonts w:ascii="Myriad Pro" w:hAnsi="Myriad Pro"/>
          <w:b/>
          <w:sz w:val="22"/>
          <w:szCs w:val="22"/>
          <w:lang w:val="en-GB"/>
        </w:rPr>
        <w:t>Projecting Future Flood Losses to Com</w:t>
      </w:r>
      <w:r w:rsidR="00AA00B9">
        <w:rPr>
          <w:rFonts w:ascii="Myriad Pro" w:hAnsi="Myriad Pro"/>
          <w:b/>
          <w:sz w:val="22"/>
          <w:szCs w:val="22"/>
          <w:lang w:val="en-GB"/>
        </w:rPr>
        <w:t xml:space="preserve">pany </w:t>
      </w:r>
      <w:r w:rsidRPr="00064CD8">
        <w:rPr>
          <w:rFonts w:ascii="Myriad Pro" w:hAnsi="Myriad Pro"/>
          <w:b/>
          <w:sz w:val="22"/>
          <w:szCs w:val="22"/>
          <w:lang w:val="en-GB"/>
        </w:rPr>
        <w:t>Assets in Europe: The Role of Precautionary Measures</w:t>
      </w:r>
    </w:p>
    <w:p w14:paraId="149DB102" w14:textId="6307B688" w:rsidR="00824D9D" w:rsidRPr="00064CD8" w:rsidRDefault="00824D9D" w:rsidP="00824D9D">
      <w:pPr>
        <w:spacing w:before="100" w:beforeAutospacing="1" w:after="100" w:afterAutospacing="1"/>
        <w:jc w:val="center"/>
        <w:rPr>
          <w:rFonts w:ascii="Myriad Pro" w:hAnsi="Myriad Pro"/>
          <w:b/>
          <w:sz w:val="22"/>
          <w:szCs w:val="22"/>
          <w:lang w:val="en-GB"/>
        </w:rPr>
      </w:pPr>
      <w:r w:rsidRPr="00824D9D">
        <w:rPr>
          <w:b/>
          <w:szCs w:val="24"/>
        </w:rPr>
        <w:t xml:space="preserve"> </w:t>
      </w:r>
      <w:r w:rsidRPr="00064CD8">
        <w:rPr>
          <w:rFonts w:ascii="Myriad Pro" w:hAnsi="Myriad Pro"/>
          <w:bCs/>
          <w:sz w:val="22"/>
          <w:szCs w:val="22"/>
        </w:rPr>
        <w:t xml:space="preserve">Bhadra Devadas </w:t>
      </w:r>
      <w:r w:rsidRPr="00064CD8">
        <w:rPr>
          <w:rFonts w:ascii="Myriad Pro" w:hAnsi="Myriad Pro"/>
          <w:bCs/>
          <w:sz w:val="22"/>
          <w:szCs w:val="22"/>
          <w:vertAlign w:val="superscript"/>
        </w:rPr>
        <w:t>1,2</w:t>
      </w:r>
      <w:r w:rsidRPr="00064CD8">
        <w:rPr>
          <w:rFonts w:ascii="Myriad Pro" w:hAnsi="Myriad Pro"/>
          <w:bCs/>
          <w:sz w:val="22"/>
          <w:szCs w:val="22"/>
        </w:rPr>
        <w:t>, Dominik Paprotny</w:t>
      </w:r>
      <w:r w:rsidRPr="00064CD8">
        <w:rPr>
          <w:rFonts w:ascii="Myriad Pro" w:hAnsi="Myriad Pro"/>
          <w:bCs/>
          <w:sz w:val="22"/>
          <w:szCs w:val="22"/>
          <w:vertAlign w:val="superscript"/>
        </w:rPr>
        <w:t>3</w:t>
      </w:r>
      <w:r w:rsidR="00894A09">
        <w:rPr>
          <w:rFonts w:ascii="Myriad Pro" w:hAnsi="Myriad Pro"/>
          <w:bCs/>
          <w:sz w:val="22"/>
          <w:szCs w:val="22"/>
          <w:vertAlign w:val="superscript"/>
        </w:rPr>
        <w:t>,4</w:t>
      </w:r>
      <w:r w:rsidRPr="00064CD8">
        <w:rPr>
          <w:rFonts w:ascii="Myriad Pro" w:hAnsi="Myriad Pro"/>
          <w:bCs/>
          <w:sz w:val="22"/>
          <w:szCs w:val="22"/>
        </w:rPr>
        <w:t>, Heidi Kreibich</w:t>
      </w:r>
      <w:r w:rsidRPr="00064CD8">
        <w:rPr>
          <w:rFonts w:ascii="Myriad Pro" w:hAnsi="Myriad Pro"/>
          <w:bCs/>
          <w:sz w:val="22"/>
          <w:szCs w:val="22"/>
          <w:vertAlign w:val="superscript"/>
        </w:rPr>
        <w:t>1</w:t>
      </w:r>
      <w:r w:rsidRPr="00064CD8">
        <w:rPr>
          <w:rFonts w:ascii="Myriad Pro" w:hAnsi="Myriad Pro"/>
          <w:bCs/>
          <w:sz w:val="22"/>
          <w:szCs w:val="22"/>
        </w:rPr>
        <w:t>, Max Steinhausen</w:t>
      </w:r>
      <w:r w:rsidR="00894A09">
        <w:rPr>
          <w:rFonts w:ascii="Myriad Pro" w:hAnsi="Myriad Pro"/>
          <w:bCs/>
          <w:sz w:val="22"/>
          <w:szCs w:val="22"/>
          <w:vertAlign w:val="superscript"/>
        </w:rPr>
        <w:t>5</w:t>
      </w:r>
      <w:r w:rsidRPr="00064CD8">
        <w:rPr>
          <w:rFonts w:ascii="Myriad Pro" w:hAnsi="Myriad Pro"/>
          <w:bCs/>
          <w:sz w:val="22"/>
          <w:szCs w:val="22"/>
        </w:rPr>
        <w:t>, Laurens J.N. Oostwegel</w:t>
      </w:r>
      <w:r w:rsidR="00894A09">
        <w:rPr>
          <w:rFonts w:ascii="Myriad Pro" w:hAnsi="Myriad Pro"/>
          <w:bCs/>
          <w:sz w:val="22"/>
          <w:szCs w:val="22"/>
          <w:vertAlign w:val="superscript"/>
        </w:rPr>
        <w:t>6</w:t>
      </w:r>
      <w:r w:rsidRPr="00064CD8">
        <w:rPr>
          <w:rFonts w:ascii="Myriad Pro" w:hAnsi="Myriad Pro"/>
          <w:bCs/>
          <w:sz w:val="22"/>
          <w:szCs w:val="22"/>
        </w:rPr>
        <w:t>, Thijs Endendijk</w:t>
      </w:r>
      <w:r w:rsidR="00894A09">
        <w:rPr>
          <w:rFonts w:ascii="Myriad Pro" w:hAnsi="Myriad Pro"/>
          <w:bCs/>
          <w:sz w:val="22"/>
          <w:szCs w:val="22"/>
          <w:vertAlign w:val="superscript"/>
        </w:rPr>
        <w:t>7</w:t>
      </w:r>
      <w:r w:rsidRPr="00064CD8">
        <w:rPr>
          <w:rFonts w:ascii="Myriad Pro" w:hAnsi="Myriad Pro"/>
          <w:bCs/>
          <w:sz w:val="22"/>
          <w:szCs w:val="22"/>
        </w:rPr>
        <w:t>, Lukas Schoppa</w:t>
      </w:r>
      <w:r w:rsidR="00894A09">
        <w:rPr>
          <w:rFonts w:ascii="Myriad Pro" w:hAnsi="Myriad Pro"/>
          <w:bCs/>
          <w:sz w:val="22"/>
          <w:szCs w:val="22"/>
          <w:vertAlign w:val="superscript"/>
        </w:rPr>
        <w:t>8</w:t>
      </w:r>
      <w:r w:rsidRPr="00064CD8">
        <w:rPr>
          <w:rFonts w:ascii="Myriad Pro" w:hAnsi="Myriad Pro"/>
          <w:bCs/>
          <w:sz w:val="22"/>
          <w:szCs w:val="22"/>
        </w:rPr>
        <w:t>, Alessio Domeneghetti</w:t>
      </w:r>
      <w:r w:rsidR="00894A09">
        <w:rPr>
          <w:rFonts w:ascii="Myriad Pro" w:hAnsi="Myriad Pro"/>
          <w:bCs/>
          <w:sz w:val="22"/>
          <w:szCs w:val="22"/>
          <w:vertAlign w:val="superscript"/>
        </w:rPr>
        <w:t>9</w:t>
      </w:r>
      <w:r w:rsidRPr="00064CD8">
        <w:rPr>
          <w:rFonts w:ascii="Myriad Pro" w:hAnsi="Myriad Pro"/>
          <w:bCs/>
          <w:sz w:val="22"/>
          <w:szCs w:val="22"/>
        </w:rPr>
        <w:t>, Attilio Castellarin</w:t>
      </w:r>
      <w:r w:rsidR="00894A09">
        <w:rPr>
          <w:rFonts w:ascii="Myriad Pro" w:hAnsi="Myriad Pro"/>
          <w:bCs/>
          <w:sz w:val="22"/>
          <w:szCs w:val="22"/>
          <w:vertAlign w:val="superscript"/>
        </w:rPr>
        <w:t>9</w:t>
      </w:r>
      <w:r w:rsidRPr="00064CD8">
        <w:rPr>
          <w:rFonts w:ascii="Myriad Pro" w:hAnsi="Myriad Pro"/>
          <w:bCs/>
          <w:sz w:val="22"/>
          <w:szCs w:val="22"/>
        </w:rPr>
        <w:t>, Francesco Dottori</w:t>
      </w:r>
      <w:r w:rsidR="00894A09">
        <w:rPr>
          <w:rFonts w:ascii="Myriad Pro" w:hAnsi="Myriad Pro"/>
          <w:bCs/>
          <w:sz w:val="22"/>
          <w:szCs w:val="22"/>
          <w:vertAlign w:val="superscript"/>
        </w:rPr>
        <w:t>10</w:t>
      </w:r>
      <w:r w:rsidRPr="00064CD8">
        <w:rPr>
          <w:rFonts w:ascii="Myriad Pro" w:hAnsi="Myriad Pro"/>
          <w:bCs/>
          <w:sz w:val="22"/>
          <w:szCs w:val="22"/>
        </w:rPr>
        <w:t>, Claudia D'Angelo</w:t>
      </w:r>
      <w:r w:rsidRPr="00064CD8">
        <w:rPr>
          <w:rFonts w:ascii="Myriad Pro" w:hAnsi="Myriad Pro"/>
          <w:bCs/>
          <w:sz w:val="22"/>
          <w:szCs w:val="22"/>
          <w:vertAlign w:val="superscript"/>
        </w:rPr>
        <w:t>1</w:t>
      </w:r>
      <w:r w:rsidR="00894A09">
        <w:rPr>
          <w:rFonts w:ascii="Myriad Pro" w:hAnsi="Myriad Pro"/>
          <w:bCs/>
          <w:sz w:val="22"/>
          <w:szCs w:val="22"/>
          <w:vertAlign w:val="superscript"/>
        </w:rPr>
        <w:t>1</w:t>
      </w:r>
      <w:r w:rsidRPr="00064CD8">
        <w:rPr>
          <w:rFonts w:ascii="Myriad Pro" w:hAnsi="Myriad Pro"/>
          <w:bCs/>
          <w:sz w:val="22"/>
          <w:szCs w:val="22"/>
        </w:rPr>
        <w:t>, Lorenzo Mentaschi</w:t>
      </w:r>
      <w:r w:rsidRPr="00064CD8">
        <w:rPr>
          <w:rFonts w:ascii="Myriad Pro" w:hAnsi="Myriad Pro"/>
          <w:bCs/>
          <w:sz w:val="22"/>
          <w:szCs w:val="22"/>
          <w:vertAlign w:val="superscript"/>
        </w:rPr>
        <w:t>1</w:t>
      </w:r>
      <w:r w:rsidR="00894A09">
        <w:rPr>
          <w:rFonts w:ascii="Myriad Pro" w:hAnsi="Myriad Pro"/>
          <w:bCs/>
          <w:sz w:val="22"/>
          <w:szCs w:val="22"/>
          <w:vertAlign w:val="superscript"/>
        </w:rPr>
        <w:t>2</w:t>
      </w:r>
      <w:r w:rsidRPr="00064CD8">
        <w:rPr>
          <w:rFonts w:ascii="Myriad Pro" w:hAnsi="Myriad Pro"/>
          <w:bCs/>
          <w:sz w:val="22"/>
          <w:szCs w:val="22"/>
          <w:vertAlign w:val="superscript"/>
        </w:rPr>
        <w:t>,1</w:t>
      </w:r>
      <w:r w:rsidR="00894A09">
        <w:rPr>
          <w:rFonts w:ascii="Myriad Pro" w:hAnsi="Myriad Pro"/>
          <w:bCs/>
          <w:sz w:val="22"/>
          <w:szCs w:val="22"/>
          <w:vertAlign w:val="superscript"/>
        </w:rPr>
        <w:t>3</w:t>
      </w:r>
      <w:r w:rsidRPr="00064CD8">
        <w:rPr>
          <w:rFonts w:ascii="Myriad Pro" w:hAnsi="Myriad Pro"/>
          <w:bCs/>
          <w:sz w:val="22"/>
          <w:szCs w:val="22"/>
        </w:rPr>
        <w:t>, Soumendra Nath Kuiry</w:t>
      </w:r>
      <w:r w:rsidRPr="00064CD8">
        <w:rPr>
          <w:rFonts w:ascii="Myriad Pro" w:hAnsi="Myriad Pro"/>
          <w:bCs/>
          <w:sz w:val="22"/>
          <w:szCs w:val="22"/>
          <w:vertAlign w:val="superscript"/>
        </w:rPr>
        <w:t>2</w:t>
      </w:r>
      <w:r w:rsidRPr="00064CD8">
        <w:rPr>
          <w:rFonts w:ascii="Myriad Pro" w:hAnsi="Myriad Pro"/>
          <w:bCs/>
          <w:sz w:val="22"/>
          <w:szCs w:val="22"/>
        </w:rPr>
        <w:t>, Nivedita Sairam</w:t>
      </w:r>
      <w:r w:rsidRPr="00064CD8">
        <w:rPr>
          <w:rFonts w:ascii="Myriad Pro" w:hAnsi="Myriad Pro"/>
          <w:bCs/>
          <w:sz w:val="22"/>
          <w:szCs w:val="22"/>
          <w:vertAlign w:val="superscript"/>
        </w:rPr>
        <w:t>1</w:t>
      </w:r>
    </w:p>
    <w:p w14:paraId="18109E60" w14:textId="742499FF" w:rsidR="00824D9D" w:rsidRPr="00064CD8" w:rsidRDefault="00894A09" w:rsidP="00824D9D">
      <w:pPr>
        <w:spacing w:before="120"/>
        <w:jc w:val="center"/>
        <w:rPr>
          <w:szCs w:val="24"/>
          <w:highlight w:val="yellow"/>
        </w:rPr>
      </w:pPr>
      <w:r w:rsidRPr="00894A09">
        <w:rPr>
          <w:rFonts w:ascii="Myriad Pro" w:hAnsi="Myriad Pro"/>
          <w:sz w:val="18"/>
          <w:szCs w:val="18"/>
          <w:vertAlign w:val="superscript"/>
        </w:rPr>
        <w:t xml:space="preserve">1 </w:t>
      </w:r>
      <w:r w:rsidRPr="00894A09">
        <w:rPr>
          <w:rFonts w:ascii="Myriad Pro" w:hAnsi="Myriad Pro"/>
          <w:sz w:val="18"/>
          <w:szCs w:val="18"/>
        </w:rPr>
        <w:t xml:space="preserve">Section 4.4 Hydrology, GFZ German Research Centre for Geosciences, 14473 Potsdam, Germany; </w:t>
      </w:r>
      <w:r w:rsidRPr="00894A09">
        <w:rPr>
          <w:rFonts w:ascii="Myriad Pro" w:hAnsi="Myriad Pro"/>
          <w:sz w:val="18"/>
          <w:szCs w:val="18"/>
          <w:vertAlign w:val="superscript"/>
        </w:rPr>
        <w:t xml:space="preserve">2 </w:t>
      </w:r>
      <w:r w:rsidRPr="00894A09">
        <w:rPr>
          <w:rFonts w:ascii="Myriad Pro" w:hAnsi="Myriad Pro"/>
          <w:sz w:val="18"/>
          <w:szCs w:val="18"/>
        </w:rPr>
        <w:t xml:space="preserve"> Hydraulic and Water Resources Engineering, Department of Civil Engineering, Indian Institute of Technology Madras, Chennai, Tamil Nadu - 600036, India; </w:t>
      </w:r>
      <w:r w:rsidRPr="00894A09">
        <w:rPr>
          <w:rFonts w:ascii="Myriad Pro" w:hAnsi="Myriad Pro"/>
          <w:sz w:val="18"/>
          <w:szCs w:val="18"/>
          <w:vertAlign w:val="superscript"/>
        </w:rPr>
        <w:t xml:space="preserve">3 </w:t>
      </w:r>
      <w:r w:rsidRPr="00894A09">
        <w:rPr>
          <w:rFonts w:ascii="Myriad Pro" w:hAnsi="Myriad Pro"/>
          <w:sz w:val="18"/>
          <w:szCs w:val="18"/>
        </w:rPr>
        <w:t>Research Department Transformation Pathways, Potsdam Institute for Climate Impact Research (PIK), Member of the Leibniz Association, 14473 Potsdam, Germany;</w:t>
      </w:r>
      <w:r w:rsidRPr="00894A09">
        <w:rPr>
          <w:rFonts w:ascii="Myriad Pro" w:hAnsi="Myriad Pro"/>
          <w:sz w:val="18"/>
          <w:szCs w:val="18"/>
          <w:vertAlign w:val="superscript"/>
        </w:rPr>
        <w:t xml:space="preserve"> 4</w:t>
      </w:r>
      <w:r w:rsidRPr="00894A09">
        <w:rPr>
          <w:rFonts w:ascii="Myriad Pro" w:hAnsi="Myriad Pro"/>
          <w:sz w:val="18"/>
          <w:szCs w:val="18"/>
        </w:rPr>
        <w:t xml:space="preserve"> Institute of Marine and Environmental Sciences, University of Szczecin, Mickiewicza 16, 70-383 Szczecin, Poland; </w:t>
      </w:r>
      <w:r w:rsidRPr="00894A09">
        <w:rPr>
          <w:rFonts w:ascii="Myriad Pro" w:hAnsi="Myriad Pro"/>
          <w:sz w:val="18"/>
          <w:szCs w:val="18"/>
          <w:vertAlign w:val="superscript"/>
        </w:rPr>
        <w:t xml:space="preserve">5 </w:t>
      </w:r>
      <w:r w:rsidRPr="00894A09">
        <w:rPr>
          <w:rFonts w:ascii="Myriad Pro" w:hAnsi="Myriad Pro"/>
          <w:sz w:val="18"/>
          <w:szCs w:val="18"/>
        </w:rPr>
        <w:t xml:space="preserve">Leichtweiß-Institute for Hydraulic Engineering and Water Resources, Division Hydrology and River Basin Management, Technische Universität Braunschweig, Braunschweig, Germany; </w:t>
      </w:r>
      <w:r w:rsidRPr="00894A09">
        <w:rPr>
          <w:rFonts w:ascii="Myriad Pro" w:hAnsi="Myriad Pro"/>
          <w:sz w:val="18"/>
          <w:szCs w:val="18"/>
          <w:vertAlign w:val="superscript"/>
        </w:rPr>
        <w:t xml:space="preserve">6 </w:t>
      </w:r>
      <w:r w:rsidRPr="00894A09">
        <w:rPr>
          <w:rFonts w:ascii="Myriad Pro" w:hAnsi="Myriad Pro"/>
          <w:sz w:val="18"/>
          <w:szCs w:val="18"/>
        </w:rPr>
        <w:t xml:space="preserve">Seismic Hazard and Risk Dynamics, GFZ German Research Centre for Geosciences, Potsdam, Germany; </w:t>
      </w:r>
      <w:r w:rsidRPr="00894A09">
        <w:rPr>
          <w:rFonts w:ascii="Myriad Pro" w:hAnsi="Myriad Pro"/>
          <w:sz w:val="18"/>
          <w:szCs w:val="18"/>
          <w:vertAlign w:val="superscript"/>
        </w:rPr>
        <w:t xml:space="preserve">7 </w:t>
      </w:r>
      <w:r w:rsidRPr="00894A09">
        <w:rPr>
          <w:rFonts w:ascii="Myriad Pro" w:hAnsi="Myriad Pro"/>
          <w:sz w:val="18"/>
          <w:szCs w:val="18"/>
        </w:rPr>
        <w:t xml:space="preserve">Institute for Environmental Studies (IVM), Vrije Universiteit Amsterdam, Amsterdam, the Netherlands; </w:t>
      </w:r>
      <w:r w:rsidRPr="00894A09">
        <w:rPr>
          <w:rFonts w:ascii="Myriad Pro" w:hAnsi="Myriad Pro"/>
          <w:sz w:val="18"/>
          <w:szCs w:val="18"/>
          <w:vertAlign w:val="superscript"/>
        </w:rPr>
        <w:t>8</w:t>
      </w:r>
      <w:r w:rsidRPr="00894A09">
        <w:rPr>
          <w:rFonts w:ascii="Myriad Pro" w:hAnsi="Myriad Pro"/>
          <w:sz w:val="18"/>
          <w:szCs w:val="18"/>
        </w:rPr>
        <w:t xml:space="preserve"> Munich Reinsurance Company, Königinstr. 107, 80802 Munich, Germany;</w:t>
      </w:r>
      <w:r w:rsidRPr="00894A09">
        <w:rPr>
          <w:rFonts w:ascii="Myriad Pro" w:hAnsi="Myriad Pro"/>
          <w:sz w:val="18"/>
          <w:szCs w:val="18"/>
          <w:vertAlign w:val="superscript"/>
        </w:rPr>
        <w:t xml:space="preserve"> 9</w:t>
      </w:r>
      <w:r w:rsidRPr="00894A09">
        <w:rPr>
          <w:rFonts w:ascii="Myriad Pro" w:hAnsi="Myriad Pro"/>
          <w:sz w:val="18"/>
          <w:szCs w:val="18"/>
        </w:rPr>
        <w:t xml:space="preserve"> Department of Civil, Chemical, Environmental and Materials Engineering, Alma Mater Studiorum Università di Bologna, 40136 Bologna, Italy; </w:t>
      </w:r>
      <w:r w:rsidRPr="00894A09">
        <w:rPr>
          <w:rFonts w:ascii="Myriad Pro" w:hAnsi="Myriad Pro"/>
          <w:sz w:val="18"/>
          <w:szCs w:val="18"/>
          <w:vertAlign w:val="superscript"/>
        </w:rPr>
        <w:t xml:space="preserve">10 </w:t>
      </w:r>
      <w:r w:rsidRPr="00894A09">
        <w:rPr>
          <w:rFonts w:ascii="Myriad Pro" w:hAnsi="Myriad Pro"/>
          <w:sz w:val="18"/>
          <w:szCs w:val="18"/>
        </w:rPr>
        <w:t xml:space="preserve"> University School for Advanced Studies (IUSS), 27100 Pavia, Italy; </w:t>
      </w:r>
      <w:r w:rsidRPr="00894A09">
        <w:rPr>
          <w:rFonts w:ascii="Myriad Pro" w:hAnsi="Myriad Pro"/>
          <w:sz w:val="18"/>
          <w:szCs w:val="18"/>
          <w:vertAlign w:val="superscript"/>
        </w:rPr>
        <w:t>11</w:t>
      </w:r>
      <w:r w:rsidRPr="00894A09">
        <w:rPr>
          <w:rFonts w:ascii="Myriad Pro" w:hAnsi="Myriad Pro"/>
          <w:sz w:val="18"/>
          <w:szCs w:val="18"/>
        </w:rPr>
        <w:t xml:space="preserve"> European Commission, Joint Research Centre, Via E. Fermi 2749, 21027 Ispra, Italy;</w:t>
      </w:r>
      <w:r w:rsidRPr="00894A09">
        <w:rPr>
          <w:rFonts w:ascii="Myriad Pro" w:hAnsi="Myriad Pro"/>
          <w:sz w:val="18"/>
          <w:szCs w:val="18"/>
          <w:vertAlign w:val="superscript"/>
        </w:rPr>
        <w:t xml:space="preserve"> 12</w:t>
      </w:r>
      <w:r w:rsidRPr="00894A09">
        <w:rPr>
          <w:rFonts w:ascii="Myriad Pro" w:hAnsi="Myriad Pro"/>
          <w:sz w:val="18"/>
          <w:szCs w:val="18"/>
        </w:rPr>
        <w:t xml:space="preserve"> Department of Physics and Astronomy (DIFA), University of Bologna, 40127 Bologna, Italy; </w:t>
      </w:r>
      <w:r w:rsidRPr="00894A09">
        <w:rPr>
          <w:rFonts w:ascii="Myriad Pro" w:hAnsi="Myriad Pro"/>
          <w:sz w:val="18"/>
          <w:szCs w:val="18"/>
          <w:vertAlign w:val="superscript"/>
        </w:rPr>
        <w:t>13</w:t>
      </w:r>
      <w:r w:rsidRPr="00894A09">
        <w:rPr>
          <w:rFonts w:ascii="Myriad Pro" w:hAnsi="Myriad Pro"/>
          <w:sz w:val="18"/>
          <w:szCs w:val="18"/>
        </w:rPr>
        <w:t xml:space="preserve"> CMCC Foundation - Euro-Mediterranean Center on Climate Change, Italy;</w:t>
      </w:r>
    </w:p>
    <w:p w14:paraId="085EF493" w14:textId="77777777" w:rsidR="00350BFC" w:rsidRDefault="00350BFC" w:rsidP="00F95F8E">
      <w:pPr>
        <w:spacing w:before="120"/>
        <w:rPr>
          <w:rFonts w:ascii="Myriad Pro" w:hAnsi="Myriad Pro"/>
          <w:sz w:val="18"/>
          <w:szCs w:val="18"/>
        </w:rPr>
      </w:pPr>
    </w:p>
    <w:p w14:paraId="347237BD" w14:textId="12078550" w:rsidR="00094365" w:rsidRPr="000A4C1B" w:rsidRDefault="00F95F8E" w:rsidP="000A4C1B">
      <w:pPr>
        <w:spacing w:before="100" w:beforeAutospacing="1" w:after="100" w:afterAutospacing="1"/>
        <w:rPr>
          <w:rFonts w:ascii="Myriad Pro" w:hAnsi="Myriad Pro"/>
          <w:bCs/>
          <w:sz w:val="22"/>
          <w:szCs w:val="22"/>
        </w:rPr>
      </w:pPr>
      <w:r w:rsidRPr="00064CD8">
        <w:rPr>
          <w:rFonts w:ascii="Myriad Pro" w:hAnsi="Myriad Pro"/>
          <w:bCs/>
          <w:sz w:val="22"/>
          <w:szCs w:val="22"/>
        </w:rPr>
        <w:t>Corresponding author: Nivedita Sairam (</w:t>
      </w:r>
      <w:hyperlink r:id="rId8" w:history="1">
        <w:r w:rsidRPr="00064CD8">
          <w:rPr>
            <w:rFonts w:ascii="Myriad Pro" w:hAnsi="Myriad Pro"/>
            <w:bCs/>
            <w:sz w:val="22"/>
            <w:szCs w:val="22"/>
          </w:rPr>
          <w:t>nivedita@gfz.de</w:t>
        </w:r>
      </w:hyperlink>
      <w:r w:rsidRPr="00064CD8">
        <w:rPr>
          <w:rFonts w:ascii="Myriad Pro" w:hAnsi="Myriad Pro"/>
          <w:bCs/>
          <w:sz w:val="22"/>
          <w:szCs w:val="22"/>
        </w:rPr>
        <w:t>), Soumendra Nath Kuiry (</w:t>
      </w:r>
      <w:hyperlink r:id="rId9" w:history="1">
        <w:r w:rsidRPr="00064CD8">
          <w:rPr>
            <w:rFonts w:ascii="Myriad Pro" w:hAnsi="Myriad Pro"/>
            <w:bCs/>
            <w:sz w:val="22"/>
            <w:szCs w:val="22"/>
          </w:rPr>
          <w:t>snkuiry@civil.iitm.ac.in</w:t>
        </w:r>
      </w:hyperlink>
      <w:r w:rsidRPr="00064CD8">
        <w:rPr>
          <w:rFonts w:ascii="Myriad Pro" w:hAnsi="Myriad Pro"/>
          <w:bCs/>
          <w:sz w:val="22"/>
          <w:szCs w:val="22"/>
        </w:rPr>
        <w:t xml:space="preserve">)  </w:t>
      </w:r>
    </w:p>
    <w:p w14:paraId="1F13291B" w14:textId="49FF0EE0" w:rsidR="00E43D2D"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0E3C53DE" w14:textId="77777777" w:rsidR="00A827BF" w:rsidRPr="00A827BF" w:rsidRDefault="00A827BF" w:rsidP="00111843">
      <w:pPr>
        <w:rPr>
          <w:rFonts w:ascii="Myriad Pro" w:hAnsi="Myriad Pro"/>
          <w:b/>
        </w:rPr>
      </w:pPr>
    </w:p>
    <w:p w14:paraId="3D1CAEA0" w14:textId="7821E9BB" w:rsidR="00111843" w:rsidRDefault="00F118B0" w:rsidP="00111843">
      <w:pPr>
        <w:ind w:left="720"/>
        <w:rPr>
          <w:rFonts w:ascii="Myriad Pro" w:hAnsi="Myriad Pro"/>
          <w:sz w:val="22"/>
          <w:szCs w:val="22"/>
        </w:rPr>
      </w:pPr>
      <w:r>
        <w:rPr>
          <w:rFonts w:ascii="Myriad Pro" w:hAnsi="Myriad Pro"/>
          <w:sz w:val="22"/>
          <w:szCs w:val="22"/>
        </w:rPr>
        <w:t xml:space="preserve">S1 Exposure: Disaggregation of Equipemnt </w:t>
      </w:r>
      <w:r w:rsidR="00A827BF">
        <w:rPr>
          <w:rFonts w:ascii="Myriad Pro" w:hAnsi="Myriad Pro"/>
          <w:sz w:val="22"/>
          <w:szCs w:val="22"/>
        </w:rPr>
        <w:t>values</w:t>
      </w:r>
    </w:p>
    <w:p w14:paraId="4162BC65" w14:textId="44EBBEA8" w:rsidR="00A827BF" w:rsidRPr="00CE6EAA" w:rsidRDefault="00A827BF" w:rsidP="00111843">
      <w:pPr>
        <w:ind w:left="720"/>
        <w:rPr>
          <w:rFonts w:ascii="Myriad Pro" w:hAnsi="Myriad Pro"/>
          <w:sz w:val="22"/>
          <w:szCs w:val="22"/>
        </w:rPr>
      </w:pPr>
      <w:r>
        <w:rPr>
          <w:rFonts w:ascii="Myriad Pro" w:hAnsi="Myriad Pro"/>
          <w:sz w:val="22"/>
          <w:szCs w:val="22"/>
        </w:rPr>
        <w:t>S2 BN-FLEMOcs</w:t>
      </w:r>
    </w:p>
    <w:p w14:paraId="795CD27E" w14:textId="31227B47" w:rsidR="00111843" w:rsidRDefault="00111843" w:rsidP="000A4C1B">
      <w:pPr>
        <w:ind w:left="720"/>
        <w:rPr>
          <w:rFonts w:ascii="Myriad Pro" w:hAnsi="Myriad Pro"/>
          <w:sz w:val="22"/>
          <w:szCs w:val="22"/>
        </w:rPr>
      </w:pPr>
      <w:r w:rsidRPr="00CE6EAA">
        <w:rPr>
          <w:rFonts w:ascii="Myriad Pro" w:hAnsi="Myriad Pro"/>
          <w:sz w:val="22"/>
          <w:szCs w:val="22"/>
        </w:rPr>
        <w:t>Table S1</w:t>
      </w:r>
      <w:r w:rsidR="00A827BF">
        <w:rPr>
          <w:rFonts w:ascii="Myriad Pro" w:hAnsi="Myriad Pro"/>
          <w:sz w:val="22"/>
          <w:szCs w:val="22"/>
        </w:rPr>
        <w:t xml:space="preserve">: </w:t>
      </w:r>
      <w:r w:rsidR="00A827BF" w:rsidRPr="000513FF">
        <w:rPr>
          <w:rFonts w:ascii="Myriad Pro" w:hAnsi="Myriad Pro"/>
          <w:sz w:val="22"/>
          <w:szCs w:val="22"/>
        </w:rPr>
        <w:t>NACE activity and sector mapping</w:t>
      </w:r>
      <w:r w:rsidRPr="00CE6EAA">
        <w:rPr>
          <w:rFonts w:ascii="Myriad Pro" w:hAnsi="Myriad Pro"/>
          <w:sz w:val="22"/>
          <w:szCs w:val="22"/>
        </w:rPr>
        <w:t xml:space="preserve"> </w:t>
      </w:r>
    </w:p>
    <w:p w14:paraId="0F8C2DEA" w14:textId="7E24C9EE" w:rsidR="00A827BF" w:rsidRPr="000A4C1B" w:rsidRDefault="00A827BF" w:rsidP="000A4C1B">
      <w:pPr>
        <w:ind w:left="720"/>
        <w:rPr>
          <w:rFonts w:ascii="Myriad Pro" w:hAnsi="Myriad Pro"/>
          <w:sz w:val="22"/>
          <w:szCs w:val="22"/>
        </w:rPr>
      </w:pPr>
      <w:r>
        <w:rPr>
          <w:rFonts w:ascii="Myriad Pro" w:hAnsi="Myriad Pro"/>
          <w:sz w:val="22"/>
          <w:szCs w:val="22"/>
        </w:rPr>
        <w:t xml:space="preserve">Table S2: </w:t>
      </w:r>
      <w:r w:rsidRPr="001D108B">
        <w:rPr>
          <w:rFonts w:ascii="Myriad Pro" w:hAnsi="Myriad Pro"/>
          <w:sz w:val="22"/>
        </w:rPr>
        <w:t>Transfer validation of BN-FLEMOcs</w:t>
      </w:r>
    </w:p>
    <w:p w14:paraId="79042C92" w14:textId="77777777" w:rsidR="00FF3503" w:rsidRPr="00CE6EAA" w:rsidRDefault="00FF3503" w:rsidP="00AA00B9">
      <w:pPr>
        <w:spacing w:before="100" w:beforeAutospacing="1" w:after="100" w:afterAutospacing="1"/>
        <w:jc w:val="both"/>
        <w:rPr>
          <w:rFonts w:ascii="Myriad Pro" w:hAnsi="Myriad Pro"/>
          <w:b/>
          <w:szCs w:val="24"/>
        </w:rPr>
      </w:pPr>
      <w:r w:rsidRPr="00CE6EAA">
        <w:rPr>
          <w:rFonts w:ascii="Myriad Pro" w:hAnsi="Myriad Pro"/>
          <w:b/>
          <w:bCs/>
          <w:szCs w:val="24"/>
        </w:rPr>
        <w:t>Introduction</w:t>
      </w:r>
      <w:r w:rsidRPr="00CE6EAA">
        <w:rPr>
          <w:rFonts w:ascii="Myriad Pro" w:hAnsi="Myriad Pro"/>
          <w:b/>
          <w:szCs w:val="24"/>
        </w:rPr>
        <w:t xml:space="preserve"> </w:t>
      </w:r>
    </w:p>
    <w:p w14:paraId="60B3D0B6" w14:textId="77777777" w:rsidR="00431700" w:rsidRPr="00431700" w:rsidRDefault="00431700" w:rsidP="00AA00B9">
      <w:pPr>
        <w:pStyle w:val="SMText"/>
        <w:jc w:val="both"/>
        <w:rPr>
          <w:rFonts w:ascii="Myriad Pro" w:hAnsi="Myriad Pro"/>
          <w:sz w:val="22"/>
        </w:rPr>
      </w:pPr>
      <w:r w:rsidRPr="00431700">
        <w:rPr>
          <w:rFonts w:ascii="Myriad Pro" w:hAnsi="Myriad Pro"/>
          <w:sz w:val="22"/>
        </w:rPr>
        <w:t xml:space="preserve">This supplementary information provides an in-depth overview of the methodology, data processing, and validation of the BN-FLEMOcs model, which aims to estimate flood damage to buildings and equipment across different European regions. The data processing involved allocating equipment values across NUTS 3 regions based on regional Gross Value Added (GVA) and further disaggregating them by structural building values. Precautionary measures were estimated using historical flood experience data from the </w:t>
      </w:r>
      <w:r w:rsidRPr="00431700">
        <w:rPr>
          <w:rFonts w:ascii="Myriad Pro" w:hAnsi="Myriad Pro"/>
          <w:sz w:val="22"/>
        </w:rPr>
        <w:lastRenderedPageBreak/>
        <w:t xml:space="preserve">HANZE dataset, covering flood occurrences between 1981 and 1995. Information on private precautionary actions was included, with values ranging from 0 to 1, representing the extent of preventive measures taken before the flood. </w:t>
      </w:r>
    </w:p>
    <w:p w14:paraId="6D5ABF64" w14:textId="77777777" w:rsidR="00431700" w:rsidRPr="00431700" w:rsidRDefault="00431700" w:rsidP="00AA00B9">
      <w:pPr>
        <w:pStyle w:val="SMText"/>
        <w:jc w:val="both"/>
        <w:rPr>
          <w:rFonts w:ascii="Myriad Pro" w:hAnsi="Myriad Pro"/>
          <w:sz w:val="22"/>
        </w:rPr>
      </w:pPr>
      <w:r w:rsidRPr="00431700">
        <w:rPr>
          <w:rFonts w:ascii="Myriad Pro" w:hAnsi="Myriad Pro"/>
          <w:sz w:val="22"/>
        </w:rPr>
        <w:t>The transfer of the BN-FLEMOcs model to the entire Europe was validated using detailed flood damage records from Italy and the Netherlands case studies. In Italy, the Secchia Floods 2014 provided detailed geolocated damage records for businesses, allowing for precise estimations of flood losses. Similarly, survey data from the Netherlands' 2021 floods helped to validate the model's predictions for affected companies.</w:t>
      </w:r>
    </w:p>
    <w:p w14:paraId="5707CBA5" w14:textId="77777777" w:rsidR="00431700" w:rsidRPr="00431700" w:rsidRDefault="00431700" w:rsidP="00AA00B9">
      <w:pPr>
        <w:pStyle w:val="SMText"/>
        <w:jc w:val="both"/>
        <w:rPr>
          <w:rFonts w:ascii="Myriad Pro" w:hAnsi="Myriad Pro"/>
          <w:sz w:val="22"/>
        </w:rPr>
      </w:pPr>
      <w:r w:rsidRPr="00431700">
        <w:rPr>
          <w:rFonts w:ascii="Myriad Pro" w:hAnsi="Myriad Pro"/>
          <w:sz w:val="22"/>
        </w:rPr>
        <w:t>In regions where equipment values were not directly available, net values were used instead, which could introduce some degree of approximation in the data. Despite these limitations, the model has demonstrated its ability to provide valuable flood damage predictions across multiple countries, showcasing its transferability and applicability to a wide range of European regions.</w:t>
      </w:r>
    </w:p>
    <w:p w14:paraId="2D557C1A" w14:textId="107797D0" w:rsidR="00807BE5" w:rsidRPr="00BC6C7E" w:rsidRDefault="00807BE5" w:rsidP="00AA00B9">
      <w:pPr>
        <w:pStyle w:val="SMHeading"/>
        <w:jc w:val="both"/>
        <w:rPr>
          <w:rFonts w:ascii="Myriad Pro" w:hAnsi="Myriad Pro"/>
          <w:sz w:val="22"/>
          <w:szCs w:val="22"/>
        </w:rPr>
      </w:pPr>
      <w:r w:rsidRPr="00BC6C7E">
        <w:rPr>
          <w:rFonts w:ascii="Myriad Pro" w:hAnsi="Myriad Pro"/>
          <w:sz w:val="22"/>
          <w:szCs w:val="22"/>
        </w:rPr>
        <w:t>S1. Exposure: Disaggregation of Equipment values</w:t>
      </w:r>
    </w:p>
    <w:p w14:paraId="4386C537" w14:textId="77777777" w:rsidR="00807BE5" w:rsidRPr="00807BE5" w:rsidRDefault="00807BE5" w:rsidP="00AA00B9">
      <w:pPr>
        <w:ind w:left="360"/>
        <w:jc w:val="both"/>
        <w:rPr>
          <w:b/>
        </w:rPr>
      </w:pPr>
    </w:p>
    <w:p w14:paraId="2B5F0C53" w14:textId="77777777" w:rsidR="004021E9" w:rsidRDefault="00807BE5" w:rsidP="00AA00B9">
      <w:pPr>
        <w:pStyle w:val="SMText"/>
        <w:jc w:val="both"/>
        <w:rPr>
          <w:rFonts w:ascii="Myriad Pro" w:hAnsi="Myriad Pro"/>
          <w:sz w:val="22"/>
          <w:szCs w:val="22"/>
        </w:rPr>
      </w:pPr>
      <w:r w:rsidRPr="00BC6C7E">
        <w:rPr>
          <w:rFonts w:ascii="Myriad Pro" w:hAnsi="Myriad Pro"/>
          <w:sz w:val="22"/>
          <w:szCs w:val="22"/>
        </w:rPr>
        <w:t xml:space="preserve">The equipment values are associated with each NACE rev. 2 activity for each country. NACE activity type and corresponding sector category are shown in Table S1. </w:t>
      </w:r>
    </w:p>
    <w:p w14:paraId="021230AF" w14:textId="77777777" w:rsidR="00143068" w:rsidRPr="00BC6C7E" w:rsidRDefault="00143068" w:rsidP="00AA00B9">
      <w:pPr>
        <w:pStyle w:val="SMText"/>
        <w:jc w:val="both"/>
        <w:rPr>
          <w:rFonts w:ascii="Myriad Pro" w:hAnsi="Myriad Pro"/>
          <w:sz w:val="22"/>
          <w:szCs w:val="22"/>
        </w:rPr>
      </w:pPr>
    </w:p>
    <w:p w14:paraId="1244AAA0" w14:textId="240616DD" w:rsidR="00807BE5" w:rsidRPr="000513FF" w:rsidRDefault="00807BE5" w:rsidP="00AA00B9">
      <w:pPr>
        <w:pStyle w:val="SMcaption"/>
        <w:jc w:val="both"/>
        <w:rPr>
          <w:rFonts w:ascii="Myriad Pro" w:hAnsi="Myriad Pro"/>
          <w:sz w:val="22"/>
          <w:szCs w:val="22"/>
        </w:rPr>
      </w:pPr>
      <w:r w:rsidRPr="000513FF">
        <w:rPr>
          <w:rFonts w:ascii="Myriad Pro" w:hAnsi="Myriad Pro"/>
          <w:b/>
          <w:bCs/>
          <w:sz w:val="22"/>
          <w:szCs w:val="22"/>
        </w:rPr>
        <w:t xml:space="preserve">Table S1: </w:t>
      </w:r>
      <w:r w:rsidRPr="000513FF">
        <w:rPr>
          <w:rFonts w:ascii="Myriad Pro" w:hAnsi="Myriad Pro"/>
          <w:sz w:val="22"/>
          <w:szCs w:val="22"/>
        </w:rPr>
        <w:t>NACE activity and sector mapping</w:t>
      </w:r>
    </w:p>
    <w:p w14:paraId="3A650714" w14:textId="77777777" w:rsidR="000513FF" w:rsidRPr="000513FF" w:rsidRDefault="000513FF" w:rsidP="00AA00B9">
      <w:pPr>
        <w:pStyle w:val="SMcaption"/>
        <w:jc w:val="both"/>
        <w:rPr>
          <w:rFonts w:ascii="Myriad Pro" w:hAnsi="Myriad Pro"/>
          <w:b/>
          <w:bCs/>
          <w:sz w:val="22"/>
          <w:szCs w:val="22"/>
        </w:rPr>
      </w:pPr>
    </w:p>
    <w:tbl>
      <w:tblPr>
        <w:tblW w:w="86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5"/>
        <w:gridCol w:w="4379"/>
        <w:gridCol w:w="1843"/>
      </w:tblGrid>
      <w:tr w:rsidR="00807BE5" w:rsidRPr="00BC6C7E" w14:paraId="6301F512" w14:textId="77777777" w:rsidTr="004021E9">
        <w:tc>
          <w:tcPr>
            <w:tcW w:w="2415" w:type="dxa"/>
            <w:shd w:val="clear" w:color="auto" w:fill="auto"/>
            <w:tcMar>
              <w:top w:w="100" w:type="dxa"/>
              <w:left w:w="100" w:type="dxa"/>
              <w:bottom w:w="100" w:type="dxa"/>
              <w:right w:w="100" w:type="dxa"/>
            </w:tcMar>
          </w:tcPr>
          <w:p w14:paraId="6F527FB5"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Code</w:t>
            </w:r>
          </w:p>
        </w:tc>
        <w:tc>
          <w:tcPr>
            <w:tcW w:w="4379" w:type="dxa"/>
            <w:shd w:val="clear" w:color="auto" w:fill="auto"/>
            <w:tcMar>
              <w:top w:w="100" w:type="dxa"/>
              <w:left w:w="100" w:type="dxa"/>
              <w:bottom w:w="100" w:type="dxa"/>
              <w:right w:w="100" w:type="dxa"/>
            </w:tcMar>
          </w:tcPr>
          <w:p w14:paraId="4AFA3CD0"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 xml:space="preserve">NACE activity </w:t>
            </w:r>
          </w:p>
        </w:tc>
        <w:tc>
          <w:tcPr>
            <w:tcW w:w="1843" w:type="dxa"/>
            <w:shd w:val="clear" w:color="auto" w:fill="auto"/>
            <w:tcMar>
              <w:top w:w="100" w:type="dxa"/>
              <w:left w:w="100" w:type="dxa"/>
              <w:bottom w:w="100" w:type="dxa"/>
              <w:right w:w="100" w:type="dxa"/>
            </w:tcMar>
          </w:tcPr>
          <w:p w14:paraId="7CFBCD5A"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Sector</w:t>
            </w:r>
          </w:p>
        </w:tc>
      </w:tr>
      <w:tr w:rsidR="00807BE5" w:rsidRPr="00BC6C7E" w14:paraId="35B4586A" w14:textId="77777777" w:rsidTr="004021E9">
        <w:tc>
          <w:tcPr>
            <w:tcW w:w="2415" w:type="dxa"/>
            <w:shd w:val="clear" w:color="auto" w:fill="auto"/>
            <w:tcMar>
              <w:top w:w="100" w:type="dxa"/>
              <w:left w:w="100" w:type="dxa"/>
              <w:bottom w:w="100" w:type="dxa"/>
              <w:right w:w="100" w:type="dxa"/>
            </w:tcMar>
          </w:tcPr>
          <w:p w14:paraId="5D23ABA6"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B-E</w:t>
            </w:r>
          </w:p>
        </w:tc>
        <w:tc>
          <w:tcPr>
            <w:tcW w:w="4379" w:type="dxa"/>
            <w:shd w:val="clear" w:color="auto" w:fill="auto"/>
            <w:tcMar>
              <w:top w:w="100" w:type="dxa"/>
              <w:left w:w="100" w:type="dxa"/>
              <w:bottom w:w="100" w:type="dxa"/>
              <w:right w:w="100" w:type="dxa"/>
            </w:tcMar>
          </w:tcPr>
          <w:p w14:paraId="3C7CDFAA"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Industry except for construction</w:t>
            </w:r>
          </w:p>
        </w:tc>
        <w:tc>
          <w:tcPr>
            <w:tcW w:w="1843" w:type="dxa"/>
            <w:shd w:val="clear" w:color="auto" w:fill="auto"/>
            <w:tcMar>
              <w:top w:w="100" w:type="dxa"/>
              <w:left w:w="100" w:type="dxa"/>
              <w:bottom w:w="100" w:type="dxa"/>
              <w:right w:w="100" w:type="dxa"/>
            </w:tcMar>
          </w:tcPr>
          <w:p w14:paraId="1D9D46DD"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Industrial</w:t>
            </w:r>
          </w:p>
        </w:tc>
      </w:tr>
      <w:tr w:rsidR="00807BE5" w:rsidRPr="00BC6C7E" w14:paraId="24B89A4C" w14:textId="77777777" w:rsidTr="004021E9">
        <w:trPr>
          <w:trHeight w:val="420"/>
        </w:trPr>
        <w:tc>
          <w:tcPr>
            <w:tcW w:w="2415" w:type="dxa"/>
            <w:shd w:val="clear" w:color="auto" w:fill="auto"/>
            <w:tcMar>
              <w:top w:w="100" w:type="dxa"/>
              <w:left w:w="100" w:type="dxa"/>
              <w:bottom w:w="100" w:type="dxa"/>
              <w:right w:w="100" w:type="dxa"/>
            </w:tcMar>
          </w:tcPr>
          <w:p w14:paraId="62B0A2F6"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F</w:t>
            </w:r>
          </w:p>
        </w:tc>
        <w:tc>
          <w:tcPr>
            <w:tcW w:w="4379" w:type="dxa"/>
            <w:shd w:val="clear" w:color="auto" w:fill="auto"/>
            <w:tcMar>
              <w:top w:w="100" w:type="dxa"/>
              <w:left w:w="100" w:type="dxa"/>
              <w:bottom w:w="100" w:type="dxa"/>
              <w:right w:w="100" w:type="dxa"/>
            </w:tcMar>
          </w:tcPr>
          <w:p w14:paraId="2D68AA02"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Construction</w:t>
            </w:r>
          </w:p>
        </w:tc>
        <w:tc>
          <w:tcPr>
            <w:tcW w:w="1843" w:type="dxa"/>
            <w:vMerge w:val="restart"/>
            <w:shd w:val="clear" w:color="auto" w:fill="auto"/>
            <w:tcMar>
              <w:top w:w="100" w:type="dxa"/>
              <w:left w:w="100" w:type="dxa"/>
              <w:bottom w:w="100" w:type="dxa"/>
              <w:right w:w="100" w:type="dxa"/>
            </w:tcMar>
          </w:tcPr>
          <w:p w14:paraId="234EE51F"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Commercial</w:t>
            </w:r>
          </w:p>
        </w:tc>
      </w:tr>
      <w:tr w:rsidR="00807BE5" w:rsidRPr="00BC6C7E" w14:paraId="6161B98C" w14:textId="77777777" w:rsidTr="004021E9">
        <w:trPr>
          <w:trHeight w:val="420"/>
        </w:trPr>
        <w:tc>
          <w:tcPr>
            <w:tcW w:w="2415" w:type="dxa"/>
            <w:shd w:val="clear" w:color="auto" w:fill="auto"/>
            <w:tcMar>
              <w:top w:w="100" w:type="dxa"/>
              <w:left w:w="100" w:type="dxa"/>
              <w:bottom w:w="100" w:type="dxa"/>
              <w:right w:w="100" w:type="dxa"/>
            </w:tcMar>
          </w:tcPr>
          <w:p w14:paraId="59042CC0"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G-J</w:t>
            </w:r>
          </w:p>
        </w:tc>
        <w:tc>
          <w:tcPr>
            <w:tcW w:w="4379" w:type="dxa"/>
            <w:shd w:val="clear" w:color="auto" w:fill="auto"/>
            <w:tcMar>
              <w:top w:w="100" w:type="dxa"/>
              <w:left w:w="100" w:type="dxa"/>
              <w:bottom w:w="100" w:type="dxa"/>
              <w:right w:w="100" w:type="dxa"/>
            </w:tcMar>
          </w:tcPr>
          <w:p w14:paraId="1035A51C"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Wholesale and retail trade; transport; accommodation and food service activities; information and communication</w:t>
            </w:r>
          </w:p>
        </w:tc>
        <w:tc>
          <w:tcPr>
            <w:tcW w:w="1843" w:type="dxa"/>
            <w:vMerge/>
            <w:shd w:val="clear" w:color="auto" w:fill="auto"/>
            <w:tcMar>
              <w:top w:w="100" w:type="dxa"/>
              <w:left w:w="100" w:type="dxa"/>
              <w:bottom w:w="100" w:type="dxa"/>
              <w:right w:w="100" w:type="dxa"/>
            </w:tcMar>
          </w:tcPr>
          <w:p w14:paraId="750BD11A" w14:textId="77777777" w:rsidR="00807BE5" w:rsidRPr="00BC6C7E" w:rsidRDefault="00807BE5" w:rsidP="00AA00B9">
            <w:pPr>
              <w:jc w:val="both"/>
            </w:pPr>
          </w:p>
        </w:tc>
      </w:tr>
      <w:tr w:rsidR="00807BE5" w:rsidRPr="00BC6C7E" w14:paraId="083DFD5A" w14:textId="77777777" w:rsidTr="004021E9">
        <w:trPr>
          <w:trHeight w:val="420"/>
        </w:trPr>
        <w:tc>
          <w:tcPr>
            <w:tcW w:w="2415" w:type="dxa"/>
            <w:shd w:val="clear" w:color="auto" w:fill="auto"/>
            <w:tcMar>
              <w:top w:w="100" w:type="dxa"/>
              <w:left w:w="100" w:type="dxa"/>
              <w:bottom w:w="100" w:type="dxa"/>
              <w:right w:w="100" w:type="dxa"/>
            </w:tcMar>
          </w:tcPr>
          <w:p w14:paraId="7D18074C"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K-N</w:t>
            </w:r>
          </w:p>
        </w:tc>
        <w:tc>
          <w:tcPr>
            <w:tcW w:w="4379" w:type="dxa"/>
            <w:shd w:val="clear" w:color="auto" w:fill="auto"/>
            <w:tcMar>
              <w:top w:w="100" w:type="dxa"/>
              <w:left w:w="100" w:type="dxa"/>
              <w:bottom w:w="100" w:type="dxa"/>
              <w:right w:w="100" w:type="dxa"/>
            </w:tcMar>
          </w:tcPr>
          <w:p w14:paraId="1DDCEDD7"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Financial and insurance activities; real estate activities; professional, scientific and technical activities; administrative and support service activities</w:t>
            </w:r>
          </w:p>
        </w:tc>
        <w:tc>
          <w:tcPr>
            <w:tcW w:w="1843" w:type="dxa"/>
            <w:vMerge/>
            <w:shd w:val="clear" w:color="auto" w:fill="auto"/>
            <w:tcMar>
              <w:top w:w="100" w:type="dxa"/>
              <w:left w:w="100" w:type="dxa"/>
              <w:bottom w:w="100" w:type="dxa"/>
              <w:right w:w="100" w:type="dxa"/>
            </w:tcMar>
          </w:tcPr>
          <w:p w14:paraId="3F9D1511" w14:textId="77777777" w:rsidR="00807BE5" w:rsidRPr="00BC6C7E" w:rsidRDefault="00807BE5" w:rsidP="00AA00B9">
            <w:pPr>
              <w:jc w:val="both"/>
            </w:pPr>
          </w:p>
        </w:tc>
      </w:tr>
      <w:tr w:rsidR="00807BE5" w:rsidRPr="00BC6C7E" w14:paraId="3B3E1E5D" w14:textId="77777777" w:rsidTr="004021E9">
        <w:trPr>
          <w:trHeight w:val="420"/>
        </w:trPr>
        <w:tc>
          <w:tcPr>
            <w:tcW w:w="2415" w:type="dxa"/>
            <w:shd w:val="clear" w:color="auto" w:fill="auto"/>
            <w:tcMar>
              <w:top w:w="100" w:type="dxa"/>
              <w:left w:w="100" w:type="dxa"/>
              <w:bottom w:w="100" w:type="dxa"/>
              <w:right w:w="100" w:type="dxa"/>
            </w:tcMar>
          </w:tcPr>
          <w:p w14:paraId="4D2D26CF"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O-U</w:t>
            </w:r>
          </w:p>
        </w:tc>
        <w:tc>
          <w:tcPr>
            <w:tcW w:w="4379" w:type="dxa"/>
            <w:shd w:val="clear" w:color="auto" w:fill="auto"/>
            <w:tcMar>
              <w:top w:w="100" w:type="dxa"/>
              <w:left w:w="100" w:type="dxa"/>
              <w:bottom w:w="100" w:type="dxa"/>
              <w:right w:w="100" w:type="dxa"/>
            </w:tcMar>
          </w:tcPr>
          <w:p w14:paraId="5836A71E" w14:textId="77777777" w:rsidR="00807BE5" w:rsidRPr="00DE6A5F" w:rsidRDefault="00807BE5" w:rsidP="00AA00B9">
            <w:pPr>
              <w:jc w:val="both"/>
              <w:rPr>
                <w:rFonts w:ascii="Myriad Pro" w:hAnsi="Myriad Pro"/>
                <w:sz w:val="22"/>
                <w:szCs w:val="22"/>
              </w:rPr>
            </w:pPr>
            <w:r w:rsidRPr="00DE6A5F">
              <w:rPr>
                <w:rFonts w:ascii="Myriad Pro" w:hAnsi="Myriad Pro"/>
                <w:sz w:val="22"/>
                <w:szCs w:val="22"/>
              </w:rPr>
              <w:t>Public administration and defence; compulsory social security; education; human health and social work activities; arts, entertainment and recreation, repair of household goods and other services</w:t>
            </w:r>
          </w:p>
        </w:tc>
        <w:tc>
          <w:tcPr>
            <w:tcW w:w="1843" w:type="dxa"/>
            <w:vMerge/>
            <w:shd w:val="clear" w:color="auto" w:fill="auto"/>
            <w:tcMar>
              <w:top w:w="100" w:type="dxa"/>
              <w:left w:w="100" w:type="dxa"/>
              <w:bottom w:w="100" w:type="dxa"/>
              <w:right w:w="100" w:type="dxa"/>
            </w:tcMar>
          </w:tcPr>
          <w:p w14:paraId="43B61486" w14:textId="77777777" w:rsidR="00807BE5" w:rsidRPr="00BC6C7E" w:rsidRDefault="00807BE5" w:rsidP="00AA00B9">
            <w:pPr>
              <w:jc w:val="both"/>
            </w:pPr>
          </w:p>
        </w:tc>
      </w:tr>
    </w:tbl>
    <w:p w14:paraId="591FACC7" w14:textId="77777777" w:rsidR="00807BE5" w:rsidRPr="00BC6C7E" w:rsidRDefault="00807BE5" w:rsidP="00AA00B9">
      <w:pPr>
        <w:pStyle w:val="SMText"/>
        <w:jc w:val="both"/>
        <w:rPr>
          <w:rFonts w:ascii="Myriad Pro" w:hAnsi="Myriad Pro"/>
          <w:sz w:val="22"/>
          <w:szCs w:val="22"/>
        </w:rPr>
      </w:pPr>
    </w:p>
    <w:p w14:paraId="4391587C" w14:textId="77777777" w:rsidR="004021E9" w:rsidRPr="00BC6C7E" w:rsidRDefault="004021E9" w:rsidP="00AA00B9">
      <w:pPr>
        <w:pStyle w:val="SMText"/>
        <w:jc w:val="both"/>
        <w:rPr>
          <w:rFonts w:ascii="Myriad Pro" w:hAnsi="Myriad Pro"/>
          <w:sz w:val="22"/>
          <w:szCs w:val="22"/>
        </w:rPr>
      </w:pPr>
      <w:r w:rsidRPr="00BC6C7E">
        <w:rPr>
          <w:rFonts w:ascii="Myriad Pro" w:hAnsi="Myriad Pro"/>
          <w:sz w:val="22"/>
          <w:szCs w:val="22"/>
        </w:rPr>
        <w:lastRenderedPageBreak/>
        <w:t>In cases where gross values for equipment were unavailable, such as for Ireland and Norway in 2015, net values were utilised as alternatives. The equipment values were distributed to each NUTS 3 region based on the gross value added (GVA) at basic prices for each NACE activity (nama_10r_3gva). Within each NUTS 3 region, these equipment values were further apportioned among buildings according to their respective structural values.</w:t>
      </w:r>
    </w:p>
    <w:p w14:paraId="39FC5E45" w14:textId="77777777" w:rsidR="004021E9" w:rsidRPr="00BC6C7E" w:rsidRDefault="004021E9" w:rsidP="00AA00B9">
      <w:pPr>
        <w:pStyle w:val="SMText"/>
        <w:jc w:val="both"/>
        <w:rPr>
          <w:rFonts w:ascii="Myriad Pro" w:hAnsi="Myriad Pro"/>
          <w:sz w:val="22"/>
          <w:szCs w:val="22"/>
        </w:rPr>
      </w:pPr>
    </w:p>
    <w:p w14:paraId="21B95303" w14:textId="77777777" w:rsidR="004021E9" w:rsidRPr="00BC6C7E" w:rsidRDefault="004021E9" w:rsidP="00AA00B9">
      <w:pPr>
        <w:pStyle w:val="SMText"/>
        <w:jc w:val="both"/>
        <w:rPr>
          <w:rFonts w:ascii="Myriad Pro" w:hAnsi="Myriad Pro"/>
          <w:sz w:val="22"/>
          <w:szCs w:val="22"/>
        </w:rPr>
      </w:pPr>
      <m:oMathPara>
        <m:oMathParaPr>
          <m:jc m:val="left"/>
        </m:oMathParaPr>
        <m:oMath>
          <m:r>
            <w:rPr>
              <w:rFonts w:ascii="Cambria Math" w:hAnsi="Cambria Math"/>
              <w:sz w:val="22"/>
              <w:szCs w:val="22"/>
            </w:rPr>
            <m:t>Equipment</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 3 </m:t>
          </m:r>
          <m:r>
            <w:rPr>
              <w:rFonts w:ascii="Cambria Math" w:hAnsi="Cambria Math"/>
              <w:sz w:val="22"/>
              <w:szCs w:val="22"/>
            </w:rPr>
            <m:t>region</m:t>
          </m:r>
          <m:r>
            <m:rPr>
              <m:sty m:val="p"/>
            </m:rPr>
            <w:rPr>
              <w:rFonts w:ascii="Cambria Math" w:hAnsi="Cambria Math"/>
              <w:sz w:val="22"/>
              <w:szCs w:val="22"/>
            </w:rPr>
            <m:t>=</m:t>
          </m:r>
          <m:r>
            <w:rPr>
              <w:rFonts w:ascii="Cambria Math" w:hAnsi="Cambria Math"/>
              <w:sz w:val="22"/>
              <w:szCs w:val="22"/>
            </w:rPr>
            <m:t>Equipment</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country</m:t>
          </m:r>
          <m:r>
            <m:rPr>
              <m:sty m:val="p"/>
            </m:rPr>
            <w:rPr>
              <w:rFonts w:ascii="Cambria Math" w:hAnsi="Cambria Math"/>
              <w:sz w:val="22"/>
              <w:szCs w:val="22"/>
            </w:rPr>
            <m:t xml:space="preserve">*  </m:t>
          </m:r>
          <m:f>
            <m:fPr>
              <m:ctrlPr>
                <w:rPr>
                  <w:rFonts w:ascii="Cambria Math" w:hAnsi="Cambria Math"/>
                  <w:sz w:val="22"/>
                  <w:szCs w:val="22"/>
                </w:rPr>
              </m:ctrlPr>
            </m:fPr>
            <m:num>
              <m:r>
                <w:rPr>
                  <w:rFonts w:ascii="Cambria Math" w:hAnsi="Cambria Math"/>
                  <w:sz w:val="22"/>
                  <w:szCs w:val="22"/>
                </w:rPr>
                <m:t>GVA</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 3 </m:t>
              </m:r>
              <m:r>
                <w:rPr>
                  <w:rFonts w:ascii="Cambria Math" w:hAnsi="Cambria Math"/>
                  <w:sz w:val="22"/>
                  <w:szCs w:val="22"/>
                </w:rPr>
                <m:t>region</m:t>
              </m:r>
            </m:num>
            <m:den>
              <m:r>
                <w:rPr>
                  <w:rFonts w:ascii="Cambria Math" w:hAnsi="Cambria Math"/>
                  <w:sz w:val="22"/>
                  <w:szCs w:val="22"/>
                </w:rPr>
                <m:t>GVA</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country</m:t>
              </m:r>
            </m:den>
          </m:f>
        </m:oMath>
      </m:oMathPara>
    </w:p>
    <w:p w14:paraId="5DB25AAD" w14:textId="77777777" w:rsidR="004021E9" w:rsidRPr="00BC6C7E" w:rsidRDefault="004021E9" w:rsidP="00AA00B9">
      <w:pPr>
        <w:pStyle w:val="SMText"/>
        <w:jc w:val="both"/>
        <w:rPr>
          <w:rFonts w:ascii="Myriad Pro" w:hAnsi="Myriad Pro"/>
          <w:sz w:val="22"/>
          <w:szCs w:val="22"/>
        </w:rPr>
      </w:pPr>
    </w:p>
    <w:p w14:paraId="1E4D8EB8" w14:textId="77777777" w:rsidR="004021E9" w:rsidRPr="00BC6C7E" w:rsidRDefault="004021E9" w:rsidP="00AA00B9">
      <w:pPr>
        <w:pStyle w:val="SMText"/>
        <w:jc w:val="both"/>
        <w:rPr>
          <w:rFonts w:ascii="Myriad Pro" w:hAnsi="Myriad Pro"/>
          <w:sz w:val="22"/>
          <w:szCs w:val="22"/>
        </w:rPr>
      </w:pPr>
      <m:oMathPara>
        <m:oMathParaPr>
          <m:jc m:val="left"/>
        </m:oMathParaPr>
        <m:oMath>
          <m:r>
            <w:rPr>
              <w:rFonts w:ascii="Cambria Math" w:hAnsi="Cambria Math"/>
              <w:sz w:val="22"/>
              <w:szCs w:val="22"/>
            </w:rPr>
            <m:t>Equipment</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a</m:t>
          </m:r>
          <m:r>
            <m:rPr>
              <m:sty m:val="p"/>
            </m:rPr>
            <w:rPr>
              <w:rFonts w:ascii="Cambria Math" w:hAnsi="Cambria Math"/>
              <w:sz w:val="22"/>
              <w:szCs w:val="22"/>
            </w:rPr>
            <m:t xml:space="preserve"> </m:t>
          </m:r>
          <m:r>
            <w:rPr>
              <w:rFonts w:ascii="Cambria Math" w:hAnsi="Cambria Math"/>
              <w:sz w:val="22"/>
              <w:szCs w:val="22"/>
            </w:rPr>
            <m:t>building</m:t>
          </m:r>
          <m:r>
            <m:rPr>
              <m:sty m:val="p"/>
            </m:rPr>
            <w:rPr>
              <w:rFonts w:ascii="Cambria Math" w:hAnsi="Cambria Math"/>
              <w:sz w:val="22"/>
              <w:szCs w:val="22"/>
            </w:rPr>
            <m:t xml:space="preserve"> = </m:t>
          </m:r>
          <m:r>
            <w:rPr>
              <w:rFonts w:ascii="Cambria Math" w:hAnsi="Cambria Math"/>
              <w:sz w:val="22"/>
              <w:szCs w:val="22"/>
            </w:rPr>
            <m:t>Equipment</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 3 </m:t>
          </m:r>
          <m:r>
            <w:rPr>
              <w:rFonts w:ascii="Cambria Math" w:hAnsi="Cambria Math"/>
              <w:sz w:val="22"/>
              <w:szCs w:val="22"/>
            </w:rPr>
            <m:t>region</m:t>
          </m:r>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Sum</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structural</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building</m:t>
              </m:r>
            </m:num>
            <m:den>
              <m:r>
                <w:rPr>
                  <w:rFonts w:ascii="Cambria Math" w:hAnsi="Cambria Math"/>
                  <w:sz w:val="22"/>
                  <w:szCs w:val="22"/>
                </w:rPr>
                <m:t>Sum</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structural</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3 </m:t>
              </m:r>
              <m:r>
                <w:rPr>
                  <w:rFonts w:ascii="Cambria Math" w:hAnsi="Cambria Math"/>
                  <w:sz w:val="22"/>
                  <w:szCs w:val="22"/>
                </w:rPr>
                <m:t>region</m:t>
              </m:r>
            </m:den>
          </m:f>
        </m:oMath>
      </m:oMathPara>
    </w:p>
    <w:p w14:paraId="232AFF50" w14:textId="77777777" w:rsidR="004021E9" w:rsidRDefault="004021E9" w:rsidP="00BC6C7E">
      <w:pPr>
        <w:pStyle w:val="SMText"/>
        <w:rPr>
          <w:rFonts w:ascii="Myriad Pro" w:hAnsi="Myriad Pro"/>
          <w:sz w:val="22"/>
          <w:szCs w:val="22"/>
        </w:rPr>
      </w:pPr>
    </w:p>
    <w:p w14:paraId="2F3423B6" w14:textId="2B562736" w:rsidR="00807BE5" w:rsidRPr="000513FF" w:rsidRDefault="00807BE5" w:rsidP="00AA00B9">
      <w:pPr>
        <w:pStyle w:val="SMHeading"/>
        <w:jc w:val="both"/>
        <w:rPr>
          <w:rFonts w:ascii="Myriad Pro" w:hAnsi="Myriad Pro"/>
          <w:sz w:val="22"/>
          <w:szCs w:val="22"/>
        </w:rPr>
      </w:pPr>
      <w:r w:rsidRPr="000513FF">
        <w:rPr>
          <w:rFonts w:ascii="Myriad Pro" w:hAnsi="Myriad Pro"/>
          <w:sz w:val="22"/>
          <w:szCs w:val="22"/>
        </w:rPr>
        <w:t>S2. BN-FLEMOcs</w:t>
      </w:r>
    </w:p>
    <w:p w14:paraId="188CC206" w14:textId="77777777" w:rsidR="00807BE5" w:rsidRPr="001D108B" w:rsidRDefault="00807BE5" w:rsidP="00AA00B9">
      <w:pPr>
        <w:pStyle w:val="SMSubheading"/>
        <w:jc w:val="both"/>
        <w:rPr>
          <w:rFonts w:ascii="Myriad Pro" w:hAnsi="Myriad Pro"/>
          <w:sz w:val="22"/>
          <w:u w:val="single"/>
        </w:rPr>
      </w:pPr>
      <w:r w:rsidRPr="001D108B">
        <w:rPr>
          <w:rFonts w:ascii="Myriad Pro" w:hAnsi="Myriad Pro"/>
          <w:sz w:val="22"/>
          <w:u w:val="single"/>
        </w:rPr>
        <w:t>S2.1. Input variables</w:t>
      </w:r>
    </w:p>
    <w:p w14:paraId="6AFC1873"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t>Water depth is obtained from the return period-based hazard maps. Company size is based on the number of employees. The sector-specific number of employees in each NUTS3 region obtained from Eurostat (nama_10r_3empers) was disaggregated to the commercial and industrial buildings proportional to their structural value.</w:t>
      </w:r>
    </w:p>
    <w:p w14:paraId="6442DD6D" w14:textId="77777777" w:rsidR="00807BE5" w:rsidRPr="00BC6C7E" w:rsidRDefault="00807BE5" w:rsidP="00AA00B9">
      <w:pPr>
        <w:pStyle w:val="SMText"/>
        <w:jc w:val="both"/>
        <w:rPr>
          <w:rFonts w:ascii="Myriad Pro" w:hAnsi="Myriad Pro"/>
          <w:sz w:val="22"/>
          <w:szCs w:val="22"/>
        </w:rPr>
      </w:pPr>
    </w:p>
    <w:p w14:paraId="74357CEE" w14:textId="77777777" w:rsidR="00807BE5" w:rsidRPr="00BC6C7E" w:rsidRDefault="00807BE5" w:rsidP="00AA00B9">
      <w:pPr>
        <w:pStyle w:val="SMText"/>
        <w:jc w:val="both"/>
        <w:rPr>
          <w:rFonts w:ascii="Myriad Pro" w:hAnsi="Myriad Pro"/>
          <w:sz w:val="22"/>
          <w:szCs w:val="22"/>
        </w:rPr>
      </w:pPr>
      <m:oMathPara>
        <m:oMathParaPr>
          <m:jc m:val="left"/>
        </m:oMathParaPr>
        <m:oMath>
          <m:r>
            <w:rPr>
              <w:rFonts w:ascii="Cambria Math" w:hAnsi="Cambria Math"/>
              <w:sz w:val="22"/>
              <w:szCs w:val="22"/>
            </w:rPr>
            <m:t>Number</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employees</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a</m:t>
          </m:r>
          <m:r>
            <m:rPr>
              <m:sty m:val="p"/>
            </m:rPr>
            <w:rPr>
              <w:rFonts w:ascii="Cambria Math" w:hAnsi="Cambria Math"/>
              <w:sz w:val="22"/>
              <w:szCs w:val="22"/>
            </w:rPr>
            <m:t xml:space="preserve"> </m:t>
          </m:r>
          <m:r>
            <w:rPr>
              <w:rFonts w:ascii="Cambria Math" w:hAnsi="Cambria Math"/>
              <w:sz w:val="22"/>
              <w:szCs w:val="22"/>
            </w:rPr>
            <m:t>building</m:t>
          </m:r>
          <m:r>
            <m:rPr>
              <m:sty m:val="p"/>
            </m:rPr>
            <w:rPr>
              <w:rFonts w:ascii="Cambria Math" w:hAnsi="Cambria Math"/>
              <w:sz w:val="22"/>
              <w:szCs w:val="22"/>
            </w:rPr>
            <m:t xml:space="preserve"> = </m:t>
          </m:r>
          <m:r>
            <w:rPr>
              <w:rFonts w:ascii="Cambria Math" w:hAnsi="Cambria Math"/>
              <w:sz w:val="22"/>
              <w:szCs w:val="22"/>
            </w:rPr>
            <m:t>Number</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employee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 3 </m:t>
          </m:r>
          <m:r>
            <w:rPr>
              <w:rFonts w:ascii="Cambria Math" w:hAnsi="Cambria Math"/>
              <w:sz w:val="22"/>
              <w:szCs w:val="22"/>
            </w:rPr>
            <m:t>region</m:t>
          </m:r>
          <m:r>
            <m:rPr>
              <m:sty m:val="p"/>
            </m:rPr>
            <w:rPr>
              <w:rFonts w:ascii="Cambria Math" w:hAnsi="Cambria Math"/>
              <w:sz w:val="22"/>
              <w:szCs w:val="22"/>
            </w:rPr>
            <m:t xml:space="preserve">* </m:t>
          </m:r>
          <m:f>
            <m:fPr>
              <m:ctrlPr>
                <w:rPr>
                  <w:rFonts w:ascii="Cambria Math" w:hAnsi="Cambria Math"/>
                  <w:sz w:val="22"/>
                  <w:szCs w:val="22"/>
                </w:rPr>
              </m:ctrlPr>
            </m:fPr>
            <m:num>
              <m:r>
                <w:rPr>
                  <w:rFonts w:ascii="Cambria Math" w:hAnsi="Cambria Math"/>
                  <w:sz w:val="22"/>
                  <w:szCs w:val="22"/>
                </w:rPr>
                <m:t>Sum</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structural</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building</m:t>
              </m:r>
            </m:num>
            <m:den>
              <m:r>
                <w:rPr>
                  <w:rFonts w:ascii="Cambria Math" w:hAnsi="Cambria Math"/>
                  <w:sz w:val="22"/>
                  <w:szCs w:val="22"/>
                </w:rPr>
                <m:t>Sum</m:t>
              </m:r>
              <m:r>
                <m:rPr>
                  <m:sty m:val="p"/>
                </m:rPr>
                <w:rPr>
                  <w:rFonts w:ascii="Cambria Math" w:hAnsi="Cambria Math"/>
                  <w:sz w:val="22"/>
                  <w:szCs w:val="22"/>
                </w:rPr>
                <m:t xml:space="preserve"> </m:t>
              </m:r>
              <m:r>
                <w:rPr>
                  <w:rFonts w:ascii="Cambria Math" w:hAnsi="Cambria Math"/>
                  <w:sz w:val="22"/>
                  <w:szCs w:val="22"/>
                </w:rPr>
                <m:t>of</m:t>
              </m:r>
              <m:r>
                <m:rPr>
                  <m:sty m:val="p"/>
                </m:rPr>
                <w:rPr>
                  <w:rFonts w:ascii="Cambria Math" w:hAnsi="Cambria Math"/>
                  <w:sz w:val="22"/>
                  <w:szCs w:val="22"/>
                </w:rPr>
                <m:t xml:space="preserve"> </m:t>
              </m:r>
              <m:r>
                <w:rPr>
                  <w:rFonts w:ascii="Cambria Math" w:hAnsi="Cambria Math"/>
                  <w:sz w:val="22"/>
                  <w:szCs w:val="22"/>
                </w:rPr>
                <m:t>structural</m:t>
              </m:r>
              <m:r>
                <m:rPr>
                  <m:sty m:val="p"/>
                </m:rPr>
                <w:rPr>
                  <w:rFonts w:ascii="Cambria Math" w:hAnsi="Cambria Math"/>
                  <w:sz w:val="22"/>
                  <w:szCs w:val="22"/>
                </w:rPr>
                <m:t xml:space="preserve"> </m:t>
              </m:r>
              <m:r>
                <w:rPr>
                  <w:rFonts w:ascii="Cambria Math" w:hAnsi="Cambria Math"/>
                  <w:sz w:val="22"/>
                  <w:szCs w:val="22"/>
                </w:rPr>
                <m:t>value</m:t>
              </m:r>
              <m:r>
                <m:rPr>
                  <m:sty m:val="p"/>
                </m:rPr>
                <w:rPr>
                  <w:rFonts w:ascii="Cambria Math" w:hAnsi="Cambria Math"/>
                  <w:sz w:val="22"/>
                  <w:szCs w:val="22"/>
                </w:rPr>
                <m:t xml:space="preserve"> </m:t>
              </m:r>
              <m:r>
                <w:rPr>
                  <w:rFonts w:ascii="Cambria Math" w:hAnsi="Cambria Math"/>
                  <w:sz w:val="22"/>
                  <w:szCs w:val="22"/>
                </w:rPr>
                <m:t>in</m:t>
              </m:r>
              <m:r>
                <m:rPr>
                  <m:sty m:val="p"/>
                </m:rPr>
                <w:rPr>
                  <w:rFonts w:ascii="Cambria Math" w:hAnsi="Cambria Math"/>
                  <w:sz w:val="22"/>
                  <w:szCs w:val="22"/>
                </w:rPr>
                <m:t xml:space="preserve"> </m:t>
              </m:r>
              <m:r>
                <w:rPr>
                  <w:rFonts w:ascii="Cambria Math" w:hAnsi="Cambria Math"/>
                  <w:sz w:val="22"/>
                  <w:szCs w:val="22"/>
                </w:rPr>
                <m:t>the</m:t>
              </m:r>
              <m:r>
                <m:rPr>
                  <m:sty m:val="p"/>
                </m:rPr>
                <w:rPr>
                  <w:rFonts w:ascii="Cambria Math" w:hAnsi="Cambria Math"/>
                  <w:sz w:val="22"/>
                  <w:szCs w:val="22"/>
                </w:rPr>
                <m:t xml:space="preserve">  </m:t>
              </m:r>
              <m:r>
                <w:rPr>
                  <w:rFonts w:ascii="Cambria Math" w:hAnsi="Cambria Math"/>
                  <w:sz w:val="22"/>
                  <w:szCs w:val="22"/>
                </w:rPr>
                <m:t>NUTS</m:t>
              </m:r>
              <m:r>
                <m:rPr>
                  <m:sty m:val="p"/>
                </m:rPr>
                <w:rPr>
                  <w:rFonts w:ascii="Cambria Math" w:hAnsi="Cambria Math"/>
                  <w:sz w:val="22"/>
                  <w:szCs w:val="22"/>
                </w:rPr>
                <m:t xml:space="preserve">3 </m:t>
              </m:r>
              <m:r>
                <w:rPr>
                  <w:rFonts w:ascii="Cambria Math" w:hAnsi="Cambria Math"/>
                  <w:sz w:val="22"/>
                  <w:szCs w:val="22"/>
                </w:rPr>
                <m:t>region</m:t>
              </m:r>
            </m:den>
          </m:f>
        </m:oMath>
      </m:oMathPara>
    </w:p>
    <w:p w14:paraId="4306AA9A" w14:textId="77777777" w:rsidR="00807BE5" w:rsidRPr="00BC6C7E" w:rsidRDefault="00807BE5" w:rsidP="00AA00B9">
      <w:pPr>
        <w:pStyle w:val="SMText"/>
        <w:jc w:val="both"/>
        <w:rPr>
          <w:rFonts w:ascii="Myriad Pro" w:hAnsi="Myriad Pro"/>
          <w:sz w:val="22"/>
          <w:szCs w:val="22"/>
        </w:rPr>
      </w:pPr>
    </w:p>
    <w:p w14:paraId="71CB9E66"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t xml:space="preserve">Precautionary measures taken by each company is the ratio of possible precautionary measures the companies took before the flood to the total number of possible measures. The value ranges from 0 to 1 - 0: no measures were undertaken; 1 - all possible measures were undertaken. The possible measures include relocation of expensive equipment, flood-proof oil tanks and silos, flood-proof air conditioning, stable foundation and installation of a water barrier. Precaution is estimated using its parent node, flood experience. The dataset documenting previous flood experiences in the regions studied was obtained from HANZE v2.1. The HANZE dataset encompasses records of riverine, pluvial, coastal, and compound floods across European countries between 1981 and 1995. The dataset has been a valuable resource in studies conducted by Albulescu et al. (2024), Tilloy et al. (2024), and Santos et al. (2024). This study considers the total number of floods (including all types) between 1981 and 1995 for each NUTS 3 region in the European region. </w:t>
      </w:r>
    </w:p>
    <w:p w14:paraId="2B88A1B2" w14:textId="77777777" w:rsidR="00807BE5" w:rsidRPr="00BC6C7E" w:rsidRDefault="00807BE5" w:rsidP="00AA00B9">
      <w:pPr>
        <w:pStyle w:val="SMText"/>
        <w:jc w:val="both"/>
        <w:rPr>
          <w:rFonts w:ascii="Myriad Pro" w:hAnsi="Myriad Pro"/>
          <w:sz w:val="22"/>
          <w:szCs w:val="22"/>
        </w:rPr>
      </w:pPr>
    </w:p>
    <w:p w14:paraId="33B00035" w14:textId="77777777" w:rsidR="00807BE5" w:rsidRPr="001D108B" w:rsidRDefault="00807BE5" w:rsidP="00AA00B9">
      <w:pPr>
        <w:pStyle w:val="SMSubheading"/>
        <w:jc w:val="both"/>
        <w:rPr>
          <w:rFonts w:ascii="Myriad Pro" w:hAnsi="Myriad Pro"/>
          <w:sz w:val="22"/>
          <w:u w:val="single"/>
        </w:rPr>
      </w:pPr>
      <w:r w:rsidRPr="001D108B">
        <w:rPr>
          <w:rFonts w:ascii="Myriad Pro" w:hAnsi="Myriad Pro"/>
          <w:sz w:val="22"/>
          <w:u w:val="single"/>
        </w:rPr>
        <w:t>S2.2. Model Transferability:</w:t>
      </w:r>
    </w:p>
    <w:p w14:paraId="0204C33B"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lastRenderedPageBreak/>
        <w:t>The transfer capability of BN-FLEMOcs is evaluated by applying the model to empirical post-flood company loss data from Italy and the Netherlands. The characteristics of the flood event and the empirical datasets are provided in the following parts of the section.</w:t>
      </w:r>
    </w:p>
    <w:p w14:paraId="0BC256F9" w14:textId="77777777" w:rsidR="00807BE5" w:rsidRPr="00BC6C7E" w:rsidRDefault="00807BE5" w:rsidP="00AA00B9">
      <w:pPr>
        <w:pStyle w:val="SMText"/>
        <w:jc w:val="both"/>
        <w:rPr>
          <w:rFonts w:ascii="Myriad Pro" w:hAnsi="Myriad Pro"/>
          <w:sz w:val="22"/>
          <w:szCs w:val="22"/>
        </w:rPr>
      </w:pPr>
    </w:p>
    <w:p w14:paraId="398F4C33" w14:textId="77777777" w:rsidR="00807BE5" w:rsidRPr="001D108B" w:rsidRDefault="00807BE5" w:rsidP="00AA00B9">
      <w:pPr>
        <w:pStyle w:val="SMSubheading"/>
        <w:jc w:val="both"/>
        <w:rPr>
          <w:rFonts w:ascii="Myriad Pro" w:hAnsi="Myriad Pro"/>
          <w:sz w:val="22"/>
          <w:u w:val="single"/>
        </w:rPr>
      </w:pPr>
      <w:r w:rsidRPr="001D108B">
        <w:rPr>
          <w:rFonts w:ascii="Myriad Pro" w:hAnsi="Myriad Pro"/>
          <w:sz w:val="22"/>
          <w:u w:val="single"/>
        </w:rPr>
        <w:t>Secchia Floods, 2014 in Italy</w:t>
      </w:r>
    </w:p>
    <w:p w14:paraId="496B24C6"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t>The dataset used to validate the model is based on data collected during the flood event caused by a dike breach along the Secchia River in Modena province, Italy, on 19 January 2014. The breach led to significant inundation over 52 km², turning a minor rainfall-induced flood into a major event due to the failure of flood defences (Orlandini et al., 2015). Unlike aggregated data from other case studies, this dataset includes detailed information on commercial flood losses. The data was collected by local authorities (Emilia-Romagna region, Modena province, Bastiglia, Bomporto, and Modena municipalities) to compensate business owners for damages. Business owners provided data on losses in building structures, furniture, equipment, stocks, crops, and business interruption, adhering to the reimbursement criteria outlined by regional ordinances. The dataset also includes information on the addresses of affected businesses and the number of employees before and after the event. Each location was geocoded using automated GIS techniques and manual verification to minimise errors.</w:t>
      </w:r>
    </w:p>
    <w:p w14:paraId="2E6E8BD5"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t>The original dataset contained 296 records, documenting a total loss of 15.6M€, with losses to buildings and machinery nearly equal (49% and 51%, respectively). To estimate flood hazards at each record (water depth, velocity, and flood duration), results from a hydrodynamic simulation using the Telemac-2D model were utilised. Exposure was derived by overlaying OpenStreetMap (OSM) building footprints with the geolocated damage records, discarding those with no precise matches. After refinement, the final dataset contained 190 records, covering 49 agricultural, 76 industrial, and 65 commercial sector companies. Building and contents losses were estimated using OSM building data for the Modena province (NUTS3 region) and amended with Urban Atlas 2012 data to improve the classification of building functions. The economic value of buildings and machinery was estimated based on the geolocated OSM data, further amended by regional economic indicators. Gross Fixed Capital Formation (GFCF) per employed person was estimated at €11,993 for the Emilia-Romagna NUTS2 region. At the same time, the Gross Value Added (GVA) per capita for the Modena province was set at €35,932 in 2014 (Eurostat, 2020a). The economic losses for each record were reported in 2015 at constant prices, aligning with standard practices in flood risk valuation.</w:t>
      </w:r>
    </w:p>
    <w:p w14:paraId="61F7444B" w14:textId="77777777" w:rsidR="00807BE5" w:rsidRPr="00BC6C7E" w:rsidRDefault="00807BE5" w:rsidP="00AA00B9">
      <w:pPr>
        <w:pStyle w:val="SMText"/>
        <w:jc w:val="both"/>
        <w:rPr>
          <w:rFonts w:ascii="Myriad Pro" w:hAnsi="Myriad Pro"/>
          <w:sz w:val="22"/>
          <w:szCs w:val="22"/>
        </w:rPr>
      </w:pPr>
    </w:p>
    <w:p w14:paraId="6603C9E2" w14:textId="77777777" w:rsidR="00807BE5" w:rsidRPr="000F4BCF" w:rsidRDefault="00807BE5" w:rsidP="00AA00B9">
      <w:pPr>
        <w:pStyle w:val="SMSubheading"/>
        <w:jc w:val="both"/>
        <w:rPr>
          <w:rFonts w:ascii="Myriad Pro" w:hAnsi="Myriad Pro"/>
          <w:sz w:val="22"/>
          <w:u w:val="single"/>
        </w:rPr>
      </w:pPr>
      <w:r w:rsidRPr="000F4BCF">
        <w:rPr>
          <w:rFonts w:ascii="Myriad Pro" w:hAnsi="Myriad Pro"/>
          <w:sz w:val="22"/>
          <w:u w:val="single"/>
        </w:rPr>
        <w:t>Netherlands</w:t>
      </w:r>
    </w:p>
    <w:p w14:paraId="3A64DEBC" w14:textId="77777777" w:rsidR="00807BE5" w:rsidRPr="00BC6C7E" w:rsidRDefault="00807BE5" w:rsidP="00AA00B9">
      <w:pPr>
        <w:pStyle w:val="SMText"/>
        <w:jc w:val="both"/>
        <w:rPr>
          <w:rFonts w:ascii="Myriad Pro" w:hAnsi="Myriad Pro"/>
          <w:sz w:val="22"/>
          <w:szCs w:val="22"/>
        </w:rPr>
      </w:pPr>
      <w:r w:rsidRPr="00BC6C7E">
        <w:rPr>
          <w:rFonts w:ascii="Myriad Pro" w:hAnsi="Myriad Pro"/>
          <w:sz w:val="22"/>
          <w:szCs w:val="22"/>
        </w:rPr>
        <w:t xml:space="preserve">The second validation dataset is based on survey data collected from flooded businesses after the 2021 floods in the Netherlands. In July 2021, the border region of Germany, Belgium, and the Netherlands was affected by extreme precipitation over a two-day period. This resulted in large-scale flooding in these three countries, with greater impacts in Germany and Belgium compared to the Netherlands (Endendijk et al., 2024). In the Netherlands, around 600 businesses and 2500 households experienced flood damage and total flood damage is estimated between €400 million and €500 million (ENW, 2021; </w:t>
      </w:r>
      <w:r w:rsidRPr="00BC6C7E">
        <w:rPr>
          <w:rFonts w:ascii="Myriad Pro" w:hAnsi="Myriad Pro"/>
          <w:sz w:val="22"/>
          <w:szCs w:val="22"/>
        </w:rPr>
        <w:lastRenderedPageBreak/>
        <w:t xml:space="preserve">Kok et al., 2023). The Dutch data has been collected through online questionnaires (see Endendijk et al., 2024). The survey contained questions on firm-level flood experiences, damages and responses. Firms in the areas affected by flooding or where a state of emergency was declared received an invitation to answer the survey, which ensured that all firms were either hit by flooding or a near-miss. The survey was answered by 215 businesses, of which 39% experienced flooding to their premises. Since this study considers only the flooded firms and not all of the input indicators were known for all firms, 54 flooded firms are used in the validation dataset. About half of these firms had prior flood experience. Losses to machinery were larger compared to losses to buildings (34% on average compared to 11%). </w:t>
      </w:r>
    </w:p>
    <w:p w14:paraId="4AC1A0E5" w14:textId="77777777" w:rsidR="00807BE5" w:rsidRPr="00BC6C7E" w:rsidRDefault="00807BE5" w:rsidP="00AA00B9">
      <w:pPr>
        <w:pStyle w:val="SMText"/>
        <w:jc w:val="both"/>
        <w:rPr>
          <w:rFonts w:ascii="Myriad Pro" w:hAnsi="Myriad Pro"/>
          <w:sz w:val="22"/>
          <w:szCs w:val="22"/>
        </w:rPr>
      </w:pPr>
    </w:p>
    <w:p w14:paraId="01465FCA" w14:textId="77777777" w:rsidR="00807BE5" w:rsidRPr="002C58DD" w:rsidRDefault="00807BE5" w:rsidP="00AA00B9">
      <w:pPr>
        <w:pStyle w:val="SMSubheading"/>
        <w:jc w:val="both"/>
        <w:rPr>
          <w:rFonts w:ascii="Myriad Pro" w:hAnsi="Myriad Pro"/>
          <w:sz w:val="22"/>
          <w:u w:val="single"/>
        </w:rPr>
      </w:pPr>
      <w:r w:rsidRPr="002C58DD">
        <w:rPr>
          <w:rFonts w:ascii="Myriad Pro" w:hAnsi="Myriad Pro"/>
          <w:sz w:val="22"/>
          <w:u w:val="single"/>
        </w:rPr>
        <w:t>Performance metrics</w:t>
      </w:r>
    </w:p>
    <w:p w14:paraId="03D57FC2" w14:textId="77777777" w:rsidR="00807BE5" w:rsidRPr="002430B0" w:rsidRDefault="00807BE5" w:rsidP="00AA00B9">
      <w:pPr>
        <w:pStyle w:val="SMText"/>
        <w:jc w:val="both"/>
        <w:rPr>
          <w:rFonts w:ascii="Myriad Pro" w:hAnsi="Myriad Pro"/>
          <w:sz w:val="22"/>
        </w:rPr>
      </w:pPr>
      <w:r w:rsidRPr="00444F51">
        <w:t>The performance</w:t>
      </w:r>
      <w:r w:rsidRPr="002430B0">
        <w:rPr>
          <w:rFonts w:ascii="Myriad Pro" w:hAnsi="Myriad Pro"/>
          <w:sz w:val="22"/>
        </w:rPr>
        <w:t xml:space="preserve"> of BN-FLEMOcs is measured for the three cases - 1) floods between 2002 and 2013 in Germany, i.e., the same data that was used to calibrate BN-FLEMOcs using a 10-fold CV (Cross-Validation); 2) 2014 Secchia Floods Italy; 3) 2021 Riverine Floods Netherlands. The relative loss predictions from BN-FLEMOcs are compared against the observations using four essential metrics - Mean Absolute Error (MAE), Mean Bias Error (MBE), and Continuous Ranked Probability Score (CRPS). MAE measures the average magnitude of errors across all observations, taking errors as absolute values, thereby preventing overestimations from offsetting underestimations. In contrast, MBE allows overestimations and underestimations to compensate for each other, making it suitable for assessing the model's ability to estimate total damages (Wagenaar et al., 2018). The Continuous Ranked Probability Score (CRPS) is a probabilistic scoring metric that evaluates the accuracy of a predicted cumulative distribution function against a single observed outcome. </w:t>
      </w:r>
    </w:p>
    <w:p w14:paraId="0F866809" w14:textId="77777777" w:rsidR="00EB58CF" w:rsidRDefault="00807BE5" w:rsidP="00AA00B9">
      <w:pPr>
        <w:pStyle w:val="SMText"/>
        <w:jc w:val="both"/>
        <w:rPr>
          <w:rFonts w:ascii="Myriad Pro" w:hAnsi="Myriad Pro"/>
          <w:sz w:val="22"/>
        </w:rPr>
      </w:pPr>
      <w:r w:rsidRPr="002430B0">
        <w:rPr>
          <w:rFonts w:ascii="Myriad Pro" w:hAnsi="Myriad Pro"/>
          <w:sz w:val="22"/>
        </w:rPr>
        <w:t xml:space="preserve">The table </w:t>
      </w:r>
      <w:r w:rsidR="00EB58CF">
        <w:rPr>
          <w:rFonts w:ascii="Myriad Pro" w:hAnsi="Myriad Pro"/>
          <w:sz w:val="22"/>
        </w:rPr>
        <w:t xml:space="preserve">S2 </w:t>
      </w:r>
      <w:r w:rsidRPr="002430B0">
        <w:rPr>
          <w:rFonts w:ascii="Myriad Pro" w:hAnsi="Myriad Pro"/>
          <w:sz w:val="22"/>
        </w:rPr>
        <w:t xml:space="preserve">presents performance metrics for flood damage modelling in Germany, Italy, and the Netherlands, focusing on buildings and equipment. </w:t>
      </w:r>
    </w:p>
    <w:p w14:paraId="1055C66C" w14:textId="77777777" w:rsidR="00807BE5" w:rsidRPr="002430B0" w:rsidRDefault="00807BE5" w:rsidP="00AA00B9">
      <w:pPr>
        <w:pStyle w:val="SMText"/>
        <w:jc w:val="both"/>
        <w:rPr>
          <w:rFonts w:ascii="Myriad Pro" w:hAnsi="Myriad Pro"/>
          <w:sz w:val="22"/>
        </w:rPr>
      </w:pPr>
    </w:p>
    <w:p w14:paraId="45A9DF95" w14:textId="77777777" w:rsidR="00807BE5" w:rsidRPr="001D108B" w:rsidRDefault="00807BE5" w:rsidP="00AA00B9">
      <w:pPr>
        <w:pStyle w:val="SMcaption"/>
        <w:jc w:val="both"/>
        <w:rPr>
          <w:rFonts w:ascii="Myriad Pro" w:hAnsi="Myriad Pro"/>
          <w:sz w:val="22"/>
        </w:rPr>
      </w:pPr>
      <w:r w:rsidRPr="001D108B">
        <w:rPr>
          <w:rFonts w:ascii="Myriad Pro" w:hAnsi="Myriad Pro"/>
          <w:b/>
          <w:bCs/>
          <w:sz w:val="22"/>
        </w:rPr>
        <w:t>Table S2</w:t>
      </w:r>
      <w:r w:rsidRPr="001D108B">
        <w:rPr>
          <w:rFonts w:ascii="Myriad Pro" w:hAnsi="Myriad Pro"/>
          <w:sz w:val="22"/>
        </w:rPr>
        <w:t>: Transfer validation of BN-FLEMOcs</w:t>
      </w:r>
    </w:p>
    <w:p w14:paraId="20F33E1F" w14:textId="77777777" w:rsidR="00807BE5" w:rsidRDefault="00807BE5" w:rsidP="00AA00B9">
      <w:pPr>
        <w:ind w:left="360"/>
        <w:jc w:val="both"/>
      </w:pPr>
    </w:p>
    <w:tbl>
      <w:tblPr>
        <w:tblpPr w:leftFromText="180" w:rightFromText="180" w:topFromText="180" w:bottomFromText="180" w:vertAnchor="text" w:tblpX="20"/>
        <w:tblW w:w="8505" w:type="dxa"/>
        <w:tblBorders>
          <w:top w:val="nil"/>
          <w:left w:val="nil"/>
          <w:bottom w:val="nil"/>
          <w:right w:val="nil"/>
          <w:insideH w:val="nil"/>
          <w:insideV w:val="nil"/>
        </w:tblBorders>
        <w:tblLayout w:type="fixed"/>
        <w:tblLook w:val="0600" w:firstRow="0" w:lastRow="0" w:firstColumn="0" w:lastColumn="0" w:noHBand="1" w:noVBand="1"/>
      </w:tblPr>
      <w:tblGrid>
        <w:gridCol w:w="10"/>
        <w:gridCol w:w="1266"/>
        <w:gridCol w:w="1134"/>
        <w:gridCol w:w="1276"/>
        <w:gridCol w:w="1134"/>
        <w:gridCol w:w="1276"/>
        <w:gridCol w:w="1134"/>
        <w:gridCol w:w="1275"/>
      </w:tblGrid>
      <w:tr w:rsidR="00807BE5" w14:paraId="5C71B45D" w14:textId="77777777" w:rsidTr="001D108B">
        <w:trPr>
          <w:gridBefore w:val="1"/>
          <w:wBefore w:w="10" w:type="dxa"/>
          <w:trHeight w:val="520"/>
        </w:trPr>
        <w:tc>
          <w:tcPr>
            <w:tcW w:w="1266" w:type="dxa"/>
            <w:vMerge w:val="restart"/>
            <w:tcBorders>
              <w:top w:val="single" w:sz="8" w:space="0" w:color="000000"/>
              <w:left w:val="single" w:sz="8" w:space="0" w:color="000000"/>
              <w:bottom w:val="single" w:sz="8" w:space="0" w:color="000000"/>
              <w:right w:val="single" w:sz="8" w:space="0" w:color="000000"/>
            </w:tcBorders>
          </w:tcPr>
          <w:p w14:paraId="2EA2E51C" w14:textId="77777777" w:rsidR="00807BE5" w:rsidRPr="001D108B" w:rsidRDefault="00807BE5" w:rsidP="00AA00B9">
            <w:pPr>
              <w:jc w:val="both"/>
              <w:rPr>
                <w:rFonts w:ascii="Myriad Pro" w:hAnsi="Myriad Pro"/>
                <w:sz w:val="22"/>
              </w:rPr>
            </w:pPr>
            <w:r w:rsidRPr="001D108B">
              <w:rPr>
                <w:rFonts w:ascii="Myriad Pro" w:hAnsi="Myriad Pro"/>
                <w:sz w:val="22"/>
              </w:rPr>
              <w:t>Performance Metric</w:t>
            </w:r>
          </w:p>
        </w:tc>
        <w:tc>
          <w:tcPr>
            <w:tcW w:w="2410" w:type="dxa"/>
            <w:gridSpan w:val="2"/>
            <w:tcBorders>
              <w:top w:val="single" w:sz="8" w:space="0" w:color="000000"/>
              <w:left w:val="single" w:sz="8" w:space="0" w:color="000000"/>
              <w:bottom w:val="single" w:sz="8" w:space="0" w:color="000000"/>
              <w:right w:val="single" w:sz="8" w:space="0" w:color="000000"/>
            </w:tcBorders>
          </w:tcPr>
          <w:p w14:paraId="3A3C1F57" w14:textId="77777777" w:rsidR="00807BE5" w:rsidRPr="001D108B" w:rsidRDefault="00807BE5" w:rsidP="00AA00B9">
            <w:pPr>
              <w:jc w:val="both"/>
              <w:rPr>
                <w:rFonts w:ascii="Myriad Pro" w:hAnsi="Myriad Pro"/>
                <w:sz w:val="22"/>
              </w:rPr>
            </w:pPr>
            <w:r w:rsidRPr="001D108B">
              <w:rPr>
                <w:rFonts w:ascii="Myriad Pro" w:hAnsi="Myriad Pro"/>
                <w:sz w:val="22"/>
              </w:rPr>
              <w:t>2002-2013 Floods Germany (10-fold CV)</w:t>
            </w:r>
          </w:p>
        </w:tc>
        <w:tc>
          <w:tcPr>
            <w:tcW w:w="2410" w:type="dxa"/>
            <w:gridSpan w:val="2"/>
            <w:tcBorders>
              <w:top w:val="single" w:sz="8" w:space="0" w:color="000000"/>
              <w:left w:val="single" w:sz="8" w:space="0" w:color="000000"/>
              <w:bottom w:val="single" w:sz="8" w:space="0" w:color="000000"/>
              <w:right w:val="single" w:sz="8" w:space="0" w:color="000000"/>
            </w:tcBorders>
          </w:tcPr>
          <w:p w14:paraId="2F8B20FA" w14:textId="77777777" w:rsidR="00807BE5" w:rsidRPr="001D108B" w:rsidRDefault="00807BE5" w:rsidP="00AA00B9">
            <w:pPr>
              <w:jc w:val="both"/>
              <w:rPr>
                <w:rFonts w:ascii="Myriad Pro" w:hAnsi="Myriad Pro"/>
                <w:sz w:val="22"/>
              </w:rPr>
            </w:pPr>
            <w:r w:rsidRPr="001D108B">
              <w:rPr>
                <w:rFonts w:ascii="Myriad Pro" w:hAnsi="Myriad Pro"/>
                <w:sz w:val="22"/>
              </w:rPr>
              <w:t>2014 Secchia Floods Italy</w:t>
            </w:r>
          </w:p>
        </w:tc>
        <w:tc>
          <w:tcPr>
            <w:tcW w:w="2409" w:type="dxa"/>
            <w:gridSpan w:val="2"/>
            <w:tcBorders>
              <w:top w:val="single" w:sz="8" w:space="0" w:color="000000"/>
              <w:left w:val="single" w:sz="8" w:space="0" w:color="000000"/>
              <w:bottom w:val="single" w:sz="8" w:space="0" w:color="000000"/>
              <w:right w:val="single" w:sz="8" w:space="0" w:color="000000"/>
            </w:tcBorders>
          </w:tcPr>
          <w:p w14:paraId="077CDE88" w14:textId="77777777" w:rsidR="00807BE5" w:rsidRPr="001D108B" w:rsidRDefault="00807BE5" w:rsidP="00AA00B9">
            <w:pPr>
              <w:jc w:val="both"/>
              <w:rPr>
                <w:rFonts w:ascii="Myriad Pro" w:hAnsi="Myriad Pro"/>
                <w:sz w:val="22"/>
              </w:rPr>
            </w:pPr>
            <w:r w:rsidRPr="001D108B">
              <w:rPr>
                <w:rFonts w:ascii="Myriad Pro" w:hAnsi="Myriad Pro"/>
                <w:sz w:val="22"/>
              </w:rPr>
              <w:t>2021 Riverine Floods Netherlands</w:t>
            </w:r>
          </w:p>
        </w:tc>
      </w:tr>
      <w:tr w:rsidR="00807BE5" w14:paraId="163FE439" w14:textId="77777777" w:rsidTr="001D108B">
        <w:trPr>
          <w:gridBefore w:val="1"/>
          <w:wBefore w:w="10" w:type="dxa"/>
          <w:trHeight w:val="520"/>
        </w:trPr>
        <w:tc>
          <w:tcPr>
            <w:tcW w:w="1266" w:type="dxa"/>
            <w:vMerge/>
            <w:tcBorders>
              <w:top w:val="single" w:sz="8" w:space="0" w:color="000000"/>
              <w:left w:val="single" w:sz="8" w:space="0" w:color="000000"/>
              <w:bottom w:val="single" w:sz="8" w:space="0" w:color="000000"/>
              <w:right w:val="single" w:sz="8" w:space="0" w:color="000000"/>
            </w:tcBorders>
          </w:tcPr>
          <w:p w14:paraId="11212D07" w14:textId="77777777" w:rsidR="00807BE5" w:rsidRPr="001D108B" w:rsidRDefault="00807BE5" w:rsidP="00AA00B9">
            <w:pPr>
              <w:jc w:val="both"/>
              <w:rPr>
                <w:rFonts w:ascii="Myriad Pro" w:hAnsi="Myriad Pro"/>
                <w:sz w:val="22"/>
              </w:rPr>
            </w:pPr>
          </w:p>
        </w:tc>
        <w:tc>
          <w:tcPr>
            <w:tcW w:w="1134" w:type="dxa"/>
            <w:tcBorders>
              <w:top w:val="single" w:sz="8" w:space="0" w:color="000000"/>
              <w:left w:val="single" w:sz="8" w:space="0" w:color="000000"/>
              <w:bottom w:val="single" w:sz="8" w:space="0" w:color="000000"/>
              <w:right w:val="single" w:sz="8" w:space="0" w:color="000000"/>
            </w:tcBorders>
          </w:tcPr>
          <w:p w14:paraId="40C925D5" w14:textId="77777777" w:rsidR="00807BE5" w:rsidRPr="001D108B" w:rsidRDefault="00807BE5" w:rsidP="00AA00B9">
            <w:pPr>
              <w:jc w:val="both"/>
              <w:rPr>
                <w:rFonts w:ascii="Myriad Pro" w:hAnsi="Myriad Pro"/>
                <w:sz w:val="22"/>
              </w:rPr>
            </w:pPr>
            <w:r w:rsidRPr="001D108B">
              <w:rPr>
                <w:rFonts w:ascii="Myriad Pro" w:hAnsi="Myriad Pro"/>
                <w:sz w:val="22"/>
              </w:rPr>
              <w:t>Building</w:t>
            </w:r>
          </w:p>
        </w:tc>
        <w:tc>
          <w:tcPr>
            <w:tcW w:w="1276" w:type="dxa"/>
            <w:tcBorders>
              <w:top w:val="single" w:sz="8" w:space="0" w:color="000000"/>
              <w:left w:val="single" w:sz="8" w:space="0" w:color="000000"/>
              <w:bottom w:val="single" w:sz="8" w:space="0" w:color="000000"/>
              <w:right w:val="single" w:sz="8" w:space="0" w:color="000000"/>
            </w:tcBorders>
          </w:tcPr>
          <w:p w14:paraId="7FBD305F" w14:textId="77777777" w:rsidR="00807BE5" w:rsidRPr="001D108B" w:rsidRDefault="00807BE5" w:rsidP="00AA00B9">
            <w:pPr>
              <w:jc w:val="both"/>
              <w:rPr>
                <w:rFonts w:ascii="Myriad Pro" w:hAnsi="Myriad Pro"/>
                <w:sz w:val="22"/>
              </w:rPr>
            </w:pPr>
            <w:r w:rsidRPr="001D108B">
              <w:rPr>
                <w:rFonts w:ascii="Myriad Pro" w:hAnsi="Myriad Pro"/>
                <w:sz w:val="22"/>
              </w:rPr>
              <w:t>Equipment</w:t>
            </w:r>
          </w:p>
        </w:tc>
        <w:tc>
          <w:tcPr>
            <w:tcW w:w="1134" w:type="dxa"/>
            <w:tcBorders>
              <w:top w:val="single" w:sz="8" w:space="0" w:color="000000"/>
              <w:left w:val="single" w:sz="8" w:space="0" w:color="000000"/>
              <w:bottom w:val="single" w:sz="8" w:space="0" w:color="000000"/>
              <w:right w:val="single" w:sz="8" w:space="0" w:color="000000"/>
            </w:tcBorders>
          </w:tcPr>
          <w:p w14:paraId="17F59E1B" w14:textId="77777777" w:rsidR="00807BE5" w:rsidRPr="001D108B" w:rsidRDefault="00807BE5" w:rsidP="00AA00B9">
            <w:pPr>
              <w:jc w:val="both"/>
              <w:rPr>
                <w:rFonts w:ascii="Myriad Pro" w:hAnsi="Myriad Pro"/>
                <w:sz w:val="22"/>
              </w:rPr>
            </w:pPr>
            <w:r w:rsidRPr="001D108B">
              <w:rPr>
                <w:rFonts w:ascii="Myriad Pro" w:hAnsi="Myriad Pro"/>
                <w:sz w:val="22"/>
              </w:rPr>
              <w:t>Building</w:t>
            </w:r>
          </w:p>
        </w:tc>
        <w:tc>
          <w:tcPr>
            <w:tcW w:w="1276" w:type="dxa"/>
            <w:tcBorders>
              <w:top w:val="single" w:sz="8" w:space="0" w:color="000000"/>
              <w:left w:val="single" w:sz="8" w:space="0" w:color="000000"/>
              <w:bottom w:val="single" w:sz="8" w:space="0" w:color="000000"/>
              <w:right w:val="single" w:sz="8" w:space="0" w:color="000000"/>
            </w:tcBorders>
          </w:tcPr>
          <w:p w14:paraId="44BF335F" w14:textId="77777777" w:rsidR="00807BE5" w:rsidRPr="001D108B" w:rsidRDefault="00807BE5" w:rsidP="00AA00B9">
            <w:pPr>
              <w:jc w:val="both"/>
              <w:rPr>
                <w:rFonts w:ascii="Myriad Pro" w:hAnsi="Myriad Pro"/>
                <w:sz w:val="22"/>
              </w:rPr>
            </w:pPr>
            <w:r w:rsidRPr="001D108B">
              <w:rPr>
                <w:rFonts w:ascii="Myriad Pro" w:hAnsi="Myriad Pro"/>
                <w:sz w:val="22"/>
              </w:rPr>
              <w:t>Equipment</w:t>
            </w:r>
          </w:p>
        </w:tc>
        <w:tc>
          <w:tcPr>
            <w:tcW w:w="1134" w:type="dxa"/>
            <w:tcBorders>
              <w:top w:val="single" w:sz="8" w:space="0" w:color="000000"/>
              <w:left w:val="single" w:sz="8" w:space="0" w:color="000000"/>
              <w:bottom w:val="single" w:sz="8" w:space="0" w:color="000000"/>
              <w:right w:val="single" w:sz="8" w:space="0" w:color="000000"/>
            </w:tcBorders>
          </w:tcPr>
          <w:p w14:paraId="76229AE0" w14:textId="77777777" w:rsidR="00807BE5" w:rsidRPr="001D108B" w:rsidRDefault="00807BE5" w:rsidP="00AA00B9">
            <w:pPr>
              <w:jc w:val="both"/>
              <w:rPr>
                <w:rFonts w:ascii="Myriad Pro" w:hAnsi="Myriad Pro"/>
                <w:sz w:val="22"/>
              </w:rPr>
            </w:pPr>
            <w:r w:rsidRPr="001D108B">
              <w:rPr>
                <w:rFonts w:ascii="Myriad Pro" w:hAnsi="Myriad Pro"/>
                <w:sz w:val="22"/>
              </w:rPr>
              <w:t>Building</w:t>
            </w:r>
          </w:p>
        </w:tc>
        <w:tc>
          <w:tcPr>
            <w:tcW w:w="1275" w:type="dxa"/>
            <w:tcBorders>
              <w:top w:val="single" w:sz="8" w:space="0" w:color="000000"/>
              <w:left w:val="single" w:sz="8" w:space="0" w:color="000000"/>
              <w:bottom w:val="single" w:sz="8" w:space="0" w:color="000000"/>
              <w:right w:val="single" w:sz="8" w:space="0" w:color="000000"/>
            </w:tcBorders>
          </w:tcPr>
          <w:p w14:paraId="289C7BA3" w14:textId="77777777" w:rsidR="00807BE5" w:rsidRPr="001D108B" w:rsidRDefault="00807BE5" w:rsidP="00AA00B9">
            <w:pPr>
              <w:jc w:val="both"/>
              <w:rPr>
                <w:rFonts w:ascii="Myriad Pro" w:hAnsi="Myriad Pro"/>
                <w:sz w:val="22"/>
              </w:rPr>
            </w:pPr>
            <w:r w:rsidRPr="001D108B">
              <w:rPr>
                <w:rFonts w:ascii="Myriad Pro" w:hAnsi="Myriad Pro"/>
                <w:sz w:val="22"/>
              </w:rPr>
              <w:t>Equipment</w:t>
            </w:r>
          </w:p>
        </w:tc>
      </w:tr>
      <w:tr w:rsidR="00807BE5" w14:paraId="7A638F37" w14:textId="77777777" w:rsidTr="001D108B">
        <w:trPr>
          <w:trHeight w:val="520"/>
        </w:trPr>
        <w:tc>
          <w:tcPr>
            <w:tcW w:w="1276" w:type="dxa"/>
            <w:gridSpan w:val="2"/>
            <w:tcBorders>
              <w:top w:val="single" w:sz="8" w:space="0" w:color="000000"/>
              <w:left w:val="single" w:sz="8" w:space="0" w:color="000000"/>
              <w:bottom w:val="single" w:sz="8" w:space="0" w:color="000000"/>
              <w:right w:val="single" w:sz="8" w:space="0" w:color="000000"/>
            </w:tcBorders>
          </w:tcPr>
          <w:p w14:paraId="2C23278A" w14:textId="77777777" w:rsidR="00807BE5" w:rsidRPr="001D108B" w:rsidRDefault="00807BE5" w:rsidP="00AA00B9">
            <w:pPr>
              <w:jc w:val="both"/>
              <w:rPr>
                <w:rFonts w:ascii="Myriad Pro" w:hAnsi="Myriad Pro"/>
                <w:sz w:val="22"/>
              </w:rPr>
            </w:pPr>
            <w:r w:rsidRPr="001D108B">
              <w:rPr>
                <w:rFonts w:ascii="Myriad Pro" w:hAnsi="Myriad Pro"/>
                <w:sz w:val="22"/>
              </w:rPr>
              <w:t>MAE</w:t>
            </w:r>
          </w:p>
        </w:tc>
        <w:tc>
          <w:tcPr>
            <w:tcW w:w="1134" w:type="dxa"/>
            <w:tcBorders>
              <w:top w:val="single" w:sz="8" w:space="0" w:color="000000"/>
              <w:left w:val="single" w:sz="8" w:space="0" w:color="000000"/>
              <w:bottom w:val="single" w:sz="8" w:space="0" w:color="000000"/>
              <w:right w:val="single" w:sz="8" w:space="0" w:color="000000"/>
            </w:tcBorders>
            <w:vAlign w:val="center"/>
          </w:tcPr>
          <w:p w14:paraId="5BB0A1E3" w14:textId="77777777" w:rsidR="00807BE5" w:rsidRPr="001D108B" w:rsidRDefault="00807BE5" w:rsidP="00AA00B9">
            <w:pPr>
              <w:jc w:val="both"/>
              <w:rPr>
                <w:rFonts w:ascii="Myriad Pro" w:hAnsi="Myriad Pro"/>
                <w:sz w:val="22"/>
              </w:rPr>
            </w:pPr>
            <w:r w:rsidRPr="001D108B">
              <w:rPr>
                <w:rFonts w:ascii="Myriad Pro" w:hAnsi="Myriad Pro"/>
                <w:sz w:val="22"/>
              </w:rPr>
              <w:t>0.149</w:t>
            </w:r>
          </w:p>
        </w:tc>
        <w:tc>
          <w:tcPr>
            <w:tcW w:w="1276" w:type="dxa"/>
            <w:tcBorders>
              <w:top w:val="single" w:sz="8" w:space="0" w:color="000000"/>
              <w:left w:val="single" w:sz="8" w:space="0" w:color="000000"/>
              <w:bottom w:val="single" w:sz="8" w:space="0" w:color="000000"/>
              <w:right w:val="single" w:sz="8" w:space="0" w:color="000000"/>
            </w:tcBorders>
            <w:vAlign w:val="center"/>
          </w:tcPr>
          <w:p w14:paraId="223F699E" w14:textId="77777777" w:rsidR="00807BE5" w:rsidRPr="001D108B" w:rsidRDefault="00807BE5" w:rsidP="00AA00B9">
            <w:pPr>
              <w:jc w:val="both"/>
              <w:rPr>
                <w:rFonts w:ascii="Myriad Pro" w:hAnsi="Myriad Pro"/>
                <w:sz w:val="22"/>
              </w:rPr>
            </w:pPr>
            <w:r w:rsidRPr="001D108B">
              <w:rPr>
                <w:rFonts w:ascii="Myriad Pro" w:hAnsi="Myriad Pro"/>
                <w:sz w:val="22"/>
              </w:rPr>
              <w:t>0.270</w:t>
            </w:r>
          </w:p>
        </w:tc>
        <w:tc>
          <w:tcPr>
            <w:tcW w:w="1134" w:type="dxa"/>
            <w:tcBorders>
              <w:top w:val="single" w:sz="8" w:space="0" w:color="000000"/>
              <w:left w:val="single" w:sz="8" w:space="0" w:color="000000"/>
              <w:bottom w:val="single" w:sz="8" w:space="0" w:color="000000"/>
              <w:right w:val="single" w:sz="8" w:space="0" w:color="000000"/>
            </w:tcBorders>
            <w:vAlign w:val="center"/>
          </w:tcPr>
          <w:p w14:paraId="75C3984E" w14:textId="77777777" w:rsidR="00807BE5" w:rsidRPr="001D108B" w:rsidRDefault="00807BE5" w:rsidP="00AA00B9">
            <w:pPr>
              <w:jc w:val="both"/>
              <w:rPr>
                <w:rFonts w:ascii="Myriad Pro" w:hAnsi="Myriad Pro"/>
                <w:sz w:val="22"/>
              </w:rPr>
            </w:pPr>
            <w:r w:rsidRPr="001D108B">
              <w:rPr>
                <w:rFonts w:ascii="Myriad Pro" w:hAnsi="Myriad Pro"/>
                <w:sz w:val="22"/>
              </w:rPr>
              <w:t>0.106</w:t>
            </w:r>
          </w:p>
        </w:tc>
        <w:tc>
          <w:tcPr>
            <w:tcW w:w="1276" w:type="dxa"/>
            <w:tcBorders>
              <w:top w:val="single" w:sz="8" w:space="0" w:color="000000"/>
              <w:left w:val="single" w:sz="8" w:space="0" w:color="000000"/>
              <w:bottom w:val="single" w:sz="8" w:space="0" w:color="000000"/>
              <w:right w:val="single" w:sz="8" w:space="0" w:color="000000"/>
            </w:tcBorders>
            <w:vAlign w:val="center"/>
          </w:tcPr>
          <w:p w14:paraId="6BB6D43B" w14:textId="77777777" w:rsidR="00807BE5" w:rsidRPr="001D108B" w:rsidRDefault="00807BE5" w:rsidP="00AA00B9">
            <w:pPr>
              <w:jc w:val="both"/>
              <w:rPr>
                <w:rFonts w:ascii="Myriad Pro" w:hAnsi="Myriad Pro"/>
                <w:sz w:val="22"/>
              </w:rPr>
            </w:pPr>
            <w:r w:rsidRPr="001D108B">
              <w:rPr>
                <w:rFonts w:ascii="Myriad Pro" w:hAnsi="Myriad Pro"/>
                <w:sz w:val="22"/>
              </w:rPr>
              <w:t>0.232</w:t>
            </w:r>
          </w:p>
        </w:tc>
        <w:tc>
          <w:tcPr>
            <w:tcW w:w="1134" w:type="dxa"/>
            <w:tcBorders>
              <w:top w:val="single" w:sz="8" w:space="0" w:color="000000"/>
              <w:left w:val="single" w:sz="8" w:space="0" w:color="000000"/>
              <w:bottom w:val="single" w:sz="8" w:space="0" w:color="000000"/>
              <w:right w:val="single" w:sz="8" w:space="0" w:color="000000"/>
            </w:tcBorders>
            <w:vAlign w:val="center"/>
          </w:tcPr>
          <w:p w14:paraId="5FF8CADA" w14:textId="77777777" w:rsidR="00807BE5" w:rsidRPr="001D108B" w:rsidRDefault="00807BE5" w:rsidP="00AA00B9">
            <w:pPr>
              <w:jc w:val="both"/>
              <w:rPr>
                <w:rFonts w:ascii="Myriad Pro" w:hAnsi="Myriad Pro"/>
                <w:sz w:val="22"/>
              </w:rPr>
            </w:pPr>
            <w:r w:rsidRPr="001D108B">
              <w:rPr>
                <w:rFonts w:ascii="Myriad Pro" w:hAnsi="Myriad Pro"/>
                <w:sz w:val="22"/>
              </w:rPr>
              <w:t>0.104</w:t>
            </w:r>
          </w:p>
        </w:tc>
        <w:tc>
          <w:tcPr>
            <w:tcW w:w="1275" w:type="dxa"/>
            <w:tcBorders>
              <w:top w:val="single" w:sz="8" w:space="0" w:color="000000"/>
              <w:left w:val="single" w:sz="8" w:space="0" w:color="000000"/>
              <w:bottom w:val="single" w:sz="8" w:space="0" w:color="000000"/>
              <w:right w:val="single" w:sz="8" w:space="0" w:color="000000"/>
            </w:tcBorders>
            <w:vAlign w:val="center"/>
          </w:tcPr>
          <w:p w14:paraId="668AEAEE" w14:textId="77777777" w:rsidR="00807BE5" w:rsidRPr="001D108B" w:rsidRDefault="00807BE5" w:rsidP="00AA00B9">
            <w:pPr>
              <w:jc w:val="both"/>
              <w:rPr>
                <w:rFonts w:ascii="Myriad Pro" w:hAnsi="Myriad Pro"/>
                <w:sz w:val="22"/>
              </w:rPr>
            </w:pPr>
            <w:r w:rsidRPr="001D108B">
              <w:rPr>
                <w:rFonts w:ascii="Myriad Pro" w:hAnsi="Myriad Pro"/>
                <w:sz w:val="22"/>
              </w:rPr>
              <w:t>0.297</w:t>
            </w:r>
          </w:p>
        </w:tc>
      </w:tr>
      <w:tr w:rsidR="00807BE5" w14:paraId="31FBC4F3" w14:textId="77777777" w:rsidTr="001D108B">
        <w:trPr>
          <w:gridBefore w:val="1"/>
          <w:wBefore w:w="10" w:type="dxa"/>
          <w:trHeight w:val="520"/>
        </w:trPr>
        <w:tc>
          <w:tcPr>
            <w:tcW w:w="1266" w:type="dxa"/>
            <w:tcBorders>
              <w:top w:val="single" w:sz="8" w:space="0" w:color="000000"/>
              <w:left w:val="single" w:sz="8" w:space="0" w:color="000000"/>
              <w:bottom w:val="single" w:sz="8" w:space="0" w:color="000000"/>
              <w:right w:val="single" w:sz="8" w:space="0" w:color="000000"/>
            </w:tcBorders>
          </w:tcPr>
          <w:p w14:paraId="587A1A41" w14:textId="77777777" w:rsidR="00807BE5" w:rsidRPr="001D108B" w:rsidRDefault="00807BE5" w:rsidP="00AA00B9">
            <w:pPr>
              <w:jc w:val="both"/>
              <w:rPr>
                <w:rFonts w:ascii="Myriad Pro" w:hAnsi="Myriad Pro"/>
                <w:sz w:val="22"/>
              </w:rPr>
            </w:pPr>
            <w:r w:rsidRPr="001D108B">
              <w:rPr>
                <w:rFonts w:ascii="Myriad Pro" w:hAnsi="Myriad Pro"/>
                <w:sz w:val="22"/>
              </w:rPr>
              <w:t>MBE</w:t>
            </w:r>
          </w:p>
        </w:tc>
        <w:tc>
          <w:tcPr>
            <w:tcW w:w="1134" w:type="dxa"/>
            <w:tcBorders>
              <w:top w:val="single" w:sz="8" w:space="0" w:color="000000"/>
              <w:left w:val="single" w:sz="8" w:space="0" w:color="000000"/>
              <w:bottom w:val="single" w:sz="8" w:space="0" w:color="000000"/>
              <w:right w:val="single" w:sz="8" w:space="0" w:color="000000"/>
            </w:tcBorders>
            <w:vAlign w:val="center"/>
          </w:tcPr>
          <w:p w14:paraId="5F4E1165" w14:textId="77777777" w:rsidR="00807BE5" w:rsidRPr="001D108B" w:rsidRDefault="00807BE5" w:rsidP="00AA00B9">
            <w:pPr>
              <w:jc w:val="both"/>
              <w:rPr>
                <w:rFonts w:ascii="Myriad Pro" w:hAnsi="Myriad Pro"/>
                <w:sz w:val="22"/>
              </w:rPr>
            </w:pPr>
            <w:r w:rsidRPr="001D108B">
              <w:rPr>
                <w:rFonts w:ascii="Myriad Pro" w:hAnsi="Myriad Pro"/>
                <w:sz w:val="22"/>
              </w:rPr>
              <w:t>0.001</w:t>
            </w:r>
          </w:p>
        </w:tc>
        <w:tc>
          <w:tcPr>
            <w:tcW w:w="1276" w:type="dxa"/>
            <w:tcBorders>
              <w:top w:val="single" w:sz="8" w:space="0" w:color="000000"/>
              <w:left w:val="single" w:sz="8" w:space="0" w:color="000000"/>
              <w:bottom w:val="single" w:sz="8" w:space="0" w:color="000000"/>
              <w:right w:val="single" w:sz="8" w:space="0" w:color="000000"/>
            </w:tcBorders>
            <w:vAlign w:val="center"/>
          </w:tcPr>
          <w:p w14:paraId="50FE2B1A" w14:textId="77777777" w:rsidR="00807BE5" w:rsidRPr="001D108B" w:rsidRDefault="00807BE5" w:rsidP="00AA00B9">
            <w:pPr>
              <w:jc w:val="both"/>
              <w:rPr>
                <w:rFonts w:ascii="Myriad Pro" w:hAnsi="Myriad Pro"/>
                <w:sz w:val="22"/>
              </w:rPr>
            </w:pPr>
            <w:r w:rsidRPr="001D108B">
              <w:rPr>
                <w:rFonts w:ascii="Myriad Pro" w:hAnsi="Myriad Pro"/>
                <w:sz w:val="22"/>
              </w:rPr>
              <w:t>-0.001</w:t>
            </w:r>
          </w:p>
        </w:tc>
        <w:tc>
          <w:tcPr>
            <w:tcW w:w="1134" w:type="dxa"/>
            <w:tcBorders>
              <w:top w:val="single" w:sz="8" w:space="0" w:color="000000"/>
              <w:left w:val="single" w:sz="8" w:space="0" w:color="000000"/>
              <w:bottom w:val="single" w:sz="8" w:space="0" w:color="000000"/>
              <w:right w:val="single" w:sz="8" w:space="0" w:color="000000"/>
            </w:tcBorders>
            <w:vAlign w:val="center"/>
          </w:tcPr>
          <w:p w14:paraId="41C8755D" w14:textId="77777777" w:rsidR="00807BE5" w:rsidRPr="001D108B" w:rsidRDefault="00807BE5" w:rsidP="00AA00B9">
            <w:pPr>
              <w:jc w:val="both"/>
              <w:rPr>
                <w:rFonts w:ascii="Myriad Pro" w:hAnsi="Myriad Pro"/>
                <w:sz w:val="22"/>
              </w:rPr>
            </w:pPr>
            <w:r w:rsidRPr="001D108B">
              <w:rPr>
                <w:rFonts w:ascii="Myriad Pro" w:hAnsi="Myriad Pro"/>
                <w:sz w:val="22"/>
              </w:rPr>
              <w:t>0.074</w:t>
            </w:r>
          </w:p>
        </w:tc>
        <w:tc>
          <w:tcPr>
            <w:tcW w:w="1276" w:type="dxa"/>
            <w:tcBorders>
              <w:top w:val="single" w:sz="8" w:space="0" w:color="000000"/>
              <w:left w:val="single" w:sz="8" w:space="0" w:color="000000"/>
              <w:bottom w:val="single" w:sz="8" w:space="0" w:color="000000"/>
              <w:right w:val="single" w:sz="8" w:space="0" w:color="000000"/>
            </w:tcBorders>
            <w:vAlign w:val="center"/>
          </w:tcPr>
          <w:p w14:paraId="424B405C" w14:textId="77777777" w:rsidR="00807BE5" w:rsidRPr="001D108B" w:rsidRDefault="00807BE5" w:rsidP="00AA00B9">
            <w:pPr>
              <w:jc w:val="both"/>
              <w:rPr>
                <w:rFonts w:ascii="Myriad Pro" w:hAnsi="Myriad Pro"/>
                <w:sz w:val="22"/>
              </w:rPr>
            </w:pPr>
            <w:r w:rsidRPr="001D108B">
              <w:rPr>
                <w:rFonts w:ascii="Myriad Pro" w:hAnsi="Myriad Pro"/>
                <w:sz w:val="22"/>
              </w:rPr>
              <w:t>0.157</w:t>
            </w:r>
          </w:p>
        </w:tc>
        <w:tc>
          <w:tcPr>
            <w:tcW w:w="1134" w:type="dxa"/>
            <w:tcBorders>
              <w:top w:val="single" w:sz="8" w:space="0" w:color="000000"/>
              <w:left w:val="single" w:sz="8" w:space="0" w:color="000000"/>
              <w:bottom w:val="single" w:sz="8" w:space="0" w:color="000000"/>
              <w:right w:val="single" w:sz="8" w:space="0" w:color="000000"/>
            </w:tcBorders>
            <w:vAlign w:val="center"/>
          </w:tcPr>
          <w:p w14:paraId="5BF0DF83" w14:textId="77777777" w:rsidR="00807BE5" w:rsidRPr="001D108B" w:rsidRDefault="00807BE5" w:rsidP="00AA00B9">
            <w:pPr>
              <w:jc w:val="both"/>
              <w:rPr>
                <w:rFonts w:ascii="Myriad Pro" w:hAnsi="Myriad Pro"/>
                <w:sz w:val="22"/>
              </w:rPr>
            </w:pPr>
            <w:r w:rsidRPr="001D108B">
              <w:rPr>
                <w:rFonts w:ascii="Myriad Pro" w:hAnsi="Myriad Pro"/>
                <w:sz w:val="22"/>
              </w:rPr>
              <w:t>0.071</w:t>
            </w:r>
          </w:p>
        </w:tc>
        <w:tc>
          <w:tcPr>
            <w:tcW w:w="1275" w:type="dxa"/>
            <w:tcBorders>
              <w:top w:val="single" w:sz="8" w:space="0" w:color="000000"/>
              <w:left w:val="single" w:sz="8" w:space="0" w:color="000000"/>
              <w:bottom w:val="single" w:sz="8" w:space="0" w:color="000000"/>
              <w:right w:val="single" w:sz="8" w:space="0" w:color="000000"/>
            </w:tcBorders>
            <w:vAlign w:val="center"/>
          </w:tcPr>
          <w:p w14:paraId="42BB997A" w14:textId="77777777" w:rsidR="00807BE5" w:rsidRPr="001D108B" w:rsidRDefault="00807BE5" w:rsidP="00AA00B9">
            <w:pPr>
              <w:jc w:val="both"/>
              <w:rPr>
                <w:rFonts w:ascii="Myriad Pro" w:hAnsi="Myriad Pro"/>
                <w:sz w:val="22"/>
              </w:rPr>
            </w:pPr>
            <w:r w:rsidRPr="001D108B">
              <w:rPr>
                <w:rFonts w:ascii="Myriad Pro" w:hAnsi="Myriad Pro"/>
                <w:sz w:val="22"/>
              </w:rPr>
              <w:t>0.249</w:t>
            </w:r>
          </w:p>
        </w:tc>
      </w:tr>
      <w:tr w:rsidR="00807BE5" w14:paraId="66EC97E1" w14:textId="77777777" w:rsidTr="001D108B">
        <w:trPr>
          <w:gridBefore w:val="1"/>
          <w:wBefore w:w="10" w:type="dxa"/>
          <w:trHeight w:val="520"/>
        </w:trPr>
        <w:tc>
          <w:tcPr>
            <w:tcW w:w="1266" w:type="dxa"/>
            <w:tcBorders>
              <w:top w:val="single" w:sz="8" w:space="0" w:color="000000"/>
              <w:left w:val="single" w:sz="8" w:space="0" w:color="000000"/>
              <w:bottom w:val="single" w:sz="8" w:space="0" w:color="000000"/>
              <w:right w:val="single" w:sz="8" w:space="0" w:color="000000"/>
            </w:tcBorders>
          </w:tcPr>
          <w:p w14:paraId="22BF59C6" w14:textId="77777777" w:rsidR="00807BE5" w:rsidRPr="001D108B" w:rsidRDefault="00807BE5" w:rsidP="00AA00B9">
            <w:pPr>
              <w:jc w:val="both"/>
              <w:rPr>
                <w:rFonts w:ascii="Myriad Pro" w:hAnsi="Myriad Pro"/>
                <w:sz w:val="22"/>
              </w:rPr>
            </w:pPr>
            <w:r w:rsidRPr="001D108B">
              <w:rPr>
                <w:rFonts w:ascii="Myriad Pro" w:hAnsi="Myriad Pro"/>
                <w:sz w:val="22"/>
              </w:rPr>
              <w:t>CRPS</w:t>
            </w:r>
          </w:p>
        </w:tc>
        <w:tc>
          <w:tcPr>
            <w:tcW w:w="1134" w:type="dxa"/>
            <w:tcBorders>
              <w:top w:val="single" w:sz="8" w:space="0" w:color="000000"/>
              <w:left w:val="single" w:sz="8" w:space="0" w:color="000000"/>
              <w:bottom w:val="single" w:sz="8" w:space="0" w:color="000000"/>
              <w:right w:val="single" w:sz="8" w:space="0" w:color="000000"/>
            </w:tcBorders>
            <w:vAlign w:val="center"/>
          </w:tcPr>
          <w:p w14:paraId="21E3BCF3" w14:textId="77777777" w:rsidR="00807BE5" w:rsidRPr="001D108B" w:rsidRDefault="00807BE5" w:rsidP="00AA00B9">
            <w:pPr>
              <w:jc w:val="both"/>
              <w:rPr>
                <w:rFonts w:ascii="Myriad Pro" w:hAnsi="Myriad Pro"/>
                <w:sz w:val="22"/>
              </w:rPr>
            </w:pPr>
            <w:r w:rsidRPr="001D108B">
              <w:rPr>
                <w:rFonts w:ascii="Myriad Pro" w:hAnsi="Myriad Pro"/>
                <w:sz w:val="22"/>
              </w:rPr>
              <w:t>0.100</w:t>
            </w:r>
          </w:p>
        </w:tc>
        <w:tc>
          <w:tcPr>
            <w:tcW w:w="1276" w:type="dxa"/>
            <w:tcBorders>
              <w:top w:val="single" w:sz="8" w:space="0" w:color="000000"/>
              <w:left w:val="single" w:sz="8" w:space="0" w:color="000000"/>
              <w:bottom w:val="single" w:sz="8" w:space="0" w:color="000000"/>
              <w:right w:val="single" w:sz="8" w:space="0" w:color="000000"/>
            </w:tcBorders>
            <w:vAlign w:val="center"/>
          </w:tcPr>
          <w:p w14:paraId="38D47CB6" w14:textId="77777777" w:rsidR="00807BE5" w:rsidRPr="001D108B" w:rsidRDefault="00807BE5" w:rsidP="00AA00B9">
            <w:pPr>
              <w:jc w:val="both"/>
              <w:rPr>
                <w:rFonts w:ascii="Myriad Pro" w:hAnsi="Myriad Pro"/>
                <w:sz w:val="22"/>
              </w:rPr>
            </w:pPr>
            <w:r w:rsidRPr="001D108B">
              <w:rPr>
                <w:rFonts w:ascii="Myriad Pro" w:hAnsi="Myriad Pro"/>
                <w:sz w:val="22"/>
              </w:rPr>
              <w:t>0.160</w:t>
            </w:r>
          </w:p>
        </w:tc>
        <w:tc>
          <w:tcPr>
            <w:tcW w:w="1134" w:type="dxa"/>
            <w:tcBorders>
              <w:top w:val="single" w:sz="8" w:space="0" w:color="000000"/>
              <w:left w:val="single" w:sz="8" w:space="0" w:color="000000"/>
              <w:bottom w:val="single" w:sz="8" w:space="0" w:color="000000"/>
              <w:right w:val="single" w:sz="8" w:space="0" w:color="000000"/>
            </w:tcBorders>
            <w:vAlign w:val="center"/>
          </w:tcPr>
          <w:p w14:paraId="4AC12211" w14:textId="77777777" w:rsidR="00807BE5" w:rsidRPr="001D108B" w:rsidRDefault="00807BE5" w:rsidP="00AA00B9">
            <w:pPr>
              <w:jc w:val="both"/>
              <w:rPr>
                <w:rFonts w:ascii="Myriad Pro" w:hAnsi="Myriad Pro"/>
                <w:sz w:val="22"/>
              </w:rPr>
            </w:pPr>
            <w:r w:rsidRPr="001D108B">
              <w:rPr>
                <w:rFonts w:ascii="Myriad Pro" w:hAnsi="Myriad Pro"/>
                <w:sz w:val="22"/>
              </w:rPr>
              <w:t>0.088</w:t>
            </w:r>
          </w:p>
        </w:tc>
        <w:tc>
          <w:tcPr>
            <w:tcW w:w="1276" w:type="dxa"/>
            <w:tcBorders>
              <w:top w:val="single" w:sz="8" w:space="0" w:color="000000"/>
              <w:left w:val="single" w:sz="8" w:space="0" w:color="000000"/>
              <w:bottom w:val="single" w:sz="8" w:space="0" w:color="000000"/>
              <w:right w:val="single" w:sz="8" w:space="0" w:color="000000"/>
            </w:tcBorders>
            <w:vAlign w:val="center"/>
          </w:tcPr>
          <w:p w14:paraId="6E44B8BF" w14:textId="77777777" w:rsidR="00807BE5" w:rsidRPr="001D108B" w:rsidRDefault="00807BE5" w:rsidP="00AA00B9">
            <w:pPr>
              <w:jc w:val="both"/>
              <w:rPr>
                <w:rFonts w:ascii="Myriad Pro" w:hAnsi="Myriad Pro"/>
                <w:sz w:val="22"/>
              </w:rPr>
            </w:pPr>
            <w:r w:rsidRPr="001D108B">
              <w:rPr>
                <w:rFonts w:ascii="Myriad Pro" w:hAnsi="Myriad Pro"/>
                <w:sz w:val="22"/>
              </w:rPr>
              <w:t>0.219</w:t>
            </w:r>
          </w:p>
        </w:tc>
        <w:tc>
          <w:tcPr>
            <w:tcW w:w="1134" w:type="dxa"/>
            <w:tcBorders>
              <w:top w:val="single" w:sz="8" w:space="0" w:color="000000"/>
              <w:left w:val="single" w:sz="8" w:space="0" w:color="000000"/>
              <w:bottom w:val="single" w:sz="8" w:space="0" w:color="000000"/>
              <w:right w:val="single" w:sz="8" w:space="0" w:color="000000"/>
            </w:tcBorders>
            <w:vAlign w:val="center"/>
          </w:tcPr>
          <w:p w14:paraId="5D7057AB" w14:textId="77777777" w:rsidR="00807BE5" w:rsidRPr="001D108B" w:rsidRDefault="00807BE5" w:rsidP="00AA00B9">
            <w:pPr>
              <w:jc w:val="both"/>
              <w:rPr>
                <w:rFonts w:ascii="Myriad Pro" w:hAnsi="Myriad Pro"/>
                <w:sz w:val="22"/>
              </w:rPr>
            </w:pPr>
            <w:r w:rsidRPr="001D108B">
              <w:rPr>
                <w:rFonts w:ascii="Myriad Pro" w:hAnsi="Myriad Pro"/>
                <w:sz w:val="22"/>
              </w:rPr>
              <w:t>0.081</w:t>
            </w:r>
          </w:p>
        </w:tc>
        <w:tc>
          <w:tcPr>
            <w:tcW w:w="1275" w:type="dxa"/>
            <w:tcBorders>
              <w:top w:val="single" w:sz="8" w:space="0" w:color="000000"/>
              <w:left w:val="single" w:sz="8" w:space="0" w:color="000000"/>
              <w:bottom w:val="single" w:sz="8" w:space="0" w:color="000000"/>
              <w:right w:val="single" w:sz="8" w:space="0" w:color="000000"/>
            </w:tcBorders>
            <w:vAlign w:val="center"/>
          </w:tcPr>
          <w:p w14:paraId="39E024B2" w14:textId="77777777" w:rsidR="00807BE5" w:rsidRPr="001D108B" w:rsidRDefault="00807BE5" w:rsidP="00AA00B9">
            <w:pPr>
              <w:jc w:val="both"/>
              <w:rPr>
                <w:rFonts w:ascii="Myriad Pro" w:hAnsi="Myriad Pro"/>
                <w:sz w:val="22"/>
              </w:rPr>
            </w:pPr>
            <w:r w:rsidRPr="001D108B">
              <w:rPr>
                <w:rFonts w:ascii="Myriad Pro" w:hAnsi="Myriad Pro"/>
                <w:sz w:val="22"/>
              </w:rPr>
              <w:t>0.196</w:t>
            </w:r>
          </w:p>
        </w:tc>
      </w:tr>
    </w:tbl>
    <w:p w14:paraId="051C27DC" w14:textId="77777777" w:rsidR="00EB58CF" w:rsidRPr="002430B0" w:rsidRDefault="00EB58CF" w:rsidP="00AA00B9">
      <w:pPr>
        <w:pStyle w:val="SMText"/>
        <w:jc w:val="both"/>
        <w:rPr>
          <w:rFonts w:ascii="Myriad Pro" w:hAnsi="Myriad Pro"/>
          <w:sz w:val="22"/>
        </w:rPr>
      </w:pPr>
      <w:r w:rsidRPr="002430B0">
        <w:rPr>
          <w:rFonts w:ascii="Myriad Pro" w:hAnsi="Myriad Pro"/>
          <w:sz w:val="22"/>
        </w:rPr>
        <w:t xml:space="preserve">The model performs well for Germany, with an MAE of 0.149 for buildings and 0.270 for equipment, indicating reasonable accuracy. The model shows minimal bias (MBE close to 0) for both categories. In comparison, Italy's model performs better for buildings (MAE </w:t>
      </w:r>
      <w:r w:rsidRPr="002430B0">
        <w:rPr>
          <w:rFonts w:ascii="Myriad Pro" w:hAnsi="Myriad Pro"/>
          <w:sz w:val="22"/>
        </w:rPr>
        <w:lastRenderedPageBreak/>
        <w:t>= 0.106) but slightly worse for equipment (MAE = 0.232), with a slight positive bias for equipment (MBE = 0.157). The Netherlands shows the lowest MAE for buildings (0.104) but the highest for equipment (0.297), with a noticeable positive bias for equipment (MBE = 0.249). Germany's model, while slightly less accurate for equipment, exhibits better overall calibration and less bias than the models for Italy and the Netherlands, with the lowest CRPS score for buildings (0.100). The model showcases substantial accuracy and minimal bias for Germany, while Italy and the Netherlands exhibit relatively comparable performance, especially regarding buildings. Despite some bias observed in the Netherlands for equipment, the model still offers valuable predictions. The consistent performance across these countries indicates that the model, validated by Italy and the Netherlands, can effectively estimate flood damage throughout European nations.</w:t>
      </w:r>
    </w:p>
    <w:p w14:paraId="7F792F84" w14:textId="76318C43" w:rsidR="00B9440A" w:rsidRPr="001265FA" w:rsidRDefault="00B9440A" w:rsidP="00B9440A">
      <w:pPr>
        <w:pStyle w:val="SMcaption"/>
        <w:rPr>
          <w:rFonts w:ascii="Myriad Pro" w:hAnsi="Myriad Pro"/>
          <w:b/>
          <w:i/>
          <w:sz w:val="22"/>
          <w:szCs w:val="22"/>
        </w:rPr>
      </w:pPr>
    </w:p>
    <w:sectPr w:rsidR="00B9440A" w:rsidRPr="001265FA" w:rsidSect="00F125EE">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4C451A" w14:textId="77777777" w:rsidR="00444479" w:rsidRDefault="00444479">
      <w:r>
        <w:separator/>
      </w:r>
    </w:p>
  </w:endnote>
  <w:endnote w:type="continuationSeparator" w:id="0">
    <w:p w14:paraId="0B60BFFA" w14:textId="77777777" w:rsidR="00444479" w:rsidRDefault="004444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0000000000000000000"/>
    <w:charset w:val="00"/>
    <w:family w:val="swiss"/>
    <w:notTrueType/>
    <w:pitch w:val="variable"/>
    <w:sig w:usb0="20000287" w:usb1="00000001"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C286B" w14:textId="77777777" w:rsidR="00444479" w:rsidRDefault="00444479">
      <w:r>
        <w:separator/>
      </w:r>
    </w:p>
  </w:footnote>
  <w:footnote w:type="continuationSeparator" w:id="0">
    <w:p w14:paraId="53EC9481" w14:textId="77777777" w:rsidR="00444479" w:rsidRDefault="004444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D134170"/>
    <w:multiLevelType w:val="hybridMultilevel"/>
    <w:tmpl w:val="5378A73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14"/>
  </w:num>
  <w:num w:numId="13">
    <w:abstractNumId w:val="11"/>
  </w:num>
  <w:num w:numId="14">
    <w:abstractNumId w:val="16"/>
  </w:num>
  <w:num w:numId="15">
    <w:abstractNumId w:val="15"/>
  </w:num>
  <w:num w:numId="16">
    <w:abstractNumId w:val="13"/>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513FF"/>
    <w:rsid w:val="00064CD8"/>
    <w:rsid w:val="00065EBD"/>
    <w:rsid w:val="00083B44"/>
    <w:rsid w:val="000850DC"/>
    <w:rsid w:val="00094365"/>
    <w:rsid w:val="000A4C1B"/>
    <w:rsid w:val="000B2E64"/>
    <w:rsid w:val="000C2771"/>
    <w:rsid w:val="000D68BD"/>
    <w:rsid w:val="000F0DCE"/>
    <w:rsid w:val="000F4BCF"/>
    <w:rsid w:val="00111843"/>
    <w:rsid w:val="00112C5B"/>
    <w:rsid w:val="00113908"/>
    <w:rsid w:val="00114193"/>
    <w:rsid w:val="001154E6"/>
    <w:rsid w:val="00115A38"/>
    <w:rsid w:val="0011687B"/>
    <w:rsid w:val="00124F82"/>
    <w:rsid w:val="001265FA"/>
    <w:rsid w:val="001278E3"/>
    <w:rsid w:val="00130743"/>
    <w:rsid w:val="00130B50"/>
    <w:rsid w:val="00143068"/>
    <w:rsid w:val="0016337A"/>
    <w:rsid w:val="00164269"/>
    <w:rsid w:val="001966FD"/>
    <w:rsid w:val="00197826"/>
    <w:rsid w:val="001A1BDE"/>
    <w:rsid w:val="001C7B4E"/>
    <w:rsid w:val="001D108B"/>
    <w:rsid w:val="001F0876"/>
    <w:rsid w:val="001F167C"/>
    <w:rsid w:val="001F5E91"/>
    <w:rsid w:val="0020183F"/>
    <w:rsid w:val="0020704B"/>
    <w:rsid w:val="002077B9"/>
    <w:rsid w:val="00221C70"/>
    <w:rsid w:val="002251AF"/>
    <w:rsid w:val="00227D86"/>
    <w:rsid w:val="002430B0"/>
    <w:rsid w:val="00243B68"/>
    <w:rsid w:val="00255D82"/>
    <w:rsid w:val="00262D72"/>
    <w:rsid w:val="002800B6"/>
    <w:rsid w:val="002B35D4"/>
    <w:rsid w:val="002C030F"/>
    <w:rsid w:val="002C58DD"/>
    <w:rsid w:val="002F3966"/>
    <w:rsid w:val="0031177A"/>
    <w:rsid w:val="00320E2C"/>
    <w:rsid w:val="00331D75"/>
    <w:rsid w:val="00350BFC"/>
    <w:rsid w:val="00355362"/>
    <w:rsid w:val="00361C4A"/>
    <w:rsid w:val="00363E44"/>
    <w:rsid w:val="00395E86"/>
    <w:rsid w:val="003A2FD8"/>
    <w:rsid w:val="003B40E6"/>
    <w:rsid w:val="003C007A"/>
    <w:rsid w:val="003C606B"/>
    <w:rsid w:val="003E1980"/>
    <w:rsid w:val="003F6E14"/>
    <w:rsid w:val="004021E9"/>
    <w:rsid w:val="00405336"/>
    <w:rsid w:val="00431700"/>
    <w:rsid w:val="00444479"/>
    <w:rsid w:val="00444F51"/>
    <w:rsid w:val="004568BC"/>
    <w:rsid w:val="004571D5"/>
    <w:rsid w:val="00462F1B"/>
    <w:rsid w:val="0046356B"/>
    <w:rsid w:val="00477182"/>
    <w:rsid w:val="004779CB"/>
    <w:rsid w:val="00481118"/>
    <w:rsid w:val="00485A54"/>
    <w:rsid w:val="004B2481"/>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B186E"/>
    <w:rsid w:val="005C6651"/>
    <w:rsid w:val="005D6D71"/>
    <w:rsid w:val="005E28F8"/>
    <w:rsid w:val="005E6513"/>
    <w:rsid w:val="00611F9E"/>
    <w:rsid w:val="006237D4"/>
    <w:rsid w:val="00651114"/>
    <w:rsid w:val="006622CF"/>
    <w:rsid w:val="00664A12"/>
    <w:rsid w:val="0066722B"/>
    <w:rsid w:val="00670299"/>
    <w:rsid w:val="0068469F"/>
    <w:rsid w:val="00691985"/>
    <w:rsid w:val="006962C1"/>
    <w:rsid w:val="006A1B64"/>
    <w:rsid w:val="006B03AD"/>
    <w:rsid w:val="006D751A"/>
    <w:rsid w:val="006F602A"/>
    <w:rsid w:val="007108F5"/>
    <w:rsid w:val="00713AF2"/>
    <w:rsid w:val="00713E5B"/>
    <w:rsid w:val="007402FC"/>
    <w:rsid w:val="007411A1"/>
    <w:rsid w:val="007563F2"/>
    <w:rsid w:val="00764008"/>
    <w:rsid w:val="00771D9D"/>
    <w:rsid w:val="00795D4D"/>
    <w:rsid w:val="00796BB2"/>
    <w:rsid w:val="007B3B03"/>
    <w:rsid w:val="00807BE5"/>
    <w:rsid w:val="00807D35"/>
    <w:rsid w:val="008115D9"/>
    <w:rsid w:val="00824D9D"/>
    <w:rsid w:val="00825950"/>
    <w:rsid w:val="00885C9B"/>
    <w:rsid w:val="008927D0"/>
    <w:rsid w:val="00894A09"/>
    <w:rsid w:val="00896FAB"/>
    <w:rsid w:val="008B1F9C"/>
    <w:rsid w:val="008D5D2A"/>
    <w:rsid w:val="008E2CF1"/>
    <w:rsid w:val="008F08DC"/>
    <w:rsid w:val="008F5A8A"/>
    <w:rsid w:val="009055D1"/>
    <w:rsid w:val="00914B63"/>
    <w:rsid w:val="00922705"/>
    <w:rsid w:val="00924546"/>
    <w:rsid w:val="00932FE5"/>
    <w:rsid w:val="009354F3"/>
    <w:rsid w:val="009447DC"/>
    <w:rsid w:val="00961BA5"/>
    <w:rsid w:val="009743A9"/>
    <w:rsid w:val="00975720"/>
    <w:rsid w:val="009859A7"/>
    <w:rsid w:val="009A5287"/>
    <w:rsid w:val="009B2AC5"/>
    <w:rsid w:val="009B7984"/>
    <w:rsid w:val="009E0CDC"/>
    <w:rsid w:val="009F4BED"/>
    <w:rsid w:val="009F7D93"/>
    <w:rsid w:val="00A276DF"/>
    <w:rsid w:val="00A3084A"/>
    <w:rsid w:val="00A3403B"/>
    <w:rsid w:val="00A50033"/>
    <w:rsid w:val="00A51A12"/>
    <w:rsid w:val="00A627D4"/>
    <w:rsid w:val="00A74DA2"/>
    <w:rsid w:val="00A827BF"/>
    <w:rsid w:val="00A92733"/>
    <w:rsid w:val="00AA00B9"/>
    <w:rsid w:val="00AA76F3"/>
    <w:rsid w:val="00AC2B7B"/>
    <w:rsid w:val="00AC7DA6"/>
    <w:rsid w:val="00AD499C"/>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3953"/>
    <w:rsid w:val="00BB2D2A"/>
    <w:rsid w:val="00BC6C7E"/>
    <w:rsid w:val="00BD58CF"/>
    <w:rsid w:val="00BF1BEB"/>
    <w:rsid w:val="00BF1BF9"/>
    <w:rsid w:val="00C04CC1"/>
    <w:rsid w:val="00C071FC"/>
    <w:rsid w:val="00C22C02"/>
    <w:rsid w:val="00C27F6F"/>
    <w:rsid w:val="00C30E83"/>
    <w:rsid w:val="00C50C6D"/>
    <w:rsid w:val="00C600D9"/>
    <w:rsid w:val="00C634D7"/>
    <w:rsid w:val="00C73E09"/>
    <w:rsid w:val="00CB20CD"/>
    <w:rsid w:val="00CB5072"/>
    <w:rsid w:val="00CC1384"/>
    <w:rsid w:val="00CD3720"/>
    <w:rsid w:val="00CE6EAA"/>
    <w:rsid w:val="00CF1848"/>
    <w:rsid w:val="00CF5C2F"/>
    <w:rsid w:val="00D04BCF"/>
    <w:rsid w:val="00D10134"/>
    <w:rsid w:val="00D143D9"/>
    <w:rsid w:val="00D4372A"/>
    <w:rsid w:val="00D60BB0"/>
    <w:rsid w:val="00D65708"/>
    <w:rsid w:val="00D6579D"/>
    <w:rsid w:val="00D678A8"/>
    <w:rsid w:val="00D8159F"/>
    <w:rsid w:val="00DA05C1"/>
    <w:rsid w:val="00DA2DB3"/>
    <w:rsid w:val="00DD1D04"/>
    <w:rsid w:val="00DD79D7"/>
    <w:rsid w:val="00DE2350"/>
    <w:rsid w:val="00DE6A5F"/>
    <w:rsid w:val="00DF24CC"/>
    <w:rsid w:val="00E20431"/>
    <w:rsid w:val="00E257C8"/>
    <w:rsid w:val="00E40896"/>
    <w:rsid w:val="00E43D2D"/>
    <w:rsid w:val="00E449CB"/>
    <w:rsid w:val="00E52A8F"/>
    <w:rsid w:val="00E63760"/>
    <w:rsid w:val="00E64049"/>
    <w:rsid w:val="00E9773B"/>
    <w:rsid w:val="00EB58CF"/>
    <w:rsid w:val="00EC13A3"/>
    <w:rsid w:val="00EC7C85"/>
    <w:rsid w:val="00ED69CA"/>
    <w:rsid w:val="00EE35AB"/>
    <w:rsid w:val="00EF25A3"/>
    <w:rsid w:val="00F118B0"/>
    <w:rsid w:val="00F125EE"/>
    <w:rsid w:val="00F12E98"/>
    <w:rsid w:val="00F22029"/>
    <w:rsid w:val="00F23E46"/>
    <w:rsid w:val="00F3515C"/>
    <w:rsid w:val="00F47BA3"/>
    <w:rsid w:val="00F56E67"/>
    <w:rsid w:val="00F630EA"/>
    <w:rsid w:val="00F6474F"/>
    <w:rsid w:val="00F7007E"/>
    <w:rsid w:val="00F73193"/>
    <w:rsid w:val="00F74F95"/>
    <w:rsid w:val="00F80705"/>
    <w:rsid w:val="00F851BF"/>
    <w:rsid w:val="00F95F8E"/>
    <w:rsid w:val="00FA1481"/>
    <w:rsid w:val="00FB1C42"/>
    <w:rsid w:val="00FB32EC"/>
    <w:rsid w:val="00FD5680"/>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Hyperlink" w:uiPriority="99"/>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4D9D"/>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uiPriority w:val="39"/>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unhideWhenUsed/>
    <w:qFormat/>
    <w:rsid w:val="00405336"/>
    <w:pPr>
      <w:outlineLvl w:val="9"/>
    </w:pPr>
    <w:rPr>
      <w:rFonts w:ascii="Cambria" w:hAnsi="Cambria"/>
      <w:sz w:val="32"/>
      <w:szCs w:val="32"/>
    </w:rPr>
  </w:style>
  <w:style w:type="character" w:styleId="Hyperlink">
    <w:name w:val="Hyperlink"/>
    <w:uiPriority w:val="99"/>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ivedita@gfz-potsdam.d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nkuiry@civil.iitm.ac.in"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2A88F-B5CA-4198-B7B3-CF50A8B65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2114</Words>
  <Characters>12052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14138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Nivedita Sairam</cp:lastModifiedBy>
  <cp:revision>5</cp:revision>
  <cp:lastPrinted>2014-09-30T16:49:00Z</cp:lastPrinted>
  <dcterms:created xsi:type="dcterms:W3CDTF">2025-03-07T19:50:00Z</dcterms:created>
  <dcterms:modified xsi:type="dcterms:W3CDTF">2025-08-01T13:13:00Z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74cfc3033fb5b56b0a2c4f9cc41fab2e0d28b319473f6a3bd938c23da567a906</vt:lpwstr>
  </property>
</Properties>
</file>