
<file path=[Content_Types].xml><?xml version="1.0" encoding="utf-8"?>
<Types xmlns="http://schemas.openxmlformats.org/package/2006/content-types">
  <Default Extension="rels" ContentType="application/vnd.openxmlformats-package.relationships+xml"/>
  <Default Extension="tif" ContentType="image/tiff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D7FDF8" w14:textId="77777777" w:rsidR="005679C8" w:rsidRPr="005679C8" w:rsidRDefault="005679C8" w:rsidP="005679C8">
      <w:pPr>
        <w:keepNext/>
        <w:spacing w:before="240" w:after="120"/>
        <w:jc w:val="center"/>
        <w:outlineLvl w:val="0"/>
        <w:rPr>
          <w:b/>
          <w:kern w:val="28"/>
          <w:sz w:val="28"/>
        </w:rPr>
      </w:pPr>
      <w:r w:rsidRPr="005679C8">
        <w:rPr>
          <w:b/>
          <w:kern w:val="28"/>
          <w:sz w:val="28"/>
        </w:rPr>
        <w:t>DXA-derived three-dimensional finite element models of the femur: validation against CT-based models</w:t>
      </w:r>
    </w:p>
    <w:p w14:paraId="7136EA15" w14:textId="0B58B30F" w:rsidR="005679C8" w:rsidRDefault="005679C8" w:rsidP="005679C8">
      <w:pPr>
        <w:jc w:val="center"/>
        <w:rPr>
          <w:lang w:val="it-IT"/>
        </w:rPr>
      </w:pPr>
      <w:r w:rsidRPr="005679C8">
        <w:rPr>
          <w:lang w:val="it-IT"/>
        </w:rPr>
        <w:t>Alessandra Aldieri, Pinaki Bhattachary</w:t>
      </w:r>
      <w:r>
        <w:rPr>
          <w:lang w:val="it-IT"/>
        </w:rPr>
        <w:t>a</w:t>
      </w:r>
      <w:r w:rsidRPr="005679C8">
        <w:rPr>
          <w:lang w:val="it-IT"/>
        </w:rPr>
        <w:t>, Margaret Paggiosi, Richard Eastell, Lorenzo Grassi</w:t>
      </w:r>
    </w:p>
    <w:p w14:paraId="314E2C38" w14:textId="77777777" w:rsidR="005679C8" w:rsidRDefault="005679C8" w:rsidP="005679C8">
      <w:pPr>
        <w:jc w:val="center"/>
        <w:rPr>
          <w:lang w:val="it-IT"/>
        </w:rPr>
      </w:pPr>
    </w:p>
    <w:p w14:paraId="63D3FE69" w14:textId="77777777" w:rsidR="005679C8" w:rsidRDefault="005679C8" w:rsidP="005679C8">
      <w:pPr>
        <w:jc w:val="center"/>
        <w:rPr>
          <w:lang w:val="it-IT"/>
        </w:rPr>
      </w:pPr>
    </w:p>
    <w:p w14:paraId="0030E0E8" w14:textId="2777BFB1" w:rsidR="005679C8" w:rsidRPr="005679C8" w:rsidRDefault="005679C8" w:rsidP="005679C8">
      <w:pPr>
        <w:jc w:val="center"/>
        <w:rPr>
          <w:b/>
          <w:bCs/>
          <w:i/>
          <w:iCs/>
          <w:sz w:val="28"/>
          <w:szCs w:val="22"/>
          <w:lang w:val="it-IT"/>
        </w:rPr>
      </w:pPr>
      <w:r w:rsidRPr="005679C8">
        <w:rPr>
          <w:b/>
          <w:bCs/>
          <w:i/>
          <w:iCs/>
          <w:sz w:val="28"/>
          <w:szCs w:val="22"/>
          <w:lang w:val="it-IT"/>
        </w:rPr>
        <w:t xml:space="preserve">Electronic </w:t>
      </w:r>
      <w:proofErr w:type="spellStart"/>
      <w:r w:rsidRPr="005679C8">
        <w:rPr>
          <w:b/>
          <w:bCs/>
          <w:i/>
          <w:iCs/>
          <w:sz w:val="28"/>
          <w:szCs w:val="22"/>
          <w:lang w:val="it-IT"/>
        </w:rPr>
        <w:t>Supplementary</w:t>
      </w:r>
      <w:proofErr w:type="spellEnd"/>
      <w:r w:rsidRPr="005679C8">
        <w:rPr>
          <w:b/>
          <w:bCs/>
          <w:i/>
          <w:iCs/>
          <w:sz w:val="28"/>
          <w:szCs w:val="22"/>
          <w:lang w:val="it-IT"/>
        </w:rPr>
        <w:t xml:space="preserve"> </w:t>
      </w:r>
      <w:proofErr w:type="spellStart"/>
      <w:r w:rsidRPr="005679C8">
        <w:rPr>
          <w:b/>
          <w:bCs/>
          <w:i/>
          <w:iCs/>
          <w:sz w:val="28"/>
          <w:szCs w:val="22"/>
          <w:lang w:val="it-IT"/>
        </w:rPr>
        <w:t>Material</w:t>
      </w:r>
      <w:proofErr w:type="spellEnd"/>
    </w:p>
    <w:p w14:paraId="0092CD6F" w14:textId="77777777" w:rsidR="005679C8" w:rsidRPr="005679C8" w:rsidRDefault="005679C8" w:rsidP="007244EC">
      <w:pPr>
        <w:keepNext/>
        <w:jc w:val="center"/>
        <w:rPr>
          <w:lang w:val="it-IT"/>
        </w:rPr>
      </w:pPr>
    </w:p>
    <w:p w14:paraId="23A4580E" w14:textId="3E9F4E7C" w:rsidR="007244EC" w:rsidRDefault="007244EC" w:rsidP="007244EC">
      <w:pPr>
        <w:keepNext/>
        <w:jc w:val="center"/>
      </w:pPr>
      <w:r>
        <w:rPr>
          <w:noProof/>
          <w14:ligatures w14:val="standardContextual"/>
        </w:rPr>
        <w:drawing>
          <wp:inline distT="0" distB="0" distL="0" distR="0" wp14:anchorId="663F45A2" wp14:editId="5260ABE4">
            <wp:extent cx="4052888" cy="3040012"/>
            <wp:effectExtent l="0" t="0" r="5080" b="8255"/>
            <wp:docPr id="2125904200" name="Immagine 1" descr="Immagine che contiene testo, schermata, diagramma, line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25904200" name="Immagine 1" descr="Immagine che contiene testo, schermata, diagramma, linea&#10;&#10;Il contenuto generato dall'IA potrebbe non essere corretto.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56411" cy="30426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69906A" w14:textId="7992F471" w:rsidR="00DF1D0F" w:rsidRPr="009B2298" w:rsidRDefault="007244EC" w:rsidP="00DF1D0F">
      <w:pPr>
        <w:pStyle w:val="Didascalia"/>
        <w:spacing w:before="120"/>
      </w:pPr>
      <w:r w:rsidRPr="007244EC">
        <w:rPr>
          <w:b/>
          <w:bCs/>
          <w:i w:val="0"/>
          <w:iCs w:val="0"/>
          <w:color w:val="auto"/>
          <w:sz w:val="22"/>
        </w:rPr>
        <w:t xml:space="preserve">Figure </w:t>
      </w:r>
      <w:r>
        <w:rPr>
          <w:b/>
          <w:bCs/>
          <w:i w:val="0"/>
          <w:iCs w:val="0"/>
          <w:color w:val="auto"/>
          <w:sz w:val="22"/>
        </w:rPr>
        <w:t>S</w:t>
      </w:r>
      <w:r w:rsidRPr="007244EC">
        <w:rPr>
          <w:b/>
          <w:bCs/>
          <w:i w:val="0"/>
          <w:iCs w:val="0"/>
          <w:color w:val="auto"/>
          <w:sz w:val="22"/>
        </w:rPr>
        <w:fldChar w:fldCharType="begin"/>
      </w:r>
      <w:r w:rsidRPr="007244EC">
        <w:rPr>
          <w:b/>
          <w:bCs/>
          <w:i w:val="0"/>
          <w:iCs w:val="0"/>
          <w:color w:val="auto"/>
          <w:sz w:val="22"/>
        </w:rPr>
        <w:instrText xml:space="preserve"> SEQ Figure \* ARABIC </w:instrText>
      </w:r>
      <w:r w:rsidRPr="007244EC">
        <w:rPr>
          <w:b/>
          <w:bCs/>
          <w:i w:val="0"/>
          <w:iCs w:val="0"/>
          <w:color w:val="auto"/>
          <w:sz w:val="22"/>
        </w:rPr>
        <w:fldChar w:fldCharType="separate"/>
      </w:r>
      <w:r w:rsidR="00C0753A">
        <w:rPr>
          <w:b/>
          <w:bCs/>
          <w:i w:val="0"/>
          <w:iCs w:val="0"/>
          <w:noProof/>
          <w:color w:val="auto"/>
          <w:sz w:val="22"/>
        </w:rPr>
        <w:t>1</w:t>
      </w:r>
      <w:r w:rsidRPr="007244EC">
        <w:rPr>
          <w:b/>
          <w:bCs/>
          <w:i w:val="0"/>
          <w:iCs w:val="0"/>
          <w:color w:val="auto"/>
          <w:sz w:val="22"/>
        </w:rPr>
        <w:fldChar w:fldCharType="end"/>
      </w:r>
      <w:r>
        <w:rPr>
          <w:b/>
          <w:bCs/>
          <w:i w:val="0"/>
          <w:iCs w:val="0"/>
          <w:color w:val="auto"/>
          <w:sz w:val="22"/>
        </w:rPr>
        <w:t xml:space="preserve">. </w:t>
      </w:r>
      <w:r w:rsidR="00DF1D0F">
        <w:rPr>
          <w:i w:val="0"/>
          <w:iCs w:val="0"/>
          <w:color w:val="auto"/>
          <w:sz w:val="22"/>
        </w:rPr>
        <w:t>Distribution of the element-wise Young’s modulus absolute difference between CT-based and DXA-based FE models (in absolute value).</w:t>
      </w:r>
    </w:p>
    <w:p w14:paraId="7B35BDC5" w14:textId="5AD5FC50" w:rsidR="007244EC" w:rsidRPr="007244EC" w:rsidRDefault="007244EC" w:rsidP="007244EC">
      <w:pPr>
        <w:pStyle w:val="Didascalia"/>
        <w:rPr>
          <w:b/>
          <w:bCs/>
          <w:i w:val="0"/>
          <w:iCs w:val="0"/>
          <w:color w:val="auto"/>
          <w:sz w:val="22"/>
        </w:rPr>
      </w:pPr>
    </w:p>
    <w:p w14:paraId="415BE5D5" w14:textId="6229DDFA" w:rsidR="00EE145C" w:rsidRDefault="00CB7985" w:rsidP="00EE145C">
      <w:pPr>
        <w:keepNext/>
        <w:jc w:val="center"/>
      </w:pPr>
      <w:r>
        <w:rPr>
          <w:b/>
          <w:bCs/>
          <w:noProof/>
          <w14:ligatures w14:val="standardContextual"/>
        </w:rPr>
        <w:lastRenderedPageBreak/>
        <w:drawing>
          <wp:inline distT="0" distB="0" distL="0" distR="0" wp14:anchorId="28C81E14" wp14:editId="194482CD">
            <wp:extent cx="5835650" cy="9072245"/>
            <wp:effectExtent l="0" t="0" r="0" b="0"/>
            <wp:docPr id="230953823" name="Immagine 2" descr="Immagine che contiene testo, calligrafia, viola, schermat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0953823" name="Immagine 2" descr="Immagine che contiene testo, calligrafia, viola, schermata&#10;&#10;Il contenuto generato dall'IA potrebbe non essere corretto.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35650" cy="9072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5C0E37" w14:textId="0A33B8A0" w:rsidR="00E56FCA" w:rsidRPr="00E56FCA" w:rsidRDefault="00EE145C" w:rsidP="00E56FCA">
      <w:pPr>
        <w:pStyle w:val="Didascalia"/>
        <w:rPr>
          <w:sz w:val="22"/>
        </w:rPr>
      </w:pPr>
      <w:r w:rsidRPr="00EE145C">
        <w:rPr>
          <w:b/>
          <w:bCs/>
          <w:i w:val="0"/>
          <w:iCs w:val="0"/>
          <w:color w:val="auto"/>
          <w:sz w:val="22"/>
        </w:rPr>
        <w:lastRenderedPageBreak/>
        <w:t xml:space="preserve">Figure </w:t>
      </w:r>
      <w:r>
        <w:rPr>
          <w:b/>
          <w:bCs/>
          <w:i w:val="0"/>
          <w:iCs w:val="0"/>
          <w:color w:val="auto"/>
          <w:sz w:val="22"/>
        </w:rPr>
        <w:t>S</w:t>
      </w:r>
      <w:r w:rsidR="009A7BFD">
        <w:rPr>
          <w:b/>
          <w:bCs/>
          <w:i w:val="0"/>
          <w:iCs w:val="0"/>
          <w:color w:val="auto"/>
          <w:sz w:val="22"/>
        </w:rPr>
        <w:t>2</w:t>
      </w:r>
      <w:r w:rsidRPr="00EE145C">
        <w:rPr>
          <w:b/>
          <w:bCs/>
          <w:i w:val="0"/>
          <w:iCs w:val="0"/>
          <w:color w:val="auto"/>
          <w:sz w:val="22"/>
        </w:rPr>
        <w:t>.</w:t>
      </w:r>
      <w:r>
        <w:t xml:space="preserve"> </w:t>
      </w:r>
      <w:r w:rsidR="0048203D">
        <w:rPr>
          <w:i w:val="0"/>
          <w:iCs w:val="0"/>
          <w:color w:val="auto"/>
          <w:sz w:val="22"/>
        </w:rPr>
        <w:t>DXA-based versus CT-based su</w:t>
      </w:r>
      <w:r w:rsidRPr="00EE145C">
        <w:rPr>
          <w:i w:val="0"/>
          <w:iCs w:val="0"/>
          <w:color w:val="auto"/>
          <w:sz w:val="22"/>
        </w:rPr>
        <w:t xml:space="preserve">bject-specific values of the failure loads </w:t>
      </w:r>
      <w:r w:rsidR="002E593E">
        <w:rPr>
          <w:i w:val="0"/>
          <w:iCs w:val="0"/>
          <w:color w:val="auto"/>
          <w:sz w:val="22"/>
        </w:rPr>
        <w:t>predicted by the FE simulations for each of the 28 femur configurations analysed. Ext: external rotation angle; Int: internal rotation angle; Add: adduction angle</w:t>
      </w:r>
      <w:r w:rsidRPr="00EE145C">
        <w:rPr>
          <w:i w:val="0"/>
          <w:iCs w:val="0"/>
          <w:color w:val="auto"/>
          <w:sz w:val="22"/>
        </w:rPr>
        <w:t>. Fracture cases (F) are depicted in red, while control cases (C) are depicted in lilac.</w:t>
      </w:r>
      <w:r w:rsidR="00E56FCA">
        <w:rPr>
          <w:i w:val="0"/>
          <w:iCs w:val="0"/>
          <w:color w:val="auto"/>
          <w:sz w:val="22"/>
        </w:rPr>
        <w:t xml:space="preserve"> </w:t>
      </w:r>
      <w:r w:rsidR="00E56FCA" w:rsidRPr="00E56FCA">
        <w:rPr>
          <w:i w:val="0"/>
          <w:iCs w:val="0"/>
          <w:color w:val="auto"/>
          <w:sz w:val="22"/>
        </w:rPr>
        <w:t>The regression line is superimposed onto the data. The regression line equation</w:t>
      </w:r>
      <w:r w:rsidR="00E56FCA">
        <w:rPr>
          <w:i w:val="0"/>
          <w:iCs w:val="0"/>
          <w:color w:val="auto"/>
          <w:sz w:val="22"/>
        </w:rPr>
        <w:t xml:space="preserve"> and</w:t>
      </w:r>
      <w:r w:rsidR="00E56FCA" w:rsidRPr="00E56FCA">
        <w:rPr>
          <w:i w:val="0"/>
          <w:iCs w:val="0"/>
          <w:color w:val="auto"/>
          <w:sz w:val="22"/>
        </w:rPr>
        <w:t xml:space="preserve"> R</w:t>
      </w:r>
      <w:r w:rsidR="00E56FCA" w:rsidRPr="00E56FCA">
        <w:rPr>
          <w:i w:val="0"/>
          <w:iCs w:val="0"/>
          <w:color w:val="auto"/>
          <w:sz w:val="22"/>
          <w:vertAlign w:val="superscript"/>
        </w:rPr>
        <w:t>2</w:t>
      </w:r>
      <w:r w:rsidR="00E56FCA" w:rsidRPr="00E56FCA">
        <w:rPr>
          <w:i w:val="0"/>
          <w:iCs w:val="0"/>
          <w:color w:val="auto"/>
          <w:sz w:val="22"/>
        </w:rPr>
        <w:t xml:space="preserve"> value are also reported.</w:t>
      </w:r>
    </w:p>
    <w:p w14:paraId="6304AE0B" w14:textId="349A09C8" w:rsidR="00373D44" w:rsidRPr="00776A90" w:rsidRDefault="00373D44" w:rsidP="00EE145C">
      <w:pPr>
        <w:pStyle w:val="Didascalia"/>
        <w:rPr>
          <w:b/>
          <w:bCs/>
        </w:rPr>
      </w:pPr>
    </w:p>
    <w:p w14:paraId="4595D6CE" w14:textId="77777777" w:rsidR="00373D44" w:rsidRDefault="00373D44" w:rsidP="00373D44">
      <w:pPr>
        <w:keepNext/>
      </w:pPr>
      <w:r>
        <w:rPr>
          <w:noProof/>
        </w:rPr>
        <w:drawing>
          <wp:inline distT="0" distB="0" distL="0" distR="0" wp14:anchorId="17B572F5" wp14:editId="36386B91">
            <wp:extent cx="5755123" cy="6844030"/>
            <wp:effectExtent l="0" t="0" r="0" b="0"/>
            <wp:docPr id="1286192247" name="Immagine 13" descr="Immagine che contiene testo, schermat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6192247" name="Immagine 13" descr="Immagine che contiene testo, schermata, diagramma&#10;&#10;Il contenuto generato dall'IA potrebbe non essere corretto.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55123" cy="6844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5E6B83" w14:textId="6FE1BC54" w:rsidR="00373D44" w:rsidRPr="00EE145C" w:rsidRDefault="00373D44" w:rsidP="00373D44">
      <w:pPr>
        <w:rPr>
          <w:sz w:val="22"/>
          <w:szCs w:val="18"/>
        </w:rPr>
      </w:pPr>
      <w:r w:rsidRPr="00EE145C">
        <w:rPr>
          <w:b/>
          <w:bCs/>
          <w:sz w:val="22"/>
          <w:szCs w:val="18"/>
        </w:rPr>
        <w:t xml:space="preserve">Figure </w:t>
      </w:r>
      <w:r w:rsidR="00EE145C">
        <w:rPr>
          <w:b/>
          <w:bCs/>
          <w:sz w:val="22"/>
          <w:szCs w:val="18"/>
        </w:rPr>
        <w:t>S</w:t>
      </w:r>
      <w:r w:rsidR="009A7BFD">
        <w:rPr>
          <w:b/>
          <w:bCs/>
          <w:sz w:val="22"/>
          <w:szCs w:val="18"/>
        </w:rPr>
        <w:t>3</w:t>
      </w:r>
      <w:r w:rsidRPr="00EE145C">
        <w:rPr>
          <w:b/>
          <w:bCs/>
          <w:sz w:val="22"/>
          <w:szCs w:val="18"/>
        </w:rPr>
        <w:t>.</w:t>
      </w:r>
      <w:r w:rsidRPr="00EE145C">
        <w:rPr>
          <w:sz w:val="22"/>
          <w:szCs w:val="18"/>
        </w:rPr>
        <w:t xml:space="preserve"> </w:t>
      </w:r>
      <w:bookmarkStart w:id="0" w:name="_Hlk209777050"/>
      <w:r w:rsidRPr="00EE145C">
        <w:rPr>
          <w:sz w:val="22"/>
          <w:szCs w:val="18"/>
        </w:rPr>
        <w:t xml:space="preserve">Average (upper panel) and minimum (lower panel) subject-specific values of the </w:t>
      </w:r>
      <w:r w:rsidR="006C5ABC">
        <w:rPr>
          <w:sz w:val="22"/>
          <w:szCs w:val="18"/>
        </w:rPr>
        <w:t xml:space="preserve">femoral strength </w:t>
      </w:r>
      <w:r w:rsidRPr="00EE145C">
        <w:rPr>
          <w:sz w:val="22"/>
          <w:szCs w:val="18"/>
        </w:rPr>
        <w:t xml:space="preserve">estimated though the CT-based and DXA-based FE models in comparison to the subject-specific values of </w:t>
      </w:r>
      <w:proofErr w:type="spellStart"/>
      <w:r w:rsidRPr="00EE145C">
        <w:rPr>
          <w:sz w:val="22"/>
          <w:szCs w:val="18"/>
        </w:rPr>
        <w:t>aBMD</w:t>
      </w:r>
      <w:proofErr w:type="spellEnd"/>
      <w:r w:rsidRPr="00EE145C">
        <w:rPr>
          <w:sz w:val="22"/>
          <w:szCs w:val="18"/>
        </w:rPr>
        <w:t>. Fracture cases (F) are depicted in red, while control cases (C) are depicted in lilac.</w:t>
      </w:r>
      <w:bookmarkEnd w:id="0"/>
    </w:p>
    <w:p w14:paraId="614F4FCA" w14:textId="77777777" w:rsidR="00373D44" w:rsidRDefault="00373D44" w:rsidP="00373D44"/>
    <w:p w14:paraId="3AB4D1FF" w14:textId="77777777" w:rsidR="00373D44" w:rsidRDefault="00373D44" w:rsidP="00373D44">
      <w:pPr>
        <w:keepNext/>
      </w:pPr>
      <w:r>
        <w:rPr>
          <w:noProof/>
        </w:rPr>
        <w:lastRenderedPageBreak/>
        <w:drawing>
          <wp:inline distT="0" distB="0" distL="0" distR="0" wp14:anchorId="7646581F" wp14:editId="03AFA70F">
            <wp:extent cx="5755640" cy="6844030"/>
            <wp:effectExtent l="0" t="0" r="0" b="0"/>
            <wp:docPr id="526782743" name="Immagine 6" descr="Immagine che contiene testo, schermata, diagramm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6782743" name="Immagine 6" descr="Immagine che contiene testo, schermata, diagramma&#10;&#10;Il contenuto generato dall'IA potrebbe non essere corretto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55640" cy="68440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E906C4" w14:textId="182776F3" w:rsidR="00373D44" w:rsidRDefault="00373D44" w:rsidP="00373D44">
      <w:pPr>
        <w:rPr>
          <w:sz w:val="22"/>
          <w:szCs w:val="18"/>
        </w:rPr>
      </w:pPr>
      <w:r w:rsidRPr="00EE145C">
        <w:rPr>
          <w:b/>
          <w:bCs/>
          <w:sz w:val="22"/>
          <w:szCs w:val="18"/>
        </w:rPr>
        <w:t xml:space="preserve">Figure </w:t>
      </w:r>
      <w:r w:rsidR="00EE145C">
        <w:rPr>
          <w:b/>
          <w:bCs/>
          <w:sz w:val="22"/>
          <w:szCs w:val="18"/>
        </w:rPr>
        <w:t>S</w:t>
      </w:r>
      <w:r w:rsidR="009A7BFD">
        <w:rPr>
          <w:b/>
          <w:bCs/>
          <w:sz w:val="22"/>
          <w:szCs w:val="18"/>
        </w:rPr>
        <w:t>4</w:t>
      </w:r>
      <w:r w:rsidRPr="00EE145C">
        <w:rPr>
          <w:b/>
          <w:bCs/>
          <w:sz w:val="22"/>
          <w:szCs w:val="18"/>
        </w:rPr>
        <w:t>.</w:t>
      </w:r>
      <w:r w:rsidRPr="00EE145C">
        <w:rPr>
          <w:sz w:val="22"/>
          <w:szCs w:val="18"/>
        </w:rPr>
        <w:t xml:space="preserve"> Average (upper panel) and minimum (lower panel) subject-specific values of the </w:t>
      </w:r>
      <w:r w:rsidR="00B86BA5">
        <w:rPr>
          <w:sz w:val="22"/>
          <w:szCs w:val="18"/>
        </w:rPr>
        <w:t>femoral strength</w:t>
      </w:r>
      <w:r w:rsidRPr="00EE145C">
        <w:rPr>
          <w:sz w:val="22"/>
          <w:szCs w:val="18"/>
        </w:rPr>
        <w:t xml:space="preserve"> estimated though the CT-based and DXA-based FE models in comparison to the subject-specific values of FRAX. Fracture cases (F) are depicted in red, while control cases (C) are depicted in lilac.</w:t>
      </w:r>
    </w:p>
    <w:p w14:paraId="6816C1D1" w14:textId="77777777" w:rsidR="00C0753A" w:rsidRDefault="00C0753A" w:rsidP="00373D44">
      <w:pPr>
        <w:rPr>
          <w:sz w:val="22"/>
          <w:szCs w:val="18"/>
        </w:rPr>
      </w:pPr>
    </w:p>
    <w:p w14:paraId="13E2F477" w14:textId="77777777" w:rsidR="00C0753A" w:rsidRDefault="00C0753A" w:rsidP="00373D44">
      <w:pPr>
        <w:rPr>
          <w:sz w:val="22"/>
          <w:szCs w:val="18"/>
        </w:rPr>
      </w:pPr>
    </w:p>
    <w:p w14:paraId="72EE4BE5" w14:textId="77777777" w:rsidR="00C0753A" w:rsidRDefault="00C0753A" w:rsidP="00C0753A">
      <w:pPr>
        <w:keepNext/>
      </w:pPr>
      <w:r>
        <w:rPr>
          <w:noProof/>
        </w:rPr>
        <w:lastRenderedPageBreak/>
        <w:drawing>
          <wp:inline distT="0" distB="0" distL="0" distR="0" wp14:anchorId="08D47519" wp14:editId="3CBF9E47">
            <wp:extent cx="5219700" cy="6120130"/>
            <wp:effectExtent l="0" t="0" r="0" b="0"/>
            <wp:docPr id="1046949456" name="Immagine 1" descr="Immagine che contiene testo, schermata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6949456" name="Immagine 1" descr="Immagine che contiene testo, schermata&#10;&#10;Il contenuto generato dall'IA potrebbe non essere corretto.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700" cy="6120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5B382B1" w14:textId="25B27E8B" w:rsidR="00C0753A" w:rsidRPr="00C0753A" w:rsidRDefault="00C0753A" w:rsidP="00C0753A">
      <w:pPr>
        <w:rPr>
          <w:b/>
          <w:bCs/>
          <w:sz w:val="22"/>
          <w:szCs w:val="18"/>
        </w:rPr>
      </w:pPr>
      <w:r w:rsidRPr="00C0753A">
        <w:rPr>
          <w:b/>
          <w:bCs/>
          <w:sz w:val="22"/>
          <w:szCs w:val="18"/>
        </w:rPr>
        <w:t xml:space="preserve">Figure </w:t>
      </w:r>
      <w:r>
        <w:rPr>
          <w:b/>
          <w:bCs/>
          <w:sz w:val="22"/>
          <w:szCs w:val="18"/>
        </w:rPr>
        <w:t xml:space="preserve">S5. </w:t>
      </w:r>
      <w:r w:rsidR="00166142">
        <w:rPr>
          <w:sz w:val="22"/>
          <w:szCs w:val="18"/>
        </w:rPr>
        <w:t>ARF0 values as obtained starting from</w:t>
      </w:r>
      <w:r w:rsidR="00166142" w:rsidRPr="00A87FA5">
        <w:rPr>
          <w:sz w:val="22"/>
          <w:szCs w:val="18"/>
        </w:rPr>
        <w:t xml:space="preserve"> the CT-based and DXA-based FE models in comparison to the subject-specific values of </w:t>
      </w:r>
      <w:proofErr w:type="spellStart"/>
      <w:r w:rsidR="00166142" w:rsidRPr="00A87FA5">
        <w:rPr>
          <w:sz w:val="22"/>
          <w:szCs w:val="18"/>
        </w:rPr>
        <w:t>aBMD</w:t>
      </w:r>
      <w:proofErr w:type="spellEnd"/>
      <w:r w:rsidR="00166142">
        <w:rPr>
          <w:sz w:val="22"/>
          <w:szCs w:val="18"/>
        </w:rPr>
        <w:t xml:space="preserve"> at the neck (upper panel) and FRAX (lower panel)</w:t>
      </w:r>
      <w:r w:rsidR="00166142" w:rsidRPr="00A87FA5">
        <w:rPr>
          <w:sz w:val="22"/>
          <w:szCs w:val="18"/>
        </w:rPr>
        <w:t>. Fracture cases (F) are depicted in red, while control cases (C) are depicted in lilac.</w:t>
      </w:r>
    </w:p>
    <w:p w14:paraId="7B7DA8AA" w14:textId="6D695B56" w:rsidR="007143C9" w:rsidRDefault="007143C9"/>
    <w:sectPr w:rsidR="007143C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37C1E" w14:textId="77777777" w:rsidR="00705E72" w:rsidRDefault="00705E72" w:rsidP="00373D44">
      <w:pPr>
        <w:spacing w:before="0"/>
      </w:pPr>
      <w:r>
        <w:separator/>
      </w:r>
    </w:p>
  </w:endnote>
  <w:endnote w:type="continuationSeparator" w:id="0">
    <w:p w14:paraId="02C0086E" w14:textId="77777777" w:rsidR="00705E72" w:rsidRDefault="00705E72" w:rsidP="00373D44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D38B53" w14:textId="77777777" w:rsidR="00705E72" w:rsidRDefault="00705E72" w:rsidP="00373D44">
      <w:pPr>
        <w:spacing w:before="0"/>
      </w:pPr>
      <w:r>
        <w:separator/>
      </w:r>
    </w:p>
  </w:footnote>
  <w:footnote w:type="continuationSeparator" w:id="0">
    <w:p w14:paraId="7EB3DAB3" w14:textId="77777777" w:rsidR="00705E72" w:rsidRDefault="00705E72" w:rsidP="00373D44">
      <w:pPr>
        <w:spacing w:before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14B1"/>
    <w:rsid w:val="00094BD5"/>
    <w:rsid w:val="00166142"/>
    <w:rsid w:val="001B4F15"/>
    <w:rsid w:val="001C04FC"/>
    <w:rsid w:val="002A6F6A"/>
    <w:rsid w:val="002D3AEA"/>
    <w:rsid w:val="002E1883"/>
    <w:rsid w:val="002E593E"/>
    <w:rsid w:val="003466E5"/>
    <w:rsid w:val="00373D44"/>
    <w:rsid w:val="003B613E"/>
    <w:rsid w:val="0048203D"/>
    <w:rsid w:val="004A6D87"/>
    <w:rsid w:val="004D14B1"/>
    <w:rsid w:val="00517046"/>
    <w:rsid w:val="00546E51"/>
    <w:rsid w:val="005679C8"/>
    <w:rsid w:val="006C5ABC"/>
    <w:rsid w:val="00705E72"/>
    <w:rsid w:val="007143C9"/>
    <w:rsid w:val="007244EC"/>
    <w:rsid w:val="00850586"/>
    <w:rsid w:val="00970D94"/>
    <w:rsid w:val="009A7BFD"/>
    <w:rsid w:val="00AE3E3E"/>
    <w:rsid w:val="00B86BA5"/>
    <w:rsid w:val="00C0753A"/>
    <w:rsid w:val="00CB7985"/>
    <w:rsid w:val="00CC021F"/>
    <w:rsid w:val="00D83781"/>
    <w:rsid w:val="00DF1D0F"/>
    <w:rsid w:val="00E56FCA"/>
    <w:rsid w:val="00EE145C"/>
    <w:rsid w:val="00FE7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64B9B9"/>
  <w15:chartTrackingRefBased/>
  <w15:docId w15:val="{E53A0A6A-D59F-49EF-9B90-34B6537D0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373D44"/>
    <w:pPr>
      <w:spacing w:before="120" w:after="0" w:line="240" w:lineRule="auto"/>
      <w:jc w:val="both"/>
    </w:pPr>
    <w:rPr>
      <w:rFonts w:ascii="Times New Roman" w:eastAsia="Times New Roman" w:hAnsi="Times New Roman" w:cs="Times New Roman"/>
      <w:kern w:val="0"/>
      <w:sz w:val="24"/>
      <w:szCs w:val="20"/>
      <w:lang w:val="en-GB"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4D14B1"/>
    <w:pPr>
      <w:keepNext/>
      <w:keepLines/>
      <w:spacing w:before="360" w:after="80" w:line="259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it-IT"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D14B1"/>
    <w:pPr>
      <w:keepNext/>
      <w:keepLines/>
      <w:spacing w:before="160" w:after="80" w:line="259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it-IT"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D14B1"/>
    <w:pPr>
      <w:keepNext/>
      <w:keepLines/>
      <w:spacing w:before="160" w:after="80" w:line="259" w:lineRule="auto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it-IT"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D14B1"/>
    <w:pPr>
      <w:keepNext/>
      <w:keepLines/>
      <w:spacing w:before="80" w:after="40" w:line="259" w:lineRule="auto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val="it-IT"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D14B1"/>
    <w:pPr>
      <w:keepNext/>
      <w:keepLines/>
      <w:spacing w:before="80" w:after="40" w:line="259" w:lineRule="auto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val="it-IT"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D14B1"/>
    <w:pPr>
      <w:keepNext/>
      <w:keepLines/>
      <w:spacing w:before="40" w:line="259" w:lineRule="auto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it-IT"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D14B1"/>
    <w:pPr>
      <w:keepNext/>
      <w:keepLines/>
      <w:spacing w:before="40" w:line="259" w:lineRule="auto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it-IT"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D14B1"/>
    <w:pPr>
      <w:keepNext/>
      <w:keepLines/>
      <w:spacing w:before="0" w:line="259" w:lineRule="auto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it-IT"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D14B1"/>
    <w:pPr>
      <w:keepNext/>
      <w:keepLines/>
      <w:spacing w:before="0" w:line="259" w:lineRule="auto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it-IT"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D14B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D14B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D14B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D14B1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D14B1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D14B1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D14B1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D14B1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D14B1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D14B1"/>
    <w:pPr>
      <w:spacing w:before="0" w:after="80"/>
      <w:contextualSpacing/>
      <w:jc w:val="left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it-IT"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4D14B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D14B1"/>
    <w:pPr>
      <w:numPr>
        <w:ilvl w:val="1"/>
      </w:numPr>
      <w:spacing w:before="0" w:after="160" w:line="259" w:lineRule="auto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it-IT"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D14B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D14B1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it-IT"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D14B1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D14B1"/>
    <w:pPr>
      <w:spacing w:before="0"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kern w:val="2"/>
      <w:sz w:val="22"/>
      <w:szCs w:val="22"/>
      <w:lang w:val="it-IT"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4D14B1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D14B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val="it-IT"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D14B1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D14B1"/>
    <w:rPr>
      <w:b/>
      <w:bCs/>
      <w:smallCaps/>
      <w:color w:val="2F5496" w:themeColor="accent1" w:themeShade="BF"/>
      <w:spacing w:val="5"/>
    </w:rPr>
  </w:style>
  <w:style w:type="paragraph" w:styleId="Intestazione">
    <w:name w:val="header"/>
    <w:basedOn w:val="Normale"/>
    <w:link w:val="IntestazioneCarattere"/>
    <w:uiPriority w:val="99"/>
    <w:unhideWhenUsed/>
    <w:rsid w:val="00373D44"/>
    <w:pPr>
      <w:tabs>
        <w:tab w:val="center" w:pos="4819"/>
        <w:tab w:val="right" w:pos="9638"/>
      </w:tabs>
      <w:spacing w:before="0"/>
      <w:jc w:val="left"/>
    </w:pPr>
    <w:rPr>
      <w:rFonts w:asciiTheme="minorHAnsi" w:eastAsiaTheme="minorHAnsi" w:hAnsiTheme="minorHAnsi" w:cstheme="minorBidi"/>
      <w:kern w:val="2"/>
      <w:sz w:val="22"/>
      <w:szCs w:val="22"/>
      <w:lang w:val="it-IT" w:eastAsia="en-US"/>
      <w14:ligatures w14:val="standardContextual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73D44"/>
  </w:style>
  <w:style w:type="paragraph" w:styleId="Pidipagina">
    <w:name w:val="footer"/>
    <w:basedOn w:val="Normale"/>
    <w:link w:val="PidipaginaCarattere"/>
    <w:uiPriority w:val="99"/>
    <w:unhideWhenUsed/>
    <w:rsid w:val="00373D44"/>
    <w:pPr>
      <w:tabs>
        <w:tab w:val="center" w:pos="4819"/>
        <w:tab w:val="right" w:pos="9638"/>
      </w:tabs>
      <w:spacing w:before="0"/>
      <w:jc w:val="left"/>
    </w:pPr>
    <w:rPr>
      <w:rFonts w:asciiTheme="minorHAnsi" w:eastAsiaTheme="minorHAnsi" w:hAnsiTheme="minorHAnsi" w:cstheme="minorBidi"/>
      <w:kern w:val="2"/>
      <w:sz w:val="22"/>
      <w:szCs w:val="22"/>
      <w:lang w:val="it-IT" w:eastAsia="en-US"/>
      <w14:ligatures w14:val="standardContextual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73D44"/>
  </w:style>
  <w:style w:type="paragraph" w:styleId="Didascalia">
    <w:name w:val="caption"/>
    <w:basedOn w:val="Normale"/>
    <w:next w:val="Normale"/>
    <w:uiPriority w:val="35"/>
    <w:unhideWhenUsed/>
    <w:qFormat/>
    <w:rsid w:val="00EE145C"/>
    <w:pPr>
      <w:spacing w:before="0" w:after="200"/>
    </w:pPr>
    <w:rPr>
      <w:i/>
      <w:iCs/>
      <w:color w:val="44546A" w:themeColor="text2"/>
      <w:sz w:val="18"/>
      <w:szCs w:val="18"/>
    </w:rPr>
  </w:style>
  <w:style w:type="paragraph" w:styleId="Revisione">
    <w:name w:val="Revision"/>
    <w:hidden/>
    <w:uiPriority w:val="99"/>
    <w:semiHidden/>
    <w:rsid w:val="0016614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0"/>
      <w:lang w:val="en-GB"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tiff"/><Relationship Id="rId4" Type="http://schemas.openxmlformats.org/officeDocument/2006/relationships/footnotes" Target="footnotes.xml"/><Relationship Id="rId9" Type="http://schemas.openxmlformats.org/officeDocument/2006/relationships/image" Target="media/image4.t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1312</TotalTime>
  <Pages>5</Pages>
  <Words>259</Words>
  <Characters>1479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Alessandra  Aldieri</dc:creator>
  <cp:keywords/>
  <dc:description/>
  <cp:lastModifiedBy>Alessandra  Aldieri</cp:lastModifiedBy>
  <cp:revision>18</cp:revision>
  <dcterms:created xsi:type="dcterms:W3CDTF">2025-07-21T12:55:00Z</dcterms:created>
  <dcterms:modified xsi:type="dcterms:W3CDTF">2026-01-16T14:36:00Z</dcterms:modified>
</cp:coreProperties>
</file>