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A5569" w14:textId="1C4DB7AB" w:rsidR="00CE2B23" w:rsidRDefault="00CE2B23" w:rsidP="00CE2B23">
      <w:pPr>
        <w:rPr>
          <w:rFonts w:cstheme="minorHAnsi"/>
          <w:b/>
          <w:sz w:val="20"/>
          <w:szCs w:val="20"/>
          <w:lang w:val="en-US"/>
        </w:rPr>
      </w:pPr>
      <w:bookmarkStart w:id="0" w:name="_Hlk179363333"/>
      <w:bookmarkStart w:id="1" w:name="_Hlk179363334"/>
      <w:bookmarkStart w:id="2" w:name="_Hlk179363337"/>
      <w:bookmarkStart w:id="3" w:name="_Hlk179363338"/>
      <w:r>
        <w:rPr>
          <w:rFonts w:cstheme="minorHAnsi"/>
          <w:b/>
          <w:sz w:val="20"/>
          <w:szCs w:val="20"/>
          <w:lang w:val="en-US"/>
        </w:rPr>
        <w:t xml:space="preserve">Supplementary Appendix. </w:t>
      </w:r>
    </w:p>
    <w:p w14:paraId="4EC5E41C" w14:textId="77777777" w:rsidR="00CE2B23" w:rsidRDefault="00CE2B23" w:rsidP="00CE2B23">
      <w:pPr>
        <w:rPr>
          <w:rFonts w:cstheme="minorHAnsi"/>
          <w:b/>
          <w:sz w:val="20"/>
          <w:szCs w:val="20"/>
          <w:lang w:val="en-US"/>
        </w:rPr>
      </w:pPr>
    </w:p>
    <w:p w14:paraId="741ED2A2" w14:textId="04E0E5BE" w:rsidR="00CE2B23" w:rsidRDefault="00CE2B23" w:rsidP="00CE2B23">
      <w:pPr>
        <w:rPr>
          <w:rFonts w:cstheme="minorHAnsi"/>
          <w:b/>
          <w:sz w:val="20"/>
          <w:szCs w:val="20"/>
          <w:lang w:val="en-US"/>
        </w:rPr>
      </w:pPr>
      <w:r w:rsidRPr="001A1B51">
        <w:rPr>
          <w:rFonts w:cstheme="minorHAnsi"/>
          <w:b/>
          <w:sz w:val="20"/>
          <w:szCs w:val="20"/>
          <w:lang w:val="en-US"/>
        </w:rPr>
        <w:t>Delphi studies in social and health sciences – recommendations for an interdisciplinary standardized reporting (DELPHISTAR)</w:t>
      </w:r>
      <w:bookmarkEnd w:id="0"/>
      <w:bookmarkEnd w:id="1"/>
      <w:bookmarkEnd w:id="2"/>
      <w:bookmarkEnd w:id="3"/>
      <w:r>
        <w:rPr>
          <w:rFonts w:cstheme="minorHAnsi"/>
          <w:b/>
          <w:sz w:val="20"/>
          <w:szCs w:val="20"/>
          <w:lang w:val="en-US"/>
        </w:rPr>
        <w:t>.</w:t>
      </w:r>
    </w:p>
    <w:p w14:paraId="5FEBCCDB" w14:textId="0084E20E" w:rsidR="00CE2B23" w:rsidRDefault="00CE2B23"/>
    <w:tbl>
      <w:tblPr>
        <w:tblStyle w:val="Grigliatabella"/>
        <w:tblW w:w="5042" w:type="pct"/>
        <w:tblLook w:val="04A0" w:firstRow="1" w:lastRow="0" w:firstColumn="1" w:lastColumn="0" w:noHBand="0" w:noVBand="1"/>
      </w:tblPr>
      <w:tblGrid>
        <w:gridCol w:w="1117"/>
        <w:gridCol w:w="1372"/>
        <w:gridCol w:w="616"/>
        <w:gridCol w:w="2447"/>
        <w:gridCol w:w="972"/>
        <w:gridCol w:w="3177"/>
      </w:tblGrid>
      <w:tr w:rsidR="00CE2B23" w:rsidRPr="0039088A" w14:paraId="18A386C5" w14:textId="77777777" w:rsidTr="00861F86">
        <w:trPr>
          <w:tblHeader/>
        </w:trPr>
        <w:tc>
          <w:tcPr>
            <w:tcW w:w="539" w:type="pct"/>
            <w:shd w:val="clear" w:color="auto" w:fill="BFBFBF" w:themeFill="background1" w:themeFillShade="BF"/>
            <w:vAlign w:val="center"/>
          </w:tcPr>
          <w:p w14:paraId="53A08D78" w14:textId="571BC89B" w:rsidR="00CE2B23" w:rsidRPr="0039088A" w:rsidRDefault="00CE2B23" w:rsidP="00861F86">
            <w:pPr>
              <w:rPr>
                <w:rFonts w:cstheme="minorHAnsi"/>
                <w:b/>
                <w:color w:val="4472C4" w:themeColor="accent5"/>
                <w:sz w:val="20"/>
                <w:lang w:val="en-US"/>
              </w:rPr>
            </w:pPr>
            <w:r w:rsidRPr="0039088A">
              <w:rPr>
                <w:rFonts w:cstheme="minorHAnsi"/>
                <w:b/>
                <w:color w:val="4472C4" w:themeColor="accent5"/>
                <w:sz w:val="20"/>
                <w:lang w:val="en-US"/>
              </w:rPr>
              <w:t>Topic</w:t>
            </w:r>
          </w:p>
        </w:tc>
        <w:tc>
          <w:tcPr>
            <w:tcW w:w="646" w:type="pct"/>
            <w:shd w:val="clear" w:color="auto" w:fill="BFBFBF" w:themeFill="background1" w:themeFillShade="BF"/>
            <w:vAlign w:val="center"/>
          </w:tcPr>
          <w:p w14:paraId="51601B3F" w14:textId="77777777" w:rsidR="00CE2B23" w:rsidRPr="0039088A" w:rsidRDefault="00CE2B23" w:rsidP="00861F86">
            <w:pPr>
              <w:rPr>
                <w:rFonts w:cstheme="minorHAnsi"/>
                <w:b/>
                <w:sz w:val="20"/>
                <w:lang w:val="en-US"/>
              </w:rPr>
            </w:pPr>
            <w:r w:rsidRPr="0039088A">
              <w:rPr>
                <w:rFonts w:cstheme="minorHAnsi"/>
                <w:b/>
                <w:sz w:val="20"/>
                <w:lang w:val="en-US"/>
              </w:rPr>
              <w:t>Section</w:t>
            </w:r>
          </w:p>
        </w:tc>
        <w:tc>
          <w:tcPr>
            <w:tcW w:w="294" w:type="pct"/>
            <w:shd w:val="clear" w:color="auto" w:fill="BFBFBF" w:themeFill="background1" w:themeFillShade="BF"/>
            <w:vAlign w:val="center"/>
          </w:tcPr>
          <w:p w14:paraId="6F0213E1" w14:textId="77777777" w:rsidR="00CE2B23" w:rsidRPr="0039088A" w:rsidRDefault="00CE2B23" w:rsidP="00861F86">
            <w:pPr>
              <w:rPr>
                <w:rFonts w:cstheme="minorHAnsi"/>
                <w:b/>
                <w:sz w:val="20"/>
                <w:lang w:val="en-US"/>
              </w:rPr>
            </w:pPr>
            <w:r w:rsidRPr="0039088A">
              <w:rPr>
                <w:rFonts w:cstheme="minorHAnsi"/>
                <w:b/>
                <w:sz w:val="20"/>
                <w:lang w:val="en-US"/>
              </w:rPr>
              <w:t>Item</w:t>
            </w:r>
          </w:p>
        </w:tc>
        <w:tc>
          <w:tcPr>
            <w:tcW w:w="1344" w:type="pct"/>
            <w:shd w:val="clear" w:color="auto" w:fill="BFBFBF" w:themeFill="background1" w:themeFillShade="BF"/>
            <w:vAlign w:val="center"/>
          </w:tcPr>
          <w:p w14:paraId="3DC19054" w14:textId="77777777" w:rsidR="00CE2B23" w:rsidRPr="0039088A" w:rsidRDefault="00CE2B23" w:rsidP="00861F86">
            <w:pPr>
              <w:rPr>
                <w:rFonts w:cstheme="minorHAnsi"/>
                <w:b/>
                <w:sz w:val="20"/>
                <w:lang w:val="en-US"/>
              </w:rPr>
            </w:pPr>
            <w:r w:rsidRPr="0039088A">
              <w:rPr>
                <w:rFonts w:cstheme="minorHAnsi"/>
                <w:b/>
                <w:sz w:val="20"/>
                <w:lang w:val="en-US"/>
              </w:rPr>
              <w:t>Checklist Item</w:t>
            </w:r>
          </w:p>
        </w:tc>
        <w:tc>
          <w:tcPr>
            <w:tcW w:w="457" w:type="pct"/>
            <w:shd w:val="clear" w:color="auto" w:fill="BFBFBF" w:themeFill="background1" w:themeFillShade="BF"/>
            <w:vAlign w:val="center"/>
          </w:tcPr>
          <w:p w14:paraId="45CACE71" w14:textId="77777777" w:rsidR="00CE2B23" w:rsidRPr="0039088A" w:rsidRDefault="00CE2B23" w:rsidP="00861F86">
            <w:pPr>
              <w:rPr>
                <w:rFonts w:cstheme="minorHAnsi"/>
                <w:b/>
                <w:sz w:val="20"/>
                <w:lang w:val="en-US"/>
              </w:rPr>
            </w:pPr>
            <w:r w:rsidRPr="0039088A">
              <w:rPr>
                <w:rFonts w:cstheme="minorHAnsi"/>
                <w:b/>
                <w:sz w:val="20"/>
                <w:lang w:val="en-US"/>
              </w:rPr>
              <w:t>Location where item is reported</w:t>
            </w:r>
          </w:p>
        </w:tc>
        <w:tc>
          <w:tcPr>
            <w:tcW w:w="1720" w:type="pct"/>
            <w:shd w:val="clear" w:color="auto" w:fill="BFBFBF" w:themeFill="background1" w:themeFillShade="BF"/>
            <w:vAlign w:val="center"/>
          </w:tcPr>
          <w:p w14:paraId="105E9C6C" w14:textId="77777777" w:rsidR="00CE2B23" w:rsidRPr="0039088A" w:rsidRDefault="00CE2B23" w:rsidP="00861F86">
            <w:pPr>
              <w:rPr>
                <w:rFonts w:cstheme="minorHAnsi"/>
                <w:b/>
                <w:sz w:val="20"/>
                <w:lang w:val="en-US"/>
              </w:rPr>
            </w:pPr>
            <w:r>
              <w:rPr>
                <w:rFonts w:cstheme="minorHAnsi"/>
                <w:b/>
                <w:sz w:val="20"/>
                <w:lang w:val="en-US"/>
              </w:rPr>
              <w:t>Exemplary</w:t>
            </w:r>
            <w:r w:rsidRPr="0039088A">
              <w:rPr>
                <w:rFonts w:cstheme="minorHAnsi"/>
                <w:b/>
                <w:sz w:val="20"/>
                <w:lang w:val="en-US"/>
              </w:rPr>
              <w:t xml:space="preserve"> </w:t>
            </w:r>
            <w:r>
              <w:rPr>
                <w:rFonts w:cstheme="minorHAnsi"/>
                <w:b/>
                <w:sz w:val="20"/>
                <w:lang w:val="en-US"/>
              </w:rPr>
              <w:t>wording</w:t>
            </w:r>
          </w:p>
        </w:tc>
      </w:tr>
      <w:tr w:rsidR="00CE2B23" w:rsidRPr="0016050B" w14:paraId="7E1FEE50" w14:textId="77777777" w:rsidTr="00861F86">
        <w:tc>
          <w:tcPr>
            <w:tcW w:w="539" w:type="pct"/>
            <w:vMerge w:val="restart"/>
            <w:vAlign w:val="center"/>
          </w:tcPr>
          <w:p w14:paraId="5475FB7F"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I</w:t>
            </w:r>
          </w:p>
          <w:p w14:paraId="4D3E1F5D"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Title and Abstract</w:t>
            </w:r>
          </w:p>
        </w:tc>
        <w:tc>
          <w:tcPr>
            <w:tcW w:w="646" w:type="pct"/>
            <w:vAlign w:val="center"/>
          </w:tcPr>
          <w:p w14:paraId="6345FFA9" w14:textId="77777777" w:rsidR="00CE2B23" w:rsidRPr="000F086B" w:rsidRDefault="00CE2B23" w:rsidP="00861F86">
            <w:pPr>
              <w:rPr>
                <w:rFonts w:cstheme="minorHAnsi"/>
                <w:b/>
                <w:sz w:val="20"/>
                <w:szCs w:val="20"/>
                <w:lang w:val="en-US"/>
              </w:rPr>
            </w:pPr>
          </w:p>
        </w:tc>
        <w:tc>
          <w:tcPr>
            <w:tcW w:w="294" w:type="pct"/>
            <w:vAlign w:val="center"/>
          </w:tcPr>
          <w:p w14:paraId="0F6DDE2C" w14:textId="77777777" w:rsidR="00CE2B23" w:rsidRPr="000F086B" w:rsidRDefault="00CE2B23" w:rsidP="00861F86">
            <w:pPr>
              <w:rPr>
                <w:rFonts w:cstheme="minorHAnsi"/>
                <w:sz w:val="20"/>
                <w:szCs w:val="20"/>
                <w:lang w:val="en-US"/>
              </w:rPr>
            </w:pPr>
            <w:r w:rsidRPr="000F086B">
              <w:rPr>
                <w:rFonts w:cstheme="minorHAnsi"/>
                <w:sz w:val="20"/>
                <w:szCs w:val="20"/>
                <w:lang w:val="en-US"/>
              </w:rPr>
              <w:t>1</w:t>
            </w:r>
          </w:p>
        </w:tc>
        <w:tc>
          <w:tcPr>
            <w:tcW w:w="1344" w:type="pct"/>
            <w:vAlign w:val="center"/>
          </w:tcPr>
          <w:p w14:paraId="04F1076B" w14:textId="77777777" w:rsidR="00CE2B23" w:rsidRPr="000F086B" w:rsidRDefault="00CE2B23" w:rsidP="00861F86">
            <w:pPr>
              <w:rPr>
                <w:rFonts w:cstheme="minorHAnsi"/>
                <w:sz w:val="20"/>
                <w:szCs w:val="20"/>
                <w:lang w:val="en-US"/>
              </w:rPr>
            </w:pPr>
            <w:r w:rsidRPr="000F086B">
              <w:rPr>
                <w:rFonts w:cstheme="minorHAnsi"/>
                <w:sz w:val="20"/>
                <w:szCs w:val="20"/>
                <w:lang w:val="en-US"/>
              </w:rPr>
              <w:t>Identification as a Delphi study in the title</w:t>
            </w:r>
          </w:p>
        </w:tc>
        <w:tc>
          <w:tcPr>
            <w:tcW w:w="457" w:type="pct"/>
            <w:vAlign w:val="center"/>
          </w:tcPr>
          <w:p w14:paraId="2DB647A6" w14:textId="77777777" w:rsidR="00CE2B23" w:rsidRPr="000F086B" w:rsidRDefault="00CE2B23" w:rsidP="00861F86">
            <w:pPr>
              <w:rPr>
                <w:rFonts w:cstheme="minorHAnsi"/>
                <w:sz w:val="20"/>
                <w:szCs w:val="20"/>
                <w:lang w:val="en-US"/>
              </w:rPr>
            </w:pPr>
            <w:r>
              <w:rPr>
                <w:rFonts w:cstheme="minorHAnsi"/>
                <w:sz w:val="20"/>
                <w:szCs w:val="20"/>
                <w:lang w:val="en-US"/>
              </w:rPr>
              <w:t>Pag. 1</w:t>
            </w:r>
          </w:p>
        </w:tc>
        <w:tc>
          <w:tcPr>
            <w:tcW w:w="1720" w:type="pct"/>
            <w:vAlign w:val="center"/>
          </w:tcPr>
          <w:p w14:paraId="44E7727D" w14:textId="77777777" w:rsidR="00CE2B23" w:rsidRPr="000F086B" w:rsidRDefault="00CE2B23" w:rsidP="00861F86">
            <w:pPr>
              <w:rPr>
                <w:rFonts w:cstheme="minorHAnsi"/>
                <w:sz w:val="20"/>
                <w:szCs w:val="20"/>
                <w:lang w:val="en-US"/>
              </w:rPr>
            </w:pPr>
            <w:r w:rsidRPr="000F086B">
              <w:rPr>
                <w:rFonts w:cstheme="minorHAnsi"/>
                <w:sz w:val="20"/>
                <w:szCs w:val="20"/>
                <w:lang w:val="en-US"/>
              </w:rPr>
              <w:t>What is a public health intervention? Results of a Delphi study.</w:t>
            </w:r>
          </w:p>
        </w:tc>
      </w:tr>
      <w:tr w:rsidR="00CE2B23" w:rsidRPr="0016050B" w14:paraId="2E7E351C" w14:textId="77777777" w:rsidTr="00861F86">
        <w:tc>
          <w:tcPr>
            <w:tcW w:w="539" w:type="pct"/>
            <w:vMerge/>
            <w:vAlign w:val="center"/>
          </w:tcPr>
          <w:p w14:paraId="2A066927" w14:textId="77777777" w:rsidR="00CE2B23" w:rsidRPr="000F086B" w:rsidRDefault="00CE2B23" w:rsidP="00861F86">
            <w:pPr>
              <w:rPr>
                <w:rFonts w:cstheme="minorHAnsi"/>
                <w:b/>
                <w:color w:val="4472C4" w:themeColor="accent5"/>
                <w:sz w:val="20"/>
                <w:szCs w:val="20"/>
                <w:lang w:val="en-US"/>
              </w:rPr>
            </w:pPr>
          </w:p>
        </w:tc>
        <w:tc>
          <w:tcPr>
            <w:tcW w:w="646" w:type="pct"/>
            <w:vAlign w:val="center"/>
          </w:tcPr>
          <w:p w14:paraId="52FCBAD5" w14:textId="77777777" w:rsidR="00CE2B23" w:rsidRPr="000F086B" w:rsidRDefault="00CE2B23" w:rsidP="00861F86">
            <w:pPr>
              <w:rPr>
                <w:rFonts w:cstheme="minorHAnsi"/>
                <w:b/>
                <w:sz w:val="20"/>
                <w:szCs w:val="20"/>
                <w:lang w:val="en-US"/>
              </w:rPr>
            </w:pPr>
          </w:p>
        </w:tc>
        <w:tc>
          <w:tcPr>
            <w:tcW w:w="294" w:type="pct"/>
            <w:vAlign w:val="center"/>
          </w:tcPr>
          <w:p w14:paraId="44986A06" w14:textId="77777777" w:rsidR="00CE2B23" w:rsidRPr="000F086B" w:rsidRDefault="00CE2B23" w:rsidP="00861F86">
            <w:pPr>
              <w:rPr>
                <w:rFonts w:cstheme="minorHAnsi"/>
                <w:sz w:val="20"/>
                <w:szCs w:val="20"/>
                <w:lang w:val="en-US"/>
              </w:rPr>
            </w:pPr>
            <w:r w:rsidRPr="000F086B">
              <w:rPr>
                <w:rFonts w:cstheme="minorHAnsi"/>
                <w:sz w:val="20"/>
                <w:szCs w:val="20"/>
                <w:lang w:val="en-US"/>
              </w:rPr>
              <w:t>2</w:t>
            </w:r>
          </w:p>
        </w:tc>
        <w:tc>
          <w:tcPr>
            <w:tcW w:w="1344" w:type="pct"/>
            <w:vAlign w:val="center"/>
          </w:tcPr>
          <w:p w14:paraId="2628508F" w14:textId="77777777" w:rsidR="00CE2B23" w:rsidRPr="000F086B" w:rsidRDefault="00CE2B23" w:rsidP="00861F86">
            <w:pPr>
              <w:rPr>
                <w:rFonts w:cstheme="minorHAnsi"/>
                <w:sz w:val="20"/>
                <w:szCs w:val="20"/>
                <w:lang w:val="en-US"/>
              </w:rPr>
            </w:pPr>
            <w:r w:rsidRPr="000F086B">
              <w:rPr>
                <w:rFonts w:cstheme="minorHAnsi"/>
                <w:sz w:val="20"/>
                <w:szCs w:val="20"/>
                <w:lang w:val="en-US"/>
              </w:rPr>
              <w:t>Identification as a Delphi study in the abstract</w:t>
            </w:r>
          </w:p>
        </w:tc>
        <w:tc>
          <w:tcPr>
            <w:tcW w:w="457" w:type="pct"/>
            <w:vAlign w:val="center"/>
          </w:tcPr>
          <w:p w14:paraId="73A73265" w14:textId="77777777" w:rsidR="00CE2B23" w:rsidRPr="000F086B" w:rsidRDefault="00CE2B23" w:rsidP="00861F86">
            <w:pPr>
              <w:rPr>
                <w:rFonts w:cstheme="minorHAnsi"/>
                <w:sz w:val="20"/>
                <w:szCs w:val="20"/>
                <w:lang w:val="en-US"/>
              </w:rPr>
            </w:pPr>
            <w:r>
              <w:rPr>
                <w:rFonts w:cstheme="minorHAnsi"/>
                <w:sz w:val="20"/>
                <w:szCs w:val="20"/>
                <w:lang w:val="en-US"/>
              </w:rPr>
              <w:t>Pag. 3</w:t>
            </w:r>
          </w:p>
        </w:tc>
        <w:tc>
          <w:tcPr>
            <w:tcW w:w="1720" w:type="pct"/>
            <w:vAlign w:val="center"/>
          </w:tcPr>
          <w:p w14:paraId="70455296" w14:textId="77777777" w:rsidR="00CE2B23" w:rsidRPr="000F086B" w:rsidRDefault="00CE2B23" w:rsidP="00861F86">
            <w:pPr>
              <w:rPr>
                <w:rFonts w:cstheme="minorHAnsi"/>
                <w:sz w:val="20"/>
                <w:szCs w:val="20"/>
                <w:lang w:val="en-US"/>
              </w:rPr>
            </w:pPr>
            <w:r w:rsidRPr="000F086B">
              <w:rPr>
                <w:rFonts w:cstheme="minorHAnsi"/>
                <w:sz w:val="20"/>
                <w:szCs w:val="20"/>
                <w:lang w:val="en-US"/>
              </w:rPr>
              <w:t>A Delphi study was selected to answer the research question.</w:t>
            </w:r>
          </w:p>
        </w:tc>
      </w:tr>
      <w:tr w:rsidR="00CE2B23" w:rsidRPr="0016050B" w14:paraId="7AD6FE27" w14:textId="77777777" w:rsidTr="00861F86">
        <w:tc>
          <w:tcPr>
            <w:tcW w:w="539" w:type="pct"/>
            <w:vMerge/>
            <w:vAlign w:val="center"/>
          </w:tcPr>
          <w:p w14:paraId="3AC84D50" w14:textId="77777777" w:rsidR="00CE2B23" w:rsidRPr="000F086B" w:rsidRDefault="00CE2B23" w:rsidP="00861F86">
            <w:pPr>
              <w:rPr>
                <w:rFonts w:cstheme="minorHAnsi"/>
                <w:b/>
                <w:color w:val="4472C4" w:themeColor="accent5"/>
                <w:sz w:val="20"/>
                <w:szCs w:val="20"/>
                <w:lang w:val="en-US"/>
              </w:rPr>
            </w:pPr>
          </w:p>
        </w:tc>
        <w:tc>
          <w:tcPr>
            <w:tcW w:w="646" w:type="pct"/>
            <w:vAlign w:val="center"/>
          </w:tcPr>
          <w:p w14:paraId="314ABD3F" w14:textId="77777777" w:rsidR="00CE2B23" w:rsidRPr="000F086B" w:rsidRDefault="00CE2B23" w:rsidP="00861F86">
            <w:pPr>
              <w:rPr>
                <w:rFonts w:cstheme="minorHAnsi"/>
                <w:b/>
                <w:sz w:val="20"/>
                <w:szCs w:val="20"/>
                <w:lang w:val="en-US"/>
              </w:rPr>
            </w:pPr>
          </w:p>
        </w:tc>
        <w:tc>
          <w:tcPr>
            <w:tcW w:w="294" w:type="pct"/>
            <w:vAlign w:val="center"/>
          </w:tcPr>
          <w:p w14:paraId="1B4AE2CB" w14:textId="77777777" w:rsidR="00CE2B23" w:rsidRPr="000F086B" w:rsidRDefault="00CE2B23" w:rsidP="00861F86">
            <w:pPr>
              <w:rPr>
                <w:rFonts w:cstheme="minorHAnsi"/>
                <w:sz w:val="20"/>
                <w:szCs w:val="20"/>
                <w:lang w:val="en-US"/>
              </w:rPr>
            </w:pPr>
            <w:r w:rsidRPr="000F086B">
              <w:rPr>
                <w:rFonts w:cstheme="minorHAnsi"/>
                <w:sz w:val="20"/>
                <w:szCs w:val="20"/>
                <w:lang w:val="en-US"/>
              </w:rPr>
              <w:t>3</w:t>
            </w:r>
          </w:p>
        </w:tc>
        <w:tc>
          <w:tcPr>
            <w:tcW w:w="1344" w:type="pct"/>
            <w:tcBorders>
              <w:bottom w:val="single" w:sz="12" w:space="0" w:color="auto"/>
            </w:tcBorders>
            <w:vAlign w:val="center"/>
          </w:tcPr>
          <w:p w14:paraId="22EB5579" w14:textId="77777777" w:rsidR="00CE2B23" w:rsidRPr="000F086B" w:rsidRDefault="00CE2B23" w:rsidP="00861F86">
            <w:pPr>
              <w:rPr>
                <w:rFonts w:cstheme="minorHAnsi"/>
                <w:sz w:val="20"/>
                <w:szCs w:val="20"/>
                <w:lang w:val="en-US"/>
              </w:rPr>
            </w:pPr>
            <w:r w:rsidRPr="000F086B">
              <w:rPr>
                <w:rFonts w:cstheme="minorHAnsi"/>
                <w:sz w:val="20"/>
                <w:szCs w:val="20"/>
                <w:lang w:val="en-US"/>
              </w:rPr>
              <w:t xml:space="preserve">Structured abstract </w:t>
            </w:r>
          </w:p>
        </w:tc>
        <w:tc>
          <w:tcPr>
            <w:tcW w:w="457" w:type="pct"/>
            <w:tcBorders>
              <w:bottom w:val="single" w:sz="12" w:space="0" w:color="auto"/>
            </w:tcBorders>
            <w:vAlign w:val="center"/>
          </w:tcPr>
          <w:p w14:paraId="393AC0A0" w14:textId="77777777" w:rsidR="00CE2B23" w:rsidRPr="000F086B" w:rsidRDefault="00CE2B23" w:rsidP="00861F86">
            <w:pPr>
              <w:rPr>
                <w:rFonts w:cstheme="minorHAnsi"/>
                <w:sz w:val="20"/>
                <w:szCs w:val="20"/>
                <w:lang w:val="en-US"/>
              </w:rPr>
            </w:pPr>
            <w:r>
              <w:rPr>
                <w:rFonts w:cstheme="minorHAnsi"/>
                <w:sz w:val="20"/>
                <w:szCs w:val="20"/>
                <w:lang w:val="en-US"/>
              </w:rPr>
              <w:t>Pag. 3</w:t>
            </w:r>
          </w:p>
        </w:tc>
        <w:tc>
          <w:tcPr>
            <w:tcW w:w="1720" w:type="pct"/>
            <w:tcBorders>
              <w:bottom w:val="single" w:sz="12" w:space="0" w:color="auto"/>
            </w:tcBorders>
            <w:vAlign w:val="center"/>
          </w:tcPr>
          <w:p w14:paraId="1DFC8069" w14:textId="77777777" w:rsidR="00CE2B23" w:rsidRPr="000F086B" w:rsidRDefault="00CE2B23" w:rsidP="00861F86">
            <w:pPr>
              <w:rPr>
                <w:rFonts w:cstheme="minorHAnsi"/>
                <w:sz w:val="20"/>
                <w:szCs w:val="20"/>
                <w:lang w:val="en-US"/>
              </w:rPr>
            </w:pPr>
            <w:r w:rsidRPr="000F086B">
              <w:rPr>
                <w:rFonts w:cstheme="minorHAnsi"/>
                <w:sz w:val="20"/>
                <w:szCs w:val="20"/>
                <w:lang w:val="en-US"/>
              </w:rPr>
              <w:t>e.g., background, method, results and discussion</w:t>
            </w:r>
          </w:p>
        </w:tc>
      </w:tr>
      <w:tr w:rsidR="00CE2B23" w:rsidRPr="0016050B" w14:paraId="1C5472F1" w14:textId="77777777" w:rsidTr="00861F86">
        <w:tc>
          <w:tcPr>
            <w:tcW w:w="539" w:type="pct"/>
            <w:vMerge w:val="restart"/>
            <w:vAlign w:val="center"/>
          </w:tcPr>
          <w:p w14:paraId="24E11F59"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II</w:t>
            </w:r>
          </w:p>
          <w:p w14:paraId="6B7C5280"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Context</w:t>
            </w:r>
          </w:p>
        </w:tc>
        <w:tc>
          <w:tcPr>
            <w:tcW w:w="646" w:type="pct"/>
            <w:vMerge w:val="restart"/>
            <w:vAlign w:val="center"/>
          </w:tcPr>
          <w:p w14:paraId="1B75E90B" w14:textId="77777777" w:rsidR="00CE2B23" w:rsidRPr="000F086B" w:rsidRDefault="00CE2B23" w:rsidP="00861F86">
            <w:pPr>
              <w:rPr>
                <w:rFonts w:cstheme="minorHAnsi"/>
                <w:b/>
                <w:sz w:val="20"/>
                <w:szCs w:val="20"/>
                <w:lang w:val="en-US"/>
              </w:rPr>
            </w:pPr>
            <w:r w:rsidRPr="000F086B">
              <w:rPr>
                <w:rFonts w:cstheme="minorHAnsi"/>
                <w:b/>
                <w:sz w:val="20"/>
                <w:szCs w:val="20"/>
                <w:lang w:val="en-US"/>
              </w:rPr>
              <w:t>Formal</w:t>
            </w:r>
          </w:p>
        </w:tc>
        <w:tc>
          <w:tcPr>
            <w:tcW w:w="294" w:type="pct"/>
            <w:vAlign w:val="center"/>
          </w:tcPr>
          <w:p w14:paraId="157A1E3F" w14:textId="77777777" w:rsidR="00CE2B23" w:rsidRPr="000F086B" w:rsidRDefault="00CE2B23" w:rsidP="00861F86">
            <w:pPr>
              <w:rPr>
                <w:rFonts w:cstheme="minorHAnsi"/>
                <w:sz w:val="20"/>
                <w:szCs w:val="20"/>
                <w:lang w:val="en-US"/>
              </w:rPr>
            </w:pPr>
            <w:r w:rsidRPr="000F086B">
              <w:rPr>
                <w:rFonts w:cstheme="minorHAnsi"/>
                <w:sz w:val="20"/>
                <w:szCs w:val="20"/>
                <w:lang w:val="en-US"/>
              </w:rPr>
              <w:t>4</w:t>
            </w:r>
          </w:p>
        </w:tc>
        <w:tc>
          <w:tcPr>
            <w:tcW w:w="1344" w:type="pct"/>
            <w:tcBorders>
              <w:top w:val="single" w:sz="12" w:space="0" w:color="auto"/>
            </w:tcBorders>
            <w:vAlign w:val="center"/>
          </w:tcPr>
          <w:p w14:paraId="08E702CC"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the sources of funding</w:t>
            </w:r>
          </w:p>
        </w:tc>
        <w:tc>
          <w:tcPr>
            <w:tcW w:w="457" w:type="pct"/>
            <w:tcBorders>
              <w:top w:val="single" w:sz="12" w:space="0" w:color="auto"/>
            </w:tcBorders>
            <w:vAlign w:val="center"/>
          </w:tcPr>
          <w:p w14:paraId="21631085" w14:textId="77777777" w:rsidR="00CE2B23" w:rsidRPr="000F086B" w:rsidRDefault="00CE2B23" w:rsidP="00861F86">
            <w:pPr>
              <w:rPr>
                <w:rFonts w:cstheme="minorHAnsi"/>
                <w:sz w:val="20"/>
                <w:szCs w:val="20"/>
                <w:lang w:val="en-US"/>
              </w:rPr>
            </w:pPr>
            <w:r>
              <w:rPr>
                <w:rFonts w:cstheme="minorHAnsi"/>
                <w:sz w:val="20"/>
                <w:szCs w:val="20"/>
                <w:lang w:val="en-US"/>
              </w:rPr>
              <w:t>Pag. 15</w:t>
            </w:r>
          </w:p>
        </w:tc>
        <w:tc>
          <w:tcPr>
            <w:tcW w:w="1720" w:type="pct"/>
            <w:tcBorders>
              <w:top w:val="single" w:sz="12" w:space="0" w:color="auto"/>
            </w:tcBorders>
            <w:vAlign w:val="center"/>
          </w:tcPr>
          <w:p w14:paraId="707D91EF" w14:textId="77777777" w:rsidR="00CE2B23" w:rsidRPr="000F086B" w:rsidRDefault="00CE2B23" w:rsidP="00861F86">
            <w:pPr>
              <w:rPr>
                <w:rFonts w:cstheme="minorHAnsi"/>
                <w:sz w:val="20"/>
                <w:szCs w:val="20"/>
                <w:lang w:val="en-US"/>
              </w:rPr>
            </w:pPr>
            <w:r w:rsidRPr="000F086B">
              <w:rPr>
                <w:rFonts w:cstheme="minorHAnsi"/>
                <w:sz w:val="20"/>
                <w:szCs w:val="20"/>
                <w:lang w:val="en-US"/>
              </w:rPr>
              <w:t>The Delphi study was funded by [SOURCE].</w:t>
            </w:r>
          </w:p>
        </w:tc>
      </w:tr>
      <w:tr w:rsidR="00CE2B23" w:rsidRPr="0016050B" w14:paraId="05892342" w14:textId="77777777" w:rsidTr="00861F86">
        <w:tc>
          <w:tcPr>
            <w:tcW w:w="539" w:type="pct"/>
            <w:vMerge/>
            <w:vAlign w:val="center"/>
          </w:tcPr>
          <w:p w14:paraId="6ECA376D"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5EBD536C" w14:textId="77777777" w:rsidR="00CE2B23" w:rsidRPr="000F086B" w:rsidRDefault="00CE2B23" w:rsidP="00861F86">
            <w:pPr>
              <w:rPr>
                <w:rFonts w:cstheme="minorHAnsi"/>
                <w:b/>
                <w:sz w:val="20"/>
                <w:szCs w:val="20"/>
                <w:lang w:val="en-US"/>
              </w:rPr>
            </w:pPr>
          </w:p>
        </w:tc>
        <w:tc>
          <w:tcPr>
            <w:tcW w:w="294" w:type="pct"/>
            <w:vAlign w:val="center"/>
          </w:tcPr>
          <w:p w14:paraId="203635C5" w14:textId="77777777" w:rsidR="00CE2B23" w:rsidRPr="000F086B" w:rsidRDefault="00CE2B23" w:rsidP="00861F86">
            <w:pPr>
              <w:rPr>
                <w:rFonts w:cstheme="minorHAnsi"/>
                <w:sz w:val="20"/>
                <w:szCs w:val="20"/>
                <w:lang w:val="en-US"/>
              </w:rPr>
            </w:pPr>
            <w:r w:rsidRPr="000F086B">
              <w:rPr>
                <w:rFonts w:cstheme="minorHAnsi"/>
                <w:sz w:val="20"/>
                <w:szCs w:val="20"/>
                <w:lang w:val="en-US"/>
              </w:rPr>
              <w:t>5</w:t>
            </w:r>
          </w:p>
        </w:tc>
        <w:tc>
          <w:tcPr>
            <w:tcW w:w="1344" w:type="pct"/>
            <w:vAlign w:val="center"/>
          </w:tcPr>
          <w:p w14:paraId="5AB990BE"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the team of authors and/or researchers (e.g., discipline, institution)</w:t>
            </w:r>
          </w:p>
        </w:tc>
        <w:tc>
          <w:tcPr>
            <w:tcW w:w="457" w:type="pct"/>
            <w:vAlign w:val="center"/>
          </w:tcPr>
          <w:p w14:paraId="1BF2C27C" w14:textId="77777777" w:rsidR="00CE2B23" w:rsidRPr="000F086B" w:rsidRDefault="00CE2B23" w:rsidP="00861F86">
            <w:pPr>
              <w:rPr>
                <w:rFonts w:cstheme="minorHAnsi"/>
                <w:sz w:val="20"/>
                <w:szCs w:val="20"/>
                <w:lang w:val="en-US"/>
              </w:rPr>
            </w:pPr>
            <w:r>
              <w:rPr>
                <w:rFonts w:cstheme="minorHAnsi"/>
                <w:sz w:val="20"/>
                <w:szCs w:val="20"/>
                <w:lang w:val="en-US"/>
              </w:rPr>
              <w:t>Pag. 5</w:t>
            </w:r>
          </w:p>
        </w:tc>
        <w:tc>
          <w:tcPr>
            <w:tcW w:w="1720" w:type="pct"/>
            <w:vAlign w:val="center"/>
          </w:tcPr>
          <w:p w14:paraId="4B1BD362" w14:textId="77777777" w:rsidR="00CE2B23" w:rsidRPr="000F086B" w:rsidRDefault="00CE2B23" w:rsidP="00861F86">
            <w:pPr>
              <w:rPr>
                <w:rFonts w:cstheme="minorHAnsi"/>
                <w:sz w:val="20"/>
                <w:szCs w:val="20"/>
                <w:lang w:val="en-US"/>
              </w:rPr>
            </w:pPr>
            <w:r w:rsidRPr="000F086B">
              <w:rPr>
                <w:rFonts w:cstheme="minorHAnsi"/>
                <w:sz w:val="20"/>
                <w:szCs w:val="20"/>
                <w:lang w:val="en-US"/>
              </w:rPr>
              <w:t>The Delphi study was conducted by an interdisciplinary team with representatives from medicine, public health, and health promotion.</w:t>
            </w:r>
          </w:p>
        </w:tc>
      </w:tr>
      <w:tr w:rsidR="00CE2B23" w:rsidRPr="0016050B" w14:paraId="18B01DB0" w14:textId="77777777" w:rsidTr="00861F86">
        <w:tc>
          <w:tcPr>
            <w:tcW w:w="539" w:type="pct"/>
            <w:vMerge/>
            <w:vAlign w:val="center"/>
          </w:tcPr>
          <w:p w14:paraId="791A477B"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003535D8" w14:textId="77777777" w:rsidR="00CE2B23" w:rsidRPr="000F086B" w:rsidRDefault="00CE2B23" w:rsidP="00861F86">
            <w:pPr>
              <w:rPr>
                <w:rFonts w:cstheme="minorHAnsi"/>
                <w:b/>
                <w:sz w:val="20"/>
                <w:szCs w:val="20"/>
                <w:lang w:val="en-US"/>
              </w:rPr>
            </w:pPr>
          </w:p>
        </w:tc>
        <w:tc>
          <w:tcPr>
            <w:tcW w:w="294" w:type="pct"/>
            <w:vAlign w:val="center"/>
          </w:tcPr>
          <w:p w14:paraId="145F5233" w14:textId="77777777" w:rsidR="00CE2B23" w:rsidRPr="000F086B" w:rsidRDefault="00CE2B23" w:rsidP="00861F86">
            <w:pPr>
              <w:rPr>
                <w:rFonts w:cstheme="minorHAnsi"/>
                <w:sz w:val="20"/>
                <w:szCs w:val="20"/>
                <w:lang w:val="en-US"/>
              </w:rPr>
            </w:pPr>
            <w:r w:rsidRPr="000F086B">
              <w:rPr>
                <w:rFonts w:cstheme="minorHAnsi"/>
                <w:sz w:val="20"/>
                <w:szCs w:val="20"/>
                <w:lang w:val="en-US"/>
              </w:rPr>
              <w:t>6</w:t>
            </w:r>
          </w:p>
        </w:tc>
        <w:tc>
          <w:tcPr>
            <w:tcW w:w="1344" w:type="pct"/>
            <w:vAlign w:val="center"/>
          </w:tcPr>
          <w:p w14:paraId="27E120E2"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method consulting</w:t>
            </w:r>
          </w:p>
        </w:tc>
        <w:tc>
          <w:tcPr>
            <w:tcW w:w="457" w:type="pct"/>
            <w:vAlign w:val="center"/>
          </w:tcPr>
          <w:p w14:paraId="02B74259" w14:textId="77777777" w:rsidR="00CE2B23" w:rsidRPr="000F086B" w:rsidRDefault="00CE2B23" w:rsidP="00861F86">
            <w:pPr>
              <w:rPr>
                <w:rFonts w:cstheme="minorHAnsi"/>
                <w:sz w:val="20"/>
                <w:szCs w:val="20"/>
                <w:lang w:val="en-US"/>
              </w:rPr>
            </w:pPr>
            <w:r>
              <w:rPr>
                <w:rFonts w:cstheme="minorHAnsi"/>
                <w:sz w:val="20"/>
                <w:szCs w:val="20"/>
                <w:lang w:val="en-US"/>
              </w:rPr>
              <w:t>Pag. 6</w:t>
            </w:r>
          </w:p>
        </w:tc>
        <w:tc>
          <w:tcPr>
            <w:tcW w:w="1720" w:type="pct"/>
            <w:vAlign w:val="center"/>
          </w:tcPr>
          <w:p w14:paraId="4B78F785" w14:textId="77777777" w:rsidR="00CE2B23" w:rsidRPr="000F086B" w:rsidRDefault="00CE2B23" w:rsidP="00861F86">
            <w:pPr>
              <w:rPr>
                <w:rFonts w:cstheme="minorHAnsi"/>
                <w:sz w:val="20"/>
                <w:szCs w:val="20"/>
                <w:lang w:val="en-US"/>
              </w:rPr>
            </w:pPr>
            <w:r w:rsidRPr="000F086B">
              <w:rPr>
                <w:rFonts w:cstheme="minorHAnsi"/>
                <w:sz w:val="20"/>
                <w:szCs w:val="20"/>
                <w:lang w:val="en-US"/>
              </w:rPr>
              <w:t>The study group was advised by experts from [INSTITUTION] regarding statistics.</w:t>
            </w:r>
          </w:p>
          <w:p w14:paraId="7ABC8314" w14:textId="77777777" w:rsidR="00CE2B23" w:rsidRPr="000F086B" w:rsidRDefault="00CE2B23" w:rsidP="00861F86">
            <w:pPr>
              <w:rPr>
                <w:rFonts w:cstheme="minorHAnsi"/>
                <w:sz w:val="20"/>
                <w:szCs w:val="20"/>
                <w:lang w:val="en-US"/>
              </w:rPr>
            </w:pPr>
            <w:r w:rsidRPr="000F086B">
              <w:rPr>
                <w:rFonts w:cstheme="minorHAnsi"/>
                <w:sz w:val="20"/>
                <w:szCs w:val="20"/>
                <w:lang w:val="en-US"/>
              </w:rPr>
              <w:t>Or:</w:t>
            </w:r>
          </w:p>
          <w:p w14:paraId="2CFD9E56" w14:textId="77777777" w:rsidR="00CE2B23" w:rsidRPr="000F086B" w:rsidRDefault="00CE2B23" w:rsidP="00861F86">
            <w:pPr>
              <w:rPr>
                <w:rFonts w:cstheme="minorHAnsi"/>
                <w:sz w:val="20"/>
                <w:szCs w:val="20"/>
                <w:lang w:val="en-US"/>
              </w:rPr>
            </w:pPr>
            <w:r w:rsidRPr="000F086B">
              <w:rPr>
                <w:rFonts w:cstheme="minorHAnsi"/>
                <w:sz w:val="20"/>
                <w:szCs w:val="20"/>
                <w:lang w:val="en-US"/>
              </w:rPr>
              <w:t>No consulting in regard to method took place.</w:t>
            </w:r>
          </w:p>
        </w:tc>
      </w:tr>
      <w:tr w:rsidR="00CE2B23" w:rsidRPr="0016050B" w14:paraId="064DE6AB" w14:textId="77777777" w:rsidTr="00861F86">
        <w:tc>
          <w:tcPr>
            <w:tcW w:w="539" w:type="pct"/>
            <w:vMerge/>
            <w:vAlign w:val="center"/>
          </w:tcPr>
          <w:p w14:paraId="376FB79D"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53E3D13C" w14:textId="77777777" w:rsidR="00CE2B23" w:rsidRPr="000F086B" w:rsidRDefault="00CE2B23" w:rsidP="00861F86">
            <w:pPr>
              <w:rPr>
                <w:rFonts w:cstheme="minorHAnsi"/>
                <w:b/>
                <w:sz w:val="20"/>
                <w:szCs w:val="20"/>
                <w:lang w:val="en-US"/>
              </w:rPr>
            </w:pPr>
          </w:p>
        </w:tc>
        <w:tc>
          <w:tcPr>
            <w:tcW w:w="294" w:type="pct"/>
            <w:vAlign w:val="center"/>
          </w:tcPr>
          <w:p w14:paraId="65DEC469" w14:textId="77777777" w:rsidR="00CE2B23" w:rsidRPr="000F086B" w:rsidRDefault="00CE2B23" w:rsidP="00861F86">
            <w:pPr>
              <w:rPr>
                <w:rFonts w:cstheme="minorHAnsi"/>
                <w:sz w:val="20"/>
                <w:szCs w:val="20"/>
                <w:lang w:val="en-US"/>
              </w:rPr>
            </w:pPr>
            <w:r w:rsidRPr="000F086B">
              <w:rPr>
                <w:rFonts w:cstheme="minorHAnsi"/>
                <w:sz w:val="20"/>
                <w:szCs w:val="20"/>
                <w:lang w:val="en-US"/>
              </w:rPr>
              <w:t>7</w:t>
            </w:r>
          </w:p>
        </w:tc>
        <w:tc>
          <w:tcPr>
            <w:tcW w:w="1344" w:type="pct"/>
            <w:vAlign w:val="center"/>
          </w:tcPr>
          <w:p w14:paraId="2E21D347"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the project background</w:t>
            </w:r>
          </w:p>
        </w:tc>
        <w:tc>
          <w:tcPr>
            <w:tcW w:w="457" w:type="pct"/>
            <w:vAlign w:val="center"/>
          </w:tcPr>
          <w:p w14:paraId="62B30A2E" w14:textId="77777777" w:rsidR="00CE2B23" w:rsidRPr="000F086B" w:rsidRDefault="00CE2B23" w:rsidP="00861F86">
            <w:pPr>
              <w:rPr>
                <w:rFonts w:cstheme="minorHAnsi"/>
                <w:sz w:val="20"/>
                <w:szCs w:val="20"/>
                <w:lang w:val="en-US"/>
              </w:rPr>
            </w:pPr>
            <w:r>
              <w:rPr>
                <w:rFonts w:cstheme="minorHAnsi"/>
                <w:sz w:val="20"/>
                <w:szCs w:val="20"/>
                <w:lang w:val="en-US"/>
              </w:rPr>
              <w:t>Pag. 6</w:t>
            </w:r>
          </w:p>
        </w:tc>
        <w:tc>
          <w:tcPr>
            <w:tcW w:w="1720" w:type="pct"/>
            <w:vAlign w:val="center"/>
          </w:tcPr>
          <w:p w14:paraId="099A7A2E" w14:textId="77777777" w:rsidR="00CE2B23" w:rsidRPr="000F086B" w:rsidRDefault="00CE2B23" w:rsidP="00861F86">
            <w:pPr>
              <w:rPr>
                <w:rFonts w:cstheme="minorHAnsi"/>
                <w:sz w:val="20"/>
                <w:szCs w:val="20"/>
                <w:lang w:val="en-US"/>
              </w:rPr>
            </w:pPr>
            <w:r w:rsidRPr="000F086B">
              <w:rPr>
                <w:rFonts w:cstheme="minorHAnsi"/>
                <w:sz w:val="20"/>
                <w:szCs w:val="20"/>
                <w:lang w:val="en-US"/>
              </w:rPr>
              <w:t>The Delphi study was part of a mixed-methods study on [AIM].</w:t>
            </w:r>
          </w:p>
        </w:tc>
      </w:tr>
      <w:tr w:rsidR="00CE2B23" w:rsidRPr="0016050B" w14:paraId="5386F67A" w14:textId="77777777" w:rsidTr="00861F86">
        <w:tc>
          <w:tcPr>
            <w:tcW w:w="539" w:type="pct"/>
            <w:vMerge/>
            <w:vAlign w:val="center"/>
          </w:tcPr>
          <w:p w14:paraId="7596EB2F"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39C96BB3" w14:textId="77777777" w:rsidR="00CE2B23" w:rsidRPr="000F086B" w:rsidRDefault="00CE2B23" w:rsidP="00861F86">
            <w:pPr>
              <w:rPr>
                <w:rFonts w:cstheme="minorHAnsi"/>
                <w:b/>
                <w:sz w:val="20"/>
                <w:szCs w:val="20"/>
                <w:lang w:val="en-US"/>
              </w:rPr>
            </w:pPr>
          </w:p>
        </w:tc>
        <w:tc>
          <w:tcPr>
            <w:tcW w:w="294" w:type="pct"/>
            <w:vAlign w:val="center"/>
          </w:tcPr>
          <w:p w14:paraId="7F359527" w14:textId="77777777" w:rsidR="00CE2B23" w:rsidRPr="000F086B" w:rsidRDefault="00CE2B23" w:rsidP="00861F86">
            <w:pPr>
              <w:rPr>
                <w:rFonts w:cstheme="minorHAnsi"/>
                <w:sz w:val="20"/>
                <w:szCs w:val="20"/>
                <w:lang w:val="en-US"/>
              </w:rPr>
            </w:pPr>
            <w:r w:rsidRPr="000F086B">
              <w:rPr>
                <w:rFonts w:cstheme="minorHAnsi"/>
                <w:sz w:val="20"/>
                <w:szCs w:val="20"/>
                <w:lang w:val="en-US"/>
              </w:rPr>
              <w:t>8</w:t>
            </w:r>
          </w:p>
        </w:tc>
        <w:tc>
          <w:tcPr>
            <w:tcW w:w="1344" w:type="pct"/>
            <w:tcBorders>
              <w:bottom w:val="single" w:sz="12" w:space="0" w:color="auto"/>
            </w:tcBorders>
            <w:vAlign w:val="center"/>
          </w:tcPr>
          <w:p w14:paraId="45A80549"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the study protocol</w:t>
            </w:r>
          </w:p>
        </w:tc>
        <w:tc>
          <w:tcPr>
            <w:tcW w:w="457" w:type="pct"/>
            <w:tcBorders>
              <w:bottom w:val="single" w:sz="12" w:space="0" w:color="auto"/>
            </w:tcBorders>
            <w:vAlign w:val="center"/>
          </w:tcPr>
          <w:p w14:paraId="59DF8EC5" w14:textId="77777777" w:rsidR="00CE2B23" w:rsidRPr="000F086B" w:rsidRDefault="00CE2B23" w:rsidP="00861F86">
            <w:pPr>
              <w:rPr>
                <w:rFonts w:cstheme="minorHAnsi"/>
                <w:sz w:val="20"/>
                <w:szCs w:val="20"/>
                <w:lang w:val="en-US"/>
              </w:rPr>
            </w:pPr>
            <w:r>
              <w:rPr>
                <w:rFonts w:cstheme="minorHAnsi"/>
                <w:sz w:val="20"/>
                <w:szCs w:val="20"/>
                <w:lang w:val="en-US"/>
              </w:rPr>
              <w:t>Pag. 6</w:t>
            </w:r>
          </w:p>
        </w:tc>
        <w:tc>
          <w:tcPr>
            <w:tcW w:w="1720" w:type="pct"/>
            <w:tcBorders>
              <w:bottom w:val="single" w:sz="12" w:space="0" w:color="auto"/>
            </w:tcBorders>
            <w:vAlign w:val="center"/>
          </w:tcPr>
          <w:p w14:paraId="7074FFD1" w14:textId="77777777" w:rsidR="00CE2B23" w:rsidRPr="000F086B" w:rsidRDefault="00CE2B23" w:rsidP="00861F86">
            <w:pPr>
              <w:rPr>
                <w:rFonts w:cstheme="minorHAnsi"/>
                <w:sz w:val="20"/>
                <w:szCs w:val="20"/>
                <w:lang w:val="en-US"/>
              </w:rPr>
            </w:pPr>
            <w:r w:rsidRPr="000F086B">
              <w:rPr>
                <w:rFonts w:cstheme="minorHAnsi"/>
                <w:sz w:val="20"/>
                <w:szCs w:val="20"/>
                <w:lang w:val="en-US"/>
              </w:rPr>
              <w:t>The study protocol is available at [LINK].</w:t>
            </w:r>
          </w:p>
        </w:tc>
      </w:tr>
      <w:tr w:rsidR="00CE2B23" w:rsidRPr="0016050B" w14:paraId="755660E1" w14:textId="77777777" w:rsidTr="00861F86">
        <w:tc>
          <w:tcPr>
            <w:tcW w:w="539" w:type="pct"/>
            <w:vMerge w:val="restart"/>
            <w:vAlign w:val="center"/>
          </w:tcPr>
          <w:p w14:paraId="7BAA8267" w14:textId="77777777" w:rsidR="00CE2B23" w:rsidRPr="000F086B" w:rsidRDefault="00CE2B23" w:rsidP="00861F86">
            <w:pPr>
              <w:keepLines/>
              <w:rPr>
                <w:rFonts w:cstheme="minorHAnsi"/>
                <w:b/>
                <w:color w:val="4472C4" w:themeColor="accent5"/>
                <w:sz w:val="20"/>
                <w:szCs w:val="20"/>
                <w:lang w:val="en-US"/>
              </w:rPr>
            </w:pPr>
          </w:p>
        </w:tc>
        <w:tc>
          <w:tcPr>
            <w:tcW w:w="646" w:type="pct"/>
            <w:vMerge w:val="restart"/>
            <w:vAlign w:val="center"/>
          </w:tcPr>
          <w:p w14:paraId="5759B2AF" w14:textId="77777777" w:rsidR="00CE2B23" w:rsidRPr="000F086B" w:rsidRDefault="00CE2B23" w:rsidP="00861F86">
            <w:pPr>
              <w:keepLines/>
              <w:rPr>
                <w:rFonts w:cstheme="minorHAnsi"/>
                <w:b/>
                <w:sz w:val="20"/>
                <w:szCs w:val="20"/>
                <w:lang w:val="en-US"/>
              </w:rPr>
            </w:pPr>
            <w:r w:rsidRPr="000F086B">
              <w:rPr>
                <w:rFonts w:cstheme="minorHAnsi"/>
                <w:b/>
                <w:sz w:val="20"/>
                <w:szCs w:val="20"/>
                <w:lang w:val="en-US"/>
              </w:rPr>
              <w:t>Content</w:t>
            </w:r>
          </w:p>
        </w:tc>
        <w:tc>
          <w:tcPr>
            <w:tcW w:w="294" w:type="pct"/>
            <w:vAlign w:val="center"/>
          </w:tcPr>
          <w:p w14:paraId="2728DAC9"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9</w:t>
            </w:r>
          </w:p>
        </w:tc>
        <w:tc>
          <w:tcPr>
            <w:tcW w:w="1344" w:type="pct"/>
            <w:tcBorders>
              <w:top w:val="single" w:sz="12" w:space="0" w:color="auto"/>
            </w:tcBorders>
            <w:vAlign w:val="center"/>
          </w:tcPr>
          <w:p w14:paraId="655E2A7B" w14:textId="77777777" w:rsidR="00CE2B23" w:rsidRPr="000F086B" w:rsidRDefault="00CE2B23" w:rsidP="00861F86">
            <w:pPr>
              <w:keepLines/>
              <w:rPr>
                <w:rFonts w:cstheme="minorHAnsi"/>
                <w:sz w:val="20"/>
                <w:szCs w:val="20"/>
                <w:lang w:val="en-US"/>
              </w:rPr>
            </w:pPr>
            <w:bookmarkStart w:id="4" w:name="_Hlk179962364"/>
            <w:r w:rsidRPr="000F086B">
              <w:rPr>
                <w:rFonts w:cstheme="minorHAnsi"/>
                <w:sz w:val="20"/>
                <w:szCs w:val="20"/>
                <w:lang w:val="en-US"/>
              </w:rPr>
              <w:t>Justification of the chosen method (Delphi) to answer the research question</w:t>
            </w:r>
            <w:bookmarkEnd w:id="4"/>
          </w:p>
        </w:tc>
        <w:tc>
          <w:tcPr>
            <w:tcW w:w="457" w:type="pct"/>
            <w:tcBorders>
              <w:top w:val="single" w:sz="12" w:space="0" w:color="auto"/>
            </w:tcBorders>
            <w:vAlign w:val="center"/>
          </w:tcPr>
          <w:p w14:paraId="6890AC3D" w14:textId="77777777" w:rsidR="00CE2B23" w:rsidRPr="000F086B" w:rsidRDefault="00CE2B23" w:rsidP="00861F86">
            <w:pPr>
              <w:keepLines/>
              <w:rPr>
                <w:rFonts w:cstheme="minorHAnsi"/>
                <w:sz w:val="20"/>
                <w:szCs w:val="20"/>
                <w:lang w:val="en-US"/>
              </w:rPr>
            </w:pPr>
            <w:r>
              <w:rPr>
                <w:rFonts w:cstheme="minorHAnsi"/>
                <w:sz w:val="20"/>
                <w:szCs w:val="20"/>
                <w:lang w:val="en-US"/>
              </w:rPr>
              <w:t>Pag. 4</w:t>
            </w:r>
          </w:p>
        </w:tc>
        <w:tc>
          <w:tcPr>
            <w:tcW w:w="1720" w:type="pct"/>
            <w:tcBorders>
              <w:top w:val="single" w:sz="12" w:space="0" w:color="auto"/>
            </w:tcBorders>
            <w:vAlign w:val="center"/>
          </w:tcPr>
          <w:p w14:paraId="112C8E28" w14:textId="77777777" w:rsidR="00CE2B23" w:rsidRPr="000F086B" w:rsidRDefault="00CE2B23" w:rsidP="00861F86">
            <w:pPr>
              <w:keepLines/>
              <w:rPr>
                <w:rFonts w:cstheme="minorHAnsi"/>
                <w:sz w:val="20"/>
                <w:szCs w:val="20"/>
                <w:lang w:val="en-US"/>
              </w:rPr>
            </w:pPr>
            <w:bookmarkStart w:id="5" w:name="_Hlk179962372"/>
            <w:r w:rsidRPr="000F086B">
              <w:rPr>
                <w:rFonts w:cstheme="minorHAnsi"/>
                <w:sz w:val="20"/>
                <w:szCs w:val="20"/>
                <w:lang w:val="en-US"/>
              </w:rPr>
              <w:t xml:space="preserve">The Delphi </w:t>
            </w:r>
            <w:r>
              <w:rPr>
                <w:rFonts w:cstheme="minorHAnsi"/>
                <w:sz w:val="20"/>
                <w:szCs w:val="20"/>
                <w:lang w:val="en-US"/>
              </w:rPr>
              <w:t>method</w:t>
            </w:r>
            <w:r w:rsidRPr="000F086B">
              <w:rPr>
                <w:rFonts w:cstheme="minorHAnsi"/>
                <w:sz w:val="20"/>
                <w:szCs w:val="20"/>
                <w:lang w:val="en-US"/>
              </w:rPr>
              <w:t xml:space="preserve"> is suitable for answering the research question because it systematically gathers the judgments of different expert groups and can identity agreement and disagreement.</w:t>
            </w:r>
            <w:bookmarkEnd w:id="5"/>
          </w:p>
        </w:tc>
      </w:tr>
      <w:tr w:rsidR="00CE2B23" w:rsidRPr="0016050B" w14:paraId="5CF61C42" w14:textId="77777777" w:rsidTr="00861F86">
        <w:tc>
          <w:tcPr>
            <w:tcW w:w="539" w:type="pct"/>
            <w:vMerge/>
            <w:vAlign w:val="center"/>
          </w:tcPr>
          <w:p w14:paraId="0DCF9B77" w14:textId="77777777" w:rsidR="00CE2B23" w:rsidRPr="000F086B" w:rsidRDefault="00CE2B23" w:rsidP="00861F86">
            <w:pPr>
              <w:keepLines/>
              <w:rPr>
                <w:rFonts w:cstheme="minorHAnsi"/>
                <w:b/>
                <w:color w:val="4472C4" w:themeColor="accent5"/>
                <w:sz w:val="20"/>
                <w:szCs w:val="20"/>
                <w:lang w:val="en-US"/>
              </w:rPr>
            </w:pPr>
          </w:p>
        </w:tc>
        <w:tc>
          <w:tcPr>
            <w:tcW w:w="646" w:type="pct"/>
            <w:vMerge/>
            <w:vAlign w:val="center"/>
          </w:tcPr>
          <w:p w14:paraId="708BE44B" w14:textId="77777777" w:rsidR="00CE2B23" w:rsidRPr="000F086B" w:rsidRDefault="00CE2B23" w:rsidP="00861F86">
            <w:pPr>
              <w:keepLines/>
              <w:rPr>
                <w:rFonts w:cstheme="minorHAnsi"/>
                <w:b/>
                <w:sz w:val="20"/>
                <w:szCs w:val="20"/>
                <w:lang w:val="en-US"/>
              </w:rPr>
            </w:pPr>
          </w:p>
        </w:tc>
        <w:tc>
          <w:tcPr>
            <w:tcW w:w="294" w:type="pct"/>
            <w:vAlign w:val="center"/>
          </w:tcPr>
          <w:p w14:paraId="41C1F6B3"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10</w:t>
            </w:r>
          </w:p>
        </w:tc>
        <w:tc>
          <w:tcPr>
            <w:tcW w:w="1344" w:type="pct"/>
            <w:vAlign w:val="center"/>
          </w:tcPr>
          <w:p w14:paraId="492208C5"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Aim of the Delphi study (e.g., consensus, forecasting)</w:t>
            </w:r>
          </w:p>
        </w:tc>
        <w:tc>
          <w:tcPr>
            <w:tcW w:w="457" w:type="pct"/>
            <w:vAlign w:val="center"/>
          </w:tcPr>
          <w:p w14:paraId="39B73BF1" w14:textId="77777777" w:rsidR="00CE2B23" w:rsidRPr="000F086B" w:rsidRDefault="00CE2B23" w:rsidP="00861F86">
            <w:pPr>
              <w:keepLines/>
              <w:rPr>
                <w:rFonts w:cstheme="minorHAnsi"/>
                <w:sz w:val="20"/>
                <w:szCs w:val="20"/>
                <w:lang w:val="en-US"/>
              </w:rPr>
            </w:pPr>
            <w:r>
              <w:rPr>
                <w:rFonts w:cstheme="minorHAnsi"/>
                <w:sz w:val="20"/>
                <w:szCs w:val="20"/>
                <w:lang w:val="en-US"/>
              </w:rPr>
              <w:t>Pag. 4</w:t>
            </w:r>
          </w:p>
        </w:tc>
        <w:tc>
          <w:tcPr>
            <w:tcW w:w="1720" w:type="pct"/>
            <w:vAlign w:val="center"/>
          </w:tcPr>
          <w:p w14:paraId="4583663D"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The aim of the Delphi study is to find consensus on criteria to define a public health intervention.</w:t>
            </w:r>
          </w:p>
        </w:tc>
      </w:tr>
      <w:tr w:rsidR="00CE2B23" w:rsidRPr="0016050B" w14:paraId="51A71A8D" w14:textId="77777777" w:rsidTr="00861F86">
        <w:tc>
          <w:tcPr>
            <w:tcW w:w="539" w:type="pct"/>
            <w:vMerge w:val="restart"/>
            <w:vAlign w:val="center"/>
          </w:tcPr>
          <w:p w14:paraId="68A6F19B"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III</w:t>
            </w:r>
          </w:p>
          <w:p w14:paraId="678FBB25"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Method</w:t>
            </w:r>
          </w:p>
        </w:tc>
        <w:tc>
          <w:tcPr>
            <w:tcW w:w="646" w:type="pct"/>
            <w:vMerge w:val="restart"/>
            <w:vAlign w:val="center"/>
          </w:tcPr>
          <w:p w14:paraId="100B739B" w14:textId="77777777" w:rsidR="00CE2B23" w:rsidRPr="000F086B" w:rsidRDefault="00CE2B23" w:rsidP="00861F86">
            <w:pPr>
              <w:rPr>
                <w:rFonts w:cstheme="minorHAnsi"/>
                <w:b/>
                <w:sz w:val="20"/>
                <w:szCs w:val="20"/>
                <w:lang w:val="en-US"/>
              </w:rPr>
            </w:pPr>
            <w:r w:rsidRPr="000F086B">
              <w:rPr>
                <w:rFonts w:cstheme="minorHAnsi"/>
                <w:b/>
                <w:sz w:val="20"/>
                <w:szCs w:val="20"/>
                <w:lang w:val="en-US"/>
              </w:rPr>
              <w:t>Body &amp; Integration of knowledge</w:t>
            </w:r>
          </w:p>
        </w:tc>
        <w:tc>
          <w:tcPr>
            <w:tcW w:w="294" w:type="pct"/>
            <w:vAlign w:val="center"/>
          </w:tcPr>
          <w:p w14:paraId="225EA9C6" w14:textId="77777777" w:rsidR="00CE2B23" w:rsidRPr="000F086B" w:rsidRDefault="00CE2B23" w:rsidP="00861F86">
            <w:pPr>
              <w:rPr>
                <w:rFonts w:cstheme="minorHAnsi"/>
                <w:sz w:val="20"/>
                <w:szCs w:val="20"/>
                <w:lang w:val="en-US"/>
              </w:rPr>
            </w:pPr>
            <w:r w:rsidRPr="000F086B">
              <w:rPr>
                <w:rFonts w:cstheme="minorHAnsi"/>
                <w:sz w:val="20"/>
                <w:szCs w:val="20"/>
                <w:lang w:val="en-US"/>
              </w:rPr>
              <w:t>11</w:t>
            </w:r>
          </w:p>
        </w:tc>
        <w:tc>
          <w:tcPr>
            <w:tcW w:w="1344" w:type="pct"/>
            <w:tcBorders>
              <w:top w:val="single" w:sz="12" w:space="0" w:color="auto"/>
            </w:tcBorders>
            <w:vAlign w:val="center"/>
          </w:tcPr>
          <w:p w14:paraId="24A3C7B4" w14:textId="77777777" w:rsidR="00CE2B23" w:rsidRPr="000F086B" w:rsidRDefault="00CE2B23" w:rsidP="00861F86">
            <w:pPr>
              <w:rPr>
                <w:rFonts w:cstheme="minorHAnsi"/>
                <w:sz w:val="20"/>
                <w:szCs w:val="20"/>
                <w:lang w:val="en-US"/>
              </w:rPr>
            </w:pPr>
            <w:r w:rsidRPr="000F086B">
              <w:rPr>
                <w:rFonts w:cstheme="minorHAnsi"/>
                <w:sz w:val="20"/>
                <w:szCs w:val="20"/>
                <w:lang w:val="en-US"/>
              </w:rPr>
              <w:t>Identification and elucidation of relevant expertise, spheres of experience, and perspectives (e.g., theory, practice, affected groups, disciplines)</w:t>
            </w:r>
          </w:p>
        </w:tc>
        <w:tc>
          <w:tcPr>
            <w:tcW w:w="457" w:type="pct"/>
            <w:tcBorders>
              <w:top w:val="single" w:sz="12" w:space="0" w:color="auto"/>
            </w:tcBorders>
            <w:vAlign w:val="center"/>
          </w:tcPr>
          <w:p w14:paraId="3A3115C3" w14:textId="77777777" w:rsidR="00CE2B23" w:rsidRPr="000F086B" w:rsidRDefault="00CE2B23" w:rsidP="00861F86">
            <w:pPr>
              <w:rPr>
                <w:rFonts w:cstheme="minorHAnsi"/>
                <w:sz w:val="20"/>
                <w:szCs w:val="20"/>
                <w:lang w:val="en-US"/>
              </w:rPr>
            </w:pPr>
            <w:r>
              <w:rPr>
                <w:rFonts w:cstheme="minorHAnsi"/>
                <w:sz w:val="20"/>
                <w:szCs w:val="20"/>
                <w:lang w:val="en-US"/>
              </w:rPr>
              <w:t>Pag. 4</w:t>
            </w:r>
          </w:p>
        </w:tc>
        <w:tc>
          <w:tcPr>
            <w:tcW w:w="1720" w:type="pct"/>
            <w:tcBorders>
              <w:top w:val="single" w:sz="12" w:space="0" w:color="auto"/>
            </w:tcBorders>
            <w:vAlign w:val="center"/>
          </w:tcPr>
          <w:p w14:paraId="081CBDB9" w14:textId="77777777" w:rsidR="00CE2B23" w:rsidRPr="000F086B" w:rsidRDefault="00CE2B23" w:rsidP="00861F86">
            <w:pPr>
              <w:rPr>
                <w:rFonts w:cstheme="minorHAnsi"/>
                <w:sz w:val="20"/>
                <w:szCs w:val="20"/>
                <w:lang w:val="en-US"/>
              </w:rPr>
            </w:pPr>
            <w:r w:rsidRPr="000F086B">
              <w:rPr>
                <w:rFonts w:cstheme="minorHAnsi"/>
                <w:sz w:val="20"/>
                <w:szCs w:val="20"/>
                <w:lang w:val="en-US"/>
              </w:rPr>
              <w:t>The experts represent the sciences and clinical practice because [REASON].</w:t>
            </w:r>
          </w:p>
        </w:tc>
      </w:tr>
      <w:tr w:rsidR="00CE2B23" w:rsidRPr="0016050B" w14:paraId="09D0DDC4" w14:textId="77777777" w:rsidTr="00861F86">
        <w:tc>
          <w:tcPr>
            <w:tcW w:w="539" w:type="pct"/>
            <w:vMerge/>
            <w:vAlign w:val="center"/>
          </w:tcPr>
          <w:p w14:paraId="12B283D8"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6578A92B" w14:textId="77777777" w:rsidR="00CE2B23" w:rsidRPr="000F086B" w:rsidRDefault="00CE2B23" w:rsidP="00861F86">
            <w:pPr>
              <w:rPr>
                <w:rFonts w:cstheme="minorHAnsi"/>
                <w:b/>
                <w:sz w:val="20"/>
                <w:szCs w:val="20"/>
                <w:lang w:val="en-US"/>
              </w:rPr>
            </w:pPr>
          </w:p>
        </w:tc>
        <w:tc>
          <w:tcPr>
            <w:tcW w:w="294" w:type="pct"/>
            <w:vAlign w:val="center"/>
          </w:tcPr>
          <w:p w14:paraId="60FEBD32" w14:textId="77777777" w:rsidR="00CE2B23" w:rsidRPr="000F086B" w:rsidRDefault="00CE2B23" w:rsidP="00861F86">
            <w:pPr>
              <w:rPr>
                <w:rFonts w:cstheme="minorHAnsi"/>
                <w:sz w:val="20"/>
                <w:szCs w:val="20"/>
                <w:lang w:val="en-US"/>
              </w:rPr>
            </w:pPr>
            <w:r w:rsidRPr="000F086B">
              <w:rPr>
                <w:rFonts w:cstheme="minorHAnsi"/>
                <w:sz w:val="20"/>
                <w:szCs w:val="20"/>
                <w:lang w:val="en-US"/>
              </w:rPr>
              <w:t>12</w:t>
            </w:r>
          </w:p>
        </w:tc>
        <w:tc>
          <w:tcPr>
            <w:tcW w:w="1344" w:type="pct"/>
            <w:tcBorders>
              <w:top w:val="single" w:sz="4" w:space="0" w:color="auto"/>
            </w:tcBorders>
            <w:vAlign w:val="center"/>
          </w:tcPr>
          <w:p w14:paraId="27AD1A8E" w14:textId="77777777" w:rsidR="00CE2B23" w:rsidRPr="000F086B" w:rsidRDefault="00CE2B23" w:rsidP="00861F86">
            <w:pPr>
              <w:rPr>
                <w:rFonts w:cstheme="minorHAnsi"/>
                <w:sz w:val="20"/>
                <w:szCs w:val="20"/>
                <w:lang w:val="en-US"/>
              </w:rPr>
            </w:pPr>
            <w:r w:rsidRPr="000F086B">
              <w:rPr>
                <w:rFonts w:cstheme="minorHAnsi"/>
                <w:sz w:val="20"/>
                <w:szCs w:val="20"/>
                <w:lang w:val="en-US"/>
              </w:rPr>
              <w:t>Handling of knowledge, expertise and perspectives which are missing or have been deliberately not integrated</w:t>
            </w:r>
          </w:p>
        </w:tc>
        <w:tc>
          <w:tcPr>
            <w:tcW w:w="457" w:type="pct"/>
            <w:tcBorders>
              <w:top w:val="single" w:sz="4" w:space="0" w:color="auto"/>
            </w:tcBorders>
            <w:vAlign w:val="center"/>
          </w:tcPr>
          <w:p w14:paraId="36E088F0" w14:textId="77777777" w:rsidR="00CE2B23" w:rsidRPr="000F086B" w:rsidRDefault="00CE2B23" w:rsidP="00861F86">
            <w:pPr>
              <w:rPr>
                <w:rFonts w:cstheme="minorHAnsi"/>
                <w:sz w:val="20"/>
                <w:szCs w:val="20"/>
                <w:lang w:val="en-US"/>
              </w:rPr>
            </w:pPr>
            <w:r>
              <w:rPr>
                <w:rFonts w:cstheme="minorHAnsi"/>
                <w:sz w:val="20"/>
                <w:szCs w:val="20"/>
                <w:lang w:val="en-US"/>
              </w:rPr>
              <w:t>Pag. 4</w:t>
            </w:r>
          </w:p>
        </w:tc>
        <w:tc>
          <w:tcPr>
            <w:tcW w:w="1720" w:type="pct"/>
            <w:tcBorders>
              <w:top w:val="single" w:sz="4" w:space="0" w:color="auto"/>
            </w:tcBorders>
            <w:vAlign w:val="center"/>
          </w:tcPr>
          <w:p w14:paraId="5EF22060" w14:textId="77777777" w:rsidR="00CE2B23" w:rsidRPr="000F086B" w:rsidRDefault="00CE2B23" w:rsidP="00861F86">
            <w:pPr>
              <w:rPr>
                <w:rFonts w:cstheme="minorHAnsi"/>
                <w:sz w:val="20"/>
                <w:szCs w:val="20"/>
                <w:lang w:val="en-US"/>
              </w:rPr>
            </w:pPr>
            <w:r w:rsidRPr="000F086B">
              <w:rPr>
                <w:rFonts w:cstheme="minorHAnsi"/>
                <w:sz w:val="20"/>
                <w:szCs w:val="20"/>
                <w:lang w:val="en-US"/>
              </w:rPr>
              <w:t>If it is not possible to recruit experts specialized in [AREA], this will be openly communicated to the other experts during the Delphi study.</w:t>
            </w:r>
          </w:p>
        </w:tc>
      </w:tr>
      <w:tr w:rsidR="00CE2B23" w:rsidRPr="0016050B" w14:paraId="618A3657" w14:textId="77777777" w:rsidTr="00861F86">
        <w:tc>
          <w:tcPr>
            <w:tcW w:w="539" w:type="pct"/>
            <w:vMerge/>
            <w:vAlign w:val="center"/>
          </w:tcPr>
          <w:p w14:paraId="2CD86858"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0527BE08" w14:textId="77777777" w:rsidR="00CE2B23" w:rsidRPr="000F086B" w:rsidRDefault="00CE2B23" w:rsidP="00861F86">
            <w:pPr>
              <w:rPr>
                <w:rFonts w:cstheme="minorHAnsi"/>
                <w:b/>
                <w:sz w:val="20"/>
                <w:szCs w:val="20"/>
                <w:lang w:val="en-US"/>
              </w:rPr>
            </w:pPr>
          </w:p>
        </w:tc>
        <w:tc>
          <w:tcPr>
            <w:tcW w:w="294" w:type="pct"/>
            <w:vAlign w:val="center"/>
          </w:tcPr>
          <w:p w14:paraId="60B1E603" w14:textId="77777777" w:rsidR="00CE2B23" w:rsidRPr="000F086B" w:rsidRDefault="00CE2B23" w:rsidP="00861F86">
            <w:pPr>
              <w:rPr>
                <w:rFonts w:cstheme="minorHAnsi"/>
                <w:sz w:val="20"/>
                <w:szCs w:val="20"/>
                <w:lang w:val="en-US"/>
              </w:rPr>
            </w:pPr>
            <w:r w:rsidRPr="000F086B">
              <w:rPr>
                <w:rFonts w:cstheme="minorHAnsi"/>
                <w:sz w:val="20"/>
                <w:szCs w:val="20"/>
                <w:lang w:val="en-US"/>
              </w:rPr>
              <w:t>13</w:t>
            </w:r>
          </w:p>
        </w:tc>
        <w:tc>
          <w:tcPr>
            <w:tcW w:w="1344" w:type="pct"/>
            <w:tcBorders>
              <w:bottom w:val="single" w:sz="12" w:space="0" w:color="auto"/>
            </w:tcBorders>
            <w:vAlign w:val="center"/>
          </w:tcPr>
          <w:p w14:paraId="23D1E845" w14:textId="77777777" w:rsidR="00CE2B23" w:rsidRPr="000F086B" w:rsidRDefault="00CE2B23" w:rsidP="00861F86">
            <w:pPr>
              <w:rPr>
                <w:rFonts w:cstheme="minorHAnsi"/>
                <w:sz w:val="20"/>
                <w:szCs w:val="20"/>
                <w:lang w:val="en-US"/>
              </w:rPr>
            </w:pPr>
            <w:r w:rsidRPr="000F086B">
              <w:rPr>
                <w:rFonts w:cstheme="minorHAnsi"/>
                <w:sz w:val="20"/>
                <w:szCs w:val="20"/>
                <w:lang w:val="en-US"/>
              </w:rPr>
              <w:t>Basic definition of expert</w:t>
            </w:r>
            <w:r w:rsidRPr="000F086B">
              <w:rPr>
                <w:rFonts w:cstheme="minorHAnsi"/>
                <w:sz w:val="20"/>
                <w:szCs w:val="20"/>
                <w:vertAlign w:val="superscript"/>
                <w:lang w:val="en-US"/>
              </w:rPr>
              <w:t>1</w:t>
            </w:r>
          </w:p>
        </w:tc>
        <w:tc>
          <w:tcPr>
            <w:tcW w:w="457" w:type="pct"/>
            <w:tcBorders>
              <w:bottom w:val="single" w:sz="12" w:space="0" w:color="auto"/>
            </w:tcBorders>
            <w:vAlign w:val="center"/>
          </w:tcPr>
          <w:p w14:paraId="46C8571D" w14:textId="77777777" w:rsidR="00CE2B23" w:rsidRPr="000F086B" w:rsidRDefault="00CE2B23" w:rsidP="00861F86">
            <w:pPr>
              <w:rPr>
                <w:rFonts w:cstheme="minorHAnsi"/>
                <w:sz w:val="20"/>
                <w:szCs w:val="20"/>
                <w:lang w:val="en-US"/>
              </w:rPr>
            </w:pPr>
            <w:r>
              <w:rPr>
                <w:rFonts w:cstheme="minorHAnsi"/>
                <w:sz w:val="20"/>
                <w:szCs w:val="20"/>
                <w:lang w:val="en-US"/>
              </w:rPr>
              <w:t>Pag. 4-5</w:t>
            </w:r>
          </w:p>
        </w:tc>
        <w:tc>
          <w:tcPr>
            <w:tcW w:w="1720" w:type="pct"/>
            <w:tcBorders>
              <w:bottom w:val="single" w:sz="12" w:space="0" w:color="auto"/>
            </w:tcBorders>
            <w:vAlign w:val="center"/>
          </w:tcPr>
          <w:p w14:paraId="0EC2C848" w14:textId="77777777" w:rsidR="00CE2B23" w:rsidRPr="000F086B" w:rsidRDefault="00CE2B23" w:rsidP="00861F86">
            <w:pPr>
              <w:rPr>
                <w:rFonts w:cstheme="minorHAnsi"/>
                <w:sz w:val="20"/>
                <w:szCs w:val="20"/>
                <w:lang w:val="en-US"/>
              </w:rPr>
            </w:pPr>
            <w:r w:rsidRPr="000F086B">
              <w:rPr>
                <w:rFonts w:cstheme="minorHAnsi"/>
                <w:sz w:val="20"/>
                <w:szCs w:val="20"/>
                <w:lang w:val="en-US"/>
              </w:rPr>
              <w:t>A person who has been active in the area for at least [NUMBER] years is considered to be an expert.</w:t>
            </w:r>
          </w:p>
        </w:tc>
      </w:tr>
      <w:tr w:rsidR="00CE2B23" w:rsidRPr="0016050B" w14:paraId="2189E38D" w14:textId="77777777" w:rsidTr="00861F86">
        <w:tc>
          <w:tcPr>
            <w:tcW w:w="539" w:type="pct"/>
            <w:vMerge/>
            <w:vAlign w:val="center"/>
          </w:tcPr>
          <w:p w14:paraId="0E538CB0" w14:textId="77777777" w:rsidR="00CE2B23" w:rsidRPr="000F086B" w:rsidRDefault="00CE2B23" w:rsidP="00861F86">
            <w:pPr>
              <w:rPr>
                <w:rFonts w:cstheme="minorHAnsi"/>
                <w:b/>
                <w:color w:val="4472C4" w:themeColor="accent5"/>
                <w:sz w:val="20"/>
                <w:szCs w:val="20"/>
                <w:lang w:val="en-US"/>
              </w:rPr>
            </w:pPr>
          </w:p>
        </w:tc>
        <w:tc>
          <w:tcPr>
            <w:tcW w:w="646" w:type="pct"/>
            <w:vMerge w:val="restart"/>
            <w:vAlign w:val="center"/>
          </w:tcPr>
          <w:p w14:paraId="3648F0B0" w14:textId="77777777" w:rsidR="00CE2B23" w:rsidRPr="000F086B" w:rsidRDefault="00CE2B23" w:rsidP="00861F86">
            <w:pPr>
              <w:rPr>
                <w:rFonts w:cstheme="minorHAnsi"/>
                <w:b/>
                <w:sz w:val="20"/>
                <w:szCs w:val="20"/>
                <w:lang w:val="en-US"/>
              </w:rPr>
            </w:pPr>
            <w:r w:rsidRPr="000F086B">
              <w:rPr>
                <w:rFonts w:cstheme="minorHAnsi"/>
                <w:b/>
                <w:sz w:val="20"/>
                <w:szCs w:val="20"/>
                <w:lang w:val="en-US"/>
              </w:rPr>
              <w:t>Delphi variant and modifications</w:t>
            </w:r>
          </w:p>
        </w:tc>
        <w:tc>
          <w:tcPr>
            <w:tcW w:w="294" w:type="pct"/>
            <w:vAlign w:val="center"/>
          </w:tcPr>
          <w:p w14:paraId="274664FC" w14:textId="77777777" w:rsidR="00CE2B23" w:rsidRPr="000F086B" w:rsidRDefault="00CE2B23" w:rsidP="00861F86">
            <w:pPr>
              <w:rPr>
                <w:rFonts w:cstheme="minorHAnsi"/>
                <w:sz w:val="20"/>
                <w:szCs w:val="20"/>
                <w:lang w:val="en-US"/>
              </w:rPr>
            </w:pPr>
            <w:r w:rsidRPr="000F086B">
              <w:rPr>
                <w:rFonts w:cstheme="minorHAnsi"/>
                <w:sz w:val="20"/>
                <w:szCs w:val="20"/>
                <w:lang w:val="en-US"/>
              </w:rPr>
              <w:t>14</w:t>
            </w:r>
          </w:p>
        </w:tc>
        <w:tc>
          <w:tcPr>
            <w:tcW w:w="1344" w:type="pct"/>
            <w:tcBorders>
              <w:top w:val="single" w:sz="4" w:space="0" w:color="auto"/>
            </w:tcBorders>
            <w:vAlign w:val="center"/>
          </w:tcPr>
          <w:p w14:paraId="529CD13E" w14:textId="77777777" w:rsidR="00CE2B23" w:rsidRPr="000F086B" w:rsidRDefault="00CE2B23" w:rsidP="00861F86">
            <w:pPr>
              <w:rPr>
                <w:rFonts w:cstheme="minorHAnsi"/>
                <w:sz w:val="20"/>
                <w:szCs w:val="20"/>
                <w:lang w:val="en-US"/>
              </w:rPr>
            </w:pPr>
            <w:r w:rsidRPr="000F086B">
              <w:rPr>
                <w:rFonts w:cstheme="minorHAnsi"/>
                <w:sz w:val="20"/>
                <w:szCs w:val="20"/>
                <w:lang w:val="en-US"/>
              </w:rPr>
              <w:t xml:space="preserve">Identification of the type of Delphi </w:t>
            </w:r>
            <w:r>
              <w:rPr>
                <w:rFonts w:cstheme="minorHAnsi"/>
                <w:sz w:val="20"/>
                <w:szCs w:val="20"/>
                <w:lang w:val="en-US"/>
              </w:rPr>
              <w:t>variant</w:t>
            </w:r>
            <w:r w:rsidRPr="000F086B">
              <w:rPr>
                <w:rFonts w:cstheme="minorHAnsi"/>
                <w:sz w:val="20"/>
                <w:szCs w:val="20"/>
                <w:lang w:val="en-US"/>
              </w:rPr>
              <w:t xml:space="preserve"> and potential modifications (e.g., classic Delphi, real-time Delphi, group Delphi)</w:t>
            </w:r>
          </w:p>
        </w:tc>
        <w:tc>
          <w:tcPr>
            <w:tcW w:w="457" w:type="pct"/>
            <w:tcBorders>
              <w:top w:val="single" w:sz="4" w:space="0" w:color="auto"/>
            </w:tcBorders>
            <w:vAlign w:val="center"/>
          </w:tcPr>
          <w:p w14:paraId="65140C1E" w14:textId="77777777" w:rsidR="00CE2B23" w:rsidRPr="000F086B" w:rsidRDefault="00CE2B23" w:rsidP="00861F86">
            <w:pPr>
              <w:rPr>
                <w:rFonts w:cstheme="minorHAnsi"/>
                <w:sz w:val="20"/>
                <w:szCs w:val="20"/>
                <w:lang w:val="en-US"/>
              </w:rPr>
            </w:pPr>
            <w:r>
              <w:rPr>
                <w:rFonts w:cstheme="minorHAnsi"/>
                <w:sz w:val="20"/>
                <w:szCs w:val="20"/>
                <w:lang w:val="en-US"/>
              </w:rPr>
              <w:t>Pag. 5</w:t>
            </w:r>
          </w:p>
        </w:tc>
        <w:tc>
          <w:tcPr>
            <w:tcW w:w="1720" w:type="pct"/>
            <w:tcBorders>
              <w:top w:val="single" w:sz="4" w:space="0" w:color="auto"/>
            </w:tcBorders>
            <w:vAlign w:val="center"/>
          </w:tcPr>
          <w:p w14:paraId="4D21B782" w14:textId="77777777" w:rsidR="00CE2B23" w:rsidRPr="000F086B" w:rsidRDefault="00CE2B23" w:rsidP="00861F86">
            <w:pPr>
              <w:rPr>
                <w:rFonts w:cstheme="minorHAnsi"/>
                <w:sz w:val="20"/>
                <w:szCs w:val="20"/>
                <w:lang w:val="en-US"/>
              </w:rPr>
            </w:pPr>
            <w:r w:rsidRPr="000F086B">
              <w:rPr>
                <w:rFonts w:cstheme="minorHAnsi"/>
                <w:sz w:val="20"/>
                <w:szCs w:val="20"/>
                <w:lang w:val="en-US"/>
              </w:rPr>
              <w:t>A classic Delphi study was used [LITERATURE REFERENCE].</w:t>
            </w:r>
          </w:p>
        </w:tc>
      </w:tr>
      <w:tr w:rsidR="00CE2B23" w:rsidRPr="0016050B" w14:paraId="1EDF1DCF" w14:textId="77777777" w:rsidTr="00861F86">
        <w:tc>
          <w:tcPr>
            <w:tcW w:w="539" w:type="pct"/>
            <w:vMerge/>
            <w:vAlign w:val="center"/>
          </w:tcPr>
          <w:p w14:paraId="41EB4C39"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7AD802CA" w14:textId="77777777" w:rsidR="00CE2B23" w:rsidRPr="000F086B" w:rsidRDefault="00CE2B23" w:rsidP="00861F86">
            <w:pPr>
              <w:rPr>
                <w:rFonts w:cstheme="minorHAnsi"/>
                <w:b/>
                <w:sz w:val="20"/>
                <w:szCs w:val="20"/>
                <w:lang w:val="en-US"/>
              </w:rPr>
            </w:pPr>
          </w:p>
        </w:tc>
        <w:tc>
          <w:tcPr>
            <w:tcW w:w="294" w:type="pct"/>
            <w:vAlign w:val="center"/>
          </w:tcPr>
          <w:p w14:paraId="4BF008A7" w14:textId="77777777" w:rsidR="00CE2B23" w:rsidRPr="000F086B" w:rsidRDefault="00CE2B23" w:rsidP="00861F86">
            <w:pPr>
              <w:rPr>
                <w:rFonts w:cstheme="minorHAnsi"/>
                <w:sz w:val="20"/>
                <w:szCs w:val="20"/>
                <w:lang w:val="en-US"/>
              </w:rPr>
            </w:pPr>
            <w:r w:rsidRPr="000F086B">
              <w:rPr>
                <w:rFonts w:cstheme="minorHAnsi"/>
                <w:sz w:val="20"/>
                <w:szCs w:val="20"/>
                <w:lang w:val="en-US"/>
              </w:rPr>
              <w:t>15</w:t>
            </w:r>
          </w:p>
        </w:tc>
        <w:tc>
          <w:tcPr>
            <w:tcW w:w="1344" w:type="pct"/>
            <w:tcBorders>
              <w:bottom w:val="single" w:sz="12" w:space="0" w:color="auto"/>
            </w:tcBorders>
            <w:vAlign w:val="center"/>
          </w:tcPr>
          <w:p w14:paraId="5288BF84" w14:textId="77777777" w:rsidR="00CE2B23" w:rsidRPr="000F086B" w:rsidRDefault="00CE2B23" w:rsidP="00861F86">
            <w:pPr>
              <w:rPr>
                <w:rFonts w:cstheme="minorHAnsi"/>
                <w:sz w:val="20"/>
                <w:szCs w:val="20"/>
                <w:lang w:val="en-US"/>
              </w:rPr>
            </w:pPr>
            <w:r w:rsidRPr="000F086B">
              <w:rPr>
                <w:rFonts w:cstheme="minorHAnsi"/>
                <w:sz w:val="20"/>
                <w:szCs w:val="20"/>
                <w:lang w:val="en-US"/>
              </w:rPr>
              <w:t>Justification of the Delphi variant and modifications, including during the Delphi study, if applicable</w:t>
            </w:r>
          </w:p>
        </w:tc>
        <w:tc>
          <w:tcPr>
            <w:tcW w:w="457" w:type="pct"/>
            <w:tcBorders>
              <w:bottom w:val="single" w:sz="12" w:space="0" w:color="auto"/>
            </w:tcBorders>
            <w:vAlign w:val="center"/>
          </w:tcPr>
          <w:p w14:paraId="6328046A" w14:textId="77777777" w:rsidR="00CE2B23" w:rsidRPr="000F086B" w:rsidRDefault="00CE2B23" w:rsidP="00861F86">
            <w:pPr>
              <w:rPr>
                <w:rFonts w:cstheme="minorHAnsi"/>
                <w:sz w:val="20"/>
                <w:szCs w:val="20"/>
                <w:lang w:val="en-US"/>
              </w:rPr>
            </w:pPr>
            <w:r>
              <w:rPr>
                <w:rFonts w:cstheme="minorHAnsi"/>
                <w:sz w:val="20"/>
                <w:szCs w:val="20"/>
                <w:lang w:val="en-US"/>
              </w:rPr>
              <w:t>NA</w:t>
            </w:r>
          </w:p>
        </w:tc>
        <w:tc>
          <w:tcPr>
            <w:tcW w:w="1720" w:type="pct"/>
            <w:tcBorders>
              <w:bottom w:val="single" w:sz="12" w:space="0" w:color="auto"/>
            </w:tcBorders>
            <w:vAlign w:val="center"/>
          </w:tcPr>
          <w:p w14:paraId="113E5211" w14:textId="77777777" w:rsidR="00CE2B23" w:rsidRPr="000F086B" w:rsidRDefault="00CE2B23" w:rsidP="00861F86">
            <w:pPr>
              <w:rPr>
                <w:rFonts w:cstheme="minorHAnsi"/>
                <w:sz w:val="20"/>
                <w:szCs w:val="20"/>
                <w:lang w:val="en-US"/>
              </w:rPr>
            </w:pPr>
            <w:r w:rsidRPr="000F086B">
              <w:rPr>
                <w:rFonts w:cstheme="minorHAnsi"/>
                <w:sz w:val="20"/>
                <w:szCs w:val="20"/>
                <w:lang w:val="en-US"/>
              </w:rPr>
              <w:t>If the willingness to participate clearly decreases between the first and second round, a third round will not be held.</w:t>
            </w:r>
          </w:p>
        </w:tc>
      </w:tr>
      <w:tr w:rsidR="00CE2B23" w:rsidRPr="0016050B" w14:paraId="4D865C49" w14:textId="77777777" w:rsidTr="00861F86">
        <w:tc>
          <w:tcPr>
            <w:tcW w:w="539" w:type="pct"/>
            <w:vMerge/>
            <w:vAlign w:val="center"/>
          </w:tcPr>
          <w:p w14:paraId="70875A8C" w14:textId="77777777" w:rsidR="00CE2B23" w:rsidRPr="000F086B" w:rsidRDefault="00CE2B23" w:rsidP="00861F86">
            <w:pPr>
              <w:rPr>
                <w:rFonts w:cstheme="minorHAnsi"/>
                <w:b/>
                <w:color w:val="4472C4" w:themeColor="accent5"/>
                <w:sz w:val="20"/>
                <w:szCs w:val="20"/>
                <w:lang w:val="en-US"/>
              </w:rPr>
            </w:pPr>
          </w:p>
        </w:tc>
        <w:tc>
          <w:tcPr>
            <w:tcW w:w="646" w:type="pct"/>
            <w:vMerge w:val="restart"/>
            <w:vAlign w:val="center"/>
          </w:tcPr>
          <w:p w14:paraId="13A9B096" w14:textId="77777777" w:rsidR="00CE2B23" w:rsidRPr="000F086B" w:rsidRDefault="00CE2B23" w:rsidP="00861F86">
            <w:pPr>
              <w:keepNext/>
              <w:keepLines/>
              <w:rPr>
                <w:rFonts w:cstheme="minorHAnsi"/>
                <w:b/>
                <w:sz w:val="20"/>
                <w:szCs w:val="20"/>
                <w:lang w:val="en-US"/>
              </w:rPr>
            </w:pPr>
            <w:r w:rsidRPr="000F086B">
              <w:rPr>
                <w:rFonts w:cstheme="minorHAnsi"/>
                <w:b/>
                <w:sz w:val="20"/>
                <w:szCs w:val="20"/>
                <w:lang w:val="en-US"/>
              </w:rPr>
              <w:t>Sample of experts</w:t>
            </w:r>
          </w:p>
        </w:tc>
        <w:tc>
          <w:tcPr>
            <w:tcW w:w="294" w:type="pct"/>
            <w:vAlign w:val="center"/>
          </w:tcPr>
          <w:p w14:paraId="6FE82A8E" w14:textId="77777777" w:rsidR="00CE2B23" w:rsidRPr="000F086B" w:rsidRDefault="00CE2B23" w:rsidP="00861F86">
            <w:pPr>
              <w:keepNext/>
              <w:keepLines/>
              <w:rPr>
                <w:rFonts w:cstheme="minorHAnsi"/>
                <w:sz w:val="20"/>
                <w:szCs w:val="20"/>
                <w:lang w:val="en-US"/>
              </w:rPr>
            </w:pPr>
            <w:r w:rsidRPr="000F086B">
              <w:rPr>
                <w:rFonts w:cstheme="minorHAnsi"/>
                <w:sz w:val="20"/>
                <w:szCs w:val="20"/>
                <w:lang w:val="en-US"/>
              </w:rPr>
              <w:t>16</w:t>
            </w:r>
          </w:p>
        </w:tc>
        <w:tc>
          <w:tcPr>
            <w:tcW w:w="1344" w:type="pct"/>
            <w:tcBorders>
              <w:top w:val="single" w:sz="12" w:space="0" w:color="auto"/>
            </w:tcBorders>
            <w:vAlign w:val="center"/>
          </w:tcPr>
          <w:p w14:paraId="38B56F0A" w14:textId="77777777" w:rsidR="00CE2B23" w:rsidRPr="000F086B" w:rsidRDefault="00CE2B23" w:rsidP="00861F86">
            <w:pPr>
              <w:keepNext/>
              <w:keepLines/>
              <w:rPr>
                <w:rFonts w:cstheme="minorHAnsi"/>
                <w:sz w:val="20"/>
                <w:szCs w:val="20"/>
                <w:lang w:val="en-US"/>
              </w:rPr>
            </w:pPr>
            <w:r w:rsidRPr="000F086B">
              <w:rPr>
                <w:rFonts w:cstheme="minorHAnsi"/>
                <w:sz w:val="20"/>
                <w:szCs w:val="20"/>
                <w:lang w:val="en-US"/>
              </w:rPr>
              <w:t>Selection criteria for the experts (per round</w:t>
            </w:r>
            <w:r w:rsidRPr="00D669C3">
              <w:rPr>
                <w:rFonts w:cstheme="minorHAnsi"/>
                <w:sz w:val="20"/>
                <w:szCs w:val="20"/>
                <w:lang w:val="en-US"/>
              </w:rPr>
              <w:t>, per expert group if applicable</w:t>
            </w:r>
            <w:r w:rsidRPr="000F086B">
              <w:rPr>
                <w:rFonts w:cstheme="minorHAnsi"/>
                <w:sz w:val="20"/>
                <w:szCs w:val="20"/>
                <w:lang w:val="en-US"/>
              </w:rPr>
              <w:t>)</w:t>
            </w:r>
          </w:p>
        </w:tc>
        <w:tc>
          <w:tcPr>
            <w:tcW w:w="457" w:type="pct"/>
            <w:tcBorders>
              <w:top w:val="single" w:sz="12" w:space="0" w:color="auto"/>
            </w:tcBorders>
            <w:vAlign w:val="center"/>
          </w:tcPr>
          <w:p w14:paraId="2371AA60" w14:textId="77777777" w:rsidR="00CE2B23" w:rsidRPr="000F086B" w:rsidRDefault="00CE2B23" w:rsidP="00861F86">
            <w:pPr>
              <w:keepNext/>
              <w:keepLines/>
              <w:rPr>
                <w:rFonts w:cstheme="minorHAnsi"/>
                <w:sz w:val="20"/>
                <w:szCs w:val="20"/>
                <w:lang w:val="en-US"/>
              </w:rPr>
            </w:pPr>
            <w:r>
              <w:rPr>
                <w:rFonts w:cstheme="minorHAnsi"/>
                <w:sz w:val="20"/>
                <w:szCs w:val="20"/>
                <w:lang w:val="en-US"/>
              </w:rPr>
              <w:t>Pag. 5</w:t>
            </w:r>
          </w:p>
        </w:tc>
        <w:tc>
          <w:tcPr>
            <w:tcW w:w="1720" w:type="pct"/>
            <w:tcBorders>
              <w:top w:val="single" w:sz="12" w:space="0" w:color="auto"/>
            </w:tcBorders>
            <w:vAlign w:val="center"/>
          </w:tcPr>
          <w:p w14:paraId="5AA1F340" w14:textId="77777777" w:rsidR="00CE2B23" w:rsidRPr="000F086B" w:rsidRDefault="00CE2B23" w:rsidP="00861F86">
            <w:pPr>
              <w:keepNext/>
              <w:keepLines/>
              <w:rPr>
                <w:rFonts w:cstheme="minorHAnsi"/>
                <w:sz w:val="20"/>
                <w:szCs w:val="20"/>
                <w:lang w:val="en-US"/>
              </w:rPr>
            </w:pPr>
            <w:r w:rsidRPr="000F086B">
              <w:rPr>
                <w:rFonts w:cstheme="minorHAnsi"/>
                <w:sz w:val="20"/>
                <w:szCs w:val="20"/>
                <w:lang w:val="en-US"/>
              </w:rPr>
              <w:t>All of the experts who met the definition were invited to the first round.</w:t>
            </w:r>
          </w:p>
          <w:p w14:paraId="11FDB7F1" w14:textId="77777777" w:rsidR="00CE2B23" w:rsidRPr="000F086B" w:rsidRDefault="00CE2B23" w:rsidP="00861F86">
            <w:pPr>
              <w:keepNext/>
              <w:keepLines/>
              <w:rPr>
                <w:rFonts w:cstheme="minorHAnsi"/>
                <w:sz w:val="20"/>
                <w:szCs w:val="20"/>
                <w:lang w:val="en-US"/>
              </w:rPr>
            </w:pPr>
            <w:r w:rsidRPr="000F086B">
              <w:rPr>
                <w:rFonts w:cstheme="minorHAnsi"/>
                <w:sz w:val="20"/>
                <w:szCs w:val="20"/>
                <w:lang w:val="en-US"/>
              </w:rPr>
              <w:t>All of the experts who completed the previous round were invited to participate in the subsequent round.</w:t>
            </w:r>
          </w:p>
        </w:tc>
      </w:tr>
      <w:tr w:rsidR="00CE2B23" w:rsidRPr="0016050B" w14:paraId="6A34274B" w14:textId="77777777" w:rsidTr="00861F86">
        <w:tc>
          <w:tcPr>
            <w:tcW w:w="539" w:type="pct"/>
            <w:vMerge/>
            <w:vAlign w:val="center"/>
          </w:tcPr>
          <w:p w14:paraId="368F3E27"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30502BA5" w14:textId="77777777" w:rsidR="00CE2B23" w:rsidRPr="000F086B" w:rsidRDefault="00CE2B23" w:rsidP="00861F86">
            <w:pPr>
              <w:rPr>
                <w:rFonts w:cstheme="minorHAnsi"/>
                <w:b/>
                <w:sz w:val="20"/>
                <w:szCs w:val="20"/>
                <w:lang w:val="en-US"/>
              </w:rPr>
            </w:pPr>
          </w:p>
        </w:tc>
        <w:tc>
          <w:tcPr>
            <w:tcW w:w="294" w:type="pct"/>
            <w:vAlign w:val="center"/>
          </w:tcPr>
          <w:p w14:paraId="0EA72BBE" w14:textId="77777777" w:rsidR="00CE2B23" w:rsidRPr="000F086B" w:rsidRDefault="00CE2B23" w:rsidP="00861F86">
            <w:pPr>
              <w:rPr>
                <w:rFonts w:cstheme="minorHAnsi"/>
                <w:sz w:val="20"/>
                <w:szCs w:val="20"/>
                <w:lang w:val="en-US"/>
              </w:rPr>
            </w:pPr>
            <w:r w:rsidRPr="000F086B">
              <w:rPr>
                <w:rFonts w:cstheme="minorHAnsi"/>
                <w:sz w:val="20"/>
                <w:szCs w:val="20"/>
                <w:lang w:val="en-US"/>
              </w:rPr>
              <w:t>17</w:t>
            </w:r>
          </w:p>
        </w:tc>
        <w:tc>
          <w:tcPr>
            <w:tcW w:w="1344" w:type="pct"/>
            <w:vAlign w:val="center"/>
          </w:tcPr>
          <w:p w14:paraId="3E45C07C" w14:textId="77777777" w:rsidR="00CE2B23" w:rsidRPr="000F086B" w:rsidRDefault="00CE2B23" w:rsidP="00861F86">
            <w:pPr>
              <w:rPr>
                <w:rFonts w:cstheme="minorHAnsi"/>
                <w:sz w:val="20"/>
                <w:szCs w:val="20"/>
                <w:lang w:val="en-US"/>
              </w:rPr>
            </w:pPr>
            <w:r w:rsidRPr="000F086B">
              <w:rPr>
                <w:rFonts w:cstheme="minorHAnsi"/>
                <w:sz w:val="20"/>
                <w:szCs w:val="20"/>
                <w:lang w:val="en-US"/>
              </w:rPr>
              <w:t>Identification of the experts</w:t>
            </w:r>
          </w:p>
        </w:tc>
        <w:tc>
          <w:tcPr>
            <w:tcW w:w="457" w:type="pct"/>
            <w:vAlign w:val="center"/>
          </w:tcPr>
          <w:p w14:paraId="14F63230" w14:textId="77777777" w:rsidR="00CE2B23" w:rsidRPr="000F086B" w:rsidRDefault="00CE2B23" w:rsidP="00861F86">
            <w:pPr>
              <w:rPr>
                <w:rFonts w:cstheme="minorHAnsi"/>
                <w:sz w:val="20"/>
                <w:szCs w:val="20"/>
                <w:lang w:val="en-US"/>
              </w:rPr>
            </w:pPr>
            <w:r>
              <w:rPr>
                <w:rFonts w:cstheme="minorHAnsi"/>
                <w:sz w:val="20"/>
                <w:szCs w:val="20"/>
                <w:lang w:val="en-US"/>
              </w:rPr>
              <w:t>Pag 4-5</w:t>
            </w:r>
          </w:p>
        </w:tc>
        <w:tc>
          <w:tcPr>
            <w:tcW w:w="1720" w:type="pct"/>
            <w:vAlign w:val="center"/>
          </w:tcPr>
          <w:p w14:paraId="43F00672" w14:textId="77777777" w:rsidR="00CE2B23" w:rsidRPr="000F086B" w:rsidRDefault="00CE2B23" w:rsidP="00861F86">
            <w:pPr>
              <w:rPr>
                <w:rFonts w:cstheme="minorHAnsi"/>
                <w:sz w:val="20"/>
                <w:szCs w:val="20"/>
                <w:lang w:val="en-US"/>
              </w:rPr>
            </w:pPr>
            <w:r w:rsidRPr="000F086B">
              <w:rPr>
                <w:rFonts w:cstheme="minorHAnsi"/>
                <w:sz w:val="20"/>
                <w:szCs w:val="20"/>
                <w:lang w:val="en-US"/>
              </w:rPr>
              <w:t>The experts were identified based on publications in [DATABASE].</w:t>
            </w:r>
          </w:p>
        </w:tc>
      </w:tr>
      <w:tr w:rsidR="00CE2B23" w:rsidRPr="0016050B" w14:paraId="0305761B" w14:textId="77777777" w:rsidTr="00861F86">
        <w:tc>
          <w:tcPr>
            <w:tcW w:w="539" w:type="pct"/>
            <w:vMerge/>
            <w:vAlign w:val="center"/>
          </w:tcPr>
          <w:p w14:paraId="6DD446F4"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03B2EF43" w14:textId="77777777" w:rsidR="00CE2B23" w:rsidRPr="000F086B" w:rsidRDefault="00CE2B23" w:rsidP="00861F86">
            <w:pPr>
              <w:rPr>
                <w:rFonts w:cstheme="minorHAnsi"/>
                <w:b/>
                <w:sz w:val="20"/>
                <w:szCs w:val="20"/>
                <w:lang w:val="en-US"/>
              </w:rPr>
            </w:pPr>
          </w:p>
        </w:tc>
        <w:tc>
          <w:tcPr>
            <w:tcW w:w="294" w:type="pct"/>
            <w:vAlign w:val="center"/>
          </w:tcPr>
          <w:p w14:paraId="0291911F"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18</w:t>
            </w:r>
          </w:p>
        </w:tc>
        <w:tc>
          <w:tcPr>
            <w:tcW w:w="1344" w:type="pct"/>
            <w:vAlign w:val="center"/>
          </w:tcPr>
          <w:p w14:paraId="2578F315"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Information about recruiting and any subsequent recruiting of experts</w:t>
            </w:r>
          </w:p>
        </w:tc>
        <w:tc>
          <w:tcPr>
            <w:tcW w:w="457" w:type="pct"/>
            <w:vAlign w:val="center"/>
          </w:tcPr>
          <w:p w14:paraId="2C12358A" w14:textId="77777777" w:rsidR="00CE2B23" w:rsidRPr="000F086B" w:rsidRDefault="00CE2B23" w:rsidP="00861F86">
            <w:pPr>
              <w:keepLines/>
              <w:rPr>
                <w:rFonts w:cstheme="minorHAnsi"/>
                <w:sz w:val="20"/>
                <w:szCs w:val="20"/>
                <w:lang w:val="en-US"/>
              </w:rPr>
            </w:pPr>
            <w:r>
              <w:rPr>
                <w:rFonts w:cstheme="minorHAnsi"/>
                <w:sz w:val="20"/>
                <w:szCs w:val="20"/>
                <w:lang w:val="en-US"/>
              </w:rPr>
              <w:t>Pag. 5</w:t>
            </w:r>
          </w:p>
        </w:tc>
        <w:tc>
          <w:tcPr>
            <w:tcW w:w="1720" w:type="pct"/>
            <w:vAlign w:val="center"/>
          </w:tcPr>
          <w:p w14:paraId="519CAF7F"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The experts were informed about the Delphi study and invited to participate.</w:t>
            </w:r>
          </w:p>
        </w:tc>
      </w:tr>
      <w:tr w:rsidR="00CE2B23" w:rsidRPr="0016050B" w14:paraId="447F04EF" w14:textId="77777777" w:rsidTr="00861F86">
        <w:tc>
          <w:tcPr>
            <w:tcW w:w="539" w:type="pct"/>
            <w:vMerge/>
            <w:vAlign w:val="center"/>
          </w:tcPr>
          <w:p w14:paraId="03908A8E" w14:textId="77777777" w:rsidR="00CE2B23" w:rsidRPr="000F086B" w:rsidRDefault="00CE2B23" w:rsidP="00861F86">
            <w:pPr>
              <w:rPr>
                <w:rFonts w:cstheme="minorHAnsi"/>
                <w:b/>
                <w:color w:val="4472C4" w:themeColor="accent5"/>
                <w:sz w:val="20"/>
                <w:szCs w:val="20"/>
                <w:lang w:val="en-US"/>
              </w:rPr>
            </w:pPr>
          </w:p>
        </w:tc>
        <w:tc>
          <w:tcPr>
            <w:tcW w:w="646" w:type="pct"/>
            <w:vMerge w:val="restart"/>
            <w:tcBorders>
              <w:top w:val="nil"/>
            </w:tcBorders>
            <w:vAlign w:val="center"/>
          </w:tcPr>
          <w:p w14:paraId="5B202B86" w14:textId="77777777" w:rsidR="00CE2B23" w:rsidRPr="000F086B" w:rsidRDefault="00CE2B23" w:rsidP="00861F86">
            <w:pPr>
              <w:rPr>
                <w:rFonts w:cstheme="minorHAnsi"/>
                <w:b/>
                <w:sz w:val="20"/>
                <w:szCs w:val="20"/>
                <w:lang w:val="en-US"/>
              </w:rPr>
            </w:pPr>
            <w:r w:rsidRPr="000F086B">
              <w:rPr>
                <w:rFonts w:cstheme="minorHAnsi"/>
                <w:b/>
                <w:sz w:val="20"/>
                <w:szCs w:val="20"/>
                <w:lang w:val="en-US"/>
              </w:rPr>
              <w:t>Survey</w:t>
            </w:r>
          </w:p>
        </w:tc>
        <w:tc>
          <w:tcPr>
            <w:tcW w:w="294" w:type="pct"/>
            <w:vAlign w:val="center"/>
          </w:tcPr>
          <w:p w14:paraId="7C329E84" w14:textId="77777777" w:rsidR="00CE2B23" w:rsidRPr="000F086B" w:rsidRDefault="00CE2B23" w:rsidP="00861F86">
            <w:pPr>
              <w:rPr>
                <w:rFonts w:cstheme="minorHAnsi"/>
                <w:sz w:val="20"/>
                <w:szCs w:val="20"/>
                <w:lang w:val="en-US"/>
              </w:rPr>
            </w:pPr>
            <w:r w:rsidRPr="000F086B">
              <w:rPr>
                <w:rFonts w:cstheme="minorHAnsi"/>
                <w:sz w:val="20"/>
                <w:szCs w:val="20"/>
                <w:lang w:val="en-US"/>
              </w:rPr>
              <w:t>19</w:t>
            </w:r>
          </w:p>
        </w:tc>
        <w:tc>
          <w:tcPr>
            <w:tcW w:w="1344" w:type="pct"/>
            <w:tcBorders>
              <w:top w:val="single" w:sz="12" w:space="0" w:color="auto"/>
            </w:tcBorders>
            <w:vAlign w:val="center"/>
          </w:tcPr>
          <w:p w14:paraId="3CF81F9F" w14:textId="77777777" w:rsidR="00CE2B23" w:rsidRPr="000F086B" w:rsidRDefault="00CE2B23" w:rsidP="00861F86">
            <w:pPr>
              <w:rPr>
                <w:rFonts w:cstheme="minorHAnsi"/>
                <w:sz w:val="20"/>
                <w:szCs w:val="20"/>
                <w:lang w:val="en-US"/>
              </w:rPr>
            </w:pPr>
            <w:r w:rsidRPr="000F086B">
              <w:rPr>
                <w:rFonts w:cstheme="minorHAnsi"/>
                <w:sz w:val="20"/>
                <w:szCs w:val="20"/>
                <w:lang w:val="en-US"/>
              </w:rPr>
              <w:t>Elucidation of the content development for the questionnaire</w:t>
            </w:r>
            <w:r w:rsidRPr="000F086B">
              <w:rPr>
                <w:rFonts w:cstheme="minorHAnsi"/>
                <w:sz w:val="20"/>
                <w:szCs w:val="20"/>
                <w:vertAlign w:val="superscript"/>
                <w:lang w:val="en-US"/>
              </w:rPr>
              <w:t>2</w:t>
            </w:r>
            <w:r w:rsidRPr="000F086B">
              <w:rPr>
                <w:rFonts w:cstheme="minorHAnsi"/>
                <w:sz w:val="20"/>
                <w:szCs w:val="20"/>
                <w:lang w:val="en-US"/>
              </w:rPr>
              <w:t xml:space="preserve"> </w:t>
            </w:r>
          </w:p>
        </w:tc>
        <w:tc>
          <w:tcPr>
            <w:tcW w:w="457" w:type="pct"/>
            <w:tcBorders>
              <w:top w:val="single" w:sz="12" w:space="0" w:color="auto"/>
            </w:tcBorders>
            <w:vAlign w:val="center"/>
          </w:tcPr>
          <w:p w14:paraId="15E1DF5F" w14:textId="77777777" w:rsidR="00CE2B23" w:rsidRPr="000F086B" w:rsidRDefault="00CE2B23" w:rsidP="00861F86">
            <w:pPr>
              <w:rPr>
                <w:rFonts w:cstheme="minorHAnsi"/>
                <w:sz w:val="20"/>
                <w:szCs w:val="20"/>
                <w:lang w:val="en-US"/>
              </w:rPr>
            </w:pPr>
            <w:r>
              <w:rPr>
                <w:rFonts w:cstheme="minorHAnsi"/>
                <w:sz w:val="20"/>
                <w:szCs w:val="20"/>
                <w:lang w:val="en-US"/>
              </w:rPr>
              <w:t>Pag. 5</w:t>
            </w:r>
          </w:p>
        </w:tc>
        <w:tc>
          <w:tcPr>
            <w:tcW w:w="1720" w:type="pct"/>
            <w:tcBorders>
              <w:top w:val="single" w:sz="12" w:space="0" w:color="auto"/>
            </w:tcBorders>
            <w:vAlign w:val="center"/>
          </w:tcPr>
          <w:p w14:paraId="1542F35D" w14:textId="77777777" w:rsidR="00CE2B23" w:rsidRPr="000F086B" w:rsidRDefault="00CE2B23" w:rsidP="00861F86">
            <w:pPr>
              <w:rPr>
                <w:rFonts w:cstheme="minorHAnsi"/>
                <w:sz w:val="20"/>
                <w:szCs w:val="20"/>
                <w:lang w:val="en-US"/>
              </w:rPr>
            </w:pPr>
            <w:r w:rsidRPr="000F086B">
              <w:rPr>
                <w:rFonts w:cstheme="minorHAnsi"/>
                <w:sz w:val="20"/>
                <w:szCs w:val="20"/>
                <w:lang w:val="en-US"/>
              </w:rPr>
              <w:t>The questionnaire was developed based on the results of systematic reviews [LITERATURE REFERENCE].</w:t>
            </w:r>
          </w:p>
        </w:tc>
      </w:tr>
      <w:tr w:rsidR="00CE2B23" w:rsidRPr="0016050B" w14:paraId="60F08A86" w14:textId="77777777" w:rsidTr="00861F86">
        <w:tc>
          <w:tcPr>
            <w:tcW w:w="539" w:type="pct"/>
            <w:vMerge/>
            <w:vAlign w:val="center"/>
          </w:tcPr>
          <w:p w14:paraId="57ED2FF8" w14:textId="77777777" w:rsidR="00CE2B23" w:rsidRPr="000F086B" w:rsidRDefault="00CE2B23" w:rsidP="00861F86">
            <w:pPr>
              <w:rPr>
                <w:rFonts w:cstheme="minorHAnsi"/>
                <w:b/>
                <w:color w:val="4472C4" w:themeColor="accent5"/>
                <w:sz w:val="20"/>
                <w:szCs w:val="20"/>
                <w:lang w:val="en-US"/>
              </w:rPr>
            </w:pPr>
          </w:p>
        </w:tc>
        <w:tc>
          <w:tcPr>
            <w:tcW w:w="646" w:type="pct"/>
            <w:vMerge/>
            <w:tcBorders>
              <w:top w:val="nil"/>
            </w:tcBorders>
            <w:vAlign w:val="center"/>
          </w:tcPr>
          <w:p w14:paraId="4156338E" w14:textId="77777777" w:rsidR="00CE2B23" w:rsidRPr="000F086B" w:rsidRDefault="00CE2B23" w:rsidP="00861F86">
            <w:pPr>
              <w:rPr>
                <w:rFonts w:cstheme="minorHAnsi"/>
                <w:b/>
                <w:sz w:val="20"/>
                <w:szCs w:val="20"/>
                <w:lang w:val="en-US"/>
              </w:rPr>
            </w:pPr>
          </w:p>
        </w:tc>
        <w:tc>
          <w:tcPr>
            <w:tcW w:w="294" w:type="pct"/>
            <w:vAlign w:val="center"/>
          </w:tcPr>
          <w:p w14:paraId="2304AF18" w14:textId="77777777" w:rsidR="00CE2B23" w:rsidRPr="000F086B" w:rsidRDefault="00CE2B23" w:rsidP="00861F86">
            <w:pPr>
              <w:rPr>
                <w:rFonts w:cstheme="minorHAnsi"/>
                <w:sz w:val="20"/>
                <w:szCs w:val="20"/>
                <w:lang w:val="en-US"/>
              </w:rPr>
            </w:pPr>
            <w:r w:rsidRPr="000F086B">
              <w:rPr>
                <w:rFonts w:cstheme="minorHAnsi"/>
                <w:sz w:val="20"/>
                <w:szCs w:val="20"/>
                <w:lang w:val="en-US"/>
              </w:rPr>
              <w:t>20</w:t>
            </w:r>
          </w:p>
        </w:tc>
        <w:tc>
          <w:tcPr>
            <w:tcW w:w="1344" w:type="pct"/>
            <w:vAlign w:val="center"/>
          </w:tcPr>
          <w:p w14:paraId="05BE03C3" w14:textId="77777777" w:rsidR="00CE2B23" w:rsidRPr="000F086B" w:rsidRDefault="00CE2B23" w:rsidP="00861F86">
            <w:pPr>
              <w:rPr>
                <w:rFonts w:cstheme="minorHAnsi"/>
                <w:sz w:val="20"/>
                <w:szCs w:val="20"/>
                <w:lang w:val="en-US"/>
              </w:rPr>
            </w:pPr>
            <w:r w:rsidRPr="000F086B">
              <w:rPr>
                <w:rFonts w:cstheme="minorHAnsi"/>
                <w:sz w:val="20"/>
                <w:szCs w:val="20"/>
                <w:lang w:val="en-US"/>
              </w:rPr>
              <w:t>Description of the questionnaire (content and structure)</w:t>
            </w:r>
          </w:p>
        </w:tc>
        <w:tc>
          <w:tcPr>
            <w:tcW w:w="457" w:type="pct"/>
            <w:vAlign w:val="center"/>
          </w:tcPr>
          <w:p w14:paraId="65A313B9" w14:textId="77777777" w:rsidR="00CE2B23" w:rsidRPr="000F086B" w:rsidRDefault="00CE2B23" w:rsidP="00861F86">
            <w:pPr>
              <w:rPr>
                <w:rFonts w:cstheme="minorHAnsi"/>
                <w:sz w:val="20"/>
                <w:szCs w:val="20"/>
                <w:lang w:val="en-US"/>
              </w:rPr>
            </w:pPr>
            <w:r>
              <w:rPr>
                <w:rFonts w:cstheme="minorHAnsi"/>
                <w:sz w:val="20"/>
                <w:szCs w:val="20"/>
                <w:lang w:val="en-US"/>
              </w:rPr>
              <w:t>Pag. 6</w:t>
            </w:r>
          </w:p>
        </w:tc>
        <w:tc>
          <w:tcPr>
            <w:tcW w:w="1720" w:type="pct"/>
            <w:vAlign w:val="center"/>
          </w:tcPr>
          <w:p w14:paraId="3C388FC7" w14:textId="77777777" w:rsidR="00CE2B23" w:rsidRPr="000F086B" w:rsidRDefault="00CE2B23" w:rsidP="00861F86">
            <w:pPr>
              <w:rPr>
                <w:rFonts w:cstheme="minorHAnsi"/>
                <w:sz w:val="20"/>
                <w:szCs w:val="20"/>
                <w:lang w:val="en-US"/>
              </w:rPr>
            </w:pPr>
            <w:r w:rsidRPr="000F086B">
              <w:rPr>
                <w:rFonts w:cstheme="minorHAnsi"/>
                <w:sz w:val="20"/>
                <w:szCs w:val="20"/>
                <w:lang w:val="en-US"/>
              </w:rPr>
              <w:t>The questionnaire was divided into three segments on [TOPICS]. The statements made in the questionnaire were evaluated using standardized items, with the option to comment in free-text boxes.</w:t>
            </w:r>
          </w:p>
        </w:tc>
      </w:tr>
      <w:tr w:rsidR="00CE2B23" w:rsidRPr="0016050B" w14:paraId="6FF1F757" w14:textId="77777777" w:rsidTr="00861F86">
        <w:tc>
          <w:tcPr>
            <w:tcW w:w="539" w:type="pct"/>
            <w:vMerge/>
            <w:vAlign w:val="center"/>
          </w:tcPr>
          <w:p w14:paraId="06FF3098" w14:textId="77777777" w:rsidR="00CE2B23" w:rsidRPr="000F086B" w:rsidRDefault="00CE2B23" w:rsidP="00861F86">
            <w:pPr>
              <w:rPr>
                <w:rFonts w:cstheme="minorHAnsi"/>
                <w:b/>
                <w:color w:val="4472C4" w:themeColor="accent5"/>
                <w:sz w:val="20"/>
                <w:szCs w:val="20"/>
                <w:lang w:val="en-US"/>
              </w:rPr>
            </w:pPr>
          </w:p>
        </w:tc>
        <w:tc>
          <w:tcPr>
            <w:tcW w:w="646" w:type="pct"/>
            <w:vMerge w:val="restart"/>
            <w:vAlign w:val="center"/>
          </w:tcPr>
          <w:p w14:paraId="06F7D8A4" w14:textId="77777777" w:rsidR="00CE2B23" w:rsidRPr="000F086B" w:rsidRDefault="00CE2B23" w:rsidP="00861F86">
            <w:pPr>
              <w:rPr>
                <w:rFonts w:cstheme="minorHAnsi"/>
                <w:b/>
                <w:sz w:val="20"/>
                <w:szCs w:val="20"/>
                <w:lang w:val="en-US"/>
              </w:rPr>
            </w:pPr>
            <w:r w:rsidRPr="000F086B">
              <w:rPr>
                <w:rFonts w:cstheme="minorHAnsi"/>
                <w:b/>
                <w:sz w:val="20"/>
                <w:szCs w:val="20"/>
                <w:lang w:val="en-US"/>
              </w:rPr>
              <w:t>Delphi rounds</w:t>
            </w:r>
          </w:p>
        </w:tc>
        <w:tc>
          <w:tcPr>
            <w:tcW w:w="294" w:type="pct"/>
            <w:vAlign w:val="center"/>
          </w:tcPr>
          <w:p w14:paraId="6D3EBF80" w14:textId="77777777" w:rsidR="00CE2B23" w:rsidRPr="000F086B" w:rsidRDefault="00CE2B23" w:rsidP="00861F86">
            <w:pPr>
              <w:rPr>
                <w:rFonts w:cstheme="minorHAnsi"/>
                <w:sz w:val="20"/>
                <w:szCs w:val="20"/>
                <w:lang w:val="en-US"/>
              </w:rPr>
            </w:pPr>
            <w:r w:rsidRPr="000F086B">
              <w:rPr>
                <w:rFonts w:cstheme="minorHAnsi"/>
                <w:sz w:val="20"/>
                <w:szCs w:val="20"/>
                <w:lang w:val="en-US"/>
              </w:rPr>
              <w:t>21</w:t>
            </w:r>
          </w:p>
        </w:tc>
        <w:tc>
          <w:tcPr>
            <w:tcW w:w="1344" w:type="pct"/>
            <w:tcBorders>
              <w:top w:val="single" w:sz="12" w:space="0" w:color="auto"/>
            </w:tcBorders>
            <w:vAlign w:val="center"/>
          </w:tcPr>
          <w:p w14:paraId="1B458CFC" w14:textId="77777777" w:rsidR="00CE2B23" w:rsidRPr="000F086B" w:rsidRDefault="00CE2B23" w:rsidP="00861F86">
            <w:pPr>
              <w:rPr>
                <w:rFonts w:cstheme="minorHAnsi"/>
                <w:sz w:val="20"/>
                <w:szCs w:val="20"/>
                <w:lang w:val="en-US"/>
              </w:rPr>
            </w:pPr>
            <w:r w:rsidRPr="000F086B">
              <w:rPr>
                <w:rFonts w:cstheme="minorHAnsi"/>
                <w:sz w:val="20"/>
                <w:szCs w:val="20"/>
                <w:lang w:val="en-US"/>
              </w:rPr>
              <w:t>Number of Delphi rounds</w:t>
            </w:r>
          </w:p>
        </w:tc>
        <w:tc>
          <w:tcPr>
            <w:tcW w:w="457" w:type="pct"/>
            <w:tcBorders>
              <w:top w:val="single" w:sz="12" w:space="0" w:color="auto"/>
            </w:tcBorders>
            <w:vAlign w:val="center"/>
          </w:tcPr>
          <w:p w14:paraId="563E6035" w14:textId="77777777" w:rsidR="00CE2B23" w:rsidRPr="000F086B" w:rsidRDefault="00CE2B23" w:rsidP="00861F86">
            <w:pPr>
              <w:rPr>
                <w:rFonts w:cstheme="minorHAnsi"/>
                <w:sz w:val="20"/>
                <w:szCs w:val="20"/>
                <w:lang w:val="en-US"/>
              </w:rPr>
            </w:pPr>
            <w:r>
              <w:rPr>
                <w:rFonts w:cstheme="minorHAnsi"/>
                <w:sz w:val="20"/>
                <w:szCs w:val="20"/>
                <w:lang w:val="en-US"/>
              </w:rPr>
              <w:t>Pag. 5</w:t>
            </w:r>
          </w:p>
        </w:tc>
        <w:tc>
          <w:tcPr>
            <w:tcW w:w="1720" w:type="pct"/>
            <w:tcBorders>
              <w:top w:val="single" w:sz="12" w:space="0" w:color="auto"/>
            </w:tcBorders>
            <w:vAlign w:val="center"/>
          </w:tcPr>
          <w:p w14:paraId="31FDC817" w14:textId="77777777" w:rsidR="00CE2B23" w:rsidRPr="000F086B" w:rsidRDefault="00CE2B23" w:rsidP="00861F86">
            <w:pPr>
              <w:rPr>
                <w:rFonts w:cstheme="minorHAnsi"/>
                <w:sz w:val="20"/>
                <w:szCs w:val="20"/>
                <w:lang w:val="en-US"/>
              </w:rPr>
            </w:pPr>
            <w:r w:rsidRPr="000F086B">
              <w:rPr>
                <w:rFonts w:cstheme="minorHAnsi"/>
                <w:sz w:val="20"/>
                <w:szCs w:val="20"/>
                <w:lang w:val="en-US"/>
              </w:rPr>
              <w:t>Three Delphi rounds were held.</w:t>
            </w:r>
          </w:p>
        </w:tc>
      </w:tr>
      <w:tr w:rsidR="00CE2B23" w:rsidRPr="0016050B" w14:paraId="1EB70248" w14:textId="77777777" w:rsidTr="00861F86">
        <w:tc>
          <w:tcPr>
            <w:tcW w:w="539" w:type="pct"/>
            <w:vMerge/>
            <w:vAlign w:val="center"/>
          </w:tcPr>
          <w:p w14:paraId="30AAAE68"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1EF1918B" w14:textId="77777777" w:rsidR="00CE2B23" w:rsidRPr="000F086B" w:rsidRDefault="00CE2B23" w:rsidP="00861F86">
            <w:pPr>
              <w:rPr>
                <w:rFonts w:cstheme="minorHAnsi"/>
                <w:b/>
                <w:sz w:val="20"/>
                <w:szCs w:val="20"/>
                <w:lang w:val="en-US"/>
              </w:rPr>
            </w:pPr>
          </w:p>
        </w:tc>
        <w:tc>
          <w:tcPr>
            <w:tcW w:w="294" w:type="pct"/>
            <w:vAlign w:val="center"/>
          </w:tcPr>
          <w:p w14:paraId="34693918" w14:textId="77777777" w:rsidR="00CE2B23" w:rsidRPr="000F086B" w:rsidRDefault="00CE2B23" w:rsidP="00861F86">
            <w:pPr>
              <w:rPr>
                <w:rFonts w:cstheme="minorHAnsi"/>
                <w:sz w:val="20"/>
                <w:szCs w:val="20"/>
                <w:lang w:val="en-US"/>
              </w:rPr>
            </w:pPr>
            <w:r w:rsidRPr="000F086B">
              <w:rPr>
                <w:rFonts w:cstheme="minorHAnsi"/>
                <w:sz w:val="20"/>
                <w:szCs w:val="20"/>
                <w:lang w:val="en-US"/>
              </w:rPr>
              <w:t>22</w:t>
            </w:r>
          </w:p>
        </w:tc>
        <w:tc>
          <w:tcPr>
            <w:tcW w:w="1344" w:type="pct"/>
            <w:vAlign w:val="center"/>
          </w:tcPr>
          <w:p w14:paraId="43C01F04"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the aims of the individual Delphi rounds</w:t>
            </w:r>
          </w:p>
        </w:tc>
        <w:tc>
          <w:tcPr>
            <w:tcW w:w="457" w:type="pct"/>
            <w:vAlign w:val="center"/>
          </w:tcPr>
          <w:p w14:paraId="3C72B95D" w14:textId="77777777" w:rsidR="00CE2B23" w:rsidRPr="000F086B" w:rsidRDefault="00CE2B23" w:rsidP="00861F86">
            <w:pPr>
              <w:rPr>
                <w:rFonts w:cstheme="minorHAnsi"/>
                <w:sz w:val="20"/>
                <w:szCs w:val="20"/>
                <w:lang w:val="en-US"/>
              </w:rPr>
            </w:pPr>
            <w:r>
              <w:rPr>
                <w:rFonts w:cstheme="minorHAnsi"/>
                <w:sz w:val="20"/>
                <w:szCs w:val="20"/>
                <w:lang w:val="en-US"/>
              </w:rPr>
              <w:t>Pag. 5</w:t>
            </w:r>
          </w:p>
        </w:tc>
        <w:tc>
          <w:tcPr>
            <w:tcW w:w="1720" w:type="pct"/>
            <w:vAlign w:val="center"/>
          </w:tcPr>
          <w:p w14:paraId="183E079E" w14:textId="77777777" w:rsidR="00CE2B23" w:rsidRPr="000F086B" w:rsidRDefault="00CE2B23" w:rsidP="00861F86">
            <w:pPr>
              <w:rPr>
                <w:rFonts w:cstheme="minorHAnsi"/>
                <w:sz w:val="20"/>
                <w:szCs w:val="20"/>
                <w:lang w:val="en-US"/>
              </w:rPr>
            </w:pPr>
            <w:r w:rsidRPr="000F086B">
              <w:rPr>
                <w:rFonts w:cstheme="minorHAnsi"/>
                <w:sz w:val="20"/>
                <w:szCs w:val="20"/>
                <w:lang w:val="en-US"/>
              </w:rPr>
              <w:t>The first Delphi round focused on exploring relevant aspects. These aspects were then presented to the experts in the second Delphi round for standardized evaluation.</w:t>
            </w:r>
          </w:p>
        </w:tc>
      </w:tr>
      <w:tr w:rsidR="00CE2B23" w:rsidRPr="0016050B" w14:paraId="4D0D7EA9" w14:textId="77777777" w:rsidTr="00861F86">
        <w:tc>
          <w:tcPr>
            <w:tcW w:w="539" w:type="pct"/>
            <w:vMerge/>
            <w:vAlign w:val="center"/>
          </w:tcPr>
          <w:p w14:paraId="6DDF3B60"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27F5CD0F" w14:textId="77777777" w:rsidR="00CE2B23" w:rsidRPr="000F086B" w:rsidRDefault="00CE2B23" w:rsidP="00861F86">
            <w:pPr>
              <w:rPr>
                <w:rFonts w:cstheme="minorHAnsi"/>
                <w:b/>
                <w:sz w:val="20"/>
                <w:szCs w:val="20"/>
                <w:lang w:val="en-US"/>
              </w:rPr>
            </w:pPr>
          </w:p>
        </w:tc>
        <w:tc>
          <w:tcPr>
            <w:tcW w:w="294" w:type="pct"/>
            <w:vAlign w:val="center"/>
          </w:tcPr>
          <w:p w14:paraId="1BC8839B" w14:textId="77777777" w:rsidR="00CE2B23" w:rsidRPr="000F086B" w:rsidRDefault="00CE2B23" w:rsidP="00861F86">
            <w:pPr>
              <w:rPr>
                <w:rFonts w:cstheme="minorHAnsi"/>
                <w:sz w:val="20"/>
                <w:szCs w:val="20"/>
                <w:lang w:val="en-US"/>
              </w:rPr>
            </w:pPr>
            <w:r w:rsidRPr="000F086B">
              <w:rPr>
                <w:rFonts w:cstheme="minorHAnsi"/>
                <w:sz w:val="20"/>
                <w:szCs w:val="20"/>
                <w:lang w:val="en-US"/>
              </w:rPr>
              <w:t>23</w:t>
            </w:r>
          </w:p>
        </w:tc>
        <w:tc>
          <w:tcPr>
            <w:tcW w:w="1344" w:type="pct"/>
            <w:vAlign w:val="center"/>
          </w:tcPr>
          <w:p w14:paraId="766D8BE6" w14:textId="77777777" w:rsidR="00CE2B23" w:rsidRPr="000F086B" w:rsidRDefault="00CE2B23" w:rsidP="00861F86">
            <w:pPr>
              <w:rPr>
                <w:rFonts w:cstheme="minorHAnsi"/>
                <w:sz w:val="20"/>
                <w:szCs w:val="20"/>
                <w:lang w:val="en-US"/>
              </w:rPr>
            </w:pPr>
            <w:r w:rsidRPr="000F086B">
              <w:rPr>
                <w:rFonts w:cstheme="minorHAnsi"/>
                <w:sz w:val="20"/>
                <w:szCs w:val="20"/>
                <w:lang w:val="en-US"/>
              </w:rPr>
              <w:t>Disclosure and justification of the criterion for discontinuation</w:t>
            </w:r>
          </w:p>
        </w:tc>
        <w:tc>
          <w:tcPr>
            <w:tcW w:w="457" w:type="pct"/>
            <w:vAlign w:val="center"/>
          </w:tcPr>
          <w:p w14:paraId="639CF867" w14:textId="77777777" w:rsidR="00CE2B23" w:rsidRPr="000F086B" w:rsidRDefault="00CE2B23" w:rsidP="00861F86">
            <w:pPr>
              <w:rPr>
                <w:rFonts w:cstheme="minorHAnsi"/>
                <w:sz w:val="20"/>
                <w:szCs w:val="20"/>
                <w:lang w:val="en-US"/>
              </w:rPr>
            </w:pPr>
            <w:r>
              <w:rPr>
                <w:rFonts w:cstheme="minorHAnsi"/>
                <w:sz w:val="20"/>
                <w:szCs w:val="20"/>
                <w:lang w:val="en-US"/>
              </w:rPr>
              <w:t>Pag. 5</w:t>
            </w:r>
          </w:p>
        </w:tc>
        <w:tc>
          <w:tcPr>
            <w:tcW w:w="1720" w:type="pct"/>
            <w:vAlign w:val="center"/>
          </w:tcPr>
          <w:p w14:paraId="17F27F62" w14:textId="77777777" w:rsidR="00CE2B23" w:rsidRPr="000F086B" w:rsidRDefault="00CE2B23" w:rsidP="00861F86">
            <w:pPr>
              <w:rPr>
                <w:rFonts w:cstheme="minorHAnsi"/>
                <w:sz w:val="20"/>
                <w:szCs w:val="20"/>
                <w:lang w:val="en-US"/>
              </w:rPr>
            </w:pPr>
            <w:r w:rsidRPr="000F086B">
              <w:rPr>
                <w:rFonts w:cstheme="minorHAnsi"/>
                <w:sz w:val="20"/>
                <w:szCs w:val="20"/>
                <w:lang w:val="en-US"/>
              </w:rPr>
              <w:t>The number of rounds was defined in advance to be a maximum of three rounds.</w:t>
            </w:r>
          </w:p>
        </w:tc>
      </w:tr>
      <w:tr w:rsidR="00CE2B23" w:rsidRPr="0016050B" w14:paraId="0F5C79AA" w14:textId="77777777" w:rsidTr="00861F86">
        <w:tc>
          <w:tcPr>
            <w:tcW w:w="539" w:type="pct"/>
            <w:vMerge/>
            <w:vAlign w:val="center"/>
          </w:tcPr>
          <w:p w14:paraId="19C0EBBE" w14:textId="77777777" w:rsidR="00CE2B23" w:rsidRPr="000F086B" w:rsidRDefault="00CE2B23" w:rsidP="00861F86">
            <w:pPr>
              <w:rPr>
                <w:rFonts w:cstheme="minorHAnsi"/>
                <w:b/>
                <w:color w:val="4472C4" w:themeColor="accent5"/>
                <w:sz w:val="20"/>
                <w:szCs w:val="20"/>
                <w:lang w:val="en-US"/>
              </w:rPr>
            </w:pPr>
          </w:p>
        </w:tc>
        <w:tc>
          <w:tcPr>
            <w:tcW w:w="646" w:type="pct"/>
            <w:vMerge w:val="restart"/>
            <w:vAlign w:val="center"/>
          </w:tcPr>
          <w:p w14:paraId="1920A367" w14:textId="77777777" w:rsidR="00CE2B23" w:rsidRPr="000F086B" w:rsidRDefault="00CE2B23" w:rsidP="00861F86">
            <w:pPr>
              <w:rPr>
                <w:rFonts w:cstheme="minorHAnsi"/>
                <w:b/>
                <w:sz w:val="20"/>
                <w:szCs w:val="20"/>
                <w:lang w:val="en-US"/>
              </w:rPr>
            </w:pPr>
            <w:r w:rsidRPr="000F086B">
              <w:rPr>
                <w:rFonts w:cstheme="minorHAnsi"/>
                <w:b/>
                <w:sz w:val="20"/>
                <w:szCs w:val="20"/>
                <w:lang w:val="en-US"/>
              </w:rPr>
              <w:t>Feedback</w:t>
            </w:r>
          </w:p>
        </w:tc>
        <w:tc>
          <w:tcPr>
            <w:tcW w:w="294" w:type="pct"/>
            <w:vAlign w:val="center"/>
          </w:tcPr>
          <w:p w14:paraId="142975EB" w14:textId="77777777" w:rsidR="00CE2B23" w:rsidRPr="000F086B" w:rsidRDefault="00CE2B23" w:rsidP="00861F86">
            <w:pPr>
              <w:rPr>
                <w:rFonts w:cstheme="minorHAnsi"/>
                <w:sz w:val="20"/>
                <w:szCs w:val="20"/>
                <w:lang w:val="en-US"/>
              </w:rPr>
            </w:pPr>
            <w:r w:rsidRPr="000F086B">
              <w:rPr>
                <w:rFonts w:cstheme="minorHAnsi"/>
                <w:sz w:val="20"/>
                <w:szCs w:val="20"/>
                <w:lang w:val="en-US"/>
              </w:rPr>
              <w:t>24</w:t>
            </w:r>
          </w:p>
        </w:tc>
        <w:tc>
          <w:tcPr>
            <w:tcW w:w="1344" w:type="pct"/>
            <w:tcBorders>
              <w:top w:val="single" w:sz="12" w:space="0" w:color="auto"/>
            </w:tcBorders>
            <w:vAlign w:val="center"/>
          </w:tcPr>
          <w:p w14:paraId="159D8780"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what data was reported back per round</w:t>
            </w:r>
          </w:p>
        </w:tc>
        <w:tc>
          <w:tcPr>
            <w:tcW w:w="457" w:type="pct"/>
            <w:tcBorders>
              <w:top w:val="single" w:sz="12" w:space="0" w:color="auto"/>
            </w:tcBorders>
            <w:vAlign w:val="center"/>
          </w:tcPr>
          <w:p w14:paraId="5763E5C8" w14:textId="77777777" w:rsidR="00CE2B23" w:rsidRPr="000F086B" w:rsidRDefault="00CE2B23" w:rsidP="00861F86">
            <w:pPr>
              <w:rPr>
                <w:rFonts w:cstheme="minorHAnsi"/>
                <w:sz w:val="20"/>
                <w:szCs w:val="20"/>
                <w:lang w:val="en-US"/>
              </w:rPr>
            </w:pPr>
            <w:r>
              <w:rPr>
                <w:rFonts w:cstheme="minorHAnsi"/>
                <w:sz w:val="20"/>
                <w:szCs w:val="20"/>
                <w:lang w:val="en-US"/>
              </w:rPr>
              <w:t>Pag. 6</w:t>
            </w:r>
          </w:p>
        </w:tc>
        <w:tc>
          <w:tcPr>
            <w:tcW w:w="1720" w:type="pct"/>
            <w:tcBorders>
              <w:top w:val="single" w:sz="12" w:space="0" w:color="auto"/>
            </w:tcBorders>
            <w:vAlign w:val="center"/>
          </w:tcPr>
          <w:p w14:paraId="2E7310E9" w14:textId="77777777" w:rsidR="00CE2B23" w:rsidRPr="000F086B" w:rsidRDefault="00CE2B23" w:rsidP="00861F86">
            <w:pPr>
              <w:rPr>
                <w:rFonts w:cstheme="minorHAnsi"/>
                <w:sz w:val="20"/>
                <w:szCs w:val="20"/>
                <w:lang w:val="en-US"/>
              </w:rPr>
            </w:pPr>
            <w:r w:rsidRPr="000F086B">
              <w:rPr>
                <w:rFonts w:cstheme="minorHAnsi"/>
                <w:sz w:val="20"/>
                <w:szCs w:val="20"/>
                <w:lang w:val="en-US"/>
              </w:rPr>
              <w:t>In terms of feedback, we shared the statistical results plus the summary of the open responses.</w:t>
            </w:r>
          </w:p>
        </w:tc>
      </w:tr>
      <w:tr w:rsidR="00CE2B23" w:rsidRPr="0016050B" w14:paraId="506ECD1B" w14:textId="77777777" w:rsidTr="00861F86">
        <w:tc>
          <w:tcPr>
            <w:tcW w:w="539" w:type="pct"/>
            <w:vMerge/>
            <w:vAlign w:val="center"/>
          </w:tcPr>
          <w:p w14:paraId="69B41904"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3D309960" w14:textId="77777777" w:rsidR="00CE2B23" w:rsidRPr="000F086B" w:rsidRDefault="00CE2B23" w:rsidP="00861F86">
            <w:pPr>
              <w:rPr>
                <w:rFonts w:cstheme="minorHAnsi"/>
                <w:b/>
                <w:sz w:val="20"/>
                <w:szCs w:val="20"/>
                <w:lang w:val="en-US"/>
              </w:rPr>
            </w:pPr>
          </w:p>
        </w:tc>
        <w:tc>
          <w:tcPr>
            <w:tcW w:w="294" w:type="pct"/>
            <w:vAlign w:val="center"/>
          </w:tcPr>
          <w:p w14:paraId="0C78D96F" w14:textId="77777777" w:rsidR="00CE2B23" w:rsidRPr="000F086B" w:rsidRDefault="00CE2B23" w:rsidP="00861F86">
            <w:pPr>
              <w:rPr>
                <w:rFonts w:cstheme="minorHAnsi"/>
                <w:sz w:val="20"/>
                <w:szCs w:val="20"/>
                <w:lang w:val="en-US"/>
              </w:rPr>
            </w:pPr>
            <w:r w:rsidRPr="000F086B">
              <w:rPr>
                <w:rFonts w:cstheme="minorHAnsi"/>
                <w:sz w:val="20"/>
                <w:szCs w:val="20"/>
                <w:lang w:val="en-US"/>
              </w:rPr>
              <w:t>25</w:t>
            </w:r>
          </w:p>
        </w:tc>
        <w:tc>
          <w:tcPr>
            <w:tcW w:w="1344" w:type="pct"/>
            <w:vAlign w:val="center"/>
          </w:tcPr>
          <w:p w14:paraId="133A3DD6"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on how the results of the previous Delphi round were fed back to the experts surveyed (e.g., via frequencies, mean values, measures of dispersion, listing of comments)</w:t>
            </w:r>
          </w:p>
        </w:tc>
        <w:tc>
          <w:tcPr>
            <w:tcW w:w="457" w:type="pct"/>
            <w:vAlign w:val="center"/>
          </w:tcPr>
          <w:p w14:paraId="3C62EB4C" w14:textId="77777777" w:rsidR="00CE2B23" w:rsidRPr="000F086B" w:rsidRDefault="00CE2B23" w:rsidP="00861F86">
            <w:pPr>
              <w:rPr>
                <w:rFonts w:cstheme="minorHAnsi"/>
                <w:sz w:val="20"/>
                <w:szCs w:val="20"/>
                <w:lang w:val="en-US"/>
              </w:rPr>
            </w:pPr>
            <w:r>
              <w:rPr>
                <w:rFonts w:cstheme="minorHAnsi"/>
                <w:sz w:val="20"/>
                <w:szCs w:val="20"/>
                <w:lang w:val="en-US"/>
              </w:rPr>
              <w:t>Pag. 6</w:t>
            </w:r>
          </w:p>
        </w:tc>
        <w:tc>
          <w:tcPr>
            <w:tcW w:w="1720" w:type="pct"/>
            <w:vAlign w:val="center"/>
          </w:tcPr>
          <w:p w14:paraId="39E9910F" w14:textId="77777777" w:rsidR="00CE2B23" w:rsidRPr="000F086B" w:rsidRDefault="00CE2B23" w:rsidP="00861F86">
            <w:pPr>
              <w:rPr>
                <w:rFonts w:cstheme="minorHAnsi"/>
                <w:sz w:val="20"/>
                <w:szCs w:val="20"/>
                <w:lang w:val="en-US"/>
              </w:rPr>
            </w:pPr>
            <w:r w:rsidRPr="000F086B">
              <w:rPr>
                <w:rFonts w:cstheme="minorHAnsi"/>
                <w:sz w:val="20"/>
                <w:szCs w:val="20"/>
                <w:lang w:val="en-US"/>
              </w:rPr>
              <w:t>Mean values, standard deviations and percentage frequency distributions were reported.</w:t>
            </w:r>
          </w:p>
        </w:tc>
      </w:tr>
      <w:tr w:rsidR="00CE2B23" w:rsidRPr="0016050B" w14:paraId="4FC9BF7A" w14:textId="77777777" w:rsidTr="00861F86">
        <w:tc>
          <w:tcPr>
            <w:tcW w:w="539" w:type="pct"/>
            <w:vMerge/>
            <w:vAlign w:val="center"/>
          </w:tcPr>
          <w:p w14:paraId="45BF6AC9"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5B708306" w14:textId="77777777" w:rsidR="00CE2B23" w:rsidRPr="000F086B" w:rsidRDefault="00CE2B23" w:rsidP="00861F86">
            <w:pPr>
              <w:rPr>
                <w:rFonts w:cstheme="minorHAnsi"/>
                <w:b/>
                <w:sz w:val="20"/>
                <w:szCs w:val="20"/>
                <w:lang w:val="en-US"/>
              </w:rPr>
            </w:pPr>
          </w:p>
        </w:tc>
        <w:tc>
          <w:tcPr>
            <w:tcW w:w="294" w:type="pct"/>
            <w:vAlign w:val="center"/>
          </w:tcPr>
          <w:p w14:paraId="065F6D80"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26</w:t>
            </w:r>
          </w:p>
        </w:tc>
        <w:tc>
          <w:tcPr>
            <w:tcW w:w="1344" w:type="pct"/>
            <w:tcBorders>
              <w:bottom w:val="single" w:sz="4" w:space="0" w:color="auto"/>
            </w:tcBorders>
            <w:vAlign w:val="center"/>
          </w:tcPr>
          <w:p w14:paraId="15F885B2"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Information on whether feedback was differentiated by specific groups (e.g., by field of expertise, institutional affiliation)</w:t>
            </w:r>
          </w:p>
        </w:tc>
        <w:tc>
          <w:tcPr>
            <w:tcW w:w="457" w:type="pct"/>
            <w:tcBorders>
              <w:bottom w:val="single" w:sz="4" w:space="0" w:color="auto"/>
            </w:tcBorders>
            <w:vAlign w:val="center"/>
          </w:tcPr>
          <w:p w14:paraId="7A2DA7FF" w14:textId="77777777" w:rsidR="00CE2B23" w:rsidRPr="000F086B" w:rsidRDefault="00CE2B23" w:rsidP="00861F86">
            <w:pPr>
              <w:keepLines/>
              <w:rPr>
                <w:rFonts w:cstheme="minorHAnsi"/>
                <w:sz w:val="20"/>
                <w:szCs w:val="20"/>
                <w:lang w:val="en-US"/>
              </w:rPr>
            </w:pPr>
            <w:r>
              <w:rPr>
                <w:rFonts w:cstheme="minorHAnsi"/>
                <w:sz w:val="20"/>
                <w:szCs w:val="20"/>
                <w:lang w:val="en-US"/>
              </w:rPr>
              <w:t>Pag. 6</w:t>
            </w:r>
          </w:p>
        </w:tc>
        <w:tc>
          <w:tcPr>
            <w:tcW w:w="1720" w:type="pct"/>
            <w:tcBorders>
              <w:bottom w:val="single" w:sz="4" w:space="0" w:color="auto"/>
            </w:tcBorders>
            <w:vAlign w:val="center"/>
          </w:tcPr>
          <w:p w14:paraId="4492D387"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The feedback was aggregated across all expert groups.</w:t>
            </w:r>
          </w:p>
        </w:tc>
      </w:tr>
      <w:tr w:rsidR="00CE2B23" w:rsidRPr="0016050B" w14:paraId="5C67C141" w14:textId="77777777" w:rsidTr="00861F86">
        <w:tc>
          <w:tcPr>
            <w:tcW w:w="539" w:type="pct"/>
            <w:vMerge/>
            <w:tcBorders>
              <w:top w:val="single" w:sz="4" w:space="0" w:color="auto"/>
            </w:tcBorders>
            <w:vAlign w:val="center"/>
          </w:tcPr>
          <w:p w14:paraId="09C39892"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2FC0C613" w14:textId="77777777" w:rsidR="00CE2B23" w:rsidRPr="000F086B" w:rsidRDefault="00CE2B23" w:rsidP="00861F86">
            <w:pPr>
              <w:rPr>
                <w:rFonts w:cstheme="minorHAnsi"/>
                <w:b/>
                <w:sz w:val="20"/>
                <w:szCs w:val="20"/>
                <w:lang w:val="en-US"/>
              </w:rPr>
            </w:pPr>
          </w:p>
        </w:tc>
        <w:tc>
          <w:tcPr>
            <w:tcW w:w="294" w:type="pct"/>
            <w:tcBorders>
              <w:top w:val="single" w:sz="4" w:space="0" w:color="auto"/>
            </w:tcBorders>
            <w:vAlign w:val="center"/>
          </w:tcPr>
          <w:p w14:paraId="117B80C0" w14:textId="77777777" w:rsidR="00CE2B23" w:rsidRPr="000F086B" w:rsidRDefault="00CE2B23" w:rsidP="00861F86">
            <w:pPr>
              <w:rPr>
                <w:rFonts w:cstheme="minorHAnsi"/>
                <w:sz w:val="20"/>
                <w:szCs w:val="20"/>
                <w:lang w:val="en-US"/>
              </w:rPr>
            </w:pPr>
            <w:r w:rsidRPr="000F086B">
              <w:rPr>
                <w:rFonts w:cstheme="minorHAnsi"/>
                <w:sz w:val="20"/>
                <w:szCs w:val="20"/>
                <w:lang w:val="en-US"/>
              </w:rPr>
              <w:t>27</w:t>
            </w:r>
          </w:p>
        </w:tc>
        <w:tc>
          <w:tcPr>
            <w:tcW w:w="1344" w:type="pct"/>
            <w:tcBorders>
              <w:bottom w:val="single" w:sz="12" w:space="0" w:color="auto"/>
            </w:tcBorders>
            <w:vAlign w:val="center"/>
          </w:tcPr>
          <w:p w14:paraId="4A0701EB" w14:textId="77777777" w:rsidR="00CE2B23" w:rsidRPr="000F086B" w:rsidRDefault="00CE2B23" w:rsidP="00861F86">
            <w:pPr>
              <w:rPr>
                <w:rFonts w:cstheme="minorHAnsi"/>
                <w:sz w:val="20"/>
                <w:szCs w:val="20"/>
                <w:lang w:val="en-US"/>
              </w:rPr>
            </w:pPr>
            <w:r w:rsidRPr="000F086B">
              <w:rPr>
                <w:rFonts w:cstheme="minorHAnsi"/>
                <w:sz w:val="20"/>
                <w:szCs w:val="20"/>
                <w:lang w:val="en-US"/>
              </w:rPr>
              <w:t>Information about how dissent and unclear results were handled</w:t>
            </w:r>
          </w:p>
        </w:tc>
        <w:tc>
          <w:tcPr>
            <w:tcW w:w="457" w:type="pct"/>
            <w:tcBorders>
              <w:bottom w:val="single" w:sz="12" w:space="0" w:color="auto"/>
            </w:tcBorders>
            <w:vAlign w:val="center"/>
          </w:tcPr>
          <w:p w14:paraId="09E168BE" w14:textId="77777777" w:rsidR="00CE2B23" w:rsidRPr="000F086B" w:rsidRDefault="00CE2B23" w:rsidP="00861F86">
            <w:pPr>
              <w:rPr>
                <w:rFonts w:cstheme="minorHAnsi"/>
                <w:sz w:val="20"/>
                <w:szCs w:val="20"/>
                <w:lang w:val="en-US"/>
              </w:rPr>
            </w:pPr>
            <w:r>
              <w:rPr>
                <w:rFonts w:cstheme="minorHAnsi"/>
                <w:sz w:val="20"/>
                <w:szCs w:val="20"/>
                <w:lang w:val="en-US"/>
              </w:rPr>
              <w:t>Pag. 6</w:t>
            </w:r>
          </w:p>
        </w:tc>
        <w:tc>
          <w:tcPr>
            <w:tcW w:w="1720" w:type="pct"/>
            <w:tcBorders>
              <w:bottom w:val="single" w:sz="12" w:space="0" w:color="auto"/>
            </w:tcBorders>
            <w:vAlign w:val="center"/>
          </w:tcPr>
          <w:p w14:paraId="277C08BB" w14:textId="77777777" w:rsidR="00CE2B23" w:rsidRPr="000F086B" w:rsidRDefault="00CE2B23" w:rsidP="00861F86">
            <w:pPr>
              <w:rPr>
                <w:rFonts w:cstheme="minorHAnsi"/>
                <w:sz w:val="20"/>
                <w:szCs w:val="20"/>
                <w:lang w:val="en-US"/>
              </w:rPr>
            </w:pPr>
            <w:r w:rsidRPr="000F086B">
              <w:rPr>
                <w:rFonts w:cstheme="minorHAnsi"/>
                <w:sz w:val="20"/>
                <w:szCs w:val="20"/>
                <w:lang w:val="en-US"/>
              </w:rPr>
              <w:t>The results showing dissent were presented again for evaluation in the next Delphi round.</w:t>
            </w:r>
          </w:p>
        </w:tc>
      </w:tr>
      <w:tr w:rsidR="00CE2B23" w:rsidRPr="0016050B" w14:paraId="0F12368B" w14:textId="77777777" w:rsidTr="00861F86">
        <w:tc>
          <w:tcPr>
            <w:tcW w:w="539" w:type="pct"/>
            <w:vMerge/>
            <w:vAlign w:val="center"/>
          </w:tcPr>
          <w:p w14:paraId="136DB3DB" w14:textId="77777777" w:rsidR="00CE2B23" w:rsidRPr="000F086B" w:rsidRDefault="00CE2B23" w:rsidP="00861F86">
            <w:pPr>
              <w:rPr>
                <w:rFonts w:cstheme="minorHAnsi"/>
                <w:b/>
                <w:color w:val="4472C4" w:themeColor="accent5"/>
                <w:sz w:val="20"/>
                <w:szCs w:val="20"/>
                <w:lang w:val="en-US"/>
              </w:rPr>
            </w:pPr>
          </w:p>
        </w:tc>
        <w:tc>
          <w:tcPr>
            <w:tcW w:w="646" w:type="pct"/>
            <w:vMerge w:val="restart"/>
            <w:vAlign w:val="center"/>
          </w:tcPr>
          <w:p w14:paraId="729998D8" w14:textId="77777777" w:rsidR="00CE2B23" w:rsidRPr="000F086B" w:rsidRDefault="00CE2B23" w:rsidP="00861F86">
            <w:pPr>
              <w:keepLines/>
              <w:rPr>
                <w:rFonts w:cstheme="minorHAnsi"/>
                <w:b/>
                <w:sz w:val="20"/>
                <w:szCs w:val="20"/>
                <w:lang w:val="en-US"/>
              </w:rPr>
            </w:pPr>
            <w:r w:rsidRPr="000F086B">
              <w:rPr>
                <w:rFonts w:cstheme="minorHAnsi"/>
                <w:b/>
                <w:sz w:val="20"/>
                <w:szCs w:val="20"/>
                <w:lang w:val="en-US"/>
              </w:rPr>
              <w:t>Data analysis</w:t>
            </w:r>
          </w:p>
        </w:tc>
        <w:tc>
          <w:tcPr>
            <w:tcW w:w="294" w:type="pct"/>
            <w:vAlign w:val="center"/>
          </w:tcPr>
          <w:p w14:paraId="098990D5"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28</w:t>
            </w:r>
          </w:p>
        </w:tc>
        <w:tc>
          <w:tcPr>
            <w:tcW w:w="1344" w:type="pct"/>
            <w:tcBorders>
              <w:bottom w:val="single" w:sz="4" w:space="0" w:color="auto"/>
            </w:tcBorders>
            <w:vAlign w:val="center"/>
          </w:tcPr>
          <w:p w14:paraId="7D85E051"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Disclosure of the quantitative and qualitative analytical strategy</w:t>
            </w:r>
          </w:p>
        </w:tc>
        <w:tc>
          <w:tcPr>
            <w:tcW w:w="457" w:type="pct"/>
            <w:tcBorders>
              <w:bottom w:val="single" w:sz="4" w:space="0" w:color="auto"/>
            </w:tcBorders>
            <w:vAlign w:val="center"/>
          </w:tcPr>
          <w:p w14:paraId="13FB7253" w14:textId="77777777" w:rsidR="00CE2B23" w:rsidRPr="000F086B" w:rsidRDefault="00CE2B23" w:rsidP="00861F86">
            <w:pPr>
              <w:keepLines/>
              <w:rPr>
                <w:rFonts w:cstheme="minorHAnsi"/>
                <w:sz w:val="20"/>
                <w:szCs w:val="20"/>
                <w:lang w:val="en-US"/>
              </w:rPr>
            </w:pPr>
            <w:r>
              <w:rPr>
                <w:rFonts w:cstheme="minorHAnsi"/>
                <w:sz w:val="20"/>
                <w:szCs w:val="20"/>
                <w:lang w:val="en-US"/>
              </w:rPr>
              <w:t>Pag. 6</w:t>
            </w:r>
          </w:p>
        </w:tc>
        <w:tc>
          <w:tcPr>
            <w:tcW w:w="1720" w:type="pct"/>
            <w:tcBorders>
              <w:bottom w:val="single" w:sz="4" w:space="0" w:color="auto"/>
            </w:tcBorders>
            <w:vAlign w:val="center"/>
          </w:tcPr>
          <w:p w14:paraId="305D8709"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The quantitative items were descriptively analyzed. The open-ended items were analyzed using thematic analysis [LITERATURE REFERENCE].</w:t>
            </w:r>
          </w:p>
        </w:tc>
      </w:tr>
      <w:tr w:rsidR="00CE2B23" w:rsidRPr="0016050B" w14:paraId="246AB079" w14:textId="77777777" w:rsidTr="00861F86">
        <w:tc>
          <w:tcPr>
            <w:tcW w:w="539" w:type="pct"/>
            <w:vMerge/>
            <w:vAlign w:val="center"/>
          </w:tcPr>
          <w:p w14:paraId="48C336E8"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041E35E8" w14:textId="77777777" w:rsidR="00CE2B23" w:rsidRPr="000F086B" w:rsidRDefault="00CE2B23" w:rsidP="00861F86">
            <w:pPr>
              <w:keepLines/>
              <w:rPr>
                <w:rFonts w:cstheme="minorHAnsi"/>
                <w:b/>
                <w:sz w:val="20"/>
                <w:szCs w:val="20"/>
                <w:lang w:val="en-US"/>
              </w:rPr>
            </w:pPr>
          </w:p>
        </w:tc>
        <w:tc>
          <w:tcPr>
            <w:tcW w:w="294" w:type="pct"/>
            <w:vAlign w:val="center"/>
          </w:tcPr>
          <w:p w14:paraId="1606ADAC"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29</w:t>
            </w:r>
          </w:p>
        </w:tc>
        <w:tc>
          <w:tcPr>
            <w:tcW w:w="1344" w:type="pct"/>
            <w:tcBorders>
              <w:bottom w:val="single" w:sz="4" w:space="0" w:color="auto"/>
            </w:tcBorders>
            <w:vAlign w:val="center"/>
          </w:tcPr>
          <w:p w14:paraId="19414F4B"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Definition and measurement of consensus</w:t>
            </w:r>
          </w:p>
        </w:tc>
        <w:tc>
          <w:tcPr>
            <w:tcW w:w="457" w:type="pct"/>
            <w:tcBorders>
              <w:bottom w:val="single" w:sz="4" w:space="0" w:color="auto"/>
            </w:tcBorders>
            <w:vAlign w:val="center"/>
          </w:tcPr>
          <w:p w14:paraId="798B9F5F" w14:textId="77777777" w:rsidR="00CE2B23" w:rsidRPr="000F086B" w:rsidRDefault="00CE2B23" w:rsidP="00861F86">
            <w:pPr>
              <w:keepLines/>
              <w:rPr>
                <w:rFonts w:cstheme="minorHAnsi"/>
                <w:sz w:val="20"/>
                <w:szCs w:val="20"/>
                <w:lang w:val="en-US"/>
              </w:rPr>
            </w:pPr>
            <w:r>
              <w:rPr>
                <w:rFonts w:cstheme="minorHAnsi"/>
                <w:sz w:val="20"/>
                <w:szCs w:val="20"/>
                <w:lang w:val="en-US"/>
              </w:rPr>
              <w:t>Pag. 5-6</w:t>
            </w:r>
          </w:p>
        </w:tc>
        <w:tc>
          <w:tcPr>
            <w:tcW w:w="1720" w:type="pct"/>
            <w:tcBorders>
              <w:bottom w:val="single" w:sz="4" w:space="0" w:color="auto"/>
            </w:tcBorders>
            <w:vAlign w:val="center"/>
          </w:tcPr>
          <w:p w14:paraId="7C6E0960"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Consensus was defined as percentage agreement, meaning that agreement was assumed if at least 80% of the respondents agreed on an item.</w:t>
            </w:r>
          </w:p>
        </w:tc>
      </w:tr>
      <w:tr w:rsidR="00CE2B23" w:rsidRPr="0016050B" w14:paraId="507E8ABD" w14:textId="77777777" w:rsidTr="00861F86">
        <w:tc>
          <w:tcPr>
            <w:tcW w:w="539" w:type="pct"/>
            <w:vMerge/>
            <w:vAlign w:val="center"/>
          </w:tcPr>
          <w:p w14:paraId="2C00CA88"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35667C34" w14:textId="77777777" w:rsidR="00CE2B23" w:rsidRPr="000F086B" w:rsidRDefault="00CE2B23" w:rsidP="00861F86">
            <w:pPr>
              <w:keepLines/>
              <w:rPr>
                <w:rFonts w:cstheme="minorHAnsi"/>
                <w:b/>
                <w:sz w:val="20"/>
                <w:szCs w:val="20"/>
                <w:lang w:val="en-US"/>
              </w:rPr>
            </w:pPr>
          </w:p>
        </w:tc>
        <w:tc>
          <w:tcPr>
            <w:tcW w:w="294" w:type="pct"/>
            <w:vAlign w:val="center"/>
          </w:tcPr>
          <w:p w14:paraId="37B7A498"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30</w:t>
            </w:r>
          </w:p>
        </w:tc>
        <w:tc>
          <w:tcPr>
            <w:tcW w:w="1344" w:type="pct"/>
            <w:tcBorders>
              <w:bottom w:val="single" w:sz="12" w:space="0" w:color="auto"/>
            </w:tcBorders>
            <w:vAlign w:val="center"/>
          </w:tcPr>
          <w:p w14:paraId="1B321C8F"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Information on group-specific analysis or weighting of experts (e.g., theory vs. practice, discipline-specific analysis)</w:t>
            </w:r>
          </w:p>
        </w:tc>
        <w:tc>
          <w:tcPr>
            <w:tcW w:w="457" w:type="pct"/>
            <w:tcBorders>
              <w:bottom w:val="single" w:sz="12" w:space="0" w:color="auto"/>
            </w:tcBorders>
            <w:vAlign w:val="center"/>
          </w:tcPr>
          <w:p w14:paraId="6C7E5C69" w14:textId="77777777" w:rsidR="00CE2B23" w:rsidRPr="000F086B" w:rsidRDefault="00CE2B23" w:rsidP="00861F86">
            <w:pPr>
              <w:keepLines/>
              <w:rPr>
                <w:rFonts w:cstheme="minorHAnsi"/>
                <w:sz w:val="20"/>
                <w:szCs w:val="20"/>
                <w:lang w:val="en-US"/>
              </w:rPr>
            </w:pPr>
            <w:r>
              <w:rPr>
                <w:rFonts w:cstheme="minorHAnsi"/>
                <w:sz w:val="20"/>
                <w:szCs w:val="20"/>
                <w:lang w:val="en-US"/>
              </w:rPr>
              <w:t>NA</w:t>
            </w:r>
          </w:p>
        </w:tc>
        <w:tc>
          <w:tcPr>
            <w:tcW w:w="1720" w:type="pct"/>
            <w:tcBorders>
              <w:bottom w:val="single" w:sz="12" w:space="0" w:color="auto"/>
            </w:tcBorders>
            <w:vAlign w:val="center"/>
          </w:tcPr>
          <w:p w14:paraId="46AC0667"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In the analysis, the mean values for percent agreement are weighted for each expert group in terms of the number of group members.</w:t>
            </w:r>
          </w:p>
        </w:tc>
      </w:tr>
      <w:tr w:rsidR="00CE2B23" w:rsidRPr="0016050B" w14:paraId="77CB2891" w14:textId="77777777" w:rsidTr="00861F86">
        <w:trPr>
          <w:trHeight w:val="861"/>
        </w:trPr>
        <w:tc>
          <w:tcPr>
            <w:tcW w:w="539" w:type="pct"/>
            <w:vMerge w:val="restart"/>
            <w:vAlign w:val="center"/>
          </w:tcPr>
          <w:p w14:paraId="219D4F07"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 xml:space="preserve">IV </w:t>
            </w:r>
          </w:p>
          <w:p w14:paraId="2AED7545"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Results</w:t>
            </w:r>
          </w:p>
        </w:tc>
        <w:tc>
          <w:tcPr>
            <w:tcW w:w="646" w:type="pct"/>
            <w:vMerge w:val="restart"/>
            <w:vAlign w:val="center"/>
          </w:tcPr>
          <w:p w14:paraId="72B8949B" w14:textId="77777777" w:rsidR="00CE2B23" w:rsidRPr="000F086B" w:rsidRDefault="00CE2B23" w:rsidP="00861F86">
            <w:pPr>
              <w:rPr>
                <w:rFonts w:cstheme="minorHAnsi"/>
                <w:b/>
                <w:sz w:val="20"/>
                <w:szCs w:val="20"/>
                <w:lang w:val="en-US"/>
              </w:rPr>
            </w:pPr>
            <w:r w:rsidRPr="000F086B">
              <w:rPr>
                <w:rFonts w:cstheme="minorHAnsi"/>
                <w:b/>
                <w:sz w:val="20"/>
                <w:szCs w:val="20"/>
                <w:lang w:val="en-US"/>
              </w:rPr>
              <w:t>Delphi process</w:t>
            </w:r>
          </w:p>
        </w:tc>
        <w:tc>
          <w:tcPr>
            <w:tcW w:w="294" w:type="pct"/>
            <w:vAlign w:val="center"/>
          </w:tcPr>
          <w:p w14:paraId="2E29F585" w14:textId="77777777" w:rsidR="00CE2B23" w:rsidRPr="000F086B" w:rsidRDefault="00CE2B23" w:rsidP="00861F86">
            <w:pPr>
              <w:rPr>
                <w:rFonts w:cstheme="minorHAnsi"/>
                <w:sz w:val="20"/>
                <w:szCs w:val="20"/>
                <w:lang w:val="en-US"/>
              </w:rPr>
            </w:pPr>
            <w:r w:rsidRPr="000F086B">
              <w:rPr>
                <w:rFonts w:cstheme="minorHAnsi"/>
                <w:sz w:val="20"/>
                <w:szCs w:val="20"/>
                <w:lang w:val="en-US"/>
              </w:rPr>
              <w:t>31</w:t>
            </w:r>
          </w:p>
        </w:tc>
        <w:tc>
          <w:tcPr>
            <w:tcW w:w="1344" w:type="pct"/>
            <w:tcBorders>
              <w:top w:val="single" w:sz="12" w:space="0" w:color="auto"/>
            </w:tcBorders>
            <w:vAlign w:val="center"/>
          </w:tcPr>
          <w:p w14:paraId="1ABCC8DC" w14:textId="77777777" w:rsidR="00CE2B23" w:rsidRPr="000F086B" w:rsidRDefault="00CE2B23" w:rsidP="00861F86">
            <w:pPr>
              <w:rPr>
                <w:rFonts w:cstheme="minorHAnsi"/>
                <w:sz w:val="20"/>
                <w:szCs w:val="20"/>
                <w:lang w:val="en-US"/>
              </w:rPr>
            </w:pPr>
            <w:r w:rsidRPr="000F086B">
              <w:rPr>
                <w:rFonts w:cstheme="minorHAnsi"/>
                <w:sz w:val="20"/>
                <w:szCs w:val="20"/>
                <w:lang w:val="en-US"/>
              </w:rPr>
              <w:t>Illustration of the Delphi study (e.g., in a flow chart)</w:t>
            </w:r>
          </w:p>
        </w:tc>
        <w:tc>
          <w:tcPr>
            <w:tcW w:w="457" w:type="pct"/>
            <w:tcBorders>
              <w:top w:val="single" w:sz="12" w:space="0" w:color="auto"/>
            </w:tcBorders>
            <w:vAlign w:val="center"/>
          </w:tcPr>
          <w:p w14:paraId="577255B8" w14:textId="77777777" w:rsidR="00CE2B23" w:rsidRPr="000F086B" w:rsidRDefault="00CE2B23" w:rsidP="00861F86">
            <w:pPr>
              <w:rPr>
                <w:rFonts w:cstheme="minorHAnsi"/>
                <w:sz w:val="20"/>
                <w:szCs w:val="20"/>
                <w:lang w:val="en-US"/>
              </w:rPr>
            </w:pPr>
            <w:r>
              <w:rPr>
                <w:rFonts w:cstheme="minorHAnsi"/>
                <w:sz w:val="20"/>
                <w:szCs w:val="20"/>
                <w:lang w:val="en-US"/>
              </w:rPr>
              <w:t>Table 1</w:t>
            </w:r>
          </w:p>
        </w:tc>
        <w:tc>
          <w:tcPr>
            <w:tcW w:w="1720" w:type="pct"/>
            <w:tcBorders>
              <w:top w:val="single" w:sz="12" w:space="0" w:color="auto"/>
            </w:tcBorders>
            <w:vAlign w:val="center"/>
          </w:tcPr>
          <w:p w14:paraId="584F5DB7" w14:textId="77777777" w:rsidR="00CE2B23" w:rsidRPr="000F086B" w:rsidRDefault="00CE2B23" w:rsidP="00861F86">
            <w:pPr>
              <w:rPr>
                <w:rFonts w:cstheme="minorHAnsi"/>
                <w:sz w:val="20"/>
                <w:szCs w:val="20"/>
                <w:lang w:val="en-US"/>
              </w:rPr>
            </w:pPr>
            <w:r w:rsidRPr="000F086B">
              <w:rPr>
                <w:rFonts w:cstheme="minorHAnsi"/>
                <w:sz w:val="20"/>
                <w:szCs w:val="20"/>
                <w:lang w:val="en-US"/>
              </w:rPr>
              <w:t>A summary of the Delphi study is illustrated in a flow chart (Figure 1).</w:t>
            </w:r>
          </w:p>
        </w:tc>
      </w:tr>
      <w:tr w:rsidR="00CE2B23" w:rsidRPr="0039088A" w14:paraId="59942174" w14:textId="77777777" w:rsidTr="00861F86">
        <w:trPr>
          <w:trHeight w:val="426"/>
        </w:trPr>
        <w:tc>
          <w:tcPr>
            <w:tcW w:w="539" w:type="pct"/>
            <w:vMerge/>
            <w:vAlign w:val="center"/>
          </w:tcPr>
          <w:p w14:paraId="47E042E1"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0172837D" w14:textId="77777777" w:rsidR="00CE2B23" w:rsidRPr="000F086B" w:rsidRDefault="00CE2B23" w:rsidP="00861F86">
            <w:pPr>
              <w:rPr>
                <w:rFonts w:cstheme="minorHAnsi"/>
                <w:b/>
                <w:sz w:val="20"/>
                <w:szCs w:val="20"/>
                <w:lang w:val="en-US"/>
              </w:rPr>
            </w:pPr>
          </w:p>
        </w:tc>
        <w:tc>
          <w:tcPr>
            <w:tcW w:w="294" w:type="pct"/>
            <w:vAlign w:val="center"/>
          </w:tcPr>
          <w:p w14:paraId="212B0C68" w14:textId="77777777" w:rsidR="00CE2B23" w:rsidRPr="000F086B" w:rsidRDefault="00CE2B23" w:rsidP="00861F86">
            <w:pPr>
              <w:rPr>
                <w:rFonts w:cstheme="minorHAnsi"/>
                <w:sz w:val="20"/>
                <w:szCs w:val="20"/>
                <w:lang w:val="en-US"/>
              </w:rPr>
            </w:pPr>
            <w:r w:rsidRPr="000F086B">
              <w:rPr>
                <w:rFonts w:cstheme="minorHAnsi"/>
                <w:sz w:val="20"/>
                <w:szCs w:val="20"/>
                <w:lang w:val="en-US"/>
              </w:rPr>
              <w:t>32</w:t>
            </w:r>
          </w:p>
        </w:tc>
        <w:tc>
          <w:tcPr>
            <w:tcW w:w="1344" w:type="pct"/>
            <w:tcBorders>
              <w:bottom w:val="single" w:sz="4" w:space="0" w:color="auto"/>
            </w:tcBorders>
            <w:vAlign w:val="center"/>
          </w:tcPr>
          <w:p w14:paraId="0B87BBE4" w14:textId="77777777" w:rsidR="00CE2B23" w:rsidRPr="000F086B" w:rsidRDefault="00CE2B23" w:rsidP="00861F86">
            <w:pPr>
              <w:rPr>
                <w:rFonts w:cstheme="minorHAnsi"/>
                <w:sz w:val="20"/>
                <w:szCs w:val="20"/>
                <w:lang w:val="en-US"/>
              </w:rPr>
            </w:pPr>
            <w:r w:rsidRPr="000F086B">
              <w:rPr>
                <w:rFonts w:cstheme="minorHAnsi"/>
                <w:sz w:val="20"/>
                <w:szCs w:val="20"/>
                <w:lang w:val="en-US"/>
              </w:rPr>
              <w:t xml:space="preserve">Information about special aspects during the Delphi study (e.g., deviations from the intended approach with justification) </w:t>
            </w:r>
          </w:p>
        </w:tc>
        <w:tc>
          <w:tcPr>
            <w:tcW w:w="457" w:type="pct"/>
            <w:tcBorders>
              <w:bottom w:val="single" w:sz="4" w:space="0" w:color="auto"/>
            </w:tcBorders>
            <w:vAlign w:val="center"/>
          </w:tcPr>
          <w:p w14:paraId="713FCB17" w14:textId="77777777" w:rsidR="00CE2B23" w:rsidRPr="000F086B" w:rsidRDefault="00CE2B23" w:rsidP="00861F86">
            <w:pPr>
              <w:rPr>
                <w:rFonts w:cstheme="minorHAnsi"/>
                <w:sz w:val="20"/>
                <w:szCs w:val="20"/>
                <w:lang w:val="en-US"/>
              </w:rPr>
            </w:pPr>
            <w:r>
              <w:rPr>
                <w:rFonts w:cstheme="minorHAnsi"/>
                <w:sz w:val="20"/>
                <w:szCs w:val="20"/>
                <w:lang w:val="en-US"/>
              </w:rPr>
              <w:t>NA</w:t>
            </w:r>
          </w:p>
        </w:tc>
        <w:tc>
          <w:tcPr>
            <w:tcW w:w="1720" w:type="pct"/>
            <w:tcBorders>
              <w:bottom w:val="single" w:sz="4" w:space="0" w:color="auto"/>
            </w:tcBorders>
            <w:vAlign w:val="center"/>
          </w:tcPr>
          <w:p w14:paraId="375F2ED3" w14:textId="77777777" w:rsidR="00CE2B23" w:rsidRPr="000F086B" w:rsidRDefault="00CE2B23" w:rsidP="00861F86">
            <w:pPr>
              <w:rPr>
                <w:rFonts w:cstheme="minorHAnsi"/>
                <w:sz w:val="20"/>
                <w:szCs w:val="20"/>
                <w:lang w:val="en-US"/>
              </w:rPr>
            </w:pPr>
            <w:r w:rsidRPr="000F086B">
              <w:rPr>
                <w:rFonts w:cstheme="minorHAnsi"/>
                <w:sz w:val="20"/>
                <w:szCs w:val="20"/>
                <w:lang w:val="en-US"/>
              </w:rPr>
              <w:t>During the Delphi study the political discussion mentioned climate change and the effects on health. It is possible that this influenced the experts' responses.</w:t>
            </w:r>
          </w:p>
        </w:tc>
      </w:tr>
      <w:tr w:rsidR="00CE2B23" w:rsidRPr="0016050B" w14:paraId="55C95732" w14:textId="77777777" w:rsidTr="00861F86">
        <w:trPr>
          <w:trHeight w:val="426"/>
        </w:trPr>
        <w:tc>
          <w:tcPr>
            <w:tcW w:w="539" w:type="pct"/>
            <w:vMerge/>
            <w:vAlign w:val="center"/>
          </w:tcPr>
          <w:p w14:paraId="22D43FF3"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43A61AD4" w14:textId="77777777" w:rsidR="00CE2B23" w:rsidRPr="000F086B" w:rsidRDefault="00CE2B23" w:rsidP="00861F86">
            <w:pPr>
              <w:rPr>
                <w:rFonts w:cstheme="minorHAnsi"/>
                <w:b/>
                <w:sz w:val="20"/>
                <w:szCs w:val="20"/>
                <w:lang w:val="en-US"/>
              </w:rPr>
            </w:pPr>
          </w:p>
        </w:tc>
        <w:tc>
          <w:tcPr>
            <w:tcW w:w="294" w:type="pct"/>
            <w:vAlign w:val="center"/>
          </w:tcPr>
          <w:p w14:paraId="566010C7" w14:textId="77777777" w:rsidR="00CE2B23" w:rsidRPr="000F086B" w:rsidRDefault="00CE2B23" w:rsidP="00861F86">
            <w:pPr>
              <w:rPr>
                <w:rFonts w:cstheme="minorHAnsi"/>
                <w:sz w:val="20"/>
                <w:szCs w:val="20"/>
                <w:lang w:val="en-US"/>
              </w:rPr>
            </w:pPr>
            <w:r w:rsidRPr="000F086B">
              <w:rPr>
                <w:rFonts w:cstheme="minorHAnsi"/>
                <w:sz w:val="20"/>
                <w:szCs w:val="20"/>
                <w:lang w:val="en-US"/>
              </w:rPr>
              <w:t>33</w:t>
            </w:r>
          </w:p>
        </w:tc>
        <w:tc>
          <w:tcPr>
            <w:tcW w:w="1344" w:type="pct"/>
            <w:tcBorders>
              <w:bottom w:val="single" w:sz="12" w:space="0" w:color="auto"/>
            </w:tcBorders>
            <w:vAlign w:val="center"/>
          </w:tcPr>
          <w:p w14:paraId="3E70935C" w14:textId="77777777" w:rsidR="00CE2B23" w:rsidRPr="000F086B" w:rsidRDefault="00CE2B23" w:rsidP="00861F86">
            <w:pPr>
              <w:rPr>
                <w:rFonts w:cstheme="minorHAnsi"/>
                <w:sz w:val="20"/>
                <w:szCs w:val="20"/>
                <w:lang w:val="en-US"/>
              </w:rPr>
            </w:pPr>
            <w:r w:rsidRPr="000F086B">
              <w:rPr>
                <w:rFonts w:cstheme="minorHAnsi"/>
                <w:sz w:val="20"/>
                <w:szCs w:val="20"/>
                <w:lang w:val="en-US"/>
              </w:rPr>
              <w:t>Number of experts per round (both invited and participating)</w:t>
            </w:r>
          </w:p>
        </w:tc>
        <w:tc>
          <w:tcPr>
            <w:tcW w:w="457" w:type="pct"/>
            <w:tcBorders>
              <w:bottom w:val="single" w:sz="12" w:space="0" w:color="auto"/>
            </w:tcBorders>
            <w:vAlign w:val="center"/>
          </w:tcPr>
          <w:p w14:paraId="7FD20DEE" w14:textId="77777777" w:rsidR="00CE2B23" w:rsidRPr="000F086B" w:rsidRDefault="00CE2B23" w:rsidP="00861F86">
            <w:pPr>
              <w:rPr>
                <w:rFonts w:cstheme="minorHAnsi"/>
                <w:sz w:val="20"/>
                <w:szCs w:val="20"/>
                <w:lang w:val="en-US"/>
              </w:rPr>
            </w:pPr>
            <w:r>
              <w:rPr>
                <w:rFonts w:cstheme="minorHAnsi"/>
                <w:sz w:val="20"/>
                <w:szCs w:val="20"/>
                <w:lang w:val="en-US"/>
              </w:rPr>
              <w:t>Pag. 5</w:t>
            </w:r>
          </w:p>
        </w:tc>
        <w:tc>
          <w:tcPr>
            <w:tcW w:w="1720" w:type="pct"/>
            <w:tcBorders>
              <w:bottom w:val="single" w:sz="12" w:space="0" w:color="auto"/>
            </w:tcBorders>
            <w:vAlign w:val="center"/>
          </w:tcPr>
          <w:p w14:paraId="386D57AD" w14:textId="77777777" w:rsidR="00CE2B23" w:rsidRPr="000F086B" w:rsidRDefault="00CE2B23" w:rsidP="00861F86">
            <w:pPr>
              <w:pStyle w:val="Testocommento"/>
              <w:rPr>
                <w:lang w:val="en-US"/>
              </w:rPr>
            </w:pPr>
            <w:r w:rsidRPr="000F086B">
              <w:rPr>
                <w:rFonts w:cstheme="minorHAnsi"/>
                <w:lang w:val="en-US"/>
              </w:rPr>
              <w:t>The number of experts participating in the first Delphi round was [NUMBER], and the number of experts in the second round was [NUMBER]. This corresponds to a response rate of [NUMBER]% in the first round and [NUMBER]% in the second round.</w:t>
            </w:r>
          </w:p>
        </w:tc>
      </w:tr>
      <w:tr w:rsidR="00CE2B23" w:rsidRPr="0016050B" w14:paraId="0407EF9D" w14:textId="77777777" w:rsidTr="00861F86">
        <w:trPr>
          <w:trHeight w:val="1200"/>
        </w:trPr>
        <w:tc>
          <w:tcPr>
            <w:tcW w:w="539" w:type="pct"/>
            <w:vMerge/>
            <w:vAlign w:val="center"/>
          </w:tcPr>
          <w:p w14:paraId="282300B7" w14:textId="77777777" w:rsidR="00CE2B23" w:rsidRPr="000F086B" w:rsidRDefault="00CE2B23" w:rsidP="00861F86">
            <w:pPr>
              <w:rPr>
                <w:rFonts w:cstheme="minorHAnsi"/>
                <w:b/>
                <w:color w:val="4472C4" w:themeColor="accent5"/>
                <w:sz w:val="20"/>
                <w:szCs w:val="20"/>
                <w:lang w:val="en-US"/>
              </w:rPr>
            </w:pPr>
          </w:p>
        </w:tc>
        <w:tc>
          <w:tcPr>
            <w:tcW w:w="646" w:type="pct"/>
            <w:vAlign w:val="center"/>
          </w:tcPr>
          <w:p w14:paraId="61DF475E" w14:textId="77777777" w:rsidR="00CE2B23" w:rsidRPr="000F086B" w:rsidRDefault="00CE2B23" w:rsidP="00861F86">
            <w:pPr>
              <w:rPr>
                <w:rFonts w:cstheme="minorHAnsi"/>
                <w:b/>
                <w:sz w:val="20"/>
                <w:szCs w:val="20"/>
                <w:lang w:val="en-US"/>
              </w:rPr>
            </w:pPr>
            <w:r w:rsidRPr="000F086B">
              <w:rPr>
                <w:rFonts w:cstheme="minorHAnsi"/>
                <w:b/>
                <w:sz w:val="20"/>
                <w:szCs w:val="20"/>
                <w:lang w:val="en-US"/>
              </w:rPr>
              <w:t>Results</w:t>
            </w:r>
          </w:p>
        </w:tc>
        <w:tc>
          <w:tcPr>
            <w:tcW w:w="294" w:type="pct"/>
            <w:vAlign w:val="center"/>
          </w:tcPr>
          <w:p w14:paraId="4DC1C7A6" w14:textId="77777777" w:rsidR="00CE2B23" w:rsidRPr="000F086B" w:rsidRDefault="00CE2B23" w:rsidP="00861F86">
            <w:pPr>
              <w:rPr>
                <w:rFonts w:cstheme="minorHAnsi"/>
                <w:sz w:val="20"/>
                <w:szCs w:val="20"/>
                <w:lang w:val="en-US"/>
              </w:rPr>
            </w:pPr>
            <w:r w:rsidRPr="000F086B">
              <w:rPr>
                <w:rFonts w:cstheme="minorHAnsi"/>
                <w:sz w:val="20"/>
                <w:szCs w:val="20"/>
                <w:lang w:val="en-US"/>
              </w:rPr>
              <w:t>34</w:t>
            </w:r>
          </w:p>
        </w:tc>
        <w:tc>
          <w:tcPr>
            <w:tcW w:w="1344" w:type="pct"/>
            <w:tcBorders>
              <w:top w:val="single" w:sz="12" w:space="0" w:color="auto"/>
            </w:tcBorders>
            <w:vAlign w:val="center"/>
          </w:tcPr>
          <w:p w14:paraId="1E1517BA" w14:textId="77777777" w:rsidR="00CE2B23" w:rsidRPr="000F086B" w:rsidRDefault="00CE2B23" w:rsidP="00861F86">
            <w:pPr>
              <w:rPr>
                <w:rFonts w:cstheme="minorHAnsi"/>
                <w:sz w:val="20"/>
                <w:szCs w:val="20"/>
                <w:lang w:val="en-US"/>
              </w:rPr>
            </w:pPr>
            <w:r w:rsidRPr="000F086B">
              <w:rPr>
                <w:rFonts w:cstheme="minorHAnsi"/>
                <w:sz w:val="20"/>
                <w:szCs w:val="20"/>
                <w:lang w:val="en-US"/>
              </w:rPr>
              <w:t>Presentation of the results for each Delphi round and the final results</w:t>
            </w:r>
          </w:p>
        </w:tc>
        <w:tc>
          <w:tcPr>
            <w:tcW w:w="457" w:type="pct"/>
            <w:tcBorders>
              <w:top w:val="single" w:sz="12" w:space="0" w:color="auto"/>
            </w:tcBorders>
            <w:vAlign w:val="center"/>
          </w:tcPr>
          <w:p w14:paraId="2A3C0E0B" w14:textId="77777777" w:rsidR="00CE2B23" w:rsidRPr="000F086B" w:rsidRDefault="00CE2B23" w:rsidP="00861F86">
            <w:pPr>
              <w:rPr>
                <w:rFonts w:cstheme="minorHAnsi"/>
                <w:sz w:val="20"/>
                <w:szCs w:val="20"/>
                <w:lang w:val="en-US"/>
              </w:rPr>
            </w:pPr>
            <w:r>
              <w:rPr>
                <w:rFonts w:cstheme="minorHAnsi"/>
                <w:sz w:val="20"/>
                <w:szCs w:val="20"/>
                <w:lang w:val="en-US"/>
              </w:rPr>
              <w:t>Table 1</w:t>
            </w:r>
          </w:p>
        </w:tc>
        <w:tc>
          <w:tcPr>
            <w:tcW w:w="1720" w:type="pct"/>
            <w:tcBorders>
              <w:top w:val="single" w:sz="12" w:space="0" w:color="auto"/>
            </w:tcBorders>
            <w:vAlign w:val="center"/>
          </w:tcPr>
          <w:p w14:paraId="5CF37CCF" w14:textId="77777777" w:rsidR="00CE2B23" w:rsidRPr="000F086B" w:rsidRDefault="00CE2B23" w:rsidP="00861F86">
            <w:pPr>
              <w:rPr>
                <w:rFonts w:cstheme="minorHAnsi"/>
                <w:sz w:val="20"/>
                <w:szCs w:val="20"/>
                <w:lang w:val="en-US"/>
              </w:rPr>
            </w:pPr>
            <w:r w:rsidRPr="000F086B">
              <w:rPr>
                <w:rFonts w:cstheme="minorHAnsi"/>
                <w:sz w:val="20"/>
                <w:szCs w:val="20"/>
                <w:lang w:val="en-US"/>
              </w:rPr>
              <w:t>In the first Delphi round [NUMBER]% of the experts agreed, in the second [NUMBER]%, and in the third [NUMBER]%.</w:t>
            </w:r>
          </w:p>
        </w:tc>
      </w:tr>
      <w:tr w:rsidR="00CE2B23" w:rsidRPr="0016050B" w14:paraId="21DABFB0" w14:textId="77777777" w:rsidTr="00861F86">
        <w:tc>
          <w:tcPr>
            <w:tcW w:w="539" w:type="pct"/>
            <w:vMerge w:val="restart"/>
            <w:vAlign w:val="center"/>
          </w:tcPr>
          <w:p w14:paraId="3F80086B" w14:textId="77777777" w:rsidR="00CE2B23" w:rsidRPr="000F086B" w:rsidRDefault="00CE2B23" w:rsidP="00861F86">
            <w:pPr>
              <w:jc w:val="center"/>
              <w:rPr>
                <w:rFonts w:cstheme="minorHAnsi"/>
                <w:b/>
                <w:color w:val="4472C4" w:themeColor="accent5"/>
                <w:sz w:val="20"/>
                <w:szCs w:val="20"/>
                <w:lang w:val="en-US"/>
              </w:rPr>
            </w:pPr>
            <w:r w:rsidRPr="000F086B">
              <w:rPr>
                <w:rFonts w:cstheme="minorHAnsi"/>
                <w:b/>
                <w:color w:val="4472C4" w:themeColor="accent5"/>
                <w:sz w:val="20"/>
                <w:szCs w:val="20"/>
                <w:lang w:val="en-US"/>
              </w:rPr>
              <w:t>V Discussion</w:t>
            </w:r>
          </w:p>
        </w:tc>
        <w:tc>
          <w:tcPr>
            <w:tcW w:w="646" w:type="pct"/>
            <w:vMerge w:val="restart"/>
            <w:vAlign w:val="center"/>
          </w:tcPr>
          <w:p w14:paraId="2DCFB50F" w14:textId="77777777" w:rsidR="00CE2B23" w:rsidRPr="000F086B" w:rsidRDefault="00CE2B23" w:rsidP="00861F86">
            <w:pPr>
              <w:rPr>
                <w:rFonts w:cstheme="minorHAnsi"/>
                <w:b/>
                <w:sz w:val="20"/>
                <w:szCs w:val="20"/>
                <w:lang w:val="en-US"/>
              </w:rPr>
            </w:pPr>
            <w:r w:rsidRPr="000F086B">
              <w:rPr>
                <w:rFonts w:cstheme="minorHAnsi"/>
                <w:b/>
                <w:sz w:val="20"/>
                <w:szCs w:val="20"/>
                <w:lang w:val="en-US"/>
              </w:rPr>
              <w:t>Quality of findings</w:t>
            </w:r>
          </w:p>
        </w:tc>
        <w:tc>
          <w:tcPr>
            <w:tcW w:w="294" w:type="pct"/>
            <w:vAlign w:val="center"/>
          </w:tcPr>
          <w:p w14:paraId="1461BF2B" w14:textId="77777777" w:rsidR="00CE2B23" w:rsidRPr="000F086B" w:rsidRDefault="00CE2B23" w:rsidP="00861F86">
            <w:pPr>
              <w:rPr>
                <w:rFonts w:cstheme="minorHAnsi"/>
                <w:sz w:val="20"/>
                <w:szCs w:val="20"/>
                <w:lang w:val="en-US"/>
              </w:rPr>
            </w:pPr>
            <w:r w:rsidRPr="000F086B">
              <w:rPr>
                <w:rFonts w:cstheme="minorHAnsi"/>
                <w:sz w:val="20"/>
                <w:szCs w:val="20"/>
                <w:lang w:val="en-US"/>
              </w:rPr>
              <w:t>35</w:t>
            </w:r>
          </w:p>
        </w:tc>
        <w:tc>
          <w:tcPr>
            <w:tcW w:w="1344" w:type="pct"/>
            <w:tcBorders>
              <w:top w:val="single" w:sz="12" w:space="0" w:color="auto"/>
            </w:tcBorders>
            <w:vAlign w:val="center"/>
          </w:tcPr>
          <w:p w14:paraId="04EF8960" w14:textId="77777777" w:rsidR="00CE2B23" w:rsidRPr="000F086B" w:rsidRDefault="00CE2B23" w:rsidP="00861F86">
            <w:pPr>
              <w:rPr>
                <w:rFonts w:cstheme="minorHAnsi"/>
                <w:sz w:val="20"/>
                <w:szCs w:val="20"/>
                <w:lang w:val="en-US"/>
              </w:rPr>
            </w:pPr>
            <w:r w:rsidRPr="000F086B">
              <w:rPr>
                <w:rFonts w:cstheme="minorHAnsi"/>
                <w:sz w:val="20"/>
                <w:szCs w:val="20"/>
                <w:lang w:val="en-US"/>
              </w:rPr>
              <w:t>Highlighting the findings from the Delphi study</w:t>
            </w:r>
          </w:p>
        </w:tc>
        <w:tc>
          <w:tcPr>
            <w:tcW w:w="457" w:type="pct"/>
            <w:tcBorders>
              <w:top w:val="single" w:sz="12" w:space="0" w:color="auto"/>
            </w:tcBorders>
            <w:vAlign w:val="center"/>
          </w:tcPr>
          <w:p w14:paraId="7475D68D" w14:textId="77777777" w:rsidR="00CE2B23" w:rsidRPr="000F086B" w:rsidRDefault="00CE2B23" w:rsidP="00861F86">
            <w:pPr>
              <w:rPr>
                <w:rFonts w:cstheme="minorHAnsi"/>
                <w:sz w:val="20"/>
                <w:szCs w:val="20"/>
                <w:lang w:val="en-US"/>
              </w:rPr>
            </w:pPr>
            <w:r>
              <w:rPr>
                <w:rFonts w:cstheme="minorHAnsi"/>
                <w:sz w:val="20"/>
                <w:szCs w:val="20"/>
                <w:lang w:val="en-US"/>
              </w:rPr>
              <w:t>Pag. 14</w:t>
            </w:r>
          </w:p>
        </w:tc>
        <w:tc>
          <w:tcPr>
            <w:tcW w:w="1720" w:type="pct"/>
            <w:tcBorders>
              <w:top w:val="single" w:sz="12" w:space="0" w:color="auto"/>
            </w:tcBorders>
            <w:vAlign w:val="center"/>
          </w:tcPr>
          <w:p w14:paraId="67B4E5A4" w14:textId="77777777" w:rsidR="00CE2B23" w:rsidRPr="000F086B" w:rsidRDefault="00CE2B23" w:rsidP="00861F86">
            <w:pPr>
              <w:rPr>
                <w:rFonts w:cstheme="minorHAnsi"/>
                <w:sz w:val="20"/>
                <w:szCs w:val="20"/>
                <w:lang w:val="en-US"/>
              </w:rPr>
            </w:pPr>
            <w:r w:rsidRPr="000F086B">
              <w:rPr>
                <w:rFonts w:cstheme="minorHAnsi"/>
                <w:sz w:val="20"/>
                <w:szCs w:val="20"/>
                <w:lang w:val="en-US"/>
              </w:rPr>
              <w:t>The central findings can be summarized as follows: [STATE FINDINGS].</w:t>
            </w:r>
          </w:p>
        </w:tc>
      </w:tr>
      <w:tr w:rsidR="00CE2B23" w:rsidRPr="0016050B" w14:paraId="1F721B0B" w14:textId="77777777" w:rsidTr="00861F86">
        <w:tc>
          <w:tcPr>
            <w:tcW w:w="539" w:type="pct"/>
            <w:vMerge/>
            <w:vAlign w:val="center"/>
          </w:tcPr>
          <w:p w14:paraId="5FF8871F"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5C649557" w14:textId="77777777" w:rsidR="00CE2B23" w:rsidRPr="000F086B" w:rsidRDefault="00CE2B23" w:rsidP="00861F86">
            <w:pPr>
              <w:rPr>
                <w:rFonts w:cstheme="minorHAnsi"/>
                <w:b/>
                <w:sz w:val="20"/>
                <w:szCs w:val="20"/>
                <w:lang w:val="en-US"/>
              </w:rPr>
            </w:pPr>
          </w:p>
        </w:tc>
        <w:tc>
          <w:tcPr>
            <w:tcW w:w="294" w:type="pct"/>
            <w:vAlign w:val="center"/>
          </w:tcPr>
          <w:p w14:paraId="19C205B9"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36</w:t>
            </w:r>
          </w:p>
        </w:tc>
        <w:tc>
          <w:tcPr>
            <w:tcW w:w="1344" w:type="pct"/>
            <w:tcBorders>
              <w:top w:val="single" w:sz="4" w:space="0" w:color="auto"/>
            </w:tcBorders>
            <w:vAlign w:val="center"/>
          </w:tcPr>
          <w:p w14:paraId="436238E3"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Validity of the results (e.g., transferability of the findings)</w:t>
            </w:r>
          </w:p>
        </w:tc>
        <w:tc>
          <w:tcPr>
            <w:tcW w:w="457" w:type="pct"/>
            <w:tcBorders>
              <w:top w:val="single" w:sz="4" w:space="0" w:color="auto"/>
            </w:tcBorders>
            <w:vAlign w:val="center"/>
          </w:tcPr>
          <w:p w14:paraId="2A2D3C86" w14:textId="77777777" w:rsidR="00CE2B23" w:rsidRPr="000F086B" w:rsidRDefault="00CE2B23" w:rsidP="00861F86">
            <w:pPr>
              <w:keepLines/>
              <w:rPr>
                <w:rFonts w:cstheme="minorHAnsi"/>
                <w:sz w:val="20"/>
                <w:szCs w:val="20"/>
                <w:lang w:val="en-US"/>
              </w:rPr>
            </w:pPr>
            <w:r>
              <w:rPr>
                <w:rFonts w:cstheme="minorHAnsi"/>
                <w:sz w:val="20"/>
                <w:szCs w:val="20"/>
                <w:lang w:val="en-US"/>
              </w:rPr>
              <w:t>Pag. 14</w:t>
            </w:r>
          </w:p>
        </w:tc>
        <w:tc>
          <w:tcPr>
            <w:tcW w:w="1720" w:type="pct"/>
            <w:tcBorders>
              <w:top w:val="single" w:sz="4" w:space="0" w:color="auto"/>
            </w:tcBorders>
            <w:vAlign w:val="center"/>
          </w:tcPr>
          <w:p w14:paraId="2477B547" w14:textId="77777777" w:rsidR="00CE2B23" w:rsidRPr="000F086B" w:rsidRDefault="00CE2B23" w:rsidP="00861F86">
            <w:pPr>
              <w:keepLines/>
              <w:rPr>
                <w:rFonts w:cstheme="minorHAnsi"/>
                <w:sz w:val="20"/>
                <w:szCs w:val="20"/>
                <w:lang w:val="en-US"/>
              </w:rPr>
            </w:pPr>
            <w:r w:rsidRPr="000F086B">
              <w:rPr>
                <w:rFonts w:cstheme="minorHAnsi"/>
                <w:sz w:val="20"/>
                <w:szCs w:val="20"/>
                <w:lang w:val="en-US"/>
              </w:rPr>
              <w:t>The results are not transferable to other countries due to different legal regulations.</w:t>
            </w:r>
          </w:p>
        </w:tc>
      </w:tr>
      <w:tr w:rsidR="00CE2B23" w:rsidRPr="0016050B" w14:paraId="39CF22F6" w14:textId="77777777" w:rsidTr="00861F86">
        <w:tc>
          <w:tcPr>
            <w:tcW w:w="539" w:type="pct"/>
            <w:vMerge/>
            <w:vAlign w:val="center"/>
          </w:tcPr>
          <w:p w14:paraId="77843BF3"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26FCDA02" w14:textId="77777777" w:rsidR="00CE2B23" w:rsidRPr="000F086B" w:rsidRDefault="00CE2B23" w:rsidP="00861F86">
            <w:pPr>
              <w:rPr>
                <w:rFonts w:cstheme="minorHAnsi"/>
                <w:b/>
                <w:sz w:val="20"/>
                <w:szCs w:val="20"/>
                <w:lang w:val="en-US"/>
              </w:rPr>
            </w:pPr>
          </w:p>
        </w:tc>
        <w:tc>
          <w:tcPr>
            <w:tcW w:w="294" w:type="pct"/>
            <w:vAlign w:val="center"/>
          </w:tcPr>
          <w:p w14:paraId="4D443499" w14:textId="77777777" w:rsidR="00CE2B23" w:rsidRPr="000F086B" w:rsidRDefault="00CE2B23" w:rsidP="00861F86">
            <w:pPr>
              <w:rPr>
                <w:rFonts w:cstheme="minorHAnsi"/>
                <w:sz w:val="20"/>
                <w:szCs w:val="20"/>
                <w:lang w:val="en-US"/>
              </w:rPr>
            </w:pPr>
            <w:r w:rsidRPr="000F086B">
              <w:rPr>
                <w:rFonts w:cstheme="minorHAnsi"/>
                <w:sz w:val="20"/>
                <w:szCs w:val="20"/>
                <w:lang w:val="en-US"/>
              </w:rPr>
              <w:t>37</w:t>
            </w:r>
          </w:p>
        </w:tc>
        <w:tc>
          <w:tcPr>
            <w:tcW w:w="1344" w:type="pct"/>
            <w:tcBorders>
              <w:top w:val="single" w:sz="4" w:space="0" w:color="auto"/>
            </w:tcBorders>
            <w:vAlign w:val="center"/>
          </w:tcPr>
          <w:p w14:paraId="4CA2C26C" w14:textId="77777777" w:rsidR="00CE2B23" w:rsidRPr="000F086B" w:rsidRDefault="00CE2B23" w:rsidP="00861F86">
            <w:pPr>
              <w:rPr>
                <w:rFonts w:cstheme="minorHAnsi"/>
                <w:sz w:val="20"/>
                <w:szCs w:val="20"/>
                <w:lang w:val="en-US"/>
              </w:rPr>
            </w:pPr>
            <w:r w:rsidRPr="000F086B">
              <w:rPr>
                <w:rFonts w:cstheme="minorHAnsi"/>
                <w:sz w:val="20"/>
                <w:szCs w:val="20"/>
                <w:lang w:val="en-US"/>
              </w:rPr>
              <w:t>Reliability of the results (e.g., split half, inter-rater reliability)</w:t>
            </w:r>
          </w:p>
        </w:tc>
        <w:tc>
          <w:tcPr>
            <w:tcW w:w="457" w:type="pct"/>
            <w:tcBorders>
              <w:top w:val="single" w:sz="4" w:space="0" w:color="auto"/>
            </w:tcBorders>
            <w:vAlign w:val="center"/>
          </w:tcPr>
          <w:p w14:paraId="1B099835" w14:textId="77777777" w:rsidR="00CE2B23" w:rsidRPr="000F086B" w:rsidRDefault="00CE2B23" w:rsidP="00861F86">
            <w:pPr>
              <w:rPr>
                <w:rFonts w:cstheme="minorHAnsi"/>
                <w:sz w:val="20"/>
                <w:szCs w:val="20"/>
                <w:lang w:val="en-US"/>
              </w:rPr>
            </w:pPr>
            <w:r>
              <w:rPr>
                <w:rFonts w:cstheme="minorHAnsi"/>
                <w:sz w:val="20"/>
                <w:szCs w:val="20"/>
                <w:lang w:val="en-US"/>
              </w:rPr>
              <w:t>Pag. 14-15</w:t>
            </w:r>
          </w:p>
        </w:tc>
        <w:tc>
          <w:tcPr>
            <w:tcW w:w="1720" w:type="pct"/>
            <w:tcBorders>
              <w:top w:val="single" w:sz="4" w:space="0" w:color="auto"/>
            </w:tcBorders>
            <w:vAlign w:val="center"/>
          </w:tcPr>
          <w:p w14:paraId="5A20DD1A" w14:textId="77777777" w:rsidR="00CE2B23" w:rsidRPr="000F086B" w:rsidRDefault="00CE2B23" w:rsidP="00861F86">
            <w:pPr>
              <w:rPr>
                <w:rFonts w:cstheme="minorHAnsi"/>
                <w:sz w:val="20"/>
                <w:szCs w:val="20"/>
                <w:lang w:val="en-US"/>
              </w:rPr>
            </w:pPr>
            <w:r w:rsidRPr="000F086B">
              <w:rPr>
                <w:rFonts w:cstheme="minorHAnsi"/>
                <w:sz w:val="20"/>
                <w:szCs w:val="20"/>
                <w:lang w:val="en-US"/>
              </w:rPr>
              <w:t>The responses in the free-text comments were analyzed by two independent reviewers [SPECIFY].</w:t>
            </w:r>
          </w:p>
        </w:tc>
      </w:tr>
      <w:tr w:rsidR="00CE2B23" w:rsidRPr="0016050B" w14:paraId="32C6DB05" w14:textId="77777777" w:rsidTr="00861F86">
        <w:tc>
          <w:tcPr>
            <w:tcW w:w="539" w:type="pct"/>
            <w:vMerge/>
            <w:vAlign w:val="center"/>
          </w:tcPr>
          <w:p w14:paraId="5A7CFC26" w14:textId="77777777" w:rsidR="00CE2B23" w:rsidRPr="000F086B" w:rsidRDefault="00CE2B23" w:rsidP="00861F86">
            <w:pPr>
              <w:rPr>
                <w:rFonts w:cstheme="minorHAnsi"/>
                <w:b/>
                <w:color w:val="4472C4" w:themeColor="accent5"/>
                <w:sz w:val="20"/>
                <w:szCs w:val="20"/>
                <w:lang w:val="en-US"/>
              </w:rPr>
            </w:pPr>
          </w:p>
        </w:tc>
        <w:tc>
          <w:tcPr>
            <w:tcW w:w="646" w:type="pct"/>
            <w:vMerge/>
            <w:vAlign w:val="center"/>
          </w:tcPr>
          <w:p w14:paraId="07E23445" w14:textId="77777777" w:rsidR="00CE2B23" w:rsidRPr="000F086B" w:rsidRDefault="00CE2B23" w:rsidP="00861F86">
            <w:pPr>
              <w:rPr>
                <w:rFonts w:cstheme="minorHAnsi"/>
                <w:b/>
                <w:sz w:val="20"/>
                <w:szCs w:val="20"/>
                <w:lang w:val="en-US"/>
              </w:rPr>
            </w:pPr>
          </w:p>
        </w:tc>
        <w:tc>
          <w:tcPr>
            <w:tcW w:w="294" w:type="pct"/>
            <w:vAlign w:val="center"/>
          </w:tcPr>
          <w:p w14:paraId="0BFBF537" w14:textId="77777777" w:rsidR="00CE2B23" w:rsidRPr="000F086B" w:rsidRDefault="00CE2B23" w:rsidP="00861F86">
            <w:pPr>
              <w:rPr>
                <w:rFonts w:cstheme="minorHAnsi"/>
                <w:sz w:val="20"/>
                <w:szCs w:val="20"/>
                <w:lang w:val="en-US"/>
              </w:rPr>
            </w:pPr>
            <w:r w:rsidRPr="000F086B">
              <w:rPr>
                <w:rFonts w:cstheme="minorHAnsi"/>
                <w:sz w:val="20"/>
                <w:szCs w:val="20"/>
                <w:lang w:val="en-US"/>
              </w:rPr>
              <w:t>38</w:t>
            </w:r>
          </w:p>
        </w:tc>
        <w:tc>
          <w:tcPr>
            <w:tcW w:w="1344" w:type="pct"/>
            <w:tcBorders>
              <w:bottom w:val="single" w:sz="12" w:space="0" w:color="auto"/>
            </w:tcBorders>
            <w:vAlign w:val="center"/>
          </w:tcPr>
          <w:p w14:paraId="5BFAF0A8" w14:textId="77777777" w:rsidR="00CE2B23" w:rsidRPr="000F086B" w:rsidRDefault="00CE2B23" w:rsidP="00861F86">
            <w:pPr>
              <w:rPr>
                <w:rFonts w:cstheme="minorHAnsi"/>
                <w:sz w:val="20"/>
                <w:szCs w:val="20"/>
                <w:lang w:val="en-US"/>
              </w:rPr>
            </w:pPr>
            <w:r w:rsidRPr="000F086B">
              <w:rPr>
                <w:rFonts w:cstheme="minorHAnsi"/>
                <w:sz w:val="20"/>
                <w:szCs w:val="20"/>
                <w:lang w:val="en-US"/>
              </w:rPr>
              <w:t>Reflection on potential limitations (e.g., number of experts, response bias)</w:t>
            </w:r>
          </w:p>
        </w:tc>
        <w:tc>
          <w:tcPr>
            <w:tcW w:w="457" w:type="pct"/>
            <w:tcBorders>
              <w:bottom w:val="single" w:sz="12" w:space="0" w:color="auto"/>
            </w:tcBorders>
            <w:vAlign w:val="center"/>
          </w:tcPr>
          <w:p w14:paraId="44EF4748" w14:textId="77777777" w:rsidR="00CE2B23" w:rsidRPr="000F086B" w:rsidRDefault="00CE2B23" w:rsidP="00861F86">
            <w:pPr>
              <w:rPr>
                <w:rFonts w:cstheme="minorHAnsi"/>
                <w:sz w:val="20"/>
                <w:szCs w:val="20"/>
                <w:lang w:val="en-US"/>
              </w:rPr>
            </w:pPr>
            <w:r>
              <w:rPr>
                <w:rFonts w:cstheme="minorHAnsi"/>
                <w:sz w:val="20"/>
                <w:szCs w:val="20"/>
                <w:lang w:val="en-US"/>
              </w:rPr>
              <w:t>Pag. 14-15</w:t>
            </w:r>
          </w:p>
        </w:tc>
        <w:tc>
          <w:tcPr>
            <w:tcW w:w="1720" w:type="pct"/>
            <w:tcBorders>
              <w:bottom w:val="single" w:sz="12" w:space="0" w:color="auto"/>
            </w:tcBorders>
            <w:vAlign w:val="center"/>
          </w:tcPr>
          <w:p w14:paraId="2A8E5E5D" w14:textId="77777777" w:rsidR="00CE2B23" w:rsidRPr="000F086B" w:rsidRDefault="00CE2B23" w:rsidP="00861F86">
            <w:pPr>
              <w:rPr>
                <w:rFonts w:cstheme="minorHAnsi"/>
                <w:sz w:val="20"/>
                <w:szCs w:val="20"/>
                <w:lang w:val="en-US"/>
              </w:rPr>
            </w:pPr>
            <w:r w:rsidRPr="000F086B">
              <w:rPr>
                <w:rFonts w:cstheme="minorHAnsi"/>
                <w:sz w:val="20"/>
                <w:szCs w:val="20"/>
                <w:lang w:val="en-US"/>
              </w:rPr>
              <w:t>The results are to be viewed critically with regard to the composition of the panel because [REASONS].</w:t>
            </w:r>
          </w:p>
        </w:tc>
      </w:tr>
    </w:tbl>
    <w:p w14:paraId="11CD225D" w14:textId="77777777" w:rsidR="00CE2B23" w:rsidRPr="0039088A" w:rsidRDefault="00CE2B23" w:rsidP="00CE2B23">
      <w:pPr>
        <w:pStyle w:val="Nessunaspaziatura"/>
        <w:rPr>
          <w:rFonts w:cstheme="minorHAnsi"/>
          <w:sz w:val="20"/>
          <w:lang w:val="en-US"/>
        </w:rPr>
      </w:pPr>
      <w:r w:rsidRPr="0039088A">
        <w:rPr>
          <w:rFonts w:cstheme="minorHAnsi"/>
          <w:sz w:val="20"/>
          <w:lang w:val="en-US"/>
        </w:rPr>
        <w:t xml:space="preserve"> </w:t>
      </w:r>
      <w:r w:rsidRPr="0039088A">
        <w:rPr>
          <w:rFonts w:cstheme="minorHAnsi"/>
          <w:sz w:val="20"/>
          <w:vertAlign w:val="superscript"/>
          <w:lang w:val="en-US"/>
        </w:rPr>
        <w:t>1</w:t>
      </w:r>
      <w:r w:rsidRPr="0039088A">
        <w:rPr>
          <w:rFonts w:cstheme="minorHAnsi"/>
          <w:sz w:val="20"/>
          <w:lang w:val="en-US"/>
        </w:rPr>
        <w:t xml:space="preserve"> “Experts” are the participants; </w:t>
      </w:r>
      <w:r>
        <w:rPr>
          <w:rFonts w:cstheme="minorHAnsi"/>
          <w:sz w:val="20"/>
          <w:lang w:val="en-US"/>
        </w:rPr>
        <w:t>these</w:t>
      </w:r>
      <w:r w:rsidRPr="0039088A">
        <w:rPr>
          <w:rFonts w:cstheme="minorHAnsi"/>
          <w:sz w:val="20"/>
          <w:lang w:val="en-US"/>
        </w:rPr>
        <w:t xml:space="preserve"> can be people from academia, practice, or representatives of lived experience (e.g., patients, family members).</w:t>
      </w:r>
    </w:p>
    <w:p w14:paraId="05AC1192" w14:textId="77777777" w:rsidR="00CE2B23" w:rsidRPr="000D4CA6" w:rsidRDefault="00CE2B23" w:rsidP="00CE2B23">
      <w:pPr>
        <w:pStyle w:val="Nessunaspaziatura"/>
        <w:rPr>
          <w:rFonts w:cstheme="minorHAnsi"/>
          <w:sz w:val="20"/>
          <w:lang w:val="en-US"/>
        </w:rPr>
      </w:pPr>
      <w:r w:rsidRPr="0039088A">
        <w:rPr>
          <w:rFonts w:cstheme="minorHAnsi"/>
          <w:sz w:val="20"/>
          <w:lang w:val="en-US"/>
        </w:rPr>
        <w:t xml:space="preserve"> </w:t>
      </w:r>
      <w:r w:rsidRPr="0039088A">
        <w:rPr>
          <w:rFonts w:cstheme="minorHAnsi"/>
          <w:sz w:val="20"/>
          <w:vertAlign w:val="superscript"/>
          <w:lang w:val="en-US"/>
        </w:rPr>
        <w:t xml:space="preserve">2 </w:t>
      </w:r>
      <w:r w:rsidRPr="0039088A">
        <w:rPr>
          <w:rFonts w:cstheme="minorHAnsi"/>
          <w:sz w:val="20"/>
          <w:lang w:val="en-US"/>
        </w:rPr>
        <w:t>The term “questionnaire” stands for the survey instrument regardless of whether quantitative or qualitative items are integrated or weighted.</w:t>
      </w:r>
    </w:p>
    <w:p w14:paraId="752669EB" w14:textId="77777777" w:rsidR="00CE2B23" w:rsidRDefault="00CE2B23">
      <w:pPr>
        <w:spacing w:after="160" w:line="259" w:lineRule="auto"/>
        <w:rPr>
          <w:b/>
          <w:bCs/>
          <w:lang w:val="en-US"/>
        </w:rPr>
      </w:pPr>
      <w:r>
        <w:rPr>
          <w:b/>
          <w:bCs/>
          <w:lang w:val="en-US"/>
        </w:rPr>
        <w:br w:type="page"/>
      </w:r>
    </w:p>
    <w:p w14:paraId="5CF7EBB7" w14:textId="5B708042" w:rsidR="00BC313C" w:rsidRPr="00DA28D1" w:rsidRDefault="00CE2B23" w:rsidP="00BB2244">
      <w:pPr>
        <w:spacing w:line="480" w:lineRule="auto"/>
        <w:jc w:val="both"/>
        <w:rPr>
          <w:b/>
          <w:bCs/>
          <w:lang w:val="en-US"/>
        </w:rPr>
      </w:pPr>
      <w:r>
        <w:rPr>
          <w:b/>
          <w:bCs/>
          <w:lang w:val="en-US"/>
        </w:rPr>
        <w:lastRenderedPageBreak/>
        <w:t xml:space="preserve">SYSTEMATIC REVIEW - </w:t>
      </w:r>
      <w:r w:rsidR="00B01054">
        <w:rPr>
          <w:b/>
          <w:bCs/>
          <w:lang w:val="en-US"/>
        </w:rPr>
        <w:t>MATERIALS AND METHODS</w:t>
      </w:r>
    </w:p>
    <w:p w14:paraId="5CF7EBB8" w14:textId="412A6363" w:rsidR="00BC313C" w:rsidRDefault="00BC313C" w:rsidP="00BB2244">
      <w:pPr>
        <w:spacing w:line="480" w:lineRule="auto"/>
        <w:jc w:val="both"/>
        <w:rPr>
          <w:lang w:val="en-US"/>
        </w:rPr>
      </w:pPr>
      <w:r w:rsidRPr="00DA28D1">
        <w:rPr>
          <w:lang w:val="en-US"/>
        </w:rPr>
        <w:t xml:space="preserve">A </w:t>
      </w:r>
      <w:r w:rsidR="00DE6769">
        <w:rPr>
          <w:lang w:val="en-US"/>
        </w:rPr>
        <w:t xml:space="preserve">narrative review consisting in a </w:t>
      </w:r>
      <w:r w:rsidRPr="00DA28D1">
        <w:rPr>
          <w:lang w:val="en-US"/>
        </w:rPr>
        <w:t xml:space="preserve">systematic review and meta-analysis </w:t>
      </w:r>
      <w:r w:rsidR="00DE6769">
        <w:rPr>
          <w:lang w:val="en-US"/>
        </w:rPr>
        <w:t xml:space="preserve">(when applicable) </w:t>
      </w:r>
      <w:r w:rsidRPr="00DA28D1">
        <w:rPr>
          <w:lang w:val="en-US"/>
        </w:rPr>
        <w:t>investigating</w:t>
      </w:r>
      <w:r w:rsidR="008E06D3">
        <w:rPr>
          <w:lang w:val="en-US"/>
        </w:rPr>
        <w:t xml:space="preserve"> </w:t>
      </w:r>
      <w:r w:rsidR="004A1F1C">
        <w:rPr>
          <w:lang w:val="en-US"/>
        </w:rPr>
        <w:t xml:space="preserve">different questions about </w:t>
      </w:r>
      <w:r w:rsidR="004A1F1C" w:rsidRPr="00B03248">
        <w:rPr>
          <w:i/>
          <w:iCs/>
          <w:lang w:val="en-US"/>
        </w:rPr>
        <w:t>E. faecium</w:t>
      </w:r>
      <w:r w:rsidR="004A1F1C">
        <w:rPr>
          <w:lang w:val="en-US"/>
        </w:rPr>
        <w:t xml:space="preserve"> BSI was performed.</w:t>
      </w:r>
      <w:r w:rsidR="00F635EB">
        <w:rPr>
          <w:lang w:val="en-US"/>
        </w:rPr>
        <w:t xml:space="preserve"> </w:t>
      </w:r>
      <w:r w:rsidRPr="00DA28D1">
        <w:rPr>
          <w:lang w:val="en-US"/>
        </w:rPr>
        <w:t xml:space="preserve">The </w:t>
      </w:r>
      <w:r w:rsidR="00DE6769">
        <w:rPr>
          <w:lang w:val="en-US"/>
        </w:rPr>
        <w:t>study</w:t>
      </w:r>
      <w:r w:rsidRPr="00DA28D1">
        <w:rPr>
          <w:lang w:val="en-US"/>
        </w:rPr>
        <w:t xml:space="preserve"> was registered in the PROSPERO database, number</w:t>
      </w:r>
      <w:r w:rsidR="00F635EB">
        <w:rPr>
          <w:lang w:val="en-US"/>
        </w:rPr>
        <w:t xml:space="preserve"> </w:t>
      </w:r>
      <w:r w:rsidR="00F635EB" w:rsidRPr="00F635EB">
        <w:rPr>
          <w:lang w:val="en-US"/>
        </w:rPr>
        <w:t>CRD42024505969</w:t>
      </w:r>
      <w:r w:rsidRPr="00DA28D1">
        <w:rPr>
          <w:lang w:val="en-US"/>
        </w:rPr>
        <w:t>, and was conducted according to the Preferred Reporting Items for Systematic Review and Meta-Analyses (PRISMA) guidelines</w:t>
      </w:r>
      <w:r w:rsidR="00C77340">
        <w:rPr>
          <w:lang w:val="en-US"/>
        </w:rPr>
        <w:t xml:space="preserve"> </w:t>
      </w:r>
      <w:r w:rsidR="001020C9" w:rsidRPr="00EC59B9">
        <w:rPr>
          <w:vertAlign w:val="superscript"/>
          <w:lang w:val="en-US"/>
        </w:rPr>
        <w:fldChar w:fldCharType="begin"/>
      </w:r>
      <w:r w:rsidR="00CA69E8">
        <w:rPr>
          <w:vertAlign w:val="superscript"/>
          <w:lang w:val="en-US"/>
        </w:rPr>
        <w:instrText xml:space="preserve"> ADDIN ZOTERO_ITEM CSL_CITATION {"citationID":"VvdDqEST","properties":{"formattedCitation":"(1)","plainCitation":"(1)","noteIndex":0},"citationItems":[{"id":19,"uris":["http://zotero.org/users/9228761/items/4V4L6WB7"],"itemData":{"id":19,"type":"article-journal","container-title":"PLoS medicine","DOI":"10.1371/journal.pmed.1000097","ISSN":"1549-1676","issue":"7","journalAbbreviation":"PLoS Med","language":"eng","page":"e1000097","PMID":"19621072","PMCID":"PMC2707599","source":"PubMed","title":"Preferred reporting items for systematic reviews and meta-analyses: the PRISMA statement","title-short":"Preferred reporting items for systematic reviews and meta-analyses","volume":"6","author":[{"family":"Moher","given":"David"},{"family":"Liberati","given":"Alessandro"},{"family":"Tetzlaff","given":"Jennifer"},{"family":"Altman","given":"Douglas G."},{"literal":"PRISMA Group"}],"issued":{"date-parts":[["2009",7,21]]}}}],"schema":"https://github.com/citation-style-language/schema/raw/master/csl-citation.json"} </w:instrText>
      </w:r>
      <w:r w:rsidR="001020C9" w:rsidRPr="00EC59B9">
        <w:rPr>
          <w:vertAlign w:val="superscript"/>
          <w:lang w:val="en-US"/>
        </w:rPr>
        <w:fldChar w:fldCharType="separate"/>
      </w:r>
      <w:r w:rsidR="00CA69E8" w:rsidRPr="00CA69E8">
        <w:t>(1)</w:t>
      </w:r>
      <w:r w:rsidR="001020C9" w:rsidRPr="00EC59B9">
        <w:rPr>
          <w:vertAlign w:val="superscript"/>
          <w:lang w:val="en-US"/>
        </w:rPr>
        <w:fldChar w:fldCharType="end"/>
      </w:r>
      <w:r w:rsidR="00693196">
        <w:rPr>
          <w:lang w:val="en-US"/>
        </w:rPr>
        <w:t>.</w:t>
      </w:r>
    </w:p>
    <w:p w14:paraId="376ABD1F" w14:textId="77777777" w:rsidR="00CB49BB" w:rsidRDefault="00CB49BB" w:rsidP="00BB2244">
      <w:pPr>
        <w:spacing w:line="480" w:lineRule="auto"/>
        <w:jc w:val="both"/>
        <w:rPr>
          <w:lang w:val="en-US"/>
        </w:rPr>
      </w:pPr>
    </w:p>
    <w:p w14:paraId="7EC47C29" w14:textId="0A08D491" w:rsidR="00917904" w:rsidRDefault="00B03248" w:rsidP="00917904">
      <w:pPr>
        <w:spacing w:line="480" w:lineRule="auto"/>
        <w:jc w:val="both"/>
        <w:rPr>
          <w:i/>
          <w:lang w:val="en-US"/>
        </w:rPr>
      </w:pPr>
      <w:r>
        <w:rPr>
          <w:i/>
          <w:lang w:val="en-US"/>
        </w:rPr>
        <w:t xml:space="preserve">1. </w:t>
      </w:r>
      <w:r w:rsidR="00917904" w:rsidRPr="00917904">
        <w:rPr>
          <w:i/>
          <w:lang w:val="en-US"/>
        </w:rPr>
        <w:t>Are mortality rates higher in patients with E. faecium bloodstream infection (BSI)</w:t>
      </w:r>
      <w:r w:rsidR="002A29AB">
        <w:rPr>
          <w:i/>
          <w:lang w:val="en-US"/>
        </w:rPr>
        <w:t xml:space="preserve"> </w:t>
      </w:r>
      <w:r w:rsidR="00917904" w:rsidRPr="00917904">
        <w:rPr>
          <w:i/>
          <w:lang w:val="en-US"/>
        </w:rPr>
        <w:t>compared to other BSIs?</w:t>
      </w:r>
    </w:p>
    <w:p w14:paraId="5CF7EBB9" w14:textId="6AE8C46D" w:rsidR="003B26EA" w:rsidRDefault="003B26EA" w:rsidP="00917904">
      <w:pPr>
        <w:spacing w:line="480" w:lineRule="auto"/>
        <w:jc w:val="both"/>
        <w:rPr>
          <w:i/>
          <w:lang w:val="en-US"/>
        </w:rPr>
      </w:pPr>
      <w:r w:rsidRPr="003B26EA">
        <w:rPr>
          <w:i/>
          <w:lang w:val="en-US"/>
        </w:rPr>
        <w:t>PECO</w:t>
      </w:r>
      <w:r>
        <w:rPr>
          <w:i/>
          <w:lang w:val="en-US"/>
        </w:rPr>
        <w:t xml:space="preserve"> question</w:t>
      </w:r>
    </w:p>
    <w:p w14:paraId="5CF7EBBA" w14:textId="14E628A1" w:rsidR="003B26EA" w:rsidRPr="0000564F" w:rsidRDefault="003B26EA" w:rsidP="00BB2244">
      <w:pPr>
        <w:spacing w:line="480" w:lineRule="auto"/>
        <w:jc w:val="both"/>
        <w:rPr>
          <w:lang w:val="en-US"/>
        </w:rPr>
      </w:pPr>
      <w:r w:rsidRPr="0000564F">
        <w:rPr>
          <w:i/>
          <w:lang w:val="en-US"/>
        </w:rPr>
        <w:t>P</w:t>
      </w:r>
      <w:r w:rsidR="00CB49BB">
        <w:rPr>
          <w:i/>
          <w:lang w:val="en-US"/>
        </w:rPr>
        <w:t>:</w:t>
      </w:r>
      <w:r w:rsidR="0000564F" w:rsidRPr="0000564F">
        <w:rPr>
          <w:lang w:val="en-US"/>
        </w:rPr>
        <w:t xml:space="preserve"> </w:t>
      </w:r>
      <w:r w:rsidR="00B03248">
        <w:rPr>
          <w:lang w:val="en-US"/>
        </w:rPr>
        <w:t>hospitalized patients with bacteremia</w:t>
      </w:r>
    </w:p>
    <w:p w14:paraId="5CF7EBBB" w14:textId="5CB15E36" w:rsidR="003B26EA" w:rsidRPr="00EE531B" w:rsidRDefault="003B26EA" w:rsidP="00BB2244">
      <w:pPr>
        <w:spacing w:line="480" w:lineRule="auto"/>
        <w:jc w:val="both"/>
        <w:rPr>
          <w:lang w:val="en-US"/>
        </w:rPr>
      </w:pPr>
      <w:r w:rsidRPr="00EE531B">
        <w:rPr>
          <w:i/>
          <w:lang w:val="en-US"/>
        </w:rPr>
        <w:t>E</w:t>
      </w:r>
      <w:r w:rsidR="00CB49BB">
        <w:rPr>
          <w:i/>
          <w:lang w:val="en-US"/>
        </w:rPr>
        <w:t>:</w:t>
      </w:r>
      <w:r w:rsidR="00EE531B" w:rsidRPr="00EE531B">
        <w:rPr>
          <w:lang w:val="en-US"/>
        </w:rPr>
        <w:t xml:space="preserve"> </w:t>
      </w:r>
      <w:r w:rsidR="00B03248" w:rsidRPr="00B43467">
        <w:rPr>
          <w:i/>
          <w:iCs/>
          <w:lang w:val="en-US"/>
        </w:rPr>
        <w:t>E. faecium</w:t>
      </w:r>
      <w:r w:rsidR="00B03248">
        <w:rPr>
          <w:lang w:val="en-US"/>
        </w:rPr>
        <w:t xml:space="preserve"> BSIs </w:t>
      </w:r>
    </w:p>
    <w:p w14:paraId="5CF7EBBC" w14:textId="79036581" w:rsidR="003B26EA" w:rsidRPr="00EE531B" w:rsidRDefault="003B26EA" w:rsidP="00BB2244">
      <w:pPr>
        <w:spacing w:line="480" w:lineRule="auto"/>
        <w:jc w:val="both"/>
        <w:rPr>
          <w:lang w:val="en-US"/>
        </w:rPr>
      </w:pPr>
      <w:r>
        <w:rPr>
          <w:i/>
          <w:lang w:val="en-US"/>
        </w:rPr>
        <w:t>C</w:t>
      </w:r>
      <w:r w:rsidR="00CB49BB">
        <w:rPr>
          <w:i/>
          <w:lang w:val="en-US"/>
        </w:rPr>
        <w:t xml:space="preserve">: </w:t>
      </w:r>
      <w:r w:rsidR="00B43467" w:rsidRPr="00B43467">
        <w:rPr>
          <w:iCs/>
          <w:lang w:val="en-US"/>
        </w:rPr>
        <w:t xml:space="preserve">Bacterial </w:t>
      </w:r>
      <w:r w:rsidR="00B03248">
        <w:rPr>
          <w:lang w:val="en-US"/>
        </w:rPr>
        <w:t xml:space="preserve">BSIs </w:t>
      </w:r>
      <w:r w:rsidR="00B43467">
        <w:rPr>
          <w:lang w:val="en-US"/>
        </w:rPr>
        <w:t>(</w:t>
      </w:r>
      <w:r w:rsidR="00B03248">
        <w:rPr>
          <w:lang w:val="en-US"/>
        </w:rPr>
        <w:t xml:space="preserve">other than </w:t>
      </w:r>
      <w:r w:rsidR="00B03248" w:rsidRPr="00B43467">
        <w:rPr>
          <w:i/>
          <w:iCs/>
          <w:lang w:val="en-US"/>
        </w:rPr>
        <w:t>E. fa</w:t>
      </w:r>
      <w:r w:rsidR="00B43467">
        <w:rPr>
          <w:i/>
          <w:iCs/>
          <w:lang w:val="en-US"/>
        </w:rPr>
        <w:t>e</w:t>
      </w:r>
      <w:r w:rsidR="00B03248" w:rsidRPr="00B43467">
        <w:rPr>
          <w:i/>
          <w:iCs/>
          <w:lang w:val="en-US"/>
        </w:rPr>
        <w:t>cium</w:t>
      </w:r>
      <w:r w:rsidR="00B43467">
        <w:rPr>
          <w:lang w:val="en-US"/>
        </w:rPr>
        <w:t>)</w:t>
      </w:r>
    </w:p>
    <w:p w14:paraId="5CF7EBBD" w14:textId="747A9F40" w:rsidR="003B26EA" w:rsidRDefault="003B26EA" w:rsidP="00CB49BB">
      <w:pPr>
        <w:spacing w:line="480" w:lineRule="auto"/>
        <w:jc w:val="both"/>
        <w:rPr>
          <w:iCs/>
          <w:lang w:val="en-US"/>
        </w:rPr>
      </w:pPr>
      <w:r>
        <w:rPr>
          <w:i/>
          <w:lang w:val="en-US"/>
        </w:rPr>
        <w:t>O</w:t>
      </w:r>
      <w:r w:rsidR="00CB49BB">
        <w:rPr>
          <w:i/>
          <w:lang w:val="en-US"/>
        </w:rPr>
        <w:t>:</w:t>
      </w:r>
      <w:r w:rsidR="0000564F">
        <w:rPr>
          <w:i/>
          <w:lang w:val="en-US"/>
        </w:rPr>
        <w:t xml:space="preserve"> </w:t>
      </w:r>
      <w:r w:rsidR="00917904" w:rsidRPr="00917904">
        <w:rPr>
          <w:iCs/>
          <w:lang w:val="en-US"/>
        </w:rPr>
        <w:t>Overall mortality</w:t>
      </w:r>
    </w:p>
    <w:p w14:paraId="741B957E" w14:textId="77777777" w:rsidR="00B43467" w:rsidRDefault="00B43467" w:rsidP="00917904">
      <w:pPr>
        <w:spacing w:line="480" w:lineRule="auto"/>
        <w:jc w:val="both"/>
        <w:rPr>
          <w:iCs/>
          <w:lang w:val="en-US"/>
        </w:rPr>
      </w:pPr>
    </w:p>
    <w:p w14:paraId="3E355A17" w14:textId="5D11C843" w:rsidR="00B43467" w:rsidRPr="00B43467" w:rsidRDefault="00B43467" w:rsidP="00B43467">
      <w:pPr>
        <w:spacing w:line="480" w:lineRule="auto"/>
        <w:jc w:val="both"/>
        <w:rPr>
          <w:i/>
          <w:lang w:val="en-US"/>
        </w:rPr>
      </w:pPr>
      <w:r>
        <w:rPr>
          <w:iCs/>
          <w:lang w:val="en-US"/>
        </w:rPr>
        <w:t xml:space="preserve">2. </w:t>
      </w:r>
      <w:r w:rsidRPr="00B43467">
        <w:rPr>
          <w:i/>
          <w:lang w:val="en-US"/>
        </w:rPr>
        <w:t>Are mortality rates higher in patients with vancomycin-resistant enterococcal</w:t>
      </w:r>
      <w:r w:rsidR="003F5983">
        <w:rPr>
          <w:i/>
          <w:lang w:val="en-US"/>
        </w:rPr>
        <w:t xml:space="preserve"> </w:t>
      </w:r>
      <w:r w:rsidRPr="00B43467">
        <w:rPr>
          <w:i/>
          <w:lang w:val="en-US"/>
        </w:rPr>
        <w:t>(VRE) BSI compared with vancomycin-sensitive enterococcal (VSE) BSIs?</w:t>
      </w:r>
    </w:p>
    <w:p w14:paraId="7CAD386B" w14:textId="77777777" w:rsidR="00BA788C" w:rsidRDefault="00BA788C" w:rsidP="00BA788C">
      <w:pPr>
        <w:spacing w:line="480" w:lineRule="auto"/>
        <w:jc w:val="both"/>
        <w:rPr>
          <w:i/>
          <w:lang w:val="en-US"/>
        </w:rPr>
      </w:pPr>
      <w:r w:rsidRPr="003B26EA">
        <w:rPr>
          <w:i/>
          <w:lang w:val="en-US"/>
        </w:rPr>
        <w:t>PECO</w:t>
      </w:r>
      <w:r>
        <w:rPr>
          <w:i/>
          <w:lang w:val="en-US"/>
        </w:rPr>
        <w:t xml:space="preserve"> question</w:t>
      </w:r>
    </w:p>
    <w:p w14:paraId="1C5A5FBA" w14:textId="6592B20F" w:rsidR="00BA788C" w:rsidRPr="0000564F" w:rsidRDefault="00BA788C" w:rsidP="00BA788C">
      <w:pPr>
        <w:spacing w:line="480" w:lineRule="auto"/>
        <w:jc w:val="both"/>
        <w:rPr>
          <w:lang w:val="en-US"/>
        </w:rPr>
      </w:pPr>
      <w:r w:rsidRPr="0000564F">
        <w:rPr>
          <w:i/>
          <w:lang w:val="en-US"/>
        </w:rPr>
        <w:t>P</w:t>
      </w:r>
      <w:r w:rsidR="00CB49BB">
        <w:rPr>
          <w:i/>
          <w:lang w:val="en-US"/>
        </w:rPr>
        <w:t>:</w:t>
      </w:r>
      <w:r w:rsidRPr="0000564F">
        <w:rPr>
          <w:lang w:val="en-US"/>
        </w:rPr>
        <w:t xml:space="preserve"> </w:t>
      </w:r>
      <w:r>
        <w:rPr>
          <w:lang w:val="en-US"/>
        </w:rPr>
        <w:t xml:space="preserve">hospitalized patients with </w:t>
      </w:r>
      <w:r w:rsidR="003F5983" w:rsidRPr="003F5983">
        <w:rPr>
          <w:i/>
          <w:iCs/>
          <w:lang w:val="en-US"/>
        </w:rPr>
        <w:t>E. faecium</w:t>
      </w:r>
      <w:r w:rsidR="003F5983">
        <w:rPr>
          <w:lang w:val="en-US"/>
        </w:rPr>
        <w:t xml:space="preserve"> BSI</w:t>
      </w:r>
    </w:p>
    <w:p w14:paraId="521729FA" w14:textId="47C5E8FA" w:rsidR="00BA788C" w:rsidRPr="00975732" w:rsidRDefault="00BA788C" w:rsidP="00BA788C">
      <w:pPr>
        <w:spacing w:line="480" w:lineRule="auto"/>
        <w:jc w:val="both"/>
      </w:pPr>
      <w:r w:rsidRPr="00975732">
        <w:rPr>
          <w:i/>
        </w:rPr>
        <w:t>E</w:t>
      </w:r>
      <w:r w:rsidR="00CB49BB" w:rsidRPr="00975732">
        <w:rPr>
          <w:i/>
        </w:rPr>
        <w:t>:</w:t>
      </w:r>
      <w:r w:rsidRPr="00975732">
        <w:t xml:space="preserve"> </w:t>
      </w:r>
      <w:r w:rsidR="003F5983" w:rsidRPr="00975732">
        <w:t xml:space="preserve">VRE </w:t>
      </w:r>
      <w:r w:rsidRPr="00975732">
        <w:t xml:space="preserve">BSI </w:t>
      </w:r>
    </w:p>
    <w:p w14:paraId="5DB239A1" w14:textId="0E879E82" w:rsidR="00BA788C" w:rsidRPr="00975732" w:rsidRDefault="00BA788C" w:rsidP="00BA788C">
      <w:pPr>
        <w:spacing w:line="480" w:lineRule="auto"/>
        <w:jc w:val="both"/>
      </w:pPr>
      <w:r w:rsidRPr="00975732">
        <w:rPr>
          <w:i/>
        </w:rPr>
        <w:t>C</w:t>
      </w:r>
      <w:r w:rsidR="00CB49BB" w:rsidRPr="00975732">
        <w:rPr>
          <w:i/>
        </w:rPr>
        <w:t>:</w:t>
      </w:r>
      <w:r w:rsidRPr="00975732">
        <w:rPr>
          <w:i/>
        </w:rPr>
        <w:t xml:space="preserve"> </w:t>
      </w:r>
      <w:r w:rsidR="003F5983" w:rsidRPr="00975732">
        <w:rPr>
          <w:iCs/>
        </w:rPr>
        <w:t>VSE</w:t>
      </w:r>
      <w:r w:rsidRPr="00975732">
        <w:rPr>
          <w:iCs/>
        </w:rPr>
        <w:t xml:space="preserve"> </w:t>
      </w:r>
      <w:r w:rsidRPr="00975732">
        <w:t>BSI</w:t>
      </w:r>
    </w:p>
    <w:p w14:paraId="25EC5DF0" w14:textId="03D892FC" w:rsidR="00BA788C" w:rsidRDefault="00BA788C" w:rsidP="00CB49BB">
      <w:pPr>
        <w:spacing w:line="480" w:lineRule="auto"/>
        <w:jc w:val="both"/>
        <w:rPr>
          <w:iCs/>
          <w:lang w:val="en-US"/>
        </w:rPr>
      </w:pPr>
      <w:r>
        <w:rPr>
          <w:i/>
          <w:lang w:val="en-US"/>
        </w:rPr>
        <w:t>O</w:t>
      </w:r>
      <w:r w:rsidR="00CB49BB">
        <w:rPr>
          <w:i/>
          <w:lang w:val="en-US"/>
        </w:rPr>
        <w:t>:</w:t>
      </w:r>
      <w:r>
        <w:rPr>
          <w:i/>
          <w:lang w:val="en-US"/>
        </w:rPr>
        <w:t xml:space="preserve"> </w:t>
      </w:r>
      <w:r w:rsidRPr="00917904">
        <w:rPr>
          <w:iCs/>
          <w:lang w:val="en-US"/>
        </w:rPr>
        <w:t>Overall mortality</w:t>
      </w:r>
    </w:p>
    <w:p w14:paraId="3ED3DC5C" w14:textId="77777777" w:rsidR="00B43467" w:rsidRPr="00917904" w:rsidRDefault="00B43467" w:rsidP="00917904">
      <w:pPr>
        <w:spacing w:line="480" w:lineRule="auto"/>
        <w:jc w:val="both"/>
        <w:rPr>
          <w:iCs/>
          <w:lang w:val="en-US"/>
        </w:rPr>
      </w:pPr>
    </w:p>
    <w:p w14:paraId="5CF7EBBE" w14:textId="4EA2AEB7" w:rsidR="00EE531B" w:rsidRDefault="003F5983" w:rsidP="003F5983">
      <w:pPr>
        <w:spacing w:line="480" w:lineRule="auto"/>
        <w:jc w:val="both"/>
        <w:rPr>
          <w:i/>
          <w:lang w:val="en-US"/>
        </w:rPr>
      </w:pPr>
      <w:r w:rsidRPr="003F5983">
        <w:rPr>
          <w:i/>
          <w:lang w:val="en-US"/>
        </w:rPr>
        <w:t>3</w:t>
      </w:r>
      <w:r>
        <w:rPr>
          <w:i/>
          <w:lang w:val="en-US"/>
        </w:rPr>
        <w:t xml:space="preserve">. </w:t>
      </w:r>
      <w:r w:rsidRPr="003F5983">
        <w:rPr>
          <w:i/>
          <w:lang w:val="en-US"/>
        </w:rPr>
        <w:t>Which is the optimal management of E. faecium catheter-related bloodstream</w:t>
      </w:r>
      <w:r w:rsidR="00CB49BB">
        <w:rPr>
          <w:i/>
          <w:lang w:val="en-US"/>
        </w:rPr>
        <w:t xml:space="preserve"> </w:t>
      </w:r>
      <w:r w:rsidRPr="003F5983">
        <w:rPr>
          <w:i/>
          <w:lang w:val="en-US"/>
        </w:rPr>
        <w:t>infection (CR-BSI)?</w:t>
      </w:r>
    </w:p>
    <w:p w14:paraId="0934A1F6" w14:textId="26E85D96" w:rsidR="003F5983" w:rsidRDefault="003F5983" w:rsidP="003F5983">
      <w:pPr>
        <w:spacing w:line="480" w:lineRule="auto"/>
        <w:jc w:val="both"/>
        <w:rPr>
          <w:i/>
          <w:lang w:val="en-US"/>
        </w:rPr>
      </w:pPr>
      <w:r w:rsidRPr="003B26EA">
        <w:rPr>
          <w:i/>
          <w:lang w:val="en-US"/>
        </w:rPr>
        <w:t>P</w:t>
      </w:r>
      <w:r>
        <w:rPr>
          <w:i/>
          <w:lang w:val="en-US"/>
        </w:rPr>
        <w:t>I</w:t>
      </w:r>
      <w:r w:rsidRPr="003B26EA">
        <w:rPr>
          <w:i/>
          <w:lang w:val="en-US"/>
        </w:rPr>
        <w:t>CO</w:t>
      </w:r>
      <w:r>
        <w:rPr>
          <w:i/>
          <w:lang w:val="en-US"/>
        </w:rPr>
        <w:t xml:space="preserve"> question</w:t>
      </w:r>
    </w:p>
    <w:p w14:paraId="43361BEE" w14:textId="52158E74" w:rsidR="003F5983" w:rsidRPr="0000564F" w:rsidRDefault="003F5983" w:rsidP="003F5983">
      <w:pPr>
        <w:spacing w:line="480" w:lineRule="auto"/>
        <w:jc w:val="both"/>
        <w:rPr>
          <w:lang w:val="en-US"/>
        </w:rPr>
      </w:pPr>
      <w:r w:rsidRPr="0000564F">
        <w:rPr>
          <w:i/>
          <w:lang w:val="en-US"/>
        </w:rPr>
        <w:t>P</w:t>
      </w:r>
      <w:r w:rsidR="00CB49BB">
        <w:rPr>
          <w:i/>
          <w:lang w:val="en-US"/>
        </w:rPr>
        <w:t>:</w:t>
      </w:r>
      <w:r w:rsidRPr="0000564F">
        <w:rPr>
          <w:lang w:val="en-US"/>
        </w:rPr>
        <w:t xml:space="preserve"> </w:t>
      </w:r>
      <w:r>
        <w:rPr>
          <w:lang w:val="en-US"/>
        </w:rPr>
        <w:t xml:space="preserve">hospitalized patients with </w:t>
      </w:r>
      <w:r w:rsidRPr="003F5983">
        <w:rPr>
          <w:i/>
          <w:iCs/>
          <w:lang w:val="en-US"/>
        </w:rPr>
        <w:t>E. faecium</w:t>
      </w:r>
      <w:r>
        <w:rPr>
          <w:lang w:val="en-US"/>
        </w:rPr>
        <w:t xml:space="preserve"> CR-BSI</w:t>
      </w:r>
    </w:p>
    <w:p w14:paraId="0DDA50D5" w14:textId="2006C82B" w:rsidR="003F5983" w:rsidRPr="00EE531B" w:rsidRDefault="003F5983" w:rsidP="003F5983">
      <w:pPr>
        <w:spacing w:line="480" w:lineRule="auto"/>
        <w:jc w:val="both"/>
        <w:rPr>
          <w:lang w:val="en-US"/>
        </w:rPr>
      </w:pPr>
      <w:r>
        <w:rPr>
          <w:i/>
          <w:lang w:val="en-US"/>
        </w:rPr>
        <w:t>I</w:t>
      </w:r>
      <w:r w:rsidR="00CB49BB">
        <w:rPr>
          <w:i/>
          <w:lang w:val="en-US"/>
        </w:rPr>
        <w:t>:</w:t>
      </w:r>
      <w:r w:rsidRPr="00EE531B">
        <w:rPr>
          <w:lang w:val="en-US"/>
        </w:rPr>
        <w:t xml:space="preserve"> </w:t>
      </w:r>
      <w:r>
        <w:rPr>
          <w:lang w:val="en-US"/>
        </w:rPr>
        <w:t xml:space="preserve">Catheter removal without active antibiotic therapy </w:t>
      </w:r>
    </w:p>
    <w:p w14:paraId="0B5BA6EA" w14:textId="3F39CCCC" w:rsidR="003F5983" w:rsidRPr="00EE531B" w:rsidRDefault="003F5983" w:rsidP="003F5983">
      <w:pPr>
        <w:spacing w:line="480" w:lineRule="auto"/>
        <w:jc w:val="both"/>
        <w:rPr>
          <w:lang w:val="en-US"/>
        </w:rPr>
      </w:pPr>
      <w:r>
        <w:rPr>
          <w:i/>
          <w:lang w:val="en-US"/>
        </w:rPr>
        <w:lastRenderedPageBreak/>
        <w:t>C</w:t>
      </w:r>
      <w:r w:rsidR="00CB49BB">
        <w:rPr>
          <w:i/>
          <w:lang w:val="en-US"/>
        </w:rPr>
        <w:t>:</w:t>
      </w:r>
      <w:r>
        <w:rPr>
          <w:i/>
          <w:lang w:val="en-US"/>
        </w:rPr>
        <w:t xml:space="preserve"> </w:t>
      </w:r>
      <w:r>
        <w:rPr>
          <w:iCs/>
          <w:lang w:val="en-US"/>
        </w:rPr>
        <w:t xml:space="preserve">Catheter removal and active antibiotic therapy </w:t>
      </w:r>
    </w:p>
    <w:p w14:paraId="2B087B43" w14:textId="463EF59C" w:rsidR="003F5983" w:rsidRDefault="003F5983" w:rsidP="00CB49BB">
      <w:pPr>
        <w:spacing w:line="480" w:lineRule="auto"/>
        <w:jc w:val="both"/>
        <w:rPr>
          <w:iCs/>
          <w:lang w:val="en-US"/>
        </w:rPr>
      </w:pPr>
      <w:r>
        <w:rPr>
          <w:i/>
          <w:lang w:val="en-US"/>
        </w:rPr>
        <w:t>O</w:t>
      </w:r>
      <w:r w:rsidR="00CB49BB">
        <w:rPr>
          <w:i/>
          <w:lang w:val="en-US"/>
        </w:rPr>
        <w:t>:</w:t>
      </w:r>
      <w:r>
        <w:rPr>
          <w:i/>
          <w:lang w:val="en-US"/>
        </w:rPr>
        <w:t xml:space="preserve"> </w:t>
      </w:r>
      <w:r w:rsidR="007D2A43" w:rsidRPr="007D2A43">
        <w:rPr>
          <w:iCs/>
          <w:lang w:val="en-US"/>
        </w:rPr>
        <w:t>Microbiological failure and</w:t>
      </w:r>
      <w:r w:rsidR="00CB49BB">
        <w:rPr>
          <w:iCs/>
          <w:lang w:val="en-US"/>
        </w:rPr>
        <w:t>/or</w:t>
      </w:r>
      <w:r w:rsidR="007D2A43" w:rsidRPr="007D2A43">
        <w:rPr>
          <w:iCs/>
          <w:lang w:val="en-US"/>
        </w:rPr>
        <w:t xml:space="preserve"> </w:t>
      </w:r>
      <w:r w:rsidR="007D2A43">
        <w:rPr>
          <w:iCs/>
          <w:lang w:val="en-US"/>
        </w:rPr>
        <w:t>o</w:t>
      </w:r>
      <w:r w:rsidRPr="00917904">
        <w:rPr>
          <w:iCs/>
          <w:lang w:val="en-US"/>
        </w:rPr>
        <w:t>verall mortality</w:t>
      </w:r>
    </w:p>
    <w:p w14:paraId="2CB0741B" w14:textId="77777777" w:rsidR="003F5983" w:rsidRDefault="003F5983" w:rsidP="003F5983">
      <w:pPr>
        <w:spacing w:line="480" w:lineRule="auto"/>
        <w:jc w:val="both"/>
        <w:rPr>
          <w:i/>
          <w:lang w:val="en-US"/>
        </w:rPr>
      </w:pPr>
    </w:p>
    <w:p w14:paraId="279A7008" w14:textId="0572C930" w:rsidR="007D2A43" w:rsidRDefault="007D2A43" w:rsidP="003F5983">
      <w:pPr>
        <w:spacing w:line="480" w:lineRule="auto"/>
        <w:jc w:val="both"/>
        <w:rPr>
          <w:i/>
          <w:lang w:val="en-US"/>
        </w:rPr>
      </w:pPr>
      <w:r>
        <w:rPr>
          <w:i/>
          <w:lang w:val="en-US"/>
        </w:rPr>
        <w:t xml:space="preserve">4. </w:t>
      </w:r>
      <w:r w:rsidRPr="007D2A43">
        <w:rPr>
          <w:i/>
          <w:lang w:val="en-US"/>
        </w:rPr>
        <w:t>Is daptomycin an optimal treatment for VRE BSI?</w:t>
      </w:r>
    </w:p>
    <w:p w14:paraId="06266A9B" w14:textId="3052FA44" w:rsidR="00F126C4" w:rsidRDefault="00F126C4" w:rsidP="00F126C4">
      <w:pPr>
        <w:spacing w:line="480" w:lineRule="auto"/>
        <w:jc w:val="both"/>
        <w:rPr>
          <w:i/>
          <w:lang w:val="en-US"/>
        </w:rPr>
      </w:pPr>
      <w:r w:rsidRPr="003B26EA">
        <w:rPr>
          <w:i/>
          <w:lang w:val="en-US"/>
        </w:rPr>
        <w:t>P</w:t>
      </w:r>
      <w:r>
        <w:rPr>
          <w:i/>
          <w:lang w:val="en-US"/>
        </w:rPr>
        <w:t>I</w:t>
      </w:r>
      <w:r w:rsidRPr="003B26EA">
        <w:rPr>
          <w:i/>
          <w:lang w:val="en-US"/>
        </w:rPr>
        <w:t>CO</w:t>
      </w:r>
      <w:r>
        <w:rPr>
          <w:i/>
          <w:lang w:val="en-US"/>
        </w:rPr>
        <w:t xml:space="preserve"> question</w:t>
      </w:r>
    </w:p>
    <w:p w14:paraId="0AD48179" w14:textId="78612A46" w:rsidR="00F126C4" w:rsidRPr="0000564F" w:rsidRDefault="00F126C4" w:rsidP="00F126C4">
      <w:pPr>
        <w:spacing w:line="480" w:lineRule="auto"/>
        <w:jc w:val="both"/>
        <w:rPr>
          <w:lang w:val="en-US"/>
        </w:rPr>
      </w:pPr>
      <w:r w:rsidRPr="0000564F">
        <w:rPr>
          <w:i/>
          <w:lang w:val="en-US"/>
        </w:rPr>
        <w:t>P</w:t>
      </w:r>
      <w:r w:rsidR="00CB49BB">
        <w:rPr>
          <w:i/>
          <w:lang w:val="en-US"/>
        </w:rPr>
        <w:t>:</w:t>
      </w:r>
      <w:r w:rsidRPr="0000564F">
        <w:rPr>
          <w:lang w:val="en-US"/>
        </w:rPr>
        <w:t xml:space="preserve"> </w:t>
      </w:r>
      <w:r>
        <w:rPr>
          <w:lang w:val="en-US"/>
        </w:rPr>
        <w:t>hospitalized patients with</w:t>
      </w:r>
      <w:r w:rsidR="00175381">
        <w:rPr>
          <w:lang w:val="en-US"/>
        </w:rPr>
        <w:t xml:space="preserve"> VRE BSI</w:t>
      </w:r>
    </w:p>
    <w:p w14:paraId="1577A52C" w14:textId="7AFC37D1" w:rsidR="00F126C4" w:rsidRPr="00EE531B" w:rsidRDefault="00F126C4" w:rsidP="00F126C4">
      <w:pPr>
        <w:spacing w:line="480" w:lineRule="auto"/>
        <w:jc w:val="both"/>
        <w:rPr>
          <w:lang w:val="en-US"/>
        </w:rPr>
      </w:pPr>
      <w:r>
        <w:rPr>
          <w:i/>
          <w:lang w:val="en-US"/>
        </w:rPr>
        <w:t>I</w:t>
      </w:r>
      <w:r w:rsidR="00CB49BB">
        <w:rPr>
          <w:i/>
          <w:lang w:val="en-US"/>
        </w:rPr>
        <w:t>:</w:t>
      </w:r>
      <w:r w:rsidRPr="00EE531B">
        <w:rPr>
          <w:lang w:val="en-US"/>
        </w:rPr>
        <w:t xml:space="preserve"> </w:t>
      </w:r>
      <w:r w:rsidR="00175381">
        <w:rPr>
          <w:lang w:val="en-US"/>
        </w:rPr>
        <w:t>treatment with daptomycin (any dose)</w:t>
      </w:r>
    </w:p>
    <w:p w14:paraId="2A0854E3" w14:textId="0595DAE1" w:rsidR="00F126C4" w:rsidRPr="00EE531B" w:rsidRDefault="00F126C4" w:rsidP="00F126C4">
      <w:pPr>
        <w:spacing w:line="480" w:lineRule="auto"/>
        <w:jc w:val="both"/>
        <w:rPr>
          <w:lang w:val="en-US"/>
        </w:rPr>
      </w:pPr>
      <w:r>
        <w:rPr>
          <w:i/>
          <w:lang w:val="en-US"/>
        </w:rPr>
        <w:t>C</w:t>
      </w:r>
      <w:r w:rsidR="00CB49BB">
        <w:rPr>
          <w:i/>
          <w:lang w:val="en-US"/>
        </w:rPr>
        <w:t>:</w:t>
      </w:r>
      <w:r>
        <w:rPr>
          <w:i/>
          <w:lang w:val="en-US"/>
        </w:rPr>
        <w:t xml:space="preserve"> </w:t>
      </w:r>
      <w:r w:rsidR="00877E6A">
        <w:rPr>
          <w:iCs/>
          <w:lang w:val="en-US"/>
        </w:rPr>
        <w:t>other in vitro active antibiotics</w:t>
      </w:r>
      <w:r>
        <w:rPr>
          <w:iCs/>
          <w:lang w:val="en-US"/>
        </w:rPr>
        <w:t xml:space="preserve"> </w:t>
      </w:r>
    </w:p>
    <w:p w14:paraId="257B8220" w14:textId="20EB1AC3" w:rsidR="00F126C4" w:rsidRDefault="00F126C4" w:rsidP="00544227">
      <w:pPr>
        <w:spacing w:line="480" w:lineRule="auto"/>
        <w:jc w:val="both"/>
        <w:rPr>
          <w:iCs/>
          <w:lang w:val="en-US"/>
        </w:rPr>
      </w:pPr>
      <w:r>
        <w:rPr>
          <w:i/>
          <w:lang w:val="en-US"/>
        </w:rPr>
        <w:t>O</w:t>
      </w:r>
      <w:r w:rsidR="00CB49BB">
        <w:rPr>
          <w:i/>
          <w:lang w:val="en-US"/>
        </w:rPr>
        <w:t>:</w:t>
      </w:r>
      <w:r>
        <w:rPr>
          <w:i/>
          <w:lang w:val="en-US"/>
        </w:rPr>
        <w:t xml:space="preserve"> </w:t>
      </w:r>
      <w:r w:rsidRPr="007D2A43">
        <w:rPr>
          <w:iCs/>
          <w:lang w:val="en-US"/>
        </w:rPr>
        <w:t xml:space="preserve">Microbiological failure and </w:t>
      </w:r>
      <w:r>
        <w:rPr>
          <w:iCs/>
          <w:lang w:val="en-US"/>
        </w:rPr>
        <w:t>o</w:t>
      </w:r>
      <w:r w:rsidRPr="00917904">
        <w:rPr>
          <w:iCs/>
          <w:lang w:val="en-US"/>
        </w:rPr>
        <w:t>verall mortality</w:t>
      </w:r>
    </w:p>
    <w:p w14:paraId="326694F6" w14:textId="77777777" w:rsidR="00877E6A" w:rsidRDefault="00877E6A" w:rsidP="00F126C4">
      <w:pPr>
        <w:spacing w:line="480" w:lineRule="auto"/>
        <w:jc w:val="both"/>
        <w:rPr>
          <w:iCs/>
          <w:lang w:val="en-US"/>
        </w:rPr>
      </w:pPr>
    </w:p>
    <w:p w14:paraId="5CF7EBBF" w14:textId="77777777" w:rsidR="00BC313C" w:rsidRPr="00DA28D1" w:rsidRDefault="00BC313C" w:rsidP="00BB2244">
      <w:pPr>
        <w:spacing w:line="480" w:lineRule="auto"/>
        <w:jc w:val="both"/>
        <w:rPr>
          <w:i/>
          <w:iCs/>
          <w:lang w:val="en-US"/>
        </w:rPr>
      </w:pPr>
      <w:r w:rsidRPr="00DA28D1">
        <w:rPr>
          <w:i/>
          <w:iCs/>
          <w:lang w:val="en-US"/>
        </w:rPr>
        <w:t>Literature search</w:t>
      </w:r>
    </w:p>
    <w:p w14:paraId="305059C2" w14:textId="0D99108C" w:rsidR="001E0F1B" w:rsidRPr="00AE32B7" w:rsidRDefault="00F44452" w:rsidP="001E0F1B">
      <w:pPr>
        <w:spacing w:line="480" w:lineRule="auto"/>
        <w:jc w:val="both"/>
        <w:rPr>
          <w:b/>
          <w:bCs/>
        </w:rPr>
      </w:pPr>
      <w:r w:rsidRPr="00DA28D1">
        <w:rPr>
          <w:lang w:val="en-US"/>
        </w:rPr>
        <w:t>Two authors (MR</w:t>
      </w:r>
      <w:r w:rsidR="004874E8" w:rsidRPr="00DA28D1">
        <w:rPr>
          <w:lang w:val="en-US"/>
        </w:rPr>
        <w:t xml:space="preserve"> and </w:t>
      </w:r>
      <w:r w:rsidR="006A36AB">
        <w:rPr>
          <w:lang w:val="en-US"/>
        </w:rPr>
        <w:t>MG</w:t>
      </w:r>
      <w:r w:rsidR="00BC313C" w:rsidRPr="00DA28D1">
        <w:rPr>
          <w:lang w:val="en-US"/>
        </w:rPr>
        <w:t>) independently searched PubMed-MEDLINE</w:t>
      </w:r>
      <w:r w:rsidR="004874E8" w:rsidRPr="00DA28D1">
        <w:rPr>
          <w:lang w:val="en-US"/>
        </w:rPr>
        <w:t>, EMBASE</w:t>
      </w:r>
      <w:r w:rsidR="00BC313C" w:rsidRPr="00DA28D1">
        <w:rPr>
          <w:lang w:val="en-US"/>
        </w:rPr>
        <w:t xml:space="preserve"> and Scopus databases from inception to </w:t>
      </w:r>
      <w:r w:rsidR="006A36AB">
        <w:rPr>
          <w:lang w:val="en-US"/>
        </w:rPr>
        <w:t>01</w:t>
      </w:r>
      <w:r w:rsidR="0058298A">
        <w:rPr>
          <w:lang w:val="en-US"/>
        </w:rPr>
        <w:t xml:space="preserve"> </w:t>
      </w:r>
      <w:r w:rsidR="006A36AB">
        <w:rPr>
          <w:lang w:val="en-US"/>
        </w:rPr>
        <w:t>February</w:t>
      </w:r>
      <w:r w:rsidR="00BC313C" w:rsidRPr="00DA28D1">
        <w:rPr>
          <w:lang w:val="en-US"/>
        </w:rPr>
        <w:t xml:space="preserve"> 202</w:t>
      </w:r>
      <w:r w:rsidR="006A36AB">
        <w:rPr>
          <w:lang w:val="en-US"/>
        </w:rPr>
        <w:t>4</w:t>
      </w:r>
      <w:r w:rsidR="00BC313C" w:rsidRPr="00DA28D1">
        <w:rPr>
          <w:lang w:val="en-US"/>
        </w:rPr>
        <w:t xml:space="preserve">. </w:t>
      </w:r>
      <w:r w:rsidR="00162AB3">
        <w:rPr>
          <w:lang w:val="en-US"/>
        </w:rPr>
        <w:t>S</w:t>
      </w:r>
      <w:r w:rsidR="00BC313C" w:rsidRPr="00DA28D1">
        <w:rPr>
          <w:lang w:val="en-US"/>
        </w:rPr>
        <w:t>earch string developed</w:t>
      </w:r>
      <w:r w:rsidR="00162AB3">
        <w:rPr>
          <w:lang w:val="en-US"/>
        </w:rPr>
        <w:t xml:space="preserve"> </w:t>
      </w:r>
      <w:r w:rsidR="001E0F1B">
        <w:rPr>
          <w:lang w:val="en-US"/>
        </w:rPr>
        <w:t xml:space="preserve">were: </w:t>
      </w:r>
    </w:p>
    <w:p w14:paraId="15903C99" w14:textId="77777777" w:rsidR="001E0F1B" w:rsidRPr="00E128B6" w:rsidRDefault="001E0F1B" w:rsidP="001E0F1B">
      <w:pPr>
        <w:spacing w:line="480" w:lineRule="auto"/>
        <w:jc w:val="both"/>
      </w:pPr>
      <w:r w:rsidRPr="00E128B6">
        <w:t>PECO 1</w:t>
      </w:r>
    </w:p>
    <w:p w14:paraId="59717A3E" w14:textId="77777777" w:rsidR="001E0F1B" w:rsidRPr="00E128B6" w:rsidRDefault="001E0F1B" w:rsidP="001E0F1B">
      <w:pPr>
        <w:spacing w:line="480" w:lineRule="auto"/>
        <w:jc w:val="both"/>
      </w:pPr>
      <w:r w:rsidRPr="00E128B6">
        <w:t>(("</w:t>
      </w:r>
      <w:proofErr w:type="spellStart"/>
      <w:r w:rsidRPr="00E128B6">
        <w:t>inpatients</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inpatient</w:t>
      </w:r>
      <w:proofErr w:type="spellEnd"/>
      <w:r w:rsidRPr="00E128B6">
        <w:t>*"[Title/Abstract] OR "bed-hospital"[Title/Abstract] OR "</w:t>
      </w:r>
      <w:proofErr w:type="spellStart"/>
      <w:r w:rsidRPr="00E128B6">
        <w:t>nosocomial</w:t>
      </w:r>
      <w:proofErr w:type="spellEnd"/>
      <w:r w:rsidRPr="00E128B6">
        <w:t>*"[Title/Abstract] OR (("hospital*"[Title/Abstract] OR "intensive care"[Title/Abstract]) AND ("</w:t>
      </w:r>
      <w:proofErr w:type="spellStart"/>
      <w:r w:rsidRPr="00E128B6">
        <w:t>patient</w:t>
      </w:r>
      <w:proofErr w:type="spellEnd"/>
      <w:r w:rsidRPr="00E128B6">
        <w:t>*"[Title/Abstract] OR "</w:t>
      </w:r>
      <w:proofErr w:type="spellStart"/>
      <w:r w:rsidRPr="00E128B6">
        <w:t>inpatient</w:t>
      </w:r>
      <w:proofErr w:type="spellEnd"/>
      <w:r w:rsidRPr="00E128B6">
        <w:t>*"[Title/Abstract]))) AND ("</w:t>
      </w:r>
      <w:proofErr w:type="spellStart"/>
      <w:r w:rsidRPr="00E128B6">
        <w:t>Enterococcus</w:t>
      </w:r>
      <w:proofErr w:type="spellEnd"/>
      <w:r w:rsidRPr="00E128B6">
        <w:t xml:space="preserve"> faecium"[</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Enterococcus</w:t>
      </w:r>
      <w:proofErr w:type="spellEnd"/>
      <w:r w:rsidRPr="00E128B6">
        <w:t xml:space="preserve"> faecium"[Title/Abstract] OR "e faecium"[Title/Abstract]) AND ("mortality"[</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mortalit</w:t>
      </w:r>
      <w:proofErr w:type="spellEnd"/>
      <w:r w:rsidRPr="00E128B6">
        <w:t>*"[Title/Abstract] OR "</w:t>
      </w:r>
      <w:proofErr w:type="spellStart"/>
      <w:r w:rsidRPr="00E128B6">
        <w:t>death</w:t>
      </w:r>
      <w:proofErr w:type="spellEnd"/>
      <w:r w:rsidRPr="00E128B6">
        <w:t xml:space="preserve"> rate*"[Title/Abstract])</w:t>
      </w:r>
    </w:p>
    <w:p w14:paraId="716B935B" w14:textId="77777777" w:rsidR="001E0F1B" w:rsidRPr="00E128B6" w:rsidRDefault="001E0F1B" w:rsidP="001E0F1B">
      <w:pPr>
        <w:spacing w:line="480" w:lineRule="auto"/>
        <w:jc w:val="both"/>
      </w:pPr>
      <w:r w:rsidRPr="00E128B6">
        <w:t>PECO 2</w:t>
      </w:r>
    </w:p>
    <w:p w14:paraId="47010D68" w14:textId="77777777" w:rsidR="001E0F1B" w:rsidRPr="00E128B6" w:rsidRDefault="001E0F1B" w:rsidP="001E0F1B">
      <w:pPr>
        <w:spacing w:line="480" w:lineRule="auto"/>
        <w:jc w:val="both"/>
      </w:pPr>
      <w:r w:rsidRPr="00E128B6">
        <w:t>("</w:t>
      </w:r>
      <w:proofErr w:type="spellStart"/>
      <w:r w:rsidRPr="00E128B6">
        <w:t>inpatients</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inpatient</w:t>
      </w:r>
      <w:proofErr w:type="spellEnd"/>
      <w:r w:rsidRPr="00E128B6">
        <w:t>*"[Title/Abstract] OR "bed-hospital"[Title/Abstract] OR "</w:t>
      </w:r>
      <w:proofErr w:type="spellStart"/>
      <w:r w:rsidRPr="00E128B6">
        <w:t>nosocomial</w:t>
      </w:r>
      <w:proofErr w:type="spellEnd"/>
      <w:r w:rsidRPr="00E128B6">
        <w:t>"[Title/Abstract] OR (("hospital*"[Title/Abstract] OR "intensive care"[Title/Abstract]) AND ("</w:t>
      </w:r>
      <w:proofErr w:type="spellStart"/>
      <w:r w:rsidRPr="00E128B6">
        <w:t>patient</w:t>
      </w:r>
      <w:proofErr w:type="spellEnd"/>
      <w:r w:rsidRPr="00E128B6">
        <w:t>*"[Title/Abstract] OR "</w:t>
      </w:r>
      <w:proofErr w:type="spellStart"/>
      <w:r w:rsidRPr="00E128B6">
        <w:t>inpatient</w:t>
      </w:r>
      <w:proofErr w:type="spellEnd"/>
      <w:r w:rsidRPr="00E128B6">
        <w:t>*"[Title/Abstract]))) AND ("</w:t>
      </w:r>
      <w:proofErr w:type="spellStart"/>
      <w:r w:rsidRPr="00E128B6">
        <w:t>bacteremia</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bloodstream</w:t>
      </w:r>
      <w:proofErr w:type="spellEnd"/>
      <w:r w:rsidRPr="00E128B6">
        <w:t xml:space="preserve"> infection*"[Title/Abstract] OR "bacteraemia*"[Title/Abstract] OR "</w:t>
      </w:r>
      <w:proofErr w:type="spellStart"/>
      <w:r w:rsidRPr="00E128B6">
        <w:t>bacteremia</w:t>
      </w:r>
      <w:proofErr w:type="spellEnd"/>
      <w:r w:rsidRPr="00E128B6">
        <w:t>*"[Title/Abstract]) AND ("</w:t>
      </w:r>
      <w:proofErr w:type="spellStart"/>
      <w:r w:rsidRPr="00E128B6">
        <w:t>vancomycin</w:t>
      </w:r>
      <w:proofErr w:type="spellEnd"/>
      <w:r w:rsidRPr="00E128B6">
        <w:t xml:space="preserve"> </w:t>
      </w:r>
      <w:proofErr w:type="spellStart"/>
      <w:r w:rsidRPr="00E128B6">
        <w:t>resistant</w:t>
      </w:r>
      <w:proofErr w:type="spellEnd"/>
      <w:r w:rsidRPr="00E128B6">
        <w:t xml:space="preserve"> </w:t>
      </w:r>
      <w:proofErr w:type="spellStart"/>
      <w:r w:rsidRPr="00E128B6">
        <w:t>enterococci</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xml:space="preserve">] OR </w:t>
      </w:r>
      <w:r w:rsidRPr="00E128B6">
        <w:lastRenderedPageBreak/>
        <w:t>"</w:t>
      </w:r>
      <w:proofErr w:type="spellStart"/>
      <w:r w:rsidRPr="00E128B6">
        <w:t>vancomycin</w:t>
      </w:r>
      <w:proofErr w:type="spellEnd"/>
      <w:r w:rsidRPr="00E128B6">
        <w:t xml:space="preserve"> </w:t>
      </w:r>
      <w:proofErr w:type="spellStart"/>
      <w:r w:rsidRPr="00E128B6">
        <w:t>resistant</w:t>
      </w:r>
      <w:proofErr w:type="spellEnd"/>
      <w:r w:rsidRPr="00E128B6">
        <w:t xml:space="preserve"> </w:t>
      </w:r>
      <w:proofErr w:type="spellStart"/>
      <w:r w:rsidRPr="00E128B6">
        <w:t>enterococc</w:t>
      </w:r>
      <w:proofErr w:type="spellEnd"/>
      <w:r w:rsidRPr="00E128B6">
        <w:t>*"[Title/Abstract]) AND ("mortality"[</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mortalit</w:t>
      </w:r>
      <w:proofErr w:type="spellEnd"/>
      <w:r w:rsidRPr="00E128B6">
        <w:t>*"[Title/Abstract] OR "</w:t>
      </w:r>
      <w:proofErr w:type="spellStart"/>
      <w:r w:rsidRPr="00E128B6">
        <w:t>death</w:t>
      </w:r>
      <w:proofErr w:type="spellEnd"/>
      <w:r w:rsidRPr="00E128B6">
        <w:t xml:space="preserve"> rate*"[Title/Abstract]).</w:t>
      </w:r>
    </w:p>
    <w:p w14:paraId="0E6C38A9" w14:textId="77777777" w:rsidR="001E0F1B" w:rsidRPr="00E128B6" w:rsidRDefault="001E0F1B" w:rsidP="001E0F1B">
      <w:pPr>
        <w:spacing w:line="480" w:lineRule="auto"/>
        <w:jc w:val="both"/>
      </w:pPr>
      <w:r w:rsidRPr="00E128B6">
        <w:t>PICO 3</w:t>
      </w:r>
    </w:p>
    <w:p w14:paraId="68C651C1" w14:textId="77777777" w:rsidR="001E0F1B" w:rsidRPr="00E128B6" w:rsidRDefault="001E0F1B" w:rsidP="001E0F1B">
      <w:pPr>
        <w:spacing w:line="480" w:lineRule="auto"/>
        <w:jc w:val="both"/>
      </w:pPr>
      <w:r w:rsidRPr="00E128B6">
        <w:t>("</w:t>
      </w:r>
      <w:proofErr w:type="spellStart"/>
      <w:r w:rsidRPr="00E128B6">
        <w:t>Enterococcus</w:t>
      </w:r>
      <w:proofErr w:type="spellEnd"/>
      <w:r w:rsidRPr="00E128B6">
        <w:t xml:space="preserve"> faecium"[</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Enterococcus</w:t>
      </w:r>
      <w:proofErr w:type="spellEnd"/>
      <w:r w:rsidRPr="00E128B6">
        <w:t xml:space="preserve"> faecium"[Title/Abstract] OR "e faecium"[Title/Abstract]) AND ("</w:t>
      </w:r>
      <w:proofErr w:type="spellStart"/>
      <w:r w:rsidRPr="00E128B6">
        <w:t>catheter</w:t>
      </w:r>
      <w:proofErr w:type="spellEnd"/>
      <w:r w:rsidRPr="00E128B6">
        <w:t xml:space="preserve"> </w:t>
      </w:r>
      <w:proofErr w:type="spellStart"/>
      <w:r w:rsidRPr="00E128B6">
        <w:t>related</w:t>
      </w:r>
      <w:proofErr w:type="spellEnd"/>
      <w:r w:rsidRPr="00E128B6">
        <w:t xml:space="preserve"> </w:t>
      </w:r>
      <w:proofErr w:type="spellStart"/>
      <w:r w:rsidRPr="00E128B6">
        <w:t>infections</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catheter-related</w:t>
      </w:r>
      <w:proofErr w:type="spellEnd"/>
      <w:r w:rsidRPr="00E128B6">
        <w:t>"[Title/Abstract] AND ("</w:t>
      </w:r>
      <w:proofErr w:type="spellStart"/>
      <w:r w:rsidRPr="00E128B6">
        <w:t>bloodstream</w:t>
      </w:r>
      <w:proofErr w:type="spellEnd"/>
      <w:r w:rsidRPr="00E128B6">
        <w:t xml:space="preserve"> infection*"[Title/Abstract] OR "bacteraemia*"[Title/Abstract] OR "</w:t>
      </w:r>
      <w:proofErr w:type="spellStart"/>
      <w:r w:rsidRPr="00E128B6">
        <w:t>bacteremia</w:t>
      </w:r>
      <w:proofErr w:type="spellEnd"/>
      <w:r w:rsidRPr="00E128B6">
        <w:t>*"[Title/Abstract])))</w:t>
      </w:r>
    </w:p>
    <w:p w14:paraId="1B3B5951" w14:textId="77777777" w:rsidR="001E0F1B" w:rsidRPr="00E128B6" w:rsidRDefault="001E0F1B" w:rsidP="001E0F1B">
      <w:pPr>
        <w:spacing w:line="480" w:lineRule="auto"/>
        <w:jc w:val="both"/>
      </w:pPr>
      <w:r w:rsidRPr="00E128B6">
        <w:t>PICO 4</w:t>
      </w:r>
    </w:p>
    <w:p w14:paraId="4EDE4A19" w14:textId="77777777" w:rsidR="001E0F1B" w:rsidRDefault="001E0F1B" w:rsidP="001E0F1B">
      <w:pPr>
        <w:spacing w:line="480" w:lineRule="auto"/>
        <w:jc w:val="both"/>
      </w:pPr>
      <w:r w:rsidRPr="00E128B6">
        <w:t>("</w:t>
      </w:r>
      <w:proofErr w:type="spellStart"/>
      <w:r w:rsidRPr="00E128B6">
        <w:t>vancomycin</w:t>
      </w:r>
      <w:proofErr w:type="spellEnd"/>
      <w:r w:rsidRPr="00E128B6">
        <w:t xml:space="preserve"> </w:t>
      </w:r>
      <w:proofErr w:type="spellStart"/>
      <w:r w:rsidRPr="00E128B6">
        <w:t>resistant</w:t>
      </w:r>
      <w:proofErr w:type="spellEnd"/>
      <w:r w:rsidRPr="00E128B6">
        <w:t xml:space="preserve"> </w:t>
      </w:r>
      <w:proofErr w:type="spellStart"/>
      <w:r w:rsidRPr="00E128B6">
        <w:t>enterococci</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vancomycin</w:t>
      </w:r>
      <w:proofErr w:type="spellEnd"/>
      <w:r w:rsidRPr="00E128B6">
        <w:t xml:space="preserve"> </w:t>
      </w:r>
      <w:proofErr w:type="spellStart"/>
      <w:r w:rsidRPr="00E128B6">
        <w:t>resistant</w:t>
      </w:r>
      <w:proofErr w:type="spellEnd"/>
      <w:r w:rsidRPr="00E128B6">
        <w:t xml:space="preserve"> </w:t>
      </w:r>
      <w:proofErr w:type="spellStart"/>
      <w:r w:rsidRPr="00E128B6">
        <w:t>enterococc</w:t>
      </w:r>
      <w:proofErr w:type="spellEnd"/>
      <w:r w:rsidRPr="00E128B6">
        <w:t>*"[Title/Abstract]) AND ("</w:t>
      </w:r>
      <w:proofErr w:type="spellStart"/>
      <w:r w:rsidRPr="00E128B6">
        <w:t>bacteremia</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bloodstream</w:t>
      </w:r>
      <w:proofErr w:type="spellEnd"/>
      <w:r w:rsidRPr="00E128B6">
        <w:t xml:space="preserve"> infection*"[Title/Abstract] OR "bacteraemia*"[Title/Abstract] OR "</w:t>
      </w:r>
      <w:proofErr w:type="spellStart"/>
      <w:r w:rsidRPr="00E128B6">
        <w:t>bacteremia</w:t>
      </w:r>
      <w:proofErr w:type="spellEnd"/>
      <w:r w:rsidRPr="00E128B6">
        <w:t>*"[Title/Abstract]) AND ("</w:t>
      </w:r>
      <w:proofErr w:type="spellStart"/>
      <w:r w:rsidRPr="00E128B6">
        <w:t>Daptomycin</w:t>
      </w:r>
      <w:proofErr w:type="spellEnd"/>
      <w:r w:rsidRPr="00E128B6">
        <w:t>"[</w:t>
      </w:r>
      <w:proofErr w:type="spellStart"/>
      <w:r w:rsidRPr="00E128B6">
        <w:t>MeSH</w:t>
      </w:r>
      <w:proofErr w:type="spellEnd"/>
      <w:r w:rsidRPr="00E128B6">
        <w:t xml:space="preserve"> </w:t>
      </w:r>
      <w:proofErr w:type="spellStart"/>
      <w:r w:rsidRPr="00E128B6">
        <w:t>Terms</w:t>
      </w:r>
      <w:proofErr w:type="spellEnd"/>
      <w:r w:rsidRPr="00E128B6">
        <w:t>] OR "</w:t>
      </w:r>
      <w:proofErr w:type="spellStart"/>
      <w:r w:rsidRPr="00E128B6">
        <w:t>Daptomycin</w:t>
      </w:r>
      <w:proofErr w:type="spellEnd"/>
      <w:r w:rsidRPr="00E128B6">
        <w:t>"[Title/Abstract] OR "LY-146032"[Title/Abstract] OR "LY146032"[Title/Abstract]).</w:t>
      </w:r>
    </w:p>
    <w:p w14:paraId="7E637A5C" w14:textId="77777777" w:rsidR="00162AB3" w:rsidRDefault="00162AB3" w:rsidP="00BB2244">
      <w:pPr>
        <w:spacing w:line="480" w:lineRule="auto"/>
        <w:jc w:val="both"/>
        <w:rPr>
          <w:i/>
          <w:iCs/>
          <w:lang w:val="en-US"/>
        </w:rPr>
      </w:pPr>
    </w:p>
    <w:p w14:paraId="5CF7EBC2" w14:textId="74B27C9D" w:rsidR="00BC313C" w:rsidRPr="00A6544D" w:rsidRDefault="00BC313C" w:rsidP="00BB2244">
      <w:pPr>
        <w:spacing w:line="480" w:lineRule="auto"/>
        <w:jc w:val="both"/>
        <w:rPr>
          <w:i/>
          <w:iCs/>
          <w:lang w:val="en-US"/>
        </w:rPr>
      </w:pPr>
      <w:r w:rsidRPr="00A6544D">
        <w:rPr>
          <w:i/>
          <w:iCs/>
          <w:lang w:val="en-US"/>
        </w:rPr>
        <w:t>Study selection</w:t>
      </w:r>
    </w:p>
    <w:p w14:paraId="5CF7EBC3" w14:textId="48A105A1" w:rsidR="00BC313C" w:rsidRPr="00DA28D1" w:rsidRDefault="00B14B98" w:rsidP="00BB2244">
      <w:pPr>
        <w:spacing w:line="480" w:lineRule="auto"/>
        <w:jc w:val="both"/>
        <w:rPr>
          <w:lang w:val="en-US"/>
        </w:rPr>
      </w:pPr>
      <w:r w:rsidRPr="00A6544D">
        <w:rPr>
          <w:lang w:val="en-US"/>
        </w:rPr>
        <w:t>Randomized controlled trials (RCTs) or p</w:t>
      </w:r>
      <w:r w:rsidR="00BC313C" w:rsidRPr="00A6544D">
        <w:rPr>
          <w:lang w:val="en-US"/>
        </w:rPr>
        <w:t>rospective/retrospective observational studies</w:t>
      </w:r>
      <w:r w:rsidR="003B26EA" w:rsidRPr="00A6544D">
        <w:rPr>
          <w:lang w:val="en-US"/>
        </w:rPr>
        <w:t xml:space="preserve"> published in </w:t>
      </w:r>
      <w:r w:rsidR="003920AB" w:rsidRPr="00A6544D">
        <w:rPr>
          <w:lang w:val="en-US"/>
        </w:rPr>
        <w:t xml:space="preserve">English </w:t>
      </w:r>
      <w:r w:rsidRPr="00A6544D">
        <w:rPr>
          <w:lang w:val="en-US"/>
        </w:rPr>
        <w:t xml:space="preserve">in the last 10 years </w:t>
      </w:r>
      <w:r w:rsidR="00BC313C" w:rsidRPr="00A6544D">
        <w:rPr>
          <w:lang w:val="en-US"/>
        </w:rPr>
        <w:t>were</w:t>
      </w:r>
      <w:r w:rsidR="00BC313C" w:rsidRPr="00DA28D1">
        <w:rPr>
          <w:lang w:val="en-US"/>
        </w:rPr>
        <w:t xml:space="preserve"> included. Studies were excluded if no comparator group was provided, </w:t>
      </w:r>
      <w:r w:rsidR="00BC313C" w:rsidRPr="00A6544D">
        <w:rPr>
          <w:lang w:val="en-US"/>
        </w:rPr>
        <w:t>quantitative target outcome results were lacking</w:t>
      </w:r>
      <w:r w:rsidR="00F6361E" w:rsidRPr="00A6544D">
        <w:rPr>
          <w:lang w:val="en-US"/>
        </w:rPr>
        <w:t>, or no adjusted outcome data were provided</w:t>
      </w:r>
      <w:r w:rsidR="00BC313C" w:rsidRPr="00A6544D">
        <w:rPr>
          <w:lang w:val="en-US"/>
        </w:rPr>
        <w:t>. Add</w:t>
      </w:r>
      <w:r w:rsidR="003B26EA" w:rsidRPr="00A6544D">
        <w:rPr>
          <w:lang w:val="en-US"/>
        </w:rPr>
        <w:t>itionally</w:t>
      </w:r>
      <w:r w:rsidR="003B26EA">
        <w:rPr>
          <w:lang w:val="en-US"/>
        </w:rPr>
        <w:t>, conference abstracts and</w:t>
      </w:r>
      <w:r w:rsidR="00BC313C" w:rsidRPr="00DA28D1">
        <w:rPr>
          <w:lang w:val="en-US"/>
        </w:rPr>
        <w:t xml:space="preserve"> case reports/series</w:t>
      </w:r>
      <w:r w:rsidR="003B26EA">
        <w:rPr>
          <w:lang w:val="en-US"/>
        </w:rPr>
        <w:t xml:space="preserve"> were</w:t>
      </w:r>
      <w:r w:rsidR="00BC313C" w:rsidRPr="00DA28D1">
        <w:rPr>
          <w:lang w:val="en-US"/>
        </w:rPr>
        <w:t xml:space="preserve"> not eligible. </w:t>
      </w:r>
    </w:p>
    <w:p w14:paraId="5CF7EBC4" w14:textId="54C3C17B" w:rsidR="003B26EA" w:rsidRPr="00544227" w:rsidRDefault="00BC313C" w:rsidP="00BB2244">
      <w:pPr>
        <w:spacing w:line="480" w:lineRule="auto"/>
        <w:jc w:val="both"/>
        <w:rPr>
          <w:iCs/>
          <w:lang w:val="en-US"/>
        </w:rPr>
      </w:pPr>
      <w:r w:rsidRPr="00DA28D1">
        <w:rPr>
          <w:lang w:val="en-US"/>
        </w:rPr>
        <w:t xml:space="preserve">Primary outcome was </w:t>
      </w:r>
      <w:r w:rsidR="003920AB">
        <w:rPr>
          <w:lang w:val="en-US"/>
        </w:rPr>
        <w:t xml:space="preserve">overall mortality or microbiological failure in all PICO/PECO questions. </w:t>
      </w:r>
      <w:r w:rsidR="00544227">
        <w:rPr>
          <w:lang w:val="en-US"/>
        </w:rPr>
        <w:t xml:space="preserve">Overall mortality was </w:t>
      </w:r>
      <w:r w:rsidR="00544227">
        <w:rPr>
          <w:iCs/>
          <w:lang w:val="en-US"/>
        </w:rPr>
        <w:t>defined as (accordingly with studies retrieved): s</w:t>
      </w:r>
      <w:r w:rsidR="00544227" w:rsidRPr="00917904">
        <w:rPr>
          <w:iCs/>
          <w:lang w:val="en-US"/>
        </w:rPr>
        <w:t>hort-term (14-day, end of treatment (EOT), within 7 days after EOT)</w:t>
      </w:r>
      <w:r w:rsidR="00544227">
        <w:rPr>
          <w:iCs/>
          <w:lang w:val="en-US"/>
        </w:rPr>
        <w:t>, l</w:t>
      </w:r>
      <w:r w:rsidR="00544227" w:rsidRPr="00917904">
        <w:rPr>
          <w:iCs/>
          <w:lang w:val="en-US"/>
        </w:rPr>
        <w:t>ong-term (30-day all-cause mortality, defined as death from any reason within 30 days</w:t>
      </w:r>
      <w:r w:rsidR="00544227">
        <w:rPr>
          <w:iCs/>
          <w:lang w:val="en-US"/>
        </w:rPr>
        <w:t xml:space="preserve"> </w:t>
      </w:r>
      <w:r w:rsidR="00544227" w:rsidRPr="00917904">
        <w:rPr>
          <w:iCs/>
          <w:lang w:val="en-US"/>
        </w:rPr>
        <w:t>from the first positive blood culture)</w:t>
      </w:r>
      <w:r w:rsidR="00544227">
        <w:rPr>
          <w:iCs/>
          <w:lang w:val="en-US"/>
        </w:rPr>
        <w:t>, i</w:t>
      </w:r>
      <w:r w:rsidR="00544227" w:rsidRPr="00917904">
        <w:rPr>
          <w:iCs/>
          <w:lang w:val="en-US"/>
        </w:rPr>
        <w:t>nfection-related mortality (defined as death attributed to bacteremia)</w:t>
      </w:r>
      <w:r w:rsidR="00544227">
        <w:rPr>
          <w:iCs/>
          <w:lang w:val="en-US"/>
        </w:rPr>
        <w:t>, i</w:t>
      </w:r>
      <w:r w:rsidR="00544227" w:rsidRPr="00917904">
        <w:rPr>
          <w:iCs/>
          <w:lang w:val="en-US"/>
        </w:rPr>
        <w:t>n-hospital mortality (defined as death from any reason during hospital stay)</w:t>
      </w:r>
      <w:r w:rsidR="00544227">
        <w:rPr>
          <w:iCs/>
          <w:lang w:val="en-US"/>
        </w:rPr>
        <w:t xml:space="preserve">. Microbiological failure was defined as recurrence, persistence, or breakthrough </w:t>
      </w:r>
      <w:r w:rsidR="00544227" w:rsidRPr="00544227">
        <w:rPr>
          <w:i/>
          <w:lang w:val="en-US"/>
        </w:rPr>
        <w:t>E. faecium</w:t>
      </w:r>
      <w:r w:rsidR="00544227">
        <w:rPr>
          <w:iCs/>
          <w:lang w:val="en-US"/>
        </w:rPr>
        <w:t xml:space="preserve"> BSI. </w:t>
      </w:r>
    </w:p>
    <w:p w14:paraId="5CF7EBC5" w14:textId="7B075702" w:rsidR="00BC313C" w:rsidRDefault="003920AB" w:rsidP="00BB2244">
      <w:pPr>
        <w:spacing w:line="480" w:lineRule="auto"/>
        <w:jc w:val="both"/>
        <w:rPr>
          <w:lang w:val="en-US"/>
        </w:rPr>
      </w:pPr>
      <w:r>
        <w:rPr>
          <w:lang w:val="en-US"/>
        </w:rPr>
        <w:lastRenderedPageBreak/>
        <w:t>Four</w:t>
      </w:r>
      <w:r w:rsidR="00BC313C" w:rsidRPr="00DA28D1">
        <w:rPr>
          <w:lang w:val="en-US"/>
        </w:rPr>
        <w:t xml:space="preserve"> pairs </w:t>
      </w:r>
      <w:r w:rsidR="00917851" w:rsidRPr="00DA28D1">
        <w:rPr>
          <w:lang w:val="en-US"/>
        </w:rPr>
        <w:t>of authors (</w:t>
      </w:r>
      <w:r w:rsidR="005A1F63">
        <w:rPr>
          <w:lang w:val="en-US"/>
        </w:rPr>
        <w:t>CB and BP</w:t>
      </w:r>
      <w:r w:rsidR="00BB2244" w:rsidRPr="00DA28D1">
        <w:rPr>
          <w:lang w:val="en-US"/>
        </w:rPr>
        <w:t xml:space="preserve">, </w:t>
      </w:r>
      <w:r w:rsidR="005A1F63">
        <w:rPr>
          <w:lang w:val="en-US"/>
        </w:rPr>
        <w:t>MR and CC, BT and FM, MG and IR)</w:t>
      </w:r>
      <w:r w:rsidR="00BC313C" w:rsidRPr="00DA28D1">
        <w:rPr>
          <w:lang w:val="en-US"/>
        </w:rPr>
        <w:t xml:space="preserve"> independently screened titles and abstracts of each predefined group of records for potential relevance and assessed eligibility of relevant full texts. Any disagreement was resolved by means of discussion or consultation with a third reviewer (</w:t>
      </w:r>
      <w:proofErr w:type="spellStart"/>
      <w:r w:rsidR="00BC313C" w:rsidRPr="00DA28D1">
        <w:rPr>
          <w:lang w:val="en-US"/>
        </w:rPr>
        <w:t>MaGi</w:t>
      </w:r>
      <w:proofErr w:type="spellEnd"/>
      <w:r w:rsidR="00BC313C" w:rsidRPr="00DA28D1">
        <w:rPr>
          <w:lang w:val="en-US"/>
        </w:rPr>
        <w:t>).</w:t>
      </w:r>
    </w:p>
    <w:p w14:paraId="5CF7EBC6" w14:textId="77777777" w:rsidR="003B26EA" w:rsidRDefault="003B26EA" w:rsidP="00BB2244">
      <w:pPr>
        <w:spacing w:line="480" w:lineRule="auto"/>
        <w:jc w:val="both"/>
        <w:rPr>
          <w:i/>
          <w:iCs/>
          <w:lang w:val="en-US"/>
        </w:rPr>
      </w:pPr>
    </w:p>
    <w:p w14:paraId="5CF7EBC7" w14:textId="77777777" w:rsidR="00BC313C" w:rsidRPr="00DA28D1" w:rsidRDefault="00BC313C" w:rsidP="00BB2244">
      <w:pPr>
        <w:spacing w:line="480" w:lineRule="auto"/>
        <w:jc w:val="both"/>
        <w:rPr>
          <w:i/>
          <w:iCs/>
          <w:lang w:val="en-US"/>
        </w:rPr>
      </w:pPr>
      <w:r w:rsidRPr="00DA28D1">
        <w:rPr>
          <w:i/>
          <w:iCs/>
          <w:lang w:val="en-US"/>
        </w:rPr>
        <w:t>Data extraction</w:t>
      </w:r>
    </w:p>
    <w:p w14:paraId="5CF7EBC9" w14:textId="71A9E695" w:rsidR="00BC313C" w:rsidRPr="00DA28D1" w:rsidRDefault="005A1F63" w:rsidP="00BB2244">
      <w:pPr>
        <w:spacing w:line="480" w:lineRule="auto"/>
        <w:jc w:val="both"/>
        <w:rPr>
          <w:lang w:val="en-US"/>
        </w:rPr>
      </w:pPr>
      <w:r>
        <w:rPr>
          <w:lang w:val="en-US"/>
        </w:rPr>
        <w:t>Four</w:t>
      </w:r>
      <w:r w:rsidRPr="00DA28D1">
        <w:rPr>
          <w:lang w:val="en-US"/>
        </w:rPr>
        <w:t xml:space="preserve"> pairs of authors (</w:t>
      </w:r>
      <w:r>
        <w:rPr>
          <w:lang w:val="en-US"/>
        </w:rPr>
        <w:t>CB and BP</w:t>
      </w:r>
      <w:r w:rsidRPr="00DA28D1">
        <w:rPr>
          <w:lang w:val="en-US"/>
        </w:rPr>
        <w:t xml:space="preserve">, </w:t>
      </w:r>
      <w:r>
        <w:rPr>
          <w:lang w:val="en-US"/>
        </w:rPr>
        <w:t xml:space="preserve">MR and CC, BT and FM, MG and IR) </w:t>
      </w:r>
      <w:r w:rsidR="00BC313C" w:rsidRPr="00DA28D1">
        <w:rPr>
          <w:lang w:val="en-US"/>
        </w:rPr>
        <w:t>independently extracted data of each included study retrieved in the assigned group in a pre-specified form. The following data were extracted: a) study author and year</w:t>
      </w:r>
      <w:r w:rsidR="00917851" w:rsidRPr="00DA28D1">
        <w:rPr>
          <w:lang w:val="en-US"/>
        </w:rPr>
        <w:t xml:space="preserve"> of publication and </w:t>
      </w:r>
      <w:r w:rsidR="00BC313C" w:rsidRPr="00DA28D1">
        <w:rPr>
          <w:lang w:val="en-US"/>
        </w:rPr>
        <w:t>country in which the study was conducted; b) study characteristics including study design, time period, sample size, exclusion criteria, and funding; c) features of the</w:t>
      </w:r>
      <w:r w:rsidR="00A20C32">
        <w:rPr>
          <w:lang w:val="en-US"/>
        </w:rPr>
        <w:t xml:space="preserve"> patients</w:t>
      </w:r>
      <w:r w:rsidR="00BC313C" w:rsidRPr="00DA28D1">
        <w:rPr>
          <w:lang w:val="en-US"/>
        </w:rPr>
        <w:t xml:space="preserve"> including age, sex, </w:t>
      </w:r>
      <w:r w:rsidR="00A20C32">
        <w:rPr>
          <w:lang w:val="en-US"/>
        </w:rPr>
        <w:t>Charlson Comorbidity Index</w:t>
      </w:r>
      <w:r w:rsidR="00BC313C" w:rsidRPr="00DA28D1">
        <w:rPr>
          <w:lang w:val="en-US"/>
        </w:rPr>
        <w:t xml:space="preserve">, </w:t>
      </w:r>
      <w:r w:rsidR="00A20C32">
        <w:rPr>
          <w:lang w:val="en-US"/>
        </w:rPr>
        <w:t xml:space="preserve">any </w:t>
      </w:r>
      <w:r w:rsidR="00BC313C" w:rsidRPr="00DA28D1">
        <w:rPr>
          <w:lang w:val="en-US"/>
        </w:rPr>
        <w:t xml:space="preserve">immunosuppressive </w:t>
      </w:r>
      <w:r w:rsidR="00A20C32">
        <w:rPr>
          <w:lang w:val="en-US"/>
        </w:rPr>
        <w:t>status</w:t>
      </w:r>
      <w:r w:rsidR="002722E8">
        <w:rPr>
          <w:lang w:val="en-US"/>
        </w:rPr>
        <w:t xml:space="preserve">; d) </w:t>
      </w:r>
      <w:r w:rsidR="00A20C32">
        <w:rPr>
          <w:lang w:val="en-US"/>
        </w:rPr>
        <w:t>BSI classification (primary, secondary, device-related; hospital-acquired or community-acquired) and clinical severity (SOFA or PITT score) at BSI onset, ward of diagnosis</w:t>
      </w:r>
      <w:r w:rsidR="002722E8">
        <w:rPr>
          <w:lang w:val="en-US"/>
        </w:rPr>
        <w:t>;</w:t>
      </w:r>
      <w:r w:rsidR="00D57633">
        <w:rPr>
          <w:lang w:val="en-US"/>
        </w:rPr>
        <w:t xml:space="preserve"> </w:t>
      </w:r>
      <w:r w:rsidR="002722E8">
        <w:rPr>
          <w:lang w:val="en-US"/>
        </w:rPr>
        <w:t>e</w:t>
      </w:r>
      <w:r w:rsidR="00BC313C" w:rsidRPr="00DA28D1">
        <w:rPr>
          <w:lang w:val="en-US"/>
        </w:rPr>
        <w:t xml:space="preserve">) </w:t>
      </w:r>
      <w:r w:rsidR="00A20C32">
        <w:rPr>
          <w:lang w:val="en-US"/>
        </w:rPr>
        <w:t>management of infection (empirical and targeted treatment, drug dose and duration)</w:t>
      </w:r>
      <w:r w:rsidR="00414359">
        <w:rPr>
          <w:lang w:val="en-US"/>
        </w:rPr>
        <w:t xml:space="preserve">, overall mortality, defined as </w:t>
      </w:r>
      <w:r w:rsidR="005216F2">
        <w:rPr>
          <w:lang w:val="en-US"/>
        </w:rPr>
        <w:t>s</w:t>
      </w:r>
      <w:r w:rsidR="00414359" w:rsidRPr="00414359">
        <w:rPr>
          <w:lang w:val="en-US"/>
        </w:rPr>
        <w:t>hort-term (14-day, end of treatment (EOT), within 7 days after EOT)</w:t>
      </w:r>
      <w:r w:rsidR="005216F2">
        <w:rPr>
          <w:lang w:val="en-US"/>
        </w:rPr>
        <w:t>, l</w:t>
      </w:r>
      <w:r w:rsidR="00414359" w:rsidRPr="00414359">
        <w:rPr>
          <w:lang w:val="en-US"/>
        </w:rPr>
        <w:t>ong-term (30-day all-cause mortality, defined as death from any reason within 30 days</w:t>
      </w:r>
      <w:r w:rsidR="00381606">
        <w:rPr>
          <w:lang w:val="en-US"/>
        </w:rPr>
        <w:t xml:space="preserve"> </w:t>
      </w:r>
      <w:r w:rsidR="00414359" w:rsidRPr="00414359">
        <w:rPr>
          <w:lang w:val="en-US"/>
        </w:rPr>
        <w:t>from the first positive blood culture)</w:t>
      </w:r>
      <w:r w:rsidR="005216F2">
        <w:rPr>
          <w:lang w:val="en-US"/>
        </w:rPr>
        <w:t>, i</w:t>
      </w:r>
      <w:r w:rsidR="00414359" w:rsidRPr="00414359">
        <w:rPr>
          <w:lang w:val="en-US"/>
        </w:rPr>
        <w:t>nfection-related mortality (defined as death attributed to bacteremia)</w:t>
      </w:r>
      <w:r w:rsidR="005216F2">
        <w:rPr>
          <w:lang w:val="en-US"/>
        </w:rPr>
        <w:t>, i</w:t>
      </w:r>
      <w:r w:rsidR="00414359" w:rsidRPr="00414359">
        <w:rPr>
          <w:lang w:val="en-US"/>
        </w:rPr>
        <w:t>n-hospital mortality (defined as death from any reason during hospital stay)</w:t>
      </w:r>
      <w:r w:rsidR="005216F2">
        <w:rPr>
          <w:lang w:val="en-US"/>
        </w:rPr>
        <w:t xml:space="preserve">, microbiological failure, defined as persistent positive follow-up blood cultures or recurrence for the same pathogen. </w:t>
      </w:r>
      <w:r w:rsidR="00381606">
        <w:rPr>
          <w:lang w:val="en-US"/>
        </w:rPr>
        <w:t xml:space="preserve"> </w:t>
      </w:r>
      <w:r w:rsidR="00BC313C" w:rsidRPr="00DA28D1">
        <w:rPr>
          <w:lang w:val="en-US"/>
        </w:rPr>
        <w:t>Corresponding authors of publications that reported unclear data that may lead to misinterpretations were contacted by email for clarification and/or for requesting supplemental information of the included studies.</w:t>
      </w:r>
    </w:p>
    <w:p w14:paraId="5CF7EBCA" w14:textId="77777777" w:rsidR="00EE531B" w:rsidRDefault="00EE531B" w:rsidP="00BB2244">
      <w:pPr>
        <w:spacing w:line="480" w:lineRule="auto"/>
        <w:jc w:val="both"/>
        <w:rPr>
          <w:i/>
          <w:iCs/>
          <w:lang w:val="en-US"/>
        </w:rPr>
      </w:pPr>
    </w:p>
    <w:p w14:paraId="5CF7EBCB" w14:textId="77777777" w:rsidR="00BC313C" w:rsidRPr="00DA28D1" w:rsidRDefault="00BC313C" w:rsidP="00BB2244">
      <w:pPr>
        <w:spacing w:line="480" w:lineRule="auto"/>
        <w:jc w:val="both"/>
        <w:rPr>
          <w:i/>
          <w:iCs/>
          <w:lang w:val="en-US"/>
        </w:rPr>
      </w:pPr>
      <w:r w:rsidRPr="00DA28D1">
        <w:rPr>
          <w:i/>
          <w:iCs/>
          <w:lang w:val="en-US"/>
        </w:rPr>
        <w:t>Risk of bias assessment</w:t>
      </w:r>
    </w:p>
    <w:p w14:paraId="5CF7EBCC" w14:textId="60B3C8F7" w:rsidR="00BC313C" w:rsidRPr="00DA28D1" w:rsidRDefault="005216F2" w:rsidP="00BB2244">
      <w:pPr>
        <w:spacing w:line="480" w:lineRule="auto"/>
        <w:jc w:val="both"/>
        <w:rPr>
          <w:lang w:val="en-US"/>
        </w:rPr>
      </w:pPr>
      <w:r>
        <w:rPr>
          <w:lang w:val="en-US"/>
        </w:rPr>
        <w:t>Four</w:t>
      </w:r>
      <w:r w:rsidRPr="00DA28D1">
        <w:rPr>
          <w:lang w:val="en-US"/>
        </w:rPr>
        <w:t xml:space="preserve"> pairs of authors (</w:t>
      </w:r>
      <w:r>
        <w:rPr>
          <w:lang w:val="en-US"/>
        </w:rPr>
        <w:t>CB and BP</w:t>
      </w:r>
      <w:r w:rsidRPr="00DA28D1">
        <w:rPr>
          <w:lang w:val="en-US"/>
        </w:rPr>
        <w:t xml:space="preserve">, </w:t>
      </w:r>
      <w:r>
        <w:rPr>
          <w:lang w:val="en-US"/>
        </w:rPr>
        <w:t xml:space="preserve">MR and CC, BT and FM, MG and IR) </w:t>
      </w:r>
      <w:r w:rsidR="00BC313C" w:rsidRPr="00DA28D1">
        <w:rPr>
          <w:lang w:val="en-US"/>
        </w:rPr>
        <w:t xml:space="preserve">independently assessed the risk of bias of the included studies. </w:t>
      </w:r>
      <w:r w:rsidR="00D53C49" w:rsidRPr="002C77DA">
        <w:rPr>
          <w:lang w:val="en-US"/>
        </w:rPr>
        <w:t>The Cochrane Risk of Bias Tool (</w:t>
      </w:r>
      <w:proofErr w:type="spellStart"/>
      <w:r w:rsidR="00D53C49" w:rsidRPr="002C77DA">
        <w:rPr>
          <w:lang w:val="en-US"/>
        </w:rPr>
        <w:t>RoB</w:t>
      </w:r>
      <w:proofErr w:type="spellEnd"/>
      <w:r w:rsidR="00D53C49" w:rsidRPr="002C77DA">
        <w:rPr>
          <w:lang w:val="en-US"/>
        </w:rPr>
        <w:t xml:space="preserve"> 2.0)</w:t>
      </w:r>
      <w:r w:rsidR="00FB30CF" w:rsidRPr="002C77DA">
        <w:rPr>
          <w:lang w:val="en-US"/>
        </w:rPr>
        <w:t xml:space="preserve"> </w:t>
      </w:r>
      <w:r w:rsidR="002C77DA" w:rsidRPr="002C77DA">
        <w:rPr>
          <w:lang w:val="en-US"/>
        </w:rPr>
        <w:fldChar w:fldCharType="begin"/>
      </w:r>
      <w:r w:rsidR="00CA69E8">
        <w:rPr>
          <w:lang w:val="en-US"/>
        </w:rPr>
        <w:instrText xml:space="preserve"> ADDIN ZOTERO_ITEM CSL_CITATION {"citationID":"SyAZi12X","properties":{"formattedCitation":"(2)","plainCitation":"(2)","noteIndex":0},"citationItems":[{"id":1807,"uris":["http://zotero.org/users/9228761/items/TDM4424H"],"itemData":{"id":1807,"type":"article-journal","container-title":"BMJ (Clinical research ed.)","DOI":"10.1136/bmj.l4898","ISSN":"1756-1833","journalAbbreviation":"BMJ","language":"eng","page":"l4898","PMID":"31462531","source":"PubMed","title":"RoB 2: a revised tool for assessing risk of bias in randomised trials","title-short":"RoB 2","volume":"366","author":[{"family":"Sterne","given":"Jonathan A. C."},{"family":"Savović","given":"Jelena"},{"family":"Page","given":"Matthew J."},{"family":"Elbers","given":"Roy G."},{"family":"Blencowe","given":"Natalie S."},{"family":"Boutron","given":"Isabelle"},{"family":"Cates","given":"Christopher J."},{"family":"Cheng","given":"Hung-Yuan"},{"family":"Corbett","given":"Mark S."},{"family":"Eldridge","given":"Sandra M."},{"family":"Emberson","given":"Jonathan R."},{"family":"Hernán","given":"Miguel A."},{"family":"Hopewell","given":"Sally"},{"family":"Hróbjartsson","given":"Asbjørn"},{"family":"Junqueira","given":"Daniela R."},{"family":"Jüni","given":"Peter"},{"family":"Kirkham","given":"Jamie J."},{"family":"Lasserson","given":"Toby"},{"family":"Li","given":"Tianjing"},{"family":"McAleenan","given":"Alexandra"},{"family":"Reeves","given":"Barnaby C."},{"family":"Shepperd","given":"Sasha"},{"family":"Shrier","given":"Ian"},{"family":"Stewart","given":"Lesley A."},{"family":"Tilling","given":"Kate"},{"family":"White","given":"Ian R."},{"family":"Whiting","given":"Penny F."},{"family":"Higgins","given":"Julian P. T."}],"issued":{"date-parts":[["2019",8,28]]}}}],"schema":"https://github.com/citation-style-language/schema/raw/master/csl-citation.json"} </w:instrText>
      </w:r>
      <w:r w:rsidR="002C77DA" w:rsidRPr="002C77DA">
        <w:rPr>
          <w:lang w:val="en-US"/>
        </w:rPr>
        <w:fldChar w:fldCharType="separate"/>
      </w:r>
      <w:r w:rsidR="00CA69E8" w:rsidRPr="00CA69E8">
        <w:t>(2)</w:t>
      </w:r>
      <w:r w:rsidR="002C77DA" w:rsidRPr="002C77DA">
        <w:rPr>
          <w:lang w:val="en-US"/>
        </w:rPr>
        <w:fldChar w:fldCharType="end"/>
      </w:r>
      <w:r w:rsidR="002C77DA" w:rsidRPr="002C77DA">
        <w:rPr>
          <w:lang w:val="en-US"/>
        </w:rPr>
        <w:t xml:space="preserve"> </w:t>
      </w:r>
      <w:r w:rsidR="00D53C49" w:rsidRPr="002C77DA">
        <w:rPr>
          <w:lang w:val="en-US"/>
        </w:rPr>
        <w:t>and t</w:t>
      </w:r>
      <w:r w:rsidR="00BC313C" w:rsidRPr="002C77DA">
        <w:rPr>
          <w:lang w:val="en-US"/>
        </w:rPr>
        <w:t xml:space="preserve">he Risk Of </w:t>
      </w:r>
      <w:r w:rsidR="00BC313C" w:rsidRPr="002C77DA">
        <w:rPr>
          <w:lang w:val="en-US"/>
        </w:rPr>
        <w:lastRenderedPageBreak/>
        <w:t>Bias In Non-randomized Studies of Interventions (ROBINS-I</w:t>
      </w:r>
      <w:r w:rsidR="002C77DA" w:rsidRPr="002C77DA">
        <w:rPr>
          <w:lang w:val="en-US"/>
        </w:rPr>
        <w:t xml:space="preserve">) </w:t>
      </w:r>
      <w:r w:rsidR="002C77DA" w:rsidRPr="002C77DA">
        <w:rPr>
          <w:lang w:val="en-US"/>
        </w:rPr>
        <w:fldChar w:fldCharType="begin"/>
      </w:r>
      <w:r w:rsidR="00CA69E8">
        <w:rPr>
          <w:lang w:val="en-US"/>
        </w:rPr>
        <w:instrText xml:space="preserve"> ADDIN ZOTERO_ITEM CSL_CITATION {"citationID":"gUNAl0kU","properties":{"formattedCitation":"(3)","plainCitation":"(3)","noteIndex":0},"citationItems":[{"id":16,"uris":["http://zotero.org/users/9228761/items/P6JUDBW5"],"itemData":{"id":16,"type":"article-journal","container-title":"BMJ (Clinical research ed.)","DOI":"10.1136/bmj.i4919","ISSN":"1756-1833","journalAbbreviation":"BMJ","language":"eng","page":"i4919","PMID":"27733354","PMCID":"PMC5062054","source":"PubMed","title":"ROBINS-I: a tool for assessing risk of bias in non-randomised studies of interventions","title-short":"ROBINS-I","volume":"355","author":[{"family":"Sterne","given":"Jonathan Ac"},{"family":"Hernán","given":"Miguel A."},{"family":"Reeves","given":"Barnaby C."},{"family":"Savović","given":"Jelena"},{"family":"Berkman","given":"Nancy D."},{"family":"Viswanathan","given":"Meera"},{"family":"Henry","given":"David"},{"family":"Altman","given":"Douglas G."},{"family":"Ansari","given":"Mohammed T."},{"family":"Boutron","given":"Isabelle"},{"family":"Carpenter","given":"James R."},{"family":"Chan","given":"An-Wen"},{"family":"Churchill","given":"Rachel"},{"family":"Deeks","given":"Jonathan J."},{"family":"Hróbjartsson","given":"Asbjørn"},{"family":"Kirkham","given":"Jamie"},{"family":"Jüni","given":"Peter"},{"family":"Loke","given":"Yoon K."},{"family":"Pigott","given":"Theresa D."},{"family":"Ramsay","given":"Craig R."},{"family":"Regidor","given":"Deborah"},{"family":"Rothstein","given":"Hannah R."},{"family":"Sandhu","given":"Lakhbir"},{"family":"Santaguida","given":"Pasqualina L."},{"family":"Schünemann","given":"Holger J."},{"family":"Shea","given":"Beverly"},{"family":"Shrier","given":"Ian"},{"family":"Tugwell","given":"Peter"},{"family":"Turner","given":"Lucy"},{"family":"Valentine","given":"Jeffrey C."},{"family":"Waddington","given":"Hugh"},{"family":"Waters","given":"Elizabeth"},{"family":"Wells","given":"George A."},{"family":"Whiting","given":"Penny F."},{"family":"Higgins","given":"Julian Pt"}],"issued":{"date-parts":[["2016",10,12]]}}}],"schema":"https://github.com/citation-style-language/schema/raw/master/csl-citation.json"} </w:instrText>
      </w:r>
      <w:r w:rsidR="002C77DA" w:rsidRPr="002C77DA">
        <w:rPr>
          <w:lang w:val="en-US"/>
        </w:rPr>
        <w:fldChar w:fldCharType="separate"/>
      </w:r>
      <w:r w:rsidR="00CA69E8" w:rsidRPr="00CA69E8">
        <w:t>(3)</w:t>
      </w:r>
      <w:r w:rsidR="002C77DA" w:rsidRPr="002C77DA">
        <w:rPr>
          <w:lang w:val="en-US"/>
        </w:rPr>
        <w:fldChar w:fldCharType="end"/>
      </w:r>
      <w:r w:rsidR="002C77DA" w:rsidRPr="002C77DA">
        <w:rPr>
          <w:lang w:val="en-US"/>
        </w:rPr>
        <w:t xml:space="preserve"> </w:t>
      </w:r>
      <w:r w:rsidR="00BC313C" w:rsidRPr="002C77DA">
        <w:rPr>
          <w:lang w:val="en-US"/>
        </w:rPr>
        <w:t>were used to assess the risk of bias</w:t>
      </w:r>
      <w:r w:rsidR="00D53C49" w:rsidRPr="002C77DA">
        <w:rPr>
          <w:lang w:val="en-US"/>
        </w:rPr>
        <w:t xml:space="preserve"> in RCTs and observational studies, respectively</w:t>
      </w:r>
      <w:r w:rsidR="00BC313C" w:rsidRPr="002C77DA">
        <w:rPr>
          <w:lang w:val="en-US"/>
        </w:rPr>
        <w:t>. Any</w:t>
      </w:r>
      <w:r w:rsidR="00BC313C" w:rsidRPr="00DA28D1">
        <w:rPr>
          <w:lang w:val="en-US"/>
        </w:rPr>
        <w:t xml:space="preserve"> disagreement was resolved by means of discussion or consultation with a third reviewer (</w:t>
      </w:r>
      <w:proofErr w:type="spellStart"/>
      <w:r w:rsidR="00BC313C" w:rsidRPr="00DA28D1">
        <w:rPr>
          <w:lang w:val="en-US"/>
        </w:rPr>
        <w:t>MaGi</w:t>
      </w:r>
      <w:proofErr w:type="spellEnd"/>
      <w:r w:rsidR="00BC313C" w:rsidRPr="00DA28D1">
        <w:rPr>
          <w:lang w:val="en-US"/>
        </w:rPr>
        <w:t>).</w:t>
      </w:r>
    </w:p>
    <w:p w14:paraId="5CF7EBCD" w14:textId="77777777" w:rsidR="002722E8" w:rsidRDefault="002722E8" w:rsidP="00BB2244">
      <w:pPr>
        <w:spacing w:line="480" w:lineRule="auto"/>
        <w:jc w:val="both"/>
        <w:rPr>
          <w:i/>
          <w:iCs/>
          <w:lang w:val="en-US"/>
        </w:rPr>
      </w:pPr>
    </w:p>
    <w:p w14:paraId="5CF7EBCE" w14:textId="77777777" w:rsidR="00BC313C" w:rsidRPr="00DA28D1" w:rsidRDefault="00BC313C" w:rsidP="00BB2244">
      <w:pPr>
        <w:spacing w:line="480" w:lineRule="auto"/>
        <w:jc w:val="both"/>
        <w:rPr>
          <w:i/>
          <w:iCs/>
          <w:lang w:val="en-US"/>
        </w:rPr>
      </w:pPr>
      <w:r w:rsidRPr="00DA28D1">
        <w:rPr>
          <w:i/>
          <w:iCs/>
          <w:lang w:val="en-US"/>
        </w:rPr>
        <w:t>Data analysis</w:t>
      </w:r>
    </w:p>
    <w:p w14:paraId="620179BE" w14:textId="0355754D" w:rsidR="001B2725" w:rsidRDefault="002722E8" w:rsidP="001B2725">
      <w:pPr>
        <w:spacing w:line="480" w:lineRule="auto"/>
        <w:jc w:val="both"/>
        <w:rPr>
          <w:lang w:val="en-US"/>
        </w:rPr>
      </w:pPr>
      <w:r w:rsidRPr="00A6544D">
        <w:rPr>
          <w:lang w:val="en-US"/>
        </w:rPr>
        <w:t>Treatment</w:t>
      </w:r>
      <w:r w:rsidR="00BC313C" w:rsidRPr="00A6544D">
        <w:rPr>
          <w:lang w:val="en-US"/>
        </w:rPr>
        <w:t xml:space="preserve"> effects were calculated</w:t>
      </w:r>
      <w:r w:rsidR="004E363E" w:rsidRPr="00A6544D">
        <w:rPr>
          <w:lang w:val="en-US"/>
        </w:rPr>
        <w:t xml:space="preserve"> were calculated as odds ratio (OR) with 95% confidence interval (CI) for dichotomous data, by using a random-effect model with inverse variance method.</w:t>
      </w:r>
      <w:r w:rsidR="001B2725" w:rsidRPr="00A6544D">
        <w:rPr>
          <w:lang w:val="en-US"/>
        </w:rPr>
        <w:t xml:space="preserve"> Statistical significance was assessed by using a Z-test, and p values &lt;0.05 were considered statistically significant.</w:t>
      </w:r>
      <w:r w:rsidR="004E363E" w:rsidRPr="00A6544D">
        <w:rPr>
          <w:lang w:val="en-US"/>
        </w:rPr>
        <w:t xml:space="preserve"> Specifically, adjusted </w:t>
      </w:r>
      <w:r w:rsidR="00BC313C" w:rsidRPr="00A6544D">
        <w:rPr>
          <w:lang w:val="en-US"/>
        </w:rPr>
        <w:t>odds ratio</w:t>
      </w:r>
      <w:r w:rsidR="004E363E" w:rsidRPr="00A6544D">
        <w:rPr>
          <w:lang w:val="en-US"/>
        </w:rPr>
        <w:t>s</w:t>
      </w:r>
      <w:r w:rsidR="00BC313C" w:rsidRPr="00A6544D">
        <w:rPr>
          <w:lang w:val="en-US"/>
        </w:rPr>
        <w:t xml:space="preserve"> (</w:t>
      </w:r>
      <w:proofErr w:type="spellStart"/>
      <w:r w:rsidR="004E363E" w:rsidRPr="00A6544D">
        <w:rPr>
          <w:lang w:val="en-US"/>
        </w:rPr>
        <w:t>a</w:t>
      </w:r>
      <w:r w:rsidR="00BC313C" w:rsidRPr="00A6544D">
        <w:rPr>
          <w:lang w:val="en-US"/>
        </w:rPr>
        <w:t>OR</w:t>
      </w:r>
      <w:r w:rsidR="004E363E" w:rsidRPr="00A6544D">
        <w:rPr>
          <w:lang w:val="en-US"/>
        </w:rPr>
        <w:t>s</w:t>
      </w:r>
      <w:proofErr w:type="spellEnd"/>
      <w:r w:rsidR="00BC313C" w:rsidRPr="00A6544D">
        <w:rPr>
          <w:lang w:val="en-US"/>
        </w:rPr>
        <w:t xml:space="preserve">) </w:t>
      </w:r>
      <w:r w:rsidR="004E363E" w:rsidRPr="00A6544D">
        <w:rPr>
          <w:lang w:val="en-US"/>
        </w:rPr>
        <w:t>retrieved from studies providing adjusted for confounders according to propensity score, matched cohorts, or multivariate logistic regression analyses were pooled</w:t>
      </w:r>
      <w:r w:rsidR="00BC313C" w:rsidRPr="00A6544D">
        <w:rPr>
          <w:lang w:val="en-US"/>
        </w:rPr>
        <w:t>. Statistical</w:t>
      </w:r>
      <w:r w:rsidR="00BC313C" w:rsidRPr="00DA28D1">
        <w:rPr>
          <w:lang w:val="en-US"/>
        </w:rPr>
        <w:t xml:space="preserve"> heterogeneity among studies was assessed by </w:t>
      </w:r>
      <w:r w:rsidR="00BC313C" w:rsidRPr="00AC4850">
        <w:t>χ</w:t>
      </w:r>
      <w:r w:rsidR="00BC313C" w:rsidRPr="00DA28D1">
        <w:rPr>
          <w:lang w:val="en-US"/>
        </w:rPr>
        <w:t xml:space="preserve">² test (p&lt;0.10 indicated significant heterogeneity) and </w:t>
      </w:r>
      <w:r w:rsidR="00BC313C" w:rsidRPr="00DA28D1">
        <w:rPr>
          <w:i/>
          <w:iCs/>
          <w:lang w:val="en-US"/>
        </w:rPr>
        <w:t>I</w:t>
      </w:r>
      <w:r w:rsidR="00BC313C" w:rsidRPr="00DA28D1">
        <w:rPr>
          <w:vertAlign w:val="superscript"/>
          <w:lang w:val="en-US"/>
        </w:rPr>
        <w:t>2</w:t>
      </w:r>
      <w:r w:rsidR="00BC313C" w:rsidRPr="00DA28D1">
        <w:rPr>
          <w:lang w:val="en-US"/>
        </w:rPr>
        <w:t xml:space="preserve"> (degree of heterogeneity). An </w:t>
      </w:r>
      <w:r w:rsidR="00BC313C" w:rsidRPr="00DA28D1">
        <w:rPr>
          <w:i/>
          <w:iCs/>
          <w:lang w:val="en-US"/>
        </w:rPr>
        <w:t>I</w:t>
      </w:r>
      <w:r w:rsidR="00BC313C" w:rsidRPr="00DA28D1">
        <w:rPr>
          <w:vertAlign w:val="superscript"/>
          <w:lang w:val="en-US"/>
        </w:rPr>
        <w:t>2</w:t>
      </w:r>
      <w:r w:rsidR="00BC313C" w:rsidRPr="00DA28D1">
        <w:rPr>
          <w:lang w:val="en-US"/>
        </w:rPr>
        <w:t xml:space="preserve"> of &gt;50% was considered indicative of </w:t>
      </w:r>
      <w:r w:rsidR="00D41068">
        <w:rPr>
          <w:lang w:val="en-US"/>
        </w:rPr>
        <w:t xml:space="preserve">substantial </w:t>
      </w:r>
      <w:r w:rsidR="00BC313C" w:rsidRPr="00DA28D1">
        <w:rPr>
          <w:lang w:val="en-US"/>
        </w:rPr>
        <w:t>heterogeneity</w:t>
      </w:r>
      <w:r w:rsidR="00BC313C" w:rsidRPr="005F5FEA">
        <w:rPr>
          <w:lang w:val="en-US"/>
        </w:rPr>
        <w:t>.</w:t>
      </w:r>
      <w:r w:rsidR="00FE0D3A" w:rsidRPr="005F5FEA">
        <w:rPr>
          <w:lang w:val="en-US"/>
        </w:rPr>
        <w:t xml:space="preserve"> </w:t>
      </w:r>
      <w:r w:rsidR="00BC313C" w:rsidRPr="00DA28D1">
        <w:rPr>
          <w:lang w:val="en-US"/>
        </w:rPr>
        <w:t>Publication bias was assessed by visual inspection of the funnel plot and Egger’s test</w:t>
      </w:r>
      <w:r w:rsidR="00535326" w:rsidRPr="00EC59B9">
        <w:rPr>
          <w:vertAlign w:val="superscript"/>
          <w:lang w:val="en-US"/>
        </w:rPr>
        <w:fldChar w:fldCharType="begin"/>
      </w:r>
      <w:r w:rsidR="00CA69E8">
        <w:rPr>
          <w:vertAlign w:val="superscript"/>
          <w:lang w:val="en-US"/>
        </w:rPr>
        <w:instrText xml:space="preserve"> ADDIN ZOTERO_ITEM CSL_CITATION {"citationID":"EEp7i9tA","properties":{"formattedCitation":"(4)","plainCitation":"(4)","noteIndex":0},"citationItems":[{"id":22,"uris":["http://zotero.org/users/9228761/items/QKZYLNKL"],"itemData":{"id":22,"type":"article-journal","abstract":"OBJECTIVE: Funnel plots (plots of effect estimates against sample size) may be useful to detect bias in meta-analyses that were later contradicted by large trials. We examined whether a simple test of asymmetry of funnel plots predicts discordance of results when meta-analyses are compared to large trials, and we assessed the prevalence of bias in published meta-analyses.\nDESIGN: Medline search to identify pairs consisting of a meta-analysis and a single large trial (concordance of results was assumed if effects were in the same direction and the meta-analytic estimate was within 30% of the trial); analysis of funnel plots from 37 meta-analyses identified from a hand search of four leading general medicine journals 1993-6 and 38 meta-analyses from the second 1996 issue of the Cochrane Database of Systematic Reviews.\nMAIN OUTCOME MEASURE: Degree of funnel plot asymmetry as measured by the intercept from regression of standard normal deviates against precision.\nRESULTS: In the eight pairs of meta-analysis and large trial that were identified (five from cardiovascular medicine, one from diabetic medicine, one from geriatric medicine, one from perinatal medicine) there were four concordant and four discordant pairs. In all cases discordance was due to meta-analyses showing larger effects. Funnel plot asymmetry was present in three out of four discordant pairs but in none of concordant pairs. In 14 (38%) journal meta-analyses and 5 (13%) Cochrane reviews, funnel plot asymmetry indicated that there was bias.\nCONCLUSIONS: A simple analysis of funnel plots provides a useful test for the likely presence of bias in meta-analyses, but as the capacity to detect bias will be limited when meta-analyses are based on a limited number of small trials the results from such analyses should be treated with considerable caution.","container-title":"BMJ (Clinical research ed.)","DOI":"10.1136/bmj.315.7109.629","ISSN":"0959-8138","issue":"7109","journalAbbreviation":"BMJ","language":"eng","page":"629-634","PMID":"9310563","PMCID":"PMC2127453","source":"PubMed","title":"Bias in meta-analysis detected by a simple, graphical test","volume":"315","author":[{"family":"Egger","given":"M."},{"family":"Davey Smith","given":"G."},{"family":"Schneider","given":"M."},{"family":"Minder","given":"C."}],"issued":{"date-parts":[["1997",9,13]]}}}],"schema":"https://github.com/citation-style-language/schema/raw/master/csl-citation.json"} </w:instrText>
      </w:r>
      <w:r w:rsidR="00535326" w:rsidRPr="00EC59B9">
        <w:rPr>
          <w:vertAlign w:val="superscript"/>
          <w:lang w:val="en-US"/>
        </w:rPr>
        <w:fldChar w:fldCharType="separate"/>
      </w:r>
      <w:r w:rsidR="00CA69E8" w:rsidRPr="00CA69E8">
        <w:t>(4)</w:t>
      </w:r>
      <w:r w:rsidR="00535326" w:rsidRPr="00EC59B9">
        <w:rPr>
          <w:vertAlign w:val="superscript"/>
          <w:lang w:val="en-US"/>
        </w:rPr>
        <w:fldChar w:fldCharType="end"/>
      </w:r>
      <w:r w:rsidR="00BC313C" w:rsidRPr="00A22780">
        <w:rPr>
          <w:lang w:val="en-US"/>
        </w:rPr>
        <w:t>.</w:t>
      </w:r>
      <w:r w:rsidR="00A6544D">
        <w:rPr>
          <w:lang w:val="en-US"/>
        </w:rPr>
        <w:t xml:space="preserve"> </w:t>
      </w:r>
      <w:r w:rsidR="001B2725" w:rsidRPr="00A6544D">
        <w:rPr>
          <w:lang w:val="en-US"/>
        </w:rPr>
        <w:t>Sensitivity analysis was conducted according to the risk of bias, by excluding studies at serious/critical risk of bias.</w:t>
      </w:r>
    </w:p>
    <w:p w14:paraId="5CF7EBD0" w14:textId="77777777" w:rsidR="00BC313C" w:rsidRPr="00DA28D1" w:rsidRDefault="00BC313C" w:rsidP="00BB2244">
      <w:pPr>
        <w:spacing w:line="480" w:lineRule="auto"/>
        <w:jc w:val="both"/>
        <w:rPr>
          <w:lang w:val="en-US"/>
        </w:rPr>
      </w:pPr>
      <w:r w:rsidRPr="00DA28D1">
        <w:rPr>
          <w:lang w:val="en-US"/>
        </w:rPr>
        <w:t xml:space="preserve">Statistical analysis was performed using </w:t>
      </w:r>
      <w:proofErr w:type="spellStart"/>
      <w:r w:rsidRPr="00DA28D1">
        <w:rPr>
          <w:lang w:val="en-US"/>
        </w:rPr>
        <w:t>MedCalc</w:t>
      </w:r>
      <w:proofErr w:type="spellEnd"/>
      <w:r w:rsidRPr="00DA28D1">
        <w:rPr>
          <w:lang w:val="en-US"/>
        </w:rPr>
        <w:t xml:space="preserve"> for Windows (</w:t>
      </w:r>
      <w:proofErr w:type="spellStart"/>
      <w:r w:rsidRPr="00DA28D1">
        <w:rPr>
          <w:lang w:val="en-US"/>
        </w:rPr>
        <w:t>MedCalc</w:t>
      </w:r>
      <w:proofErr w:type="spellEnd"/>
      <w:r w:rsidRPr="00DA28D1">
        <w:rPr>
          <w:lang w:val="en-US"/>
        </w:rPr>
        <w:t xml:space="preserve"> statistical software, version 19.6.1, </w:t>
      </w:r>
      <w:proofErr w:type="spellStart"/>
      <w:r w:rsidRPr="00DA28D1">
        <w:rPr>
          <w:lang w:val="en-US"/>
        </w:rPr>
        <w:t>MedCalc</w:t>
      </w:r>
      <w:proofErr w:type="spellEnd"/>
      <w:r w:rsidRPr="00DA28D1">
        <w:rPr>
          <w:lang w:val="en-US"/>
        </w:rPr>
        <w:t xml:space="preserve"> Software Ltd, Ostend, Belgium).</w:t>
      </w:r>
    </w:p>
    <w:p w14:paraId="5CF7EBD1" w14:textId="77777777" w:rsidR="002722E8" w:rsidRDefault="002722E8" w:rsidP="00BB2244">
      <w:pPr>
        <w:spacing w:line="480" w:lineRule="auto"/>
        <w:jc w:val="both"/>
        <w:rPr>
          <w:b/>
          <w:lang w:val="en-US"/>
        </w:rPr>
      </w:pPr>
    </w:p>
    <w:p w14:paraId="5CF7EBD2" w14:textId="46C1CCF8" w:rsidR="00B43953" w:rsidRDefault="00B01054" w:rsidP="00BB2244">
      <w:pPr>
        <w:spacing w:line="480" w:lineRule="auto"/>
        <w:jc w:val="both"/>
        <w:rPr>
          <w:b/>
          <w:lang w:val="en-US"/>
        </w:rPr>
      </w:pPr>
      <w:r>
        <w:rPr>
          <w:b/>
          <w:lang w:val="en-US"/>
        </w:rPr>
        <w:t>RESULTS</w:t>
      </w:r>
    </w:p>
    <w:p w14:paraId="26CDCE29" w14:textId="2750604D" w:rsidR="00323C77" w:rsidRPr="00323C77" w:rsidRDefault="00323C77" w:rsidP="00BB2244">
      <w:pPr>
        <w:spacing w:line="480" w:lineRule="auto"/>
        <w:jc w:val="both"/>
        <w:rPr>
          <w:b/>
          <w:bCs/>
          <w:lang w:val="en-US"/>
        </w:rPr>
      </w:pPr>
      <w:r w:rsidRPr="00B01054">
        <w:rPr>
          <w:b/>
          <w:bCs/>
          <w:lang w:val="en-US"/>
        </w:rPr>
        <w:t>Literature search</w:t>
      </w:r>
    </w:p>
    <w:p w14:paraId="0B3373FE" w14:textId="5BB41671" w:rsidR="00381606" w:rsidRPr="00F412E6" w:rsidRDefault="00381606" w:rsidP="00BB2244">
      <w:pPr>
        <w:spacing w:line="480" w:lineRule="auto"/>
        <w:jc w:val="both"/>
        <w:rPr>
          <w:lang w:val="en-US"/>
        </w:rPr>
      </w:pPr>
      <w:r w:rsidRPr="00F412E6">
        <w:rPr>
          <w:lang w:val="en-US"/>
        </w:rPr>
        <w:t>PECO 1</w:t>
      </w:r>
    </w:p>
    <w:p w14:paraId="5CF7EBD3" w14:textId="2058F558" w:rsidR="00B43953" w:rsidRDefault="00B43953" w:rsidP="00BB2244">
      <w:pPr>
        <w:spacing w:line="480" w:lineRule="auto"/>
        <w:jc w:val="both"/>
        <w:rPr>
          <w:lang w:val="en-US"/>
        </w:rPr>
      </w:pPr>
      <w:r w:rsidRPr="00F412E6">
        <w:rPr>
          <w:lang w:val="en-US"/>
        </w:rPr>
        <w:t>Electroni</w:t>
      </w:r>
      <w:r w:rsidR="005C4CD1" w:rsidRPr="00F412E6">
        <w:rPr>
          <w:lang w:val="en-US"/>
        </w:rPr>
        <w:t xml:space="preserve">c and manual search identified </w:t>
      </w:r>
      <w:r w:rsidR="00F412E6" w:rsidRPr="00F412E6">
        <w:rPr>
          <w:lang w:val="en-US"/>
        </w:rPr>
        <w:t>782 potential studies</w:t>
      </w:r>
      <w:r w:rsidRPr="00F412E6">
        <w:rPr>
          <w:lang w:val="en-US"/>
        </w:rPr>
        <w:t xml:space="preserve">, and among these </w:t>
      </w:r>
      <w:r w:rsidR="00F412E6" w:rsidRPr="00F412E6">
        <w:rPr>
          <w:lang w:val="en-US"/>
        </w:rPr>
        <w:t>160</w:t>
      </w:r>
      <w:r w:rsidRPr="00F412E6">
        <w:rPr>
          <w:lang w:val="en-US"/>
        </w:rPr>
        <w:t xml:space="preserve"> were removed as being duplicates. After initial scr</w:t>
      </w:r>
      <w:r w:rsidR="005C4CD1" w:rsidRPr="00F412E6">
        <w:rPr>
          <w:lang w:val="en-US"/>
        </w:rPr>
        <w:t xml:space="preserve">eening of titles and abstracts, </w:t>
      </w:r>
      <w:r w:rsidR="00F412E6" w:rsidRPr="00F412E6">
        <w:rPr>
          <w:lang w:val="en-US"/>
        </w:rPr>
        <w:t>420</w:t>
      </w:r>
      <w:r w:rsidR="005C4CD1" w:rsidRPr="00F412E6">
        <w:rPr>
          <w:lang w:val="en-US"/>
        </w:rPr>
        <w:t xml:space="preserve"> </w:t>
      </w:r>
      <w:r w:rsidRPr="00F412E6">
        <w:rPr>
          <w:lang w:val="en-US"/>
        </w:rPr>
        <w:t xml:space="preserve">studies were excluded. Overall, </w:t>
      </w:r>
      <w:r w:rsidR="00F412E6" w:rsidRPr="00F412E6">
        <w:rPr>
          <w:lang w:val="en-US"/>
        </w:rPr>
        <w:t xml:space="preserve">24 </w:t>
      </w:r>
      <w:r w:rsidRPr="00F412E6">
        <w:rPr>
          <w:lang w:val="en-US"/>
        </w:rPr>
        <w:t>full-text articles were assessed for eligibility, and final</w:t>
      </w:r>
      <w:r w:rsidR="00BE6072" w:rsidRPr="00F412E6">
        <w:rPr>
          <w:lang w:val="en-US"/>
        </w:rPr>
        <w:t xml:space="preserve">ly </w:t>
      </w:r>
      <w:r w:rsidR="00670E49" w:rsidRPr="00F412E6">
        <w:rPr>
          <w:lang w:val="en-US"/>
        </w:rPr>
        <w:t>3</w:t>
      </w:r>
      <w:r w:rsidRPr="00F412E6">
        <w:rPr>
          <w:lang w:val="en-US"/>
        </w:rPr>
        <w:t xml:space="preserve"> studies met the inclusion criteria. </w:t>
      </w:r>
      <w:r w:rsidR="00BE6072" w:rsidRPr="00F412E6">
        <w:rPr>
          <w:lang w:val="en-US"/>
        </w:rPr>
        <w:t>T</w:t>
      </w:r>
      <w:r w:rsidR="00670E49" w:rsidRPr="00F412E6">
        <w:rPr>
          <w:lang w:val="en-US"/>
        </w:rPr>
        <w:t>wo</w:t>
      </w:r>
      <w:r w:rsidR="004A4759" w:rsidRPr="00F412E6">
        <w:rPr>
          <w:lang w:val="en-US"/>
        </w:rPr>
        <w:t xml:space="preserve"> studies were</w:t>
      </w:r>
      <w:r w:rsidRPr="00F412E6">
        <w:rPr>
          <w:lang w:val="en-US"/>
        </w:rPr>
        <w:t xml:space="preserve"> excluded</w:t>
      </w:r>
      <w:r w:rsidR="00670E49" w:rsidRPr="00F412E6">
        <w:rPr>
          <w:lang w:val="en-US"/>
        </w:rPr>
        <w:t>, as mortality rates were</w:t>
      </w:r>
      <w:r w:rsidR="000324C8">
        <w:rPr>
          <w:lang w:val="en-US"/>
        </w:rPr>
        <w:t xml:space="preserve"> reported as</w:t>
      </w:r>
      <w:r w:rsidRPr="00F412E6">
        <w:rPr>
          <w:lang w:val="en-US"/>
        </w:rPr>
        <w:t xml:space="preserve"> </w:t>
      </w:r>
      <w:r w:rsidR="00670E49" w:rsidRPr="00F412E6">
        <w:rPr>
          <w:lang w:val="en-US"/>
        </w:rPr>
        <w:t>unadjusted</w:t>
      </w:r>
      <w:r w:rsidR="00647009">
        <w:rPr>
          <w:lang w:val="en-US"/>
        </w:rPr>
        <w:t xml:space="preserve"> (</w:t>
      </w:r>
      <w:r w:rsidR="00647009" w:rsidRPr="00647009">
        <w:rPr>
          <w:b/>
          <w:bCs/>
          <w:lang w:val="en-US"/>
        </w:rPr>
        <w:t>Suppl. Figure 1</w:t>
      </w:r>
      <w:r w:rsidR="00647009">
        <w:rPr>
          <w:lang w:val="en-US"/>
        </w:rPr>
        <w:t>)</w:t>
      </w:r>
      <w:r w:rsidRPr="00F412E6">
        <w:rPr>
          <w:lang w:val="en-US"/>
        </w:rPr>
        <w:t>.</w:t>
      </w:r>
    </w:p>
    <w:p w14:paraId="52C012D7" w14:textId="7EAAD760" w:rsidR="00C86782" w:rsidRDefault="00C86782" w:rsidP="00BB2244">
      <w:pPr>
        <w:spacing w:line="480" w:lineRule="auto"/>
        <w:jc w:val="both"/>
        <w:rPr>
          <w:lang w:val="en-US"/>
        </w:rPr>
      </w:pPr>
      <w:r w:rsidRPr="00B430C6">
        <w:rPr>
          <w:lang w:val="en-US"/>
        </w:rPr>
        <w:t>PECO 2</w:t>
      </w:r>
    </w:p>
    <w:p w14:paraId="3B5F0DC2" w14:textId="3BD14C05" w:rsidR="00323C77" w:rsidRDefault="00323C77" w:rsidP="00BB2244">
      <w:pPr>
        <w:spacing w:line="480" w:lineRule="auto"/>
        <w:jc w:val="both"/>
        <w:rPr>
          <w:lang w:val="en-US"/>
        </w:rPr>
      </w:pPr>
      <w:r w:rsidRPr="00DA28D1">
        <w:rPr>
          <w:lang w:val="en-US"/>
        </w:rPr>
        <w:lastRenderedPageBreak/>
        <w:t xml:space="preserve">Electronic and manual search identified </w:t>
      </w:r>
      <w:r>
        <w:rPr>
          <w:lang w:val="en-US"/>
        </w:rPr>
        <w:t>469</w:t>
      </w:r>
      <w:r w:rsidRPr="00DA28D1">
        <w:rPr>
          <w:lang w:val="en-US"/>
        </w:rPr>
        <w:t xml:space="preserve"> potential studies, and among these </w:t>
      </w:r>
      <w:r>
        <w:rPr>
          <w:lang w:val="en-US"/>
        </w:rPr>
        <w:t>68</w:t>
      </w:r>
      <w:r w:rsidRPr="00DA28D1">
        <w:rPr>
          <w:lang w:val="en-US"/>
        </w:rPr>
        <w:t xml:space="preserve"> were removed as being duplicates. After initial screening of titles and abstracts, </w:t>
      </w:r>
      <w:r>
        <w:rPr>
          <w:lang w:val="en-US"/>
        </w:rPr>
        <w:t>383</w:t>
      </w:r>
      <w:r w:rsidRPr="00DA28D1">
        <w:rPr>
          <w:lang w:val="en-US"/>
        </w:rPr>
        <w:t xml:space="preserve"> studies were excluded. Overall, </w:t>
      </w:r>
      <w:r>
        <w:rPr>
          <w:lang w:val="en-US"/>
        </w:rPr>
        <w:t>18</w:t>
      </w:r>
      <w:r w:rsidRPr="00DA28D1">
        <w:rPr>
          <w:lang w:val="en-US"/>
        </w:rPr>
        <w:t xml:space="preserve"> full-text articles were assessed for eligibility, and finally </w:t>
      </w:r>
      <w:r>
        <w:rPr>
          <w:lang w:val="en-US"/>
        </w:rPr>
        <w:t>8</w:t>
      </w:r>
      <w:r w:rsidRPr="00DA28D1">
        <w:rPr>
          <w:lang w:val="en-US"/>
        </w:rPr>
        <w:t xml:space="preserve"> studies met the inclusion criteria.</w:t>
      </w:r>
      <w:r>
        <w:rPr>
          <w:lang w:val="en-US"/>
        </w:rPr>
        <w:t xml:space="preserve"> Two studies were excluded</w:t>
      </w:r>
      <w:r w:rsidR="00A6544D">
        <w:rPr>
          <w:lang w:val="en-US"/>
        </w:rPr>
        <w:t>, as it</w:t>
      </w:r>
      <w:r>
        <w:rPr>
          <w:lang w:val="en-US"/>
        </w:rPr>
        <w:t xml:space="preserve"> report</w:t>
      </w:r>
      <w:r w:rsidR="00A6544D">
        <w:rPr>
          <w:lang w:val="en-US"/>
        </w:rPr>
        <w:t>ed</w:t>
      </w:r>
      <w:r>
        <w:rPr>
          <w:lang w:val="en-US"/>
        </w:rPr>
        <w:t xml:space="preserve"> unadjusted outcomes</w:t>
      </w:r>
      <w:r w:rsidRPr="00DA28D1">
        <w:rPr>
          <w:lang w:val="en-US"/>
        </w:rPr>
        <w:t xml:space="preserve"> </w:t>
      </w:r>
      <w:r>
        <w:rPr>
          <w:lang w:val="en-US"/>
        </w:rPr>
        <w:t>(</w:t>
      </w:r>
      <w:r w:rsidR="00647009" w:rsidRPr="00647009">
        <w:rPr>
          <w:b/>
          <w:bCs/>
          <w:lang w:val="en-US"/>
        </w:rPr>
        <w:t>Suppl.</w:t>
      </w:r>
      <w:r w:rsidR="00647009">
        <w:rPr>
          <w:lang w:val="en-US"/>
        </w:rPr>
        <w:t xml:space="preserve"> </w:t>
      </w:r>
      <w:r w:rsidRPr="00DA28D1">
        <w:rPr>
          <w:b/>
          <w:bCs/>
          <w:lang w:val="en-US"/>
        </w:rPr>
        <w:t xml:space="preserve">Figure </w:t>
      </w:r>
      <w:r w:rsidR="00647009">
        <w:rPr>
          <w:b/>
          <w:bCs/>
          <w:lang w:val="en-US"/>
        </w:rPr>
        <w:t>2</w:t>
      </w:r>
      <w:r w:rsidRPr="00DA28D1">
        <w:rPr>
          <w:lang w:val="en-US"/>
        </w:rPr>
        <w:t>).</w:t>
      </w:r>
    </w:p>
    <w:p w14:paraId="0122A792" w14:textId="4882551D" w:rsidR="00C86782" w:rsidRPr="008B73A2" w:rsidRDefault="00C86782" w:rsidP="00BB2244">
      <w:pPr>
        <w:spacing w:line="480" w:lineRule="auto"/>
        <w:jc w:val="both"/>
        <w:rPr>
          <w:lang w:val="en-US"/>
        </w:rPr>
      </w:pPr>
      <w:r w:rsidRPr="008B73A2">
        <w:rPr>
          <w:lang w:val="en-US"/>
        </w:rPr>
        <w:t>PICO 3</w:t>
      </w:r>
    </w:p>
    <w:p w14:paraId="393EB698" w14:textId="4EC21D3B" w:rsidR="008B73A2" w:rsidRPr="008B73A2" w:rsidRDefault="008B73A2" w:rsidP="008B73A2">
      <w:pPr>
        <w:spacing w:line="480" w:lineRule="auto"/>
        <w:jc w:val="both"/>
        <w:rPr>
          <w:lang w:val="en-US"/>
        </w:rPr>
      </w:pPr>
      <w:r w:rsidRPr="008B73A2">
        <w:rPr>
          <w:lang w:val="en-US"/>
        </w:rPr>
        <w:t>Electronic and manual search identified 1627 potential studies, and among these, 7 were removed as being duplicates. After initial screening of titles and abstracts, 1595 studies were excluded. Overall, 24 full-text articles were assessed for eligibility, but none of these studies met the inclusion criteria. Reasons for exclusions being, publication before 2014 (n=14), pediatric population (n=3), not addressing the research question and/or not meeting inclusion criteria (n=7)</w:t>
      </w:r>
      <w:r w:rsidR="00647009">
        <w:rPr>
          <w:lang w:val="en-US"/>
        </w:rPr>
        <w:t xml:space="preserve"> (</w:t>
      </w:r>
      <w:r w:rsidR="00647009" w:rsidRPr="00647009">
        <w:rPr>
          <w:b/>
          <w:bCs/>
          <w:lang w:val="en-US"/>
        </w:rPr>
        <w:t>Suppl. Figure 3</w:t>
      </w:r>
      <w:r w:rsidR="00647009">
        <w:rPr>
          <w:lang w:val="en-US"/>
        </w:rPr>
        <w:t>)</w:t>
      </w:r>
      <w:r w:rsidRPr="008B73A2">
        <w:rPr>
          <w:lang w:val="en-US"/>
        </w:rPr>
        <w:t>.</w:t>
      </w:r>
    </w:p>
    <w:p w14:paraId="0E552D23" w14:textId="2BFE9B36" w:rsidR="00C86782" w:rsidRPr="00A6544D" w:rsidRDefault="00C86782" w:rsidP="00BB2244">
      <w:pPr>
        <w:spacing w:line="480" w:lineRule="auto"/>
        <w:jc w:val="both"/>
        <w:rPr>
          <w:lang w:val="en-US"/>
        </w:rPr>
      </w:pPr>
      <w:r w:rsidRPr="00A6544D">
        <w:rPr>
          <w:lang w:val="en-US"/>
        </w:rPr>
        <w:t>PICO 4</w:t>
      </w:r>
    </w:p>
    <w:p w14:paraId="4CEC29E5" w14:textId="5A2A5D6A" w:rsidR="00C86782" w:rsidRPr="00DA28D1" w:rsidRDefault="00C86782" w:rsidP="00BB2244">
      <w:pPr>
        <w:spacing w:line="480" w:lineRule="auto"/>
        <w:jc w:val="both"/>
        <w:rPr>
          <w:lang w:val="en-US"/>
        </w:rPr>
      </w:pPr>
      <w:r w:rsidRPr="00A6544D">
        <w:rPr>
          <w:lang w:val="en-US"/>
        </w:rPr>
        <w:t xml:space="preserve">Electronic and manual search identified </w:t>
      </w:r>
      <w:r w:rsidR="008E02F9" w:rsidRPr="00A6544D">
        <w:rPr>
          <w:lang w:val="en-US"/>
        </w:rPr>
        <w:t>536</w:t>
      </w:r>
      <w:r w:rsidRPr="00A6544D">
        <w:rPr>
          <w:lang w:val="en-US"/>
        </w:rPr>
        <w:t xml:space="preserve"> potential studies, and among these </w:t>
      </w:r>
      <w:r w:rsidR="008E02F9" w:rsidRPr="00A6544D">
        <w:rPr>
          <w:lang w:val="en-US"/>
        </w:rPr>
        <w:t>144</w:t>
      </w:r>
      <w:r w:rsidRPr="00A6544D">
        <w:rPr>
          <w:lang w:val="en-US"/>
        </w:rPr>
        <w:t xml:space="preserve"> were removed as being duplicates. After initial screening of titles and abstracts, </w:t>
      </w:r>
      <w:r w:rsidR="008E02F9" w:rsidRPr="00A6544D">
        <w:rPr>
          <w:lang w:val="en-US"/>
        </w:rPr>
        <w:t>365</w:t>
      </w:r>
      <w:r w:rsidRPr="00A6544D">
        <w:rPr>
          <w:lang w:val="en-US"/>
        </w:rPr>
        <w:t xml:space="preserve"> studies were excluded. Overall, </w:t>
      </w:r>
      <w:r w:rsidR="008E02F9" w:rsidRPr="00A6544D">
        <w:rPr>
          <w:lang w:val="en-US"/>
        </w:rPr>
        <w:t>27</w:t>
      </w:r>
      <w:r w:rsidRPr="00A6544D">
        <w:rPr>
          <w:lang w:val="en-US"/>
        </w:rPr>
        <w:t xml:space="preserve"> full-text articles were assessed for eligibility</w:t>
      </w:r>
      <w:r w:rsidR="00C36E31">
        <w:rPr>
          <w:lang w:val="en-US"/>
        </w:rPr>
        <w:t xml:space="preserve"> and</w:t>
      </w:r>
      <w:r w:rsidRPr="00A6544D">
        <w:rPr>
          <w:lang w:val="en-US"/>
        </w:rPr>
        <w:t xml:space="preserve"> </w:t>
      </w:r>
      <w:r w:rsidR="008030E3">
        <w:rPr>
          <w:lang w:val="en-US"/>
        </w:rPr>
        <w:t>8</w:t>
      </w:r>
      <w:r w:rsidRPr="00A6544D">
        <w:rPr>
          <w:lang w:val="en-US"/>
        </w:rPr>
        <w:t xml:space="preserve"> studies met the inclusion criteria</w:t>
      </w:r>
      <w:r w:rsidR="008030E3">
        <w:rPr>
          <w:lang w:val="en-US"/>
        </w:rPr>
        <w:t xml:space="preserve"> </w:t>
      </w:r>
      <w:r w:rsidR="008030E3" w:rsidRPr="00F7201C">
        <w:rPr>
          <w:lang w:val="en-US"/>
        </w:rPr>
        <w:t>(</w:t>
      </w:r>
      <w:r w:rsidR="008030E3" w:rsidRPr="00F7201C">
        <w:rPr>
          <w:b/>
          <w:bCs/>
          <w:lang w:val="en-US"/>
        </w:rPr>
        <w:t>Suppl.</w:t>
      </w:r>
      <w:r w:rsidR="008030E3" w:rsidRPr="00F7201C">
        <w:rPr>
          <w:lang w:val="en-US"/>
        </w:rPr>
        <w:t xml:space="preserve"> </w:t>
      </w:r>
      <w:r w:rsidR="008030E3" w:rsidRPr="00F7201C">
        <w:rPr>
          <w:b/>
          <w:bCs/>
          <w:lang w:val="en-US"/>
        </w:rPr>
        <w:t>Figure 4</w:t>
      </w:r>
      <w:r w:rsidR="008030E3" w:rsidRPr="00F7201C">
        <w:rPr>
          <w:lang w:val="en-US"/>
        </w:rPr>
        <w:t>).</w:t>
      </w:r>
      <w:r w:rsidR="008030E3">
        <w:rPr>
          <w:lang w:val="en-US"/>
        </w:rPr>
        <w:t xml:space="preserve"> </w:t>
      </w:r>
    </w:p>
    <w:p w14:paraId="0FA42B61" w14:textId="77777777" w:rsidR="00C36E31" w:rsidRDefault="00C36E31" w:rsidP="00DA35FB">
      <w:pPr>
        <w:spacing w:line="480" w:lineRule="auto"/>
        <w:jc w:val="both"/>
        <w:rPr>
          <w:b/>
          <w:bCs/>
          <w:lang w:val="en-US"/>
        </w:rPr>
      </w:pPr>
    </w:p>
    <w:p w14:paraId="43D0B525" w14:textId="7DF259B1" w:rsidR="00DA35FB" w:rsidRPr="001B0E91" w:rsidRDefault="00DA35FB" w:rsidP="00DA35FB">
      <w:pPr>
        <w:spacing w:line="480" w:lineRule="auto"/>
        <w:jc w:val="both"/>
        <w:rPr>
          <w:b/>
          <w:bCs/>
          <w:lang w:val="en-US"/>
        </w:rPr>
      </w:pPr>
      <w:r w:rsidRPr="001B0E91">
        <w:rPr>
          <w:b/>
          <w:bCs/>
          <w:lang w:val="en-US"/>
        </w:rPr>
        <w:t>Characteristics of the included studies</w:t>
      </w:r>
      <w:r w:rsidR="00162AB3">
        <w:rPr>
          <w:b/>
          <w:bCs/>
          <w:lang w:val="en-US"/>
        </w:rPr>
        <w:t xml:space="preserve"> and outcome assessment</w:t>
      </w:r>
    </w:p>
    <w:p w14:paraId="52A1C7F3" w14:textId="1B9D7C59" w:rsidR="00B430C6" w:rsidRPr="00174FCA" w:rsidRDefault="00B430C6" w:rsidP="00DA35FB">
      <w:pPr>
        <w:spacing w:line="480" w:lineRule="auto"/>
        <w:jc w:val="both"/>
        <w:rPr>
          <w:lang w:val="en-US"/>
        </w:rPr>
      </w:pPr>
      <w:r w:rsidRPr="00174FCA">
        <w:rPr>
          <w:lang w:val="en-US"/>
        </w:rPr>
        <w:t>PECO 1</w:t>
      </w:r>
    </w:p>
    <w:p w14:paraId="1691775C" w14:textId="54811BA7" w:rsidR="00174FCA" w:rsidRDefault="00174FCA" w:rsidP="00DA35FB">
      <w:pPr>
        <w:spacing w:line="480" w:lineRule="auto"/>
        <w:jc w:val="both"/>
        <w:rPr>
          <w:lang w:val="en-US"/>
        </w:rPr>
      </w:pPr>
      <w:r w:rsidRPr="00174FCA">
        <w:rPr>
          <w:lang w:val="en-US"/>
        </w:rPr>
        <w:t xml:space="preserve">A single study reported adjusted data for mortality </w:t>
      </w:r>
      <w:r w:rsidR="001B0E91">
        <w:rPr>
          <w:lang w:val="en-US"/>
        </w:rPr>
        <w:t>associated with</w:t>
      </w:r>
      <w:r w:rsidRPr="00174FCA">
        <w:rPr>
          <w:lang w:val="en-US"/>
        </w:rPr>
        <w:t> </w:t>
      </w:r>
      <w:r w:rsidRPr="00174FCA">
        <w:rPr>
          <w:rStyle w:val="Enfasicorsivo"/>
          <w:lang w:val="en-US"/>
        </w:rPr>
        <w:t>E</w:t>
      </w:r>
      <w:r w:rsidR="00A42E17">
        <w:rPr>
          <w:rStyle w:val="Enfasicorsivo"/>
          <w:lang w:val="en-US"/>
        </w:rPr>
        <w:t>. faecium BSI</w:t>
      </w:r>
      <w:r w:rsidR="00A42E17" w:rsidRPr="00A42E17">
        <w:rPr>
          <w:rStyle w:val="Enfasicorsivo"/>
          <w:i w:val="0"/>
          <w:iCs w:val="0"/>
          <w:lang w:val="en-US"/>
        </w:rPr>
        <w:t xml:space="preserve"> comparing </w:t>
      </w:r>
      <w:r w:rsidR="00A42E17">
        <w:rPr>
          <w:rStyle w:val="Enfasicorsivo"/>
          <w:i w:val="0"/>
          <w:iCs w:val="0"/>
          <w:lang w:val="en-US"/>
        </w:rPr>
        <w:t xml:space="preserve">to </w:t>
      </w:r>
      <w:r w:rsidR="00A42E17" w:rsidRPr="00A42E17">
        <w:rPr>
          <w:rStyle w:val="Enfasicorsivo"/>
          <w:i w:val="0"/>
          <w:iCs w:val="0"/>
          <w:lang w:val="en-US"/>
        </w:rPr>
        <w:t>other pathogens</w:t>
      </w:r>
      <w:r w:rsidR="00371190" w:rsidRPr="00A42E17">
        <w:rPr>
          <w:i/>
          <w:iCs/>
          <w:lang w:val="en-US"/>
        </w:rPr>
        <w:t xml:space="preserve"> </w:t>
      </w:r>
      <w:r w:rsidR="00371190">
        <w:rPr>
          <w:lang w:val="en-US"/>
        </w:rPr>
        <w:fldChar w:fldCharType="begin"/>
      </w:r>
      <w:r w:rsidR="00CA69E8">
        <w:rPr>
          <w:lang w:val="en-US"/>
        </w:rPr>
        <w:instrText xml:space="preserve"> ADDIN ZOTERO_ITEM CSL_CITATION {"citationID":"oWsjWALk","properties":{"formattedCitation":"(5)","plainCitation":"(5)","noteIndex":0},"citationItems":[{"id":1878,"uris":["http://zotero.org/users/9228761/items/RGHQAT2T"],"itemData":{"id":1878,"type":"article-journal","abstract":"BACKGROUND: This study was designed to determine changes in risk factors on the prognosis of patients during each period of the bloodstream infection (BSI) timeline.\nMETHODS: Through an integrated study of multivariable regressions with machine learning techniques, the risk factors for mortality during each period of BSI were analyzed.\nRESULTS: A total of 302,303 inpatients who underwent blood cultures during 2011-2021 were enrolled. More than 8 % of BSI cases progressed to subsequent BSI, and risk factors were identified as gut colonization with vancomycin-resistant enterococci (aOR 1.82; 95 % CI 1.47-2.24), intensive care unit admission (aOR 3.37; 95 % CI 3.35-4.28), and current cancer chemotherapy (aOR 1.54; 95 % CI 1.36-1.74). The mean SOFA score of the deceased patients during the first 7 days was 10.6 (SD 4.3), which was significantly higher than those on days 8-30 (7.0 ± 4.2) and after Day 30 (4.0 ± 3.5). BSIs caused by Acinetobacter baumannii and Candida albicans were more likely to result in deaths of patients for all time periods (all, P &lt; 0.001). BSIs caused by Enterococcus faecalis and Enterococcus faecium were associated with a poor outcome in the period after Day 30 (both, P &lt; 0.001). Nonsusceptible phenotypes to β-lactam/β-lactamase inhibitors of Escherichia coli and Klebsiella pneumoniae influenced the prognoses of patients with BSI in terms of high mortality rates during both days 8-30 and after Day 30.\nCONCLUSION: Influence of microbiological factors on mortality, including BSI-causative microorganisms and their major antimicrobial resistance, was emphasized in both periods of days 8-30 and after Day 30.","container-title":"Journal of Microbiology, Immunology, and Infection = Wei Mian Yu Gan Ran Za Zhi","DOI":"10.1016/j.jmii.2023.11.008","ISSN":"1995-9133","issue":"1","journalAbbreviation":"J Microbiol Immunol Infect","language":"eng","page":"97-106","PMID":"38092626","source":"PubMed","title":"Shift in risk factors for mortality by period of the bloodstream infection timeline","volume":"57","author":[{"family":"Choi","given":"Min Hyuk"},{"family":"Kim","given":"Dokyun"},{"family":"Kim","given":"Jihyun"},{"family":"Song","given":"Young Goo"},{"family":"Jeong","given":"Seok Hoon"}],"issued":{"date-parts":[["2024",2]]}}}],"schema":"https://github.com/citation-style-language/schema/raw/master/csl-citation.json"} </w:instrText>
      </w:r>
      <w:r w:rsidR="00371190">
        <w:rPr>
          <w:lang w:val="en-US"/>
        </w:rPr>
        <w:fldChar w:fldCharType="separate"/>
      </w:r>
      <w:r w:rsidR="00CA69E8" w:rsidRPr="00CA69E8">
        <w:t>(5)</w:t>
      </w:r>
      <w:r w:rsidR="00371190">
        <w:rPr>
          <w:lang w:val="en-US"/>
        </w:rPr>
        <w:fldChar w:fldCharType="end"/>
      </w:r>
      <w:r w:rsidRPr="00174FCA">
        <w:rPr>
          <w:lang w:val="en-US"/>
        </w:rPr>
        <w:t>. This </w:t>
      </w:r>
      <w:r w:rsidR="00371190">
        <w:rPr>
          <w:lang w:val="en-US"/>
        </w:rPr>
        <w:t>was</w:t>
      </w:r>
      <w:r w:rsidRPr="00174FCA">
        <w:rPr>
          <w:lang w:val="en-US"/>
        </w:rPr>
        <w:t xml:space="preserve"> an observational retrospective study performed in South Korea</w:t>
      </w:r>
      <w:r w:rsidR="00371190">
        <w:rPr>
          <w:lang w:val="en-US"/>
        </w:rPr>
        <w:t xml:space="preserve"> enrolling </w:t>
      </w:r>
      <w:r>
        <w:rPr>
          <w:lang w:val="en-US"/>
        </w:rPr>
        <w:t>more than 300.000</w:t>
      </w:r>
      <w:r w:rsidRPr="00174FCA">
        <w:rPr>
          <w:lang w:val="en-US"/>
        </w:rPr>
        <w:t xml:space="preserve"> patients.  Overall, the median age was 60.5 ± 17.2</w:t>
      </w:r>
      <w:r w:rsidR="001B0E91">
        <w:rPr>
          <w:lang w:val="en-US"/>
        </w:rPr>
        <w:t xml:space="preserve"> years</w:t>
      </w:r>
      <w:r w:rsidRPr="00174FCA">
        <w:rPr>
          <w:lang w:val="en-US"/>
        </w:rPr>
        <w:t>, 46.4% of patients were female, median Charlson score was 4.5 ± 2.7 and 12.8% of patients were admitted to the Intensive Care Unit</w:t>
      </w:r>
      <w:r w:rsidR="00E233CA">
        <w:rPr>
          <w:lang w:val="en-US"/>
        </w:rPr>
        <w:t xml:space="preserve"> at BSI onset</w:t>
      </w:r>
      <w:r w:rsidRPr="00174FCA">
        <w:rPr>
          <w:lang w:val="en-US"/>
        </w:rPr>
        <w:t xml:space="preserve">. </w:t>
      </w:r>
      <w:r w:rsidR="001B0E91">
        <w:rPr>
          <w:lang w:val="en-US"/>
        </w:rPr>
        <w:t>B</w:t>
      </w:r>
      <w:r w:rsidRPr="00174FCA">
        <w:rPr>
          <w:lang w:val="en-US"/>
        </w:rPr>
        <w:t>lood cultures</w:t>
      </w:r>
      <w:r w:rsidR="001B0E91">
        <w:rPr>
          <w:lang w:val="en-US"/>
        </w:rPr>
        <w:t xml:space="preserve"> were positive</w:t>
      </w:r>
      <w:r w:rsidRPr="00174FCA">
        <w:rPr>
          <w:lang w:val="en-US"/>
        </w:rPr>
        <w:t xml:space="preserve"> for bacterial and/or fungal pathogens in 25.041 (8.3%) patients. Adjusted Odd Ratios (</w:t>
      </w:r>
      <w:proofErr w:type="spellStart"/>
      <w:r w:rsidRPr="00174FCA">
        <w:rPr>
          <w:lang w:val="en-US"/>
        </w:rPr>
        <w:t>aOR</w:t>
      </w:r>
      <w:proofErr w:type="spellEnd"/>
      <w:r w:rsidRPr="00174FCA">
        <w:rPr>
          <w:lang w:val="en-US"/>
        </w:rPr>
        <w:t xml:space="preserve">) for </w:t>
      </w:r>
      <w:r w:rsidR="00E233CA">
        <w:rPr>
          <w:lang w:val="en-US"/>
        </w:rPr>
        <w:t>7-</w:t>
      </w:r>
      <w:r w:rsidRPr="00174FCA">
        <w:rPr>
          <w:lang w:val="en-US"/>
        </w:rPr>
        <w:t>day mortality, 30</w:t>
      </w:r>
      <w:r w:rsidR="00E233CA">
        <w:rPr>
          <w:lang w:val="en-US"/>
        </w:rPr>
        <w:t>-</w:t>
      </w:r>
      <w:r w:rsidRPr="00174FCA">
        <w:rPr>
          <w:lang w:val="en-US"/>
        </w:rPr>
        <w:t>day mortality and in-hospital mortality for </w:t>
      </w:r>
      <w:r w:rsidRPr="00174FCA">
        <w:rPr>
          <w:i/>
          <w:iCs/>
          <w:lang w:val="en-US"/>
        </w:rPr>
        <w:t>Enterococcus faecium</w:t>
      </w:r>
      <w:r w:rsidRPr="00174FCA">
        <w:rPr>
          <w:lang w:val="en-US"/>
        </w:rPr>
        <w:t xml:space="preserve"> were 0.82 (0.71 - 0.96, p 0.01), 1.79 (1.58 - 2.04, p&lt;0.001) and 1.74 (1.54 - 1.96, p&lt;0.001), respectively. </w:t>
      </w:r>
      <w:r w:rsidR="00E233CA">
        <w:rPr>
          <w:lang w:val="en-US"/>
        </w:rPr>
        <w:t xml:space="preserve">Considering in-hospital </w:t>
      </w:r>
      <w:r w:rsidR="001B0E91">
        <w:rPr>
          <w:lang w:val="en-US"/>
        </w:rPr>
        <w:t>and 30-day mortality</w:t>
      </w:r>
      <w:r w:rsidR="00E233CA">
        <w:rPr>
          <w:lang w:val="en-US"/>
        </w:rPr>
        <w:t xml:space="preserve">, </w:t>
      </w:r>
      <w:r w:rsidRPr="00174FCA">
        <w:rPr>
          <w:rStyle w:val="Enfasicorsivo"/>
          <w:lang w:val="en-US"/>
        </w:rPr>
        <w:t xml:space="preserve">E. </w:t>
      </w:r>
      <w:r w:rsidRPr="00174FCA">
        <w:rPr>
          <w:rStyle w:val="Enfasicorsivo"/>
          <w:lang w:val="en-US"/>
        </w:rPr>
        <w:lastRenderedPageBreak/>
        <w:t>faecium </w:t>
      </w:r>
      <w:r w:rsidR="00E233CA">
        <w:rPr>
          <w:lang w:val="en-US"/>
        </w:rPr>
        <w:t>BSIs</w:t>
      </w:r>
      <w:r w:rsidRPr="00174FCA">
        <w:rPr>
          <w:lang w:val="en-US"/>
        </w:rPr>
        <w:t xml:space="preserve"> showed </w:t>
      </w:r>
      <w:r w:rsidR="00E233CA">
        <w:rPr>
          <w:lang w:val="en-US"/>
        </w:rPr>
        <w:t>the</w:t>
      </w:r>
      <w:r w:rsidRPr="00174FCA">
        <w:rPr>
          <w:lang w:val="en-US"/>
        </w:rPr>
        <w:t xml:space="preserve"> high</w:t>
      </w:r>
      <w:r w:rsidR="00E233CA">
        <w:rPr>
          <w:lang w:val="en-US"/>
        </w:rPr>
        <w:t>e</w:t>
      </w:r>
      <w:r w:rsidR="001B0E91">
        <w:rPr>
          <w:lang w:val="en-US"/>
        </w:rPr>
        <w:t>st</w:t>
      </w:r>
      <w:r w:rsidRPr="00174FCA">
        <w:rPr>
          <w:lang w:val="en-US"/>
        </w:rPr>
        <w:t xml:space="preserve"> mortality risk compared to other</w:t>
      </w:r>
      <w:r w:rsidR="00371190">
        <w:rPr>
          <w:lang w:val="en-US"/>
        </w:rPr>
        <w:t xml:space="preserve"> bacteria</w:t>
      </w:r>
      <w:r w:rsidRPr="00174FCA">
        <w:rPr>
          <w:lang w:val="en-US"/>
        </w:rPr>
        <w:t>. </w:t>
      </w:r>
      <w:r w:rsidR="00162AB3">
        <w:rPr>
          <w:lang w:val="en-US"/>
        </w:rPr>
        <w:t>A</w:t>
      </w:r>
      <w:r w:rsidR="00162AB3" w:rsidRPr="00A42E17">
        <w:rPr>
          <w:lang w:val="en-US"/>
        </w:rPr>
        <w:t>s</w:t>
      </w:r>
      <w:r w:rsidR="00162AB3">
        <w:rPr>
          <w:lang w:val="en-US"/>
        </w:rPr>
        <w:t xml:space="preserve"> only </w:t>
      </w:r>
      <w:r w:rsidR="00F7201C">
        <w:rPr>
          <w:lang w:val="en-US"/>
        </w:rPr>
        <w:t>the latter</w:t>
      </w:r>
      <w:r w:rsidR="00162AB3">
        <w:rPr>
          <w:lang w:val="en-US"/>
        </w:rPr>
        <w:t xml:space="preserve"> study reported </w:t>
      </w:r>
      <w:proofErr w:type="spellStart"/>
      <w:r w:rsidR="00162AB3">
        <w:rPr>
          <w:lang w:val="en-US"/>
        </w:rPr>
        <w:t>aOR</w:t>
      </w:r>
      <w:proofErr w:type="spellEnd"/>
      <w:r w:rsidR="00162AB3">
        <w:rPr>
          <w:lang w:val="en-US"/>
        </w:rPr>
        <w:t xml:space="preserve"> for mortality compared to other relevant BSIs, a meta-analysis was not possible to be performed.</w:t>
      </w:r>
    </w:p>
    <w:p w14:paraId="7968263B" w14:textId="77777777" w:rsidR="009C6D0D" w:rsidRDefault="009C6D0D" w:rsidP="00DA35FB">
      <w:pPr>
        <w:spacing w:line="480" w:lineRule="auto"/>
        <w:jc w:val="both"/>
        <w:rPr>
          <w:lang w:val="en-US"/>
        </w:rPr>
      </w:pPr>
    </w:p>
    <w:p w14:paraId="494EAAAE" w14:textId="0115B1D4" w:rsidR="00B430C6" w:rsidRPr="00B430C6" w:rsidRDefault="00B430C6" w:rsidP="00DA35FB">
      <w:pPr>
        <w:spacing w:line="480" w:lineRule="auto"/>
        <w:jc w:val="both"/>
        <w:rPr>
          <w:lang w:val="en-US"/>
        </w:rPr>
      </w:pPr>
      <w:r>
        <w:rPr>
          <w:lang w:val="en-US"/>
        </w:rPr>
        <w:t>PECO 2</w:t>
      </w:r>
    </w:p>
    <w:p w14:paraId="127F5E46" w14:textId="6B5D0B77" w:rsidR="007B51E9" w:rsidRDefault="00DA35FB" w:rsidP="007B51E9">
      <w:pPr>
        <w:spacing w:line="480" w:lineRule="auto"/>
        <w:jc w:val="both"/>
        <w:rPr>
          <w:lang w:val="en-US"/>
        </w:rPr>
      </w:pPr>
      <w:r w:rsidRPr="00DA28D1">
        <w:rPr>
          <w:lang w:val="en-US"/>
        </w:rPr>
        <w:t xml:space="preserve">Features of </w:t>
      </w:r>
      <w:r w:rsidR="00AF4E5D">
        <w:rPr>
          <w:lang w:val="en-US"/>
        </w:rPr>
        <w:t>six</w:t>
      </w:r>
      <w:r w:rsidRPr="00DA28D1">
        <w:rPr>
          <w:lang w:val="en-US"/>
        </w:rPr>
        <w:t xml:space="preserve"> included studies are shown in </w:t>
      </w:r>
      <w:r w:rsidR="00123844" w:rsidRPr="00123844">
        <w:rPr>
          <w:b/>
          <w:bCs/>
          <w:lang w:val="en-US"/>
        </w:rPr>
        <w:t xml:space="preserve">Supplementary </w:t>
      </w:r>
      <w:r w:rsidRPr="00DA28D1">
        <w:rPr>
          <w:b/>
          <w:bCs/>
          <w:lang w:val="en-US"/>
        </w:rPr>
        <w:t xml:space="preserve">Table </w:t>
      </w:r>
      <w:r w:rsidR="00CC6BAD">
        <w:rPr>
          <w:b/>
          <w:bCs/>
          <w:lang w:val="en-US"/>
        </w:rPr>
        <w:t>1</w:t>
      </w:r>
      <w:r w:rsidR="00C77340">
        <w:rPr>
          <w:b/>
          <w:bCs/>
          <w:lang w:val="en-US"/>
        </w:rPr>
        <w:t xml:space="preserve"> </w:t>
      </w:r>
      <w:r w:rsidR="00C77340">
        <w:rPr>
          <w:lang w:val="en-US"/>
        </w:rPr>
        <w:fldChar w:fldCharType="begin"/>
      </w:r>
      <w:r w:rsidR="00CA69E8">
        <w:rPr>
          <w:lang w:val="en-US"/>
        </w:rPr>
        <w:instrText xml:space="preserve"> ADDIN ZOTERO_ITEM CSL_CITATION {"citationID":"NDPprQlM","properties":{"formattedCitation":"(6\\uc0\\u8211{}11)","plainCitation":"(6–11)","noteIndex":0},"citationItems":[{"id":1757,"uris":["http://zotero.org/users/9228761/items/G76GQNLK"],"itemData":{"id":1757,"type":"article-journal","abstract":"We determined the clinical and molecular epidemiology of emerging nosocomial vancomycin-resistant Enterococcus faecium (VREfm)-causing serious bloodstream infections (BSIs) and the correlations between antibiotic resistance and virulence determinants among isolates. All isolates were confirmed by molecular methods (16SrRNA and E. faecium ddl genes) and tested for disk diffusion. PCR was used to detect aac(6')-aph(2″), vanA and vanB resistance genes, and asa1, cylA, ace, esp, gelE and hyl virulence genes. VREfm and high-level gentamicin-resistant (HLGR) representative isolates were selected to characterize by pulsed-field gel electrophoresis (PFGE) and multi-locus sequence typing (MLST). Of 173 isolates, 73 (42.2%), 146 (84.4%), and 0 (0.0%) were vanA-containing VREfm, aac(6')-aph(2″)-positive HLGR, and vanB-positive. Independent predictors of VREfm infection were hematological malignancies (P = 0.001) and previous hospitalizations (P = 0.007). Observed mortality rate was 34.7%. Independent predictors of BSI-related mortality were endotracheal intubations (P &lt; 0.001), gastrointestinal diseases (P = 0.002), and pulmonary disease (P &lt; 0.001). All VREfm were resistant to vancomycin, teicoplanin, ciprofloxacin, and erythromycin. The esp, hyl, ace, asa1, cylA, and gelE genes were detected at 55.9, 22.5, 2.9, 2.3, 1.7, and 1.2%, respectively. The esp gene was significantly associated with VREfm compared to VSEfm (P = 0.001). PFGE analysis revealed 23 clones, with 7 major clones. The MLST analysis revealed the following five sequence types: ST80, ST17, ST117, ST132, and ST280, all belonging to CC17. The emergence and expansion of VREfm CC17 with limited antibiotic options in our hospital present a serious public health menace and represent challenges to infection control.","container-title":"European Journal of Clinical Microbiology &amp; Infectious Diseases: Official Publication of the European Society of Clinical Microbiology","DOI":"10.1007/s10096-020-04030-3","ISSN":"1435-4373","issue":"2","journalAbbreviation":"Eur J Clin Microbiol Infect Dis","language":"eng","page":"303-314","PMID":"32909085","source":"PubMed","title":"Clinical and molecular epidemiology of vancomycin-resistant Enterococcus faecium bacteremia from an Indian tertiary hospital","volume":"40","author":[{"family":"Rao","given":"Chandrabhan"},{"family":"Dhawan","given":"Benu"},{"family":"Vishnubhatla","given":"Sreenivas"},{"family":"Kapil","given":"Arti"},{"family":"Das","given":"Bimal"},{"family":"Sood","given":"Seema"}],"issued":{"date-parts":[["2021",2]]}}},{"id":1759,"uris":["http://zotero.org/users/9228761/items/HNHPG6SQ"],"itemData":{"id":1759,"type":"article-journal","abstract":"The emergence of bloodstream infections (BSI) caused by vancomycin-resistant Enterococci (VRE) has caused concern. Nonetheless, it remains unclear whether these types are associated with an excess risk of severe outcomes when compared with infections caused by vancomycin-susceptible Enterococci (VSE). This cohort study included hospitalized patients in Denmark with Enterococcus faecium-positive blood cultures collected between 2010 and 2019 identified in the Danish Microbiology Database. We estimated 30-day hazard ratio (HR) of death or discharge among VRE compared to VSE patients adjusted for age, sex, and comorbidity. The cohort included 6071 patients with E. faecium BSI (335 VRE, 5736 VSE) among whom VRE increased (2010–13, 2.6%; 2014–16, 6.3%; 2017–19; 9.4%). Mortality (HR 1.08, 95%CI 0.90–1.29; 126 VRE, 37.6%; 2223 VSE, 37.0%) or discharge (HR 0.89, 95%CI 0.75–1.06; 126 VRE, 37.6%; 2386 VSE, 41.6%) was not different between VRE and VSE except in 2014 (HR 1.87, 95% CI 1.18–2.96). There was no interaction between time from admission to BSI (1–2, 3–14, and &gt;14 days) and HR of death (P = 0.14) or discharge (P = 0.45) after VRE compared to VSE, despite longer time for VRE patients (17 vs. 10 days for VSE, P &lt; 0.0001). In conclusion, VRE BSI was not associated with excess morbidity and mortality. The excess mortality in 2014 only may be attributed to improved diagnostic- and patient-management practices after 2014, reducing time to appropriate antibiotic therapy. The high level of mortality after E. faecium BSI warrants further study.","container-title":"Emerging Microbes &amp; Infections","DOI":"10.1080/22221751.2024.2309969","ISSN":"null","issue":"1","note":"_eprint: https://doi.org/10.1080/22221751.2024.2309969","page":"2309969","PMID":"38258968","publisher":"Taylor &amp; Francis","source":"Taylor and Francis+NEJM","title":"Comparison of morbidity and mortality after bloodstream infection with vancomycin-resistant versus -susceptible Enterococcus faecium: a nationwide cohort study in Denmark, 2010–2019","title-short":"Comparison of morbidity and mortality after bloodstream infection with vancomycin-resistant versus -susceptible Enterococcus faecium","volume":"13","author":[{"family":"Bager","given":"Peter"},{"family":"Kähler","given":"Jonas"},{"family":"Andersson","given":"Mikael"},{"family":"Holzknecht","given":"Barbara Juliane"},{"family":"Kjær Hansen","given":"Sanne Grønvall"},{"family":"Schønning","given":"Kristian"},{"family":"Nielsen","given":"Karen Leth"},{"family":"Koch","given":"Kristoffer"},{"family":"Pinholt","given":"Mette"},{"family":"Voldstedlund","given":"Marianne"},{"family":"Larsen","given":"Anders Rhod"},{"family":"Kristensen","given":"Brian"},{"family":"Mølbak","given":"Kåre"},{"family":"Sönksen","given":"Ute Wolff"},{"family":"Skovgaard","given":"Sissel"},{"family":"Skov","given":"Robert"},{"family":"Hammerum","given":"Anette M."}],"issued":{"date-parts":[["2024",12,31]]}}},{"id":1761,"uris":["http://zotero.org/users/9228761/items/62AUI42A"],"itemData":{"id":1761,"type":"article-journal","abstract":"Enterococci are a major cause of nosocomial bacteraemia. The impacts of vanB vancomycin resistance and antibiotic therapy on outcomes in enterococcal bacteraemia are unclear. Factors that affect length of stay (LOS) and costs of managing patients with enterococcal bacteraemia are also unknown. This study aimed to identify factors associated with mortality, LOS and hospitalization costs in patients with enterococcal bacteraemia and the impact of vancomycin resistance and antibiotic therapy on these outcomes. Data from 116 patients with vancomycin-resistant Enterococci (VRE), matched 1:1 with patients with vancomycin-susceptible Enterococcus (VSE), from two Australian hospitals were reviewed for clinical and economic outcomes. Univariable and multivariable logistic and quantile regression analyses identified factors associated with mortality, LOS and costs. Intensive care unit admission (OR, 8.57; 95% CI, 3.99-18.38), a higher burden of co-morbidities (OR, 4.55; 95% CI, 1.83-11.33) and longer time to appropriate antibiotics (OR, 1.02; 95% CI, 1.01-1.03) were significantly associated with mortality in enterococcal bacteraemia. VanB vancomycin resistance increased LOS (4.89 days; 95% CI, 0.56-11.52) and hospitalization costs (AU$ 28 872; 95% CI, 734-70 667), after adjustment for confounders. Notably, linezolid definitive therapy was associated with lower mortality (OR, 0.13; 95% CI, 0.03-0.58) in vanB VRE bacteraemia patients. In patients with VSE bacteraemia, time to appropriate antibiotics independently influenced mortality, LOS and hospitalization costs, and underlying co-morbidities were associated with mortality. The study findings highlight the importance of preventing VRE bacteraemia and the significance of time to appropriate antibiotics in the management of enterococcal bacteraemia.","container-title":"Clinical Microbiology and Infection: The Official Publication of the European Society of Clinical Microbiology and Infectious Diseases","DOI":"10.1111/1469-0691.12132","ISSN":"1469-0691","issue":"4","journalAbbreviation":"Clin Microbiol Infect","language":"eng","page":"E181-189","PMID":"23398607","source":"PubMed","title":"Enterococcal bacteraemia: factors influencing mortality, length of stay and costs of hospitalization","title-short":"Enterococcal bacteraemia","volume":"19","author":[{"family":"Cheah","given":"A. L. Y."},{"family":"Spelman","given":"T."},{"family":"Liew","given":"D."},{"family":"Peel","given":"T."},{"family":"Howden","given":"B. P."},{"family":"Spelman","given":"D."},{"family":"Grayson","given":"M. L."},{"family":"Nation","given":"R. L."},{"family":"Kong","given":"D. C. M."}],"issued":{"date-parts":[["2013",4]]}}},{"id":1765,"uris":["http://zotero.org/users/9228761/items/8RJ7WD4S"],"itemData":{"id":1765,"type":"article-journal","abstract":"OBJECTIVES: It is unclear whether the poor outcome of patients with severe vancomycin-resistant enterococci (VRE) infection is attributable to vancomycin resistance or to Enterococcus faecium (Efm), which predominates among VRE.\nMETHODS: Retrospective study of a prospectively identified cohort from nationwide surveillance. A cohort of consecutive, nonduplicate episodes of monomicrobial bloodstream infections (BSIs) caused by Efm in 2016 was selected. The primary outcome was all-cause, 30-day, in-hospital mortality. Inverse probability weighting was applied using the propensity score for vancomycin-resistant Efm (VREfm) BSI.\nRESULTS: A total of 241 Efm BSI episodes were included, of which 59 (24.5%) were VREfm. Patients with VREfm BSI were younger but had similar comorbidities to those with vancomycin-sensitive Efm (VSEfm) BSI. Multivariable logistic regression revealed that younger age, previous piperacillin-tazobactam use, and steroid use were significant risk factors for VREfm BSI, but 30-day in-hospital mortality did not differ significantly between groups (35.6% and 23.6% for VREfm and VSEfm, respectively; odds ratio, 1.79; 95% confidence interval, 0.95-3.37; P = 0.101). However, Cox regression with inverse probability weighting revealed that vancomycin resistance was independently associated with an increased risk of mortality (adjusted hazard ratio, 2.18; 95% confidence interval, 1.03-4.62; P = 0.041).\nCONCLUSION: In patients with Efm BSI, vancomycin resistance was independently associated with mortality.","container-title":"International journal of infectious diseases: IJID: official publication of the International Society for Infectious Diseases","DOI":"10.1016/j.ijid.2023.04.411","ISSN":"1878-3511","journalAbbreviation":"Int J Infect Dis","language":"eng","page":"8-14","PMID":"37172775","source":"PubMed","title":"Impact of vancomycin resistance in Enterococcus faecium bloodstream infection on mortality: A retrospective analysis of nationwide surveillance data","title-short":"Impact of vancomycin resistance in Enterococcus faecium bloodstream infection on mortality","volume":"134","author":[{"family":"Huh","given":"Kyungmin"},{"family":"Chung","given":"Doo Ryeon"},{"family":"Ha","given":"Young Eun"},{"family":"Ko","given":"Jae-Hoon"},{"family":"Huh","given":"Hee Jae"},{"family":"Lee","given":"Nam Yong"},{"family":"Cho","given":"Sun Young"},{"family":"Kang","given":"Cheol-In"},{"family":"Peck","given":"Kyong Ran"},{"family":"Song","given":"Jae-Hoon"},{"literal":"Korean Antimicrobial Resistance Surveillance Network (KARS-Net) investigators"}],"issued":{"date-parts":[["2023",9]]}}},{"id":1768,"uris":["http://zotero.org/users/9228761/items/IK7DY9C4"],"itemData":{"id":1768,"type":"article-journal","abstract":"BACKGROUND: The relevance of vancomycin resistance in enterococcal blood stream infections (BSI) is still controversial. Aim of this study was to outline the effect of vancomycin resistance of Enterococcus faecium on the outcome of patients with BSI after orthotopic liver transplantation (OLT).\nMETHODS: The outcome of OLT recipients developing BSI with vancomycin-resistant (VRE) versus vancomycin-susceptible Enterococcus faecium (VSE) was compared based on data extraction from medical records. Multivariate regression analyses identified risk factors for mortality and unfavourable outcomes (defined as death or prolonged intensive care stay) after 30 and 90 days.\nRESULTS: Mortality was similar between VRE- (n = 39) and VSE- (n = 138) group after 30 (p = 0.44) or 90 days (p = 0.39). Comparable results occurred regarding unfavourable outcomes. Mean SOFANon-GCS score during the 7-day-period before BSI onset was the independent predictor for mortality at both timepoints (HR 1.32; CI 1.14-1.53; and HR 1.18; CI 1.08-1.28). Timely appropriate antibiotic therapy, recent ICU stay and vancomycin resistance did not affect outcome after adjusting for confounders.\nCONCLUSION: Vancomycin resistance did not influence outcome among patients with Enterococcus faecium bacteraemia after OLT. Only underlying severity of disease predicted poor outcome among this homogenous patient population.\nTRIAL REGISTRATION: This study was registered at the German clinical trials register (DRKS-ID: DRKS00013285).","container-title":"Antimicrobial Resistance and Infection Control","DOI":"10.1186/s13756-020-0683-3","ISSN":"2047-2994","issue":"1","journalAbbreviation":"Antimicrob Resist Infect Control","language":"eng","page":"22","PMID":"32005223","PMCID":"PMC6995054","source":"PubMed","title":"Does vancomycin resistance increase mortality in Enterococcus faecium bacteraemia after orthotopic liver transplantation? A retrospective study","title-short":"Does vancomycin resistance increase mortality in Enterococcus faecium bacteraemia after orthotopic liver transplantation?","volume":"9","author":[{"family":"Dubler","given":"S."},{"family":"Lenz","given":"M."},{"family":"Zimmermann","given":"S."},{"family":"Richter","given":"D. C."},{"family":"Weiss","given":"K. H."},{"family":"Mehrabi","given":"A."},{"family":"Mieth","given":"M."},{"family":"Bruckner","given":"T."},{"family":"Weigand","given":"M. A."},{"family":"Brenner","given":"T."},{"family":"Heininger","given":"A."}],"issued":{"date-parts":[["2020",1,31]]}}},{"id":1771,"uris":["http://zotero.org/users/9228761/items/BQBYJKFF"],"itemData":{"id":1771,"type":"article-journal","abstract":"BACKGROUND: Infections caused by vancomycin-resistant enterococci (VRE) are on the rise worldwide. Few studies have tried to estimate the mortality burden as well as the financial burden of those infections and found that VRE are associated with increased mortality and higher hospital costs. However, it is unclear whether these worse outcomes are attributable to vancomycin resistance only or whether the enterococcal species (Enterococcus faecium or Enterococcus faecalis) play an important role. We therefore aimed to determine the burden of enterococci infections attributable to vancomycin resistance and pathogen species (E. faecium and E. faecalis) in cases of bloodstream infection (BSI).\nMETHODS: We conducted a retrospective cohort study on patients with BSI caused by Enterococcus faecium or Enterococcus faecalis between 2008 and 2015 in three tertiary care hospitals. Data was collected on true hospital costs (in €), length of stay (LOS), basic demographic parameters, and underlying diseases including the results of the Charlson comorbidity index (CCI). We used univariate and multivariable regression analyses to compare risk factors for in-hospital mortality and length of stay (i) between vancomycin-susceptible E. faecium- (VSEm) and vancomycin-susceptible E. faecalis- (VSEf) cases and (ii) between vancomycin-susceptible E. faecium- (VSEm) and vancomycin-resistant E. faecium-cases (VREm). We calculated total hospital costs for VSEm, VSEf and VREm.\nRESULTS: Overall, we identified 1160 consecutive cases of BSI caused by enterococci: 596 (51.4%) cases of E. faecium BSI and 564 (48.6%) cases of E. faecalis BSI. 103 cases of E. faecium BSI (17.3%) and 1 case of E. faecalis BSI (0.2%) were infected by vancomycin-resistant isolates. Multivariable analyses revealed (i) that in addition to different underlying diseases E. faecium was an independent risk factor for in-hospital mortality and prolonged hospital stay and (ii) that vancomycin-resistance did not further increase the risk for the described outcomes among E. faecium-isolates. However, the overall hospital costs were significantly higher in VREm-BSI cases as compared to VSEm- and VSEf-BSI cases (80,465€ vs. 51,365€ vs. 31,122€ p &lt; 0.001).\nCONCLUSION: Our data indicates that in-hospital mortality and infection-attributed hospital stay in enterococci BSI might rather be influenced by Enterococcus species and underlying diseases than by vancomycin resistance. Therefore, future studies should consider adjusting for Enterococcus species in addition to vancomycin resistance in order to provide a conservative estimate for the burden of VRE infections.","container-title":"Antimicrobial Resistance and Infection Control","DOI":"10.1186/s13756-018-0419-9","ISSN":"2047-2994","journalAbbreviation":"Antimicrob Resist Infect Control","language":"eng","page":"133","PMID":"30459945","PMCID":"PMC6234683","source":"PubMed","title":"The importance of adjusting for enterococcus species when assessing the burden of vancomycin resistance: a cohort study including over 1000 cases of enterococcal bloodstream infections","title-short":"The importance of adjusting for enterococcus species when assessing the burden of vancomycin resistance","volume":"7","author":[{"family":"Kramer","given":"Tobias Siegfried"},{"family":"Remschmidt","given":"Cornelius"},{"family":"Werner","given":"Sven"},{"family":"Behnke","given":"Michael"},{"family":"Schwab","given":"Frank"},{"family":"Werner","given":"Guido"},{"family":"Gastmeier","given":"Petra"},{"family":"Leistner","given":"Rasmus"}],"issued":{"date-parts":[["2018"]]}}}],"schema":"https://github.com/citation-style-language/schema/raw/master/csl-citation.json"} </w:instrText>
      </w:r>
      <w:r w:rsidR="00C77340">
        <w:rPr>
          <w:lang w:val="en-US"/>
        </w:rPr>
        <w:fldChar w:fldCharType="separate"/>
      </w:r>
      <w:r w:rsidR="00CA69E8" w:rsidRPr="00CA69E8">
        <w:t>(6–11)</w:t>
      </w:r>
      <w:r w:rsidR="00C77340">
        <w:rPr>
          <w:lang w:val="en-US"/>
        </w:rPr>
        <w:fldChar w:fldCharType="end"/>
      </w:r>
      <w:r w:rsidRPr="00DA28D1">
        <w:rPr>
          <w:lang w:val="en-US"/>
        </w:rPr>
        <w:t xml:space="preserve">. Overall, </w:t>
      </w:r>
      <w:r w:rsidR="00AF4E5D">
        <w:rPr>
          <w:lang w:val="en-US"/>
        </w:rPr>
        <w:t>7,490</w:t>
      </w:r>
      <w:r>
        <w:rPr>
          <w:lang w:val="en-US"/>
        </w:rPr>
        <w:t xml:space="preserve"> </w:t>
      </w:r>
      <w:r w:rsidRPr="00DA28D1">
        <w:rPr>
          <w:lang w:val="en-US"/>
        </w:rPr>
        <w:t xml:space="preserve">patients </w:t>
      </w:r>
      <w:r w:rsidR="00AF4E5D">
        <w:rPr>
          <w:lang w:val="en-US"/>
        </w:rPr>
        <w:t xml:space="preserve">with </w:t>
      </w:r>
      <w:r w:rsidR="00AF4E5D" w:rsidRPr="00AF4E5D">
        <w:rPr>
          <w:i/>
          <w:iCs/>
          <w:lang w:val="en-US"/>
        </w:rPr>
        <w:t>E. faecium</w:t>
      </w:r>
      <w:r w:rsidR="00AF4E5D">
        <w:rPr>
          <w:lang w:val="en-US"/>
        </w:rPr>
        <w:t xml:space="preserve"> BSI </w:t>
      </w:r>
      <w:r w:rsidRPr="00DA28D1">
        <w:rPr>
          <w:lang w:val="en-US"/>
        </w:rPr>
        <w:t>were included (</w:t>
      </w:r>
      <w:r w:rsidR="00AF4E5D">
        <w:rPr>
          <w:lang w:val="en-US"/>
        </w:rPr>
        <w:t>725</w:t>
      </w:r>
      <w:r>
        <w:rPr>
          <w:lang w:val="en-US"/>
        </w:rPr>
        <w:t xml:space="preserve"> </w:t>
      </w:r>
      <w:r w:rsidR="00AF4E5D">
        <w:rPr>
          <w:lang w:val="en-US"/>
        </w:rPr>
        <w:t>VRE BSI</w:t>
      </w:r>
      <w:r w:rsidRPr="00DA28D1">
        <w:rPr>
          <w:lang w:val="en-US"/>
        </w:rPr>
        <w:t xml:space="preserve"> vs</w:t>
      </w:r>
      <w:r w:rsidRPr="000171A6">
        <w:rPr>
          <w:lang w:val="en-US"/>
        </w:rPr>
        <w:t>.</w:t>
      </w:r>
      <w:r w:rsidR="00AF4E5D">
        <w:rPr>
          <w:lang w:val="en-US"/>
        </w:rPr>
        <w:t xml:space="preserve"> 6</w:t>
      </w:r>
      <w:r w:rsidR="009B3E92">
        <w:rPr>
          <w:lang w:val="en-US"/>
        </w:rPr>
        <w:t>,</w:t>
      </w:r>
      <w:r w:rsidR="00AF4E5D">
        <w:rPr>
          <w:lang w:val="en-US"/>
        </w:rPr>
        <w:t>765 VSE BSI</w:t>
      </w:r>
      <w:r w:rsidRPr="00DA28D1">
        <w:rPr>
          <w:lang w:val="en-US"/>
        </w:rPr>
        <w:t xml:space="preserve">). </w:t>
      </w:r>
      <w:r w:rsidR="009B3E92">
        <w:rPr>
          <w:lang w:val="en-US"/>
        </w:rPr>
        <w:t xml:space="preserve">Only one study was prospective </w:t>
      </w:r>
      <w:r w:rsidR="00A235E2">
        <w:rPr>
          <w:lang w:val="en-US"/>
        </w:rPr>
        <w:fldChar w:fldCharType="begin"/>
      </w:r>
      <w:r w:rsidR="00CA69E8">
        <w:rPr>
          <w:lang w:val="en-US"/>
        </w:rPr>
        <w:instrText xml:space="preserve"> ADDIN ZOTERO_ITEM CSL_CITATION {"citationID":"EXK6SbiN","properties":{"formattedCitation":"(6)","plainCitation":"(6)","noteIndex":0},"citationItems":[{"id":1757,"uris":["http://zotero.org/users/9228761/items/G76GQNLK"],"itemData":{"id":1757,"type":"article-journal","abstract":"We determined the clinical and molecular epidemiology of emerging nosocomial vancomycin-resistant Enterococcus faecium (VREfm)-causing serious bloodstream infections (BSIs) and the correlations between antibiotic resistance and virulence determinants among isolates. All isolates were confirmed by molecular methods (16SrRNA and E. faecium ddl genes) and tested for disk diffusion. PCR was used to detect aac(6')-aph(2″), vanA and vanB resistance genes, and asa1, cylA, ace, esp, gelE and hyl virulence genes. VREfm and high-level gentamicin-resistant (HLGR) representative isolates were selected to characterize by pulsed-field gel electrophoresis (PFGE) and multi-locus sequence typing (MLST). Of 173 isolates, 73 (42.2%), 146 (84.4%), and 0 (0.0%) were vanA-containing VREfm, aac(6')-aph(2″)-positive HLGR, and vanB-positive. Independent predictors of VREfm infection were hematological malignancies (P = 0.001) and previous hospitalizations (P = 0.007). Observed mortality rate was 34.7%. Independent predictors of BSI-related mortality were endotracheal intubations (P &lt; 0.001), gastrointestinal diseases (P = 0.002), and pulmonary disease (P &lt; 0.001). All VREfm were resistant to vancomycin, teicoplanin, ciprofloxacin, and erythromycin. The esp, hyl, ace, asa1, cylA, and gelE genes were detected at 55.9, 22.5, 2.9, 2.3, 1.7, and 1.2%, respectively. The esp gene was significantly associated with VREfm compared to VSEfm (P = 0.001). PFGE analysis revealed 23 clones, with 7 major clones. The MLST analysis revealed the following five sequence types: ST80, ST17, ST117, ST132, and ST280, all belonging to CC17. The emergence and expansion of VREfm CC17 with limited antibiotic options in our hospital present a serious public health menace and represent challenges to infection control.","container-title":"European Journal of Clinical Microbiology &amp; Infectious Diseases: Official Publication of the European Society of Clinical Microbiology","DOI":"10.1007/s10096-020-04030-3","ISSN":"1435-4373","issue":"2","journalAbbreviation":"Eur J Clin Microbiol Infect Dis","language":"eng","page":"303-314","PMID":"32909085","source":"PubMed","title":"Clinical and molecular epidemiology of vancomycin-resistant Enterococcus faecium bacteremia from an Indian tertiary hospital","volume":"40","author":[{"family":"Rao","given":"Chandrabhan"},{"family":"Dhawan","given":"Benu"},{"family":"Vishnubhatla","given":"Sreenivas"},{"family":"Kapil","given":"Arti"},{"family":"Das","given":"Bimal"},{"family":"Sood","given":"Seema"}],"issued":{"date-parts":[["2021",2]]}}}],"schema":"https://github.com/citation-style-language/schema/raw/master/csl-citation.json"} </w:instrText>
      </w:r>
      <w:r w:rsidR="00A235E2">
        <w:rPr>
          <w:lang w:val="en-US"/>
        </w:rPr>
        <w:fldChar w:fldCharType="separate"/>
      </w:r>
      <w:r w:rsidR="00CA69E8" w:rsidRPr="00CA69E8">
        <w:t>(6)</w:t>
      </w:r>
      <w:r w:rsidR="00A235E2">
        <w:rPr>
          <w:lang w:val="en-US"/>
        </w:rPr>
        <w:fldChar w:fldCharType="end"/>
      </w:r>
      <w:r w:rsidR="009B3E92">
        <w:rPr>
          <w:lang w:val="en-US"/>
        </w:rPr>
        <w:t xml:space="preserve">, in one retrospective study population was matched </w:t>
      </w:r>
      <w:r w:rsidR="004534D3">
        <w:rPr>
          <w:lang w:val="en-US"/>
        </w:rPr>
        <w:t xml:space="preserve">according to date and unit of admission </w:t>
      </w:r>
      <w:r w:rsidR="00A235E2">
        <w:rPr>
          <w:lang w:val="en-US"/>
        </w:rPr>
        <w:fldChar w:fldCharType="begin"/>
      </w:r>
      <w:r w:rsidR="00CA69E8">
        <w:rPr>
          <w:lang w:val="en-US"/>
        </w:rPr>
        <w:instrText xml:space="preserve"> ADDIN ZOTERO_ITEM CSL_CITATION {"citationID":"YQaOa96S","properties":{"formattedCitation":"(8)","plainCitation":"(8)","noteIndex":0},"citationItems":[{"id":1761,"uris":["http://zotero.org/users/9228761/items/62AUI42A"],"itemData":{"id":1761,"type":"article-journal","abstract":"Enterococci are a major cause of nosocomial bacteraemia. The impacts of vanB vancomycin resistance and antibiotic therapy on outcomes in enterococcal bacteraemia are unclear. Factors that affect length of stay (LOS) and costs of managing patients with enterococcal bacteraemia are also unknown. This study aimed to identify factors associated with mortality, LOS and hospitalization costs in patients with enterococcal bacteraemia and the impact of vancomycin resistance and antibiotic therapy on these outcomes. Data from 116 patients with vancomycin-resistant Enterococci (VRE), matched 1:1 with patients with vancomycin-susceptible Enterococcus (VSE), from two Australian hospitals were reviewed for clinical and economic outcomes. Univariable and multivariable logistic and quantile regression analyses identified factors associated with mortality, LOS and costs. Intensive care unit admission (OR, 8.57; 95% CI, 3.99-18.38), a higher burden of co-morbidities (OR, 4.55; 95% CI, 1.83-11.33) and longer time to appropriate antibiotics (OR, 1.02; 95% CI, 1.01-1.03) were significantly associated with mortality in enterococcal bacteraemia. VanB vancomycin resistance increased LOS (4.89 days; 95% CI, 0.56-11.52) and hospitalization costs (AU$ 28 872; 95% CI, 734-70 667), after adjustment for confounders. Notably, linezolid definitive therapy was associated with lower mortality (OR, 0.13; 95% CI, 0.03-0.58) in vanB VRE bacteraemia patients. In patients with VSE bacteraemia, time to appropriate antibiotics independently influenced mortality, LOS and hospitalization costs, and underlying co-morbidities were associated with mortality. The study findings highlight the importance of preventing VRE bacteraemia and the significance of time to appropriate antibiotics in the management of enterococcal bacteraemia.","container-title":"Clinical Microbiology and Infection: The Official Publication of the European Society of Clinical Microbiology and Infectious Diseases","DOI":"10.1111/1469-0691.12132","ISSN":"1469-0691","issue":"4","journalAbbreviation":"Clin Microbiol Infect","language":"eng","page":"E181-189","PMID":"23398607","source":"PubMed","title":"Enterococcal bacteraemia: factors influencing mortality, length of stay and costs of hospitalization","title-short":"Enterococcal bacteraemia","volume":"19","author":[{"family":"Cheah","given":"A. L. Y."},{"family":"Spelman","given":"T."},{"family":"Liew","given":"D."},{"family":"Peel","given":"T."},{"family":"Howden","given":"B. P."},{"family":"Spelman","given":"D."},{"family":"Grayson","given":"M. L."},{"family":"Nation","given":"R. L."},{"family":"Kong","given":"D. C. M."}],"issued":{"date-parts":[["2013",4]]}}}],"schema":"https://github.com/citation-style-language/schema/raw/master/csl-citation.json"} </w:instrText>
      </w:r>
      <w:r w:rsidR="00A235E2">
        <w:rPr>
          <w:lang w:val="en-US"/>
        </w:rPr>
        <w:fldChar w:fldCharType="separate"/>
      </w:r>
      <w:r w:rsidR="00CA69E8" w:rsidRPr="00CA69E8">
        <w:t>(8)</w:t>
      </w:r>
      <w:r w:rsidR="00A235E2">
        <w:rPr>
          <w:lang w:val="en-US"/>
        </w:rPr>
        <w:fldChar w:fldCharType="end"/>
      </w:r>
      <w:r w:rsidR="004534D3">
        <w:rPr>
          <w:lang w:val="en-US"/>
        </w:rPr>
        <w:t xml:space="preserve">. </w:t>
      </w:r>
      <w:r w:rsidR="00D32F12">
        <w:rPr>
          <w:lang w:val="en-US"/>
        </w:rPr>
        <w:t>One study enrolled only liver transplant recipients</w:t>
      </w:r>
      <w:r w:rsidR="00A235E2">
        <w:rPr>
          <w:lang w:val="en-US"/>
        </w:rPr>
        <w:t xml:space="preserve"> </w:t>
      </w:r>
      <w:r w:rsidR="00A235E2">
        <w:rPr>
          <w:lang w:val="en-US"/>
        </w:rPr>
        <w:fldChar w:fldCharType="begin"/>
      </w:r>
      <w:r w:rsidR="00CA69E8">
        <w:rPr>
          <w:lang w:val="en-US"/>
        </w:rPr>
        <w:instrText xml:space="preserve"> ADDIN ZOTERO_ITEM CSL_CITATION {"citationID":"c56KpB15","properties":{"formattedCitation":"(10)","plainCitation":"(10)","noteIndex":0},"citationItems":[{"id":1768,"uris":["http://zotero.org/users/9228761/items/IK7DY9C4"],"itemData":{"id":1768,"type":"article-journal","abstract":"BACKGROUND: The relevance of vancomycin resistance in enterococcal blood stream infections (BSI) is still controversial. Aim of this study was to outline the effect of vancomycin resistance of Enterococcus faecium on the outcome of patients with BSI after orthotopic liver transplantation (OLT).\nMETHODS: The outcome of OLT recipients developing BSI with vancomycin-resistant (VRE) versus vancomycin-susceptible Enterococcus faecium (VSE) was compared based on data extraction from medical records. Multivariate regression analyses identified risk factors for mortality and unfavourable outcomes (defined as death or prolonged intensive care stay) after 30 and 90 days.\nRESULTS: Mortality was similar between VRE- (n = 39) and VSE- (n = 138) group after 30 (p = 0.44) or 90 days (p = 0.39). Comparable results occurred regarding unfavourable outcomes. Mean SOFANon-GCS score during the 7-day-period before BSI onset was the independent predictor for mortality at both timepoints (HR 1.32; CI 1.14-1.53; and HR 1.18; CI 1.08-1.28). Timely appropriate antibiotic therapy, recent ICU stay and vancomycin resistance did not affect outcome after adjusting for confounders.\nCONCLUSION: Vancomycin resistance did not influence outcome among patients with Enterococcus faecium bacteraemia after OLT. Only underlying severity of disease predicted poor outcome among this homogenous patient population.\nTRIAL REGISTRATION: This study was registered at the German clinical trials register (DRKS-ID: DRKS00013285).","container-title":"Antimicrobial Resistance and Infection Control","DOI":"10.1186/s13756-020-0683-3","ISSN":"2047-2994","issue":"1","journalAbbreviation":"Antimicrob Resist Infect Control","language":"eng","page":"22","PMID":"32005223","PMCID":"PMC6995054","source":"PubMed","title":"Does vancomycin resistance increase mortality in Enterococcus faecium bacteraemia after orthotopic liver transplantation? A retrospective study","title-short":"Does vancomycin resistance increase mortality in Enterococcus faecium bacteraemia after orthotopic liver transplantation?","volume":"9","author":[{"family":"Dubler","given":"S."},{"family":"Lenz","given":"M."},{"family":"Zimmermann","given":"S."},{"family":"Richter","given":"D. C."},{"family":"Weiss","given":"K. H."},{"family":"Mehrabi","given":"A."},{"family":"Mieth","given":"M."},{"family":"Bruckner","given":"T."},{"family":"Weigand","given":"M. A."},{"family":"Brenner","given":"T."},{"family":"Heininger","given":"A."}],"issued":{"date-parts":[["2020",1,31]]}}}],"schema":"https://github.com/citation-style-language/schema/raw/master/csl-citation.json"} </w:instrText>
      </w:r>
      <w:r w:rsidR="00A235E2">
        <w:rPr>
          <w:lang w:val="en-US"/>
        </w:rPr>
        <w:fldChar w:fldCharType="separate"/>
      </w:r>
      <w:r w:rsidR="00CA69E8" w:rsidRPr="00CA69E8">
        <w:t>(10)</w:t>
      </w:r>
      <w:r w:rsidR="00A235E2">
        <w:rPr>
          <w:lang w:val="en-US"/>
        </w:rPr>
        <w:fldChar w:fldCharType="end"/>
      </w:r>
      <w:r w:rsidR="00D32F12">
        <w:rPr>
          <w:lang w:val="en-US"/>
        </w:rPr>
        <w:t xml:space="preserve">. </w:t>
      </w:r>
      <w:r w:rsidR="004534D3">
        <w:rPr>
          <w:lang w:val="en-US"/>
        </w:rPr>
        <w:t xml:space="preserve">Three studies were </w:t>
      </w:r>
      <w:r w:rsidR="00D32F12">
        <w:rPr>
          <w:lang w:val="en-US"/>
        </w:rPr>
        <w:t>conducted</w:t>
      </w:r>
      <w:r w:rsidR="004534D3">
        <w:rPr>
          <w:lang w:val="en-US"/>
        </w:rPr>
        <w:t xml:space="preserve"> in Europe, </w:t>
      </w:r>
      <w:r w:rsidR="00D32F12">
        <w:rPr>
          <w:lang w:val="en-US"/>
        </w:rPr>
        <w:t xml:space="preserve">and </w:t>
      </w:r>
      <w:r w:rsidR="004534D3">
        <w:rPr>
          <w:lang w:val="en-US"/>
        </w:rPr>
        <w:t>one respectively in India, South Korea and Australia.</w:t>
      </w:r>
      <w:r w:rsidR="00B50F2F">
        <w:rPr>
          <w:lang w:val="en-US"/>
        </w:rPr>
        <w:t xml:space="preserve"> Mean or median age was 60 vs. 64 years, male were 60% vs. </w:t>
      </w:r>
      <w:r w:rsidR="00D32F12">
        <w:rPr>
          <w:lang w:val="en-US"/>
        </w:rPr>
        <w:t xml:space="preserve">62%, Charlson Comorbidity score was 3 vs. </w:t>
      </w:r>
      <w:r w:rsidR="00417422">
        <w:rPr>
          <w:lang w:val="en-US"/>
        </w:rPr>
        <w:t>2.5</w:t>
      </w:r>
      <w:r w:rsidR="00D32F12">
        <w:rPr>
          <w:lang w:val="en-US"/>
        </w:rPr>
        <w:t xml:space="preserve"> </w:t>
      </w:r>
      <w:r w:rsidR="00B50F2F">
        <w:rPr>
          <w:lang w:val="en-US"/>
        </w:rPr>
        <w:t>in exposed and comparator group, respectively</w:t>
      </w:r>
      <w:r w:rsidR="00417422">
        <w:rPr>
          <w:lang w:val="en-US"/>
        </w:rPr>
        <w:t xml:space="preserve">. </w:t>
      </w:r>
      <w:r w:rsidR="007D2A16">
        <w:rPr>
          <w:lang w:val="en-US"/>
        </w:rPr>
        <w:t>BSIs were monomicrobial in 87% vs. 91% of cases, but only 3 studies assessed such issue</w:t>
      </w:r>
      <w:r w:rsidR="00A235E2">
        <w:rPr>
          <w:lang w:val="en-US"/>
        </w:rPr>
        <w:t xml:space="preserve"> </w:t>
      </w:r>
      <w:r w:rsidR="00A235E2">
        <w:rPr>
          <w:lang w:val="en-US"/>
        </w:rPr>
        <w:fldChar w:fldCharType="begin"/>
      </w:r>
      <w:r w:rsidR="00CA69E8">
        <w:rPr>
          <w:lang w:val="en-US"/>
        </w:rPr>
        <w:instrText xml:space="preserve"> ADDIN ZOTERO_ITEM CSL_CITATION {"citationID":"b3kE0akB","properties":{"formattedCitation":"(6,8,10)","plainCitation":"(6,8,10)","noteIndex":0},"citationItems":[{"id":1757,"uris":["http://zotero.org/users/9228761/items/G76GQNLK"],"itemData":{"id":1757,"type":"article-journal","abstract":"We determined the clinical and molecular epidemiology of emerging nosocomial vancomycin-resistant Enterococcus faecium (VREfm)-causing serious bloodstream infections (BSIs) and the correlations between antibiotic resistance and virulence determinants among isolates. All isolates were confirmed by molecular methods (16SrRNA and E. faecium ddl genes) and tested for disk diffusion. PCR was used to detect aac(6')-aph(2″), vanA and vanB resistance genes, and asa1, cylA, ace, esp, gelE and hyl virulence genes. VREfm and high-level gentamicin-resistant (HLGR) representative isolates were selected to characterize by pulsed-field gel electrophoresis (PFGE) and multi-locus sequence typing (MLST). Of 173 isolates, 73 (42.2%), 146 (84.4%), and 0 (0.0%) were vanA-containing VREfm, aac(6')-aph(2″)-positive HLGR, and vanB-positive. Independent predictors of VREfm infection were hematological malignancies (P = 0.001) and previous hospitalizations (P = 0.007). Observed mortality rate was 34.7%. Independent predictors of BSI-related mortality were endotracheal intubations (P &lt; 0.001), gastrointestinal diseases (P = 0.002), and pulmonary disease (P &lt; 0.001). All VREfm were resistant to vancomycin, teicoplanin, ciprofloxacin, and erythromycin. The esp, hyl, ace, asa1, cylA, and gelE genes were detected at 55.9, 22.5, 2.9, 2.3, 1.7, and 1.2%, respectively. The esp gene was significantly associated with VREfm compared to VSEfm (P = 0.001). PFGE analysis revealed 23 clones, with 7 major clones. The MLST analysis revealed the following five sequence types: ST80, ST17, ST117, ST132, and ST280, all belonging to CC17. The emergence and expansion of VREfm CC17 with limited antibiotic options in our hospital present a serious public health menace and represent challenges to infection control.","container-title":"European Journal of Clinical Microbiology &amp; Infectious Diseases: Official Publication of the European Society of Clinical Microbiology","DOI":"10.1007/s10096-020-04030-3","ISSN":"1435-4373","issue":"2","journalAbbreviation":"Eur J Clin Microbiol Infect Dis","language":"eng","page":"303-314","PMID":"32909085","source":"PubMed","title":"Clinical and molecular epidemiology of vancomycin-resistant Enterococcus faecium bacteremia from an Indian tertiary hospital","volume":"40","author":[{"family":"Rao","given":"Chandrabhan"},{"family":"Dhawan","given":"Benu"},{"family":"Vishnubhatla","given":"Sreenivas"},{"family":"Kapil","given":"Arti"},{"family":"Das","given":"Bimal"},{"family":"Sood","given":"Seema"}],"issued":{"date-parts":[["2021",2]]}}},{"id":1761,"uris":["http://zotero.org/users/9228761/items/62AUI42A"],"itemData":{"id":1761,"type":"article-journal","abstract":"Enterococci are a major cause of nosocomial bacteraemia. The impacts of vanB vancomycin resistance and antibiotic therapy on outcomes in enterococcal bacteraemia are unclear. Factors that affect length of stay (LOS) and costs of managing patients with enterococcal bacteraemia are also unknown. This study aimed to identify factors associated with mortality, LOS and hospitalization costs in patients with enterococcal bacteraemia and the impact of vancomycin resistance and antibiotic therapy on these outcomes. Data from 116 patients with vancomycin-resistant Enterococci (VRE), matched 1:1 with patients with vancomycin-susceptible Enterococcus (VSE), from two Australian hospitals were reviewed for clinical and economic outcomes. Univariable and multivariable logistic and quantile regression analyses identified factors associated with mortality, LOS and costs. Intensive care unit admission (OR, 8.57; 95% CI, 3.99-18.38), a higher burden of co-morbidities (OR, 4.55; 95% CI, 1.83-11.33) and longer time to appropriate antibiotics (OR, 1.02; 95% CI, 1.01-1.03) were significantly associated with mortality in enterococcal bacteraemia. VanB vancomycin resistance increased LOS (4.89 days; 95% CI, 0.56-11.52) and hospitalization costs (AU$ 28 872; 95% CI, 734-70 667), after adjustment for confounders. Notably, linezolid definitive therapy was associated with lower mortality (OR, 0.13; 95% CI, 0.03-0.58) in vanB VRE bacteraemia patients. In patients with VSE bacteraemia, time to appropriate antibiotics independently influenced mortality, LOS and hospitalization costs, and underlying co-morbidities were associated with mortality. The study findings highlight the importance of preventing VRE bacteraemia and the significance of time to appropriate antibiotics in the management of enterococcal bacteraemia.","container-title":"Clinical Microbiology and Infection: The Official Publication of the European Society of Clinical Microbiology and Infectious Diseases","DOI":"10.1111/1469-0691.12132","ISSN":"1469-0691","issue":"4","journalAbbreviation":"Clin Microbiol Infect","language":"eng","page":"E181-189","PMID":"23398607","source":"PubMed","title":"Enterococcal bacteraemia: factors influencing mortality, length of stay and costs of hospitalization","title-short":"Enterococcal bacteraemia","volume":"19","author":[{"family":"Cheah","given":"A. L. Y."},{"family":"Spelman","given":"T."},{"family":"Liew","given":"D."},{"family":"Peel","given":"T."},{"family":"Howden","given":"B. P."},{"family":"Spelman","given":"D."},{"family":"Grayson","given":"M. L."},{"family":"Nation","given":"R. L."},{"family":"Kong","given":"D. C. M."}],"issued":{"date-parts":[["2013",4]]}}},{"id":1768,"uris":["http://zotero.org/users/9228761/items/IK7DY9C4"],"itemData":{"id":1768,"type":"article-journal","abstract":"BACKGROUND: The relevance of vancomycin resistance in enterococcal blood stream infections (BSI) is still controversial. Aim of this study was to outline the effect of vancomycin resistance of Enterococcus faecium on the outcome of patients with BSI after orthotopic liver transplantation (OLT).\nMETHODS: The outcome of OLT recipients developing BSI with vancomycin-resistant (VRE) versus vancomycin-susceptible Enterococcus faecium (VSE) was compared based on data extraction from medical records. Multivariate regression analyses identified risk factors for mortality and unfavourable outcomes (defined as death or prolonged intensive care stay) after 30 and 90 days.\nRESULTS: Mortality was similar between VRE- (n = 39) and VSE- (n = 138) group after 30 (p = 0.44) or 90 days (p = 0.39). Comparable results occurred regarding unfavourable outcomes. Mean SOFANon-GCS score during the 7-day-period before BSI onset was the independent predictor for mortality at both timepoints (HR 1.32; CI 1.14-1.53; and HR 1.18; CI 1.08-1.28). Timely appropriate antibiotic therapy, recent ICU stay and vancomycin resistance did not affect outcome after adjusting for confounders.\nCONCLUSION: Vancomycin resistance did not influence outcome among patients with Enterococcus faecium bacteraemia after OLT. Only underlying severity of disease predicted poor outcome among this homogenous patient population.\nTRIAL REGISTRATION: This study was registered at the German clinical trials register (DRKS-ID: DRKS00013285).","container-title":"Antimicrobial Resistance and Infection Control","DOI":"10.1186/s13756-020-0683-3","ISSN":"2047-2994","issue":"1","journalAbbreviation":"Antimicrob Resist Infect Control","language":"eng","page":"22","PMID":"32005223","PMCID":"PMC6995054","source":"PubMed","title":"Does vancomycin resistance increase mortality in Enterococcus faecium bacteraemia after orthotopic liver transplantation? A retrospective study","title-short":"Does vancomycin resistance increase mortality in Enterococcus faecium bacteraemia after orthotopic liver transplantation?","volume":"9","author":[{"family":"Dubler","given":"S."},{"family":"Lenz","given":"M."},{"family":"Zimmermann","given":"S."},{"family":"Richter","given":"D. C."},{"family":"Weiss","given":"K. H."},{"family":"Mehrabi","given":"A."},{"family":"Mieth","given":"M."},{"family":"Bruckner","given":"T."},{"family":"Weigand","given":"M. A."},{"family":"Brenner","given":"T."},{"family":"Heininger","given":"A."}],"issued":{"date-parts":[["2020",1,31]]}}}],"schema":"https://github.com/citation-style-language/schema/raw/master/csl-citation.json"} </w:instrText>
      </w:r>
      <w:r w:rsidR="00A235E2">
        <w:rPr>
          <w:lang w:val="en-US"/>
        </w:rPr>
        <w:fldChar w:fldCharType="separate"/>
      </w:r>
      <w:r w:rsidR="00CA69E8" w:rsidRPr="00CA69E8">
        <w:t>(6,8,10)</w:t>
      </w:r>
      <w:r w:rsidR="00A235E2">
        <w:rPr>
          <w:lang w:val="en-US"/>
        </w:rPr>
        <w:fldChar w:fldCharType="end"/>
      </w:r>
      <w:r w:rsidR="007D2A16">
        <w:rPr>
          <w:lang w:val="en-US"/>
        </w:rPr>
        <w:t>.</w:t>
      </w:r>
      <w:r w:rsidR="007B51E9" w:rsidRPr="00DA28D1">
        <w:rPr>
          <w:lang w:val="en-US"/>
        </w:rPr>
        <w:t xml:space="preserve"> </w:t>
      </w:r>
      <w:r w:rsidR="007B51E9">
        <w:rPr>
          <w:lang w:val="en-US"/>
        </w:rPr>
        <w:t xml:space="preserve">Four studies assessed 30-day mortality </w:t>
      </w:r>
      <w:r w:rsidR="007B51E9">
        <w:rPr>
          <w:lang w:val="en-US"/>
        </w:rPr>
        <w:fldChar w:fldCharType="begin"/>
      </w:r>
      <w:r w:rsidR="00CA69E8">
        <w:rPr>
          <w:lang w:val="en-US"/>
        </w:rPr>
        <w:instrText xml:space="preserve"> ADDIN ZOTERO_ITEM CSL_CITATION {"citationID":"oDagepk9","properties":{"formattedCitation":"(6,7,9,10)","plainCitation":"(6,7,9,10)","noteIndex":0},"citationItems":[{"id":1757,"uris":["http://zotero.org/users/9228761/items/G76GQNLK"],"itemData":{"id":1757,"type":"article-journal","abstract":"We determined the clinical and molecular epidemiology of emerging nosocomial vancomycin-resistant Enterococcus faecium (VREfm)-causing serious bloodstream infections (BSIs) and the correlations between antibiotic resistance and virulence determinants among isolates. All isolates were confirmed by molecular methods (16SrRNA and E. faecium ddl genes) and tested for disk diffusion. PCR was used to detect aac(6')-aph(2″), vanA and vanB resistance genes, and asa1, cylA, ace, esp, gelE and hyl virulence genes. VREfm and high-level gentamicin-resistant (HLGR) representative isolates were selected to characterize by pulsed-field gel electrophoresis (PFGE) and multi-locus sequence typing (MLST). Of 173 isolates, 73 (42.2%), 146 (84.4%), and 0 (0.0%) were vanA-containing VREfm, aac(6')-aph(2″)-positive HLGR, and vanB-positive. Independent predictors of VREfm infection were hematological malignancies (P = 0.001) and previous hospitalizations (P = 0.007). Observed mortality rate was 34.7%. Independent predictors of BSI-related mortality were endotracheal intubations (P &lt; 0.001), gastrointestinal diseases (P = 0.002), and pulmonary disease (P &lt; 0.001). All VREfm were resistant to vancomycin, teicoplanin, ciprofloxacin, and erythromycin. The esp, hyl, ace, asa1, cylA, and gelE genes were detected at 55.9, 22.5, 2.9, 2.3, 1.7, and 1.2%, respectively. The esp gene was significantly associated with VREfm compared to VSEfm (P = 0.001). PFGE analysis revealed 23 clones, with 7 major clones. The MLST analysis revealed the following five sequence types: ST80, ST17, ST117, ST132, and ST280, all belonging to CC17. The emergence and expansion of VREfm CC17 with limited antibiotic options in our hospital present a serious public health menace and represent challenges to infection control.","container-title":"European Journal of Clinical Microbiology &amp; Infectious Diseases: Official Publication of the European Society of Clinical Microbiology","DOI":"10.1007/s10096-020-04030-3","ISSN":"1435-4373","issue":"2","journalAbbreviation":"Eur J Clin Microbiol Infect Dis","language":"eng","page":"303-314","PMID":"32909085","source":"PubMed","title":"Clinical and molecular epidemiology of vancomycin-resistant Enterococcus faecium bacteremia from an Indian tertiary hospital","volume":"40","author":[{"family":"Rao","given":"Chandrabhan"},{"family":"Dhawan","given":"Benu"},{"family":"Vishnubhatla","given":"Sreenivas"},{"family":"Kapil","given":"Arti"},{"family":"Das","given":"Bimal"},{"family":"Sood","given":"Seema"}],"issued":{"date-parts":[["2021",2]]}}},{"id":1759,"uris":["http://zotero.org/users/9228761/items/HNHPG6SQ"],"itemData":{"id":1759,"type":"article-journal","abstract":"The emergence of bloodstream infections (BSI) caused by vancomycin-resistant Enterococci (VRE) has caused concern. Nonetheless, it remains unclear whether these types are associated with an excess risk of severe outcomes when compared with infections caused by vancomycin-susceptible Enterococci (VSE). This cohort study included hospitalized patients in Denmark with Enterococcus faecium-positive blood cultures collected between 2010 and 2019 identified in the Danish Microbiology Database. We estimated 30-day hazard ratio (HR) of death or discharge among VRE compared to VSE patients adjusted for age, sex, and comorbidity. The cohort included 6071 patients with E. faecium BSI (335 VRE, 5736 VSE) among whom VRE increased (2010–13, 2.6%; 2014–16, 6.3%; 2017–19; 9.4%). Mortality (HR 1.08, 95%CI 0.90–1.29; 126 VRE, 37.6%; 2223 VSE, 37.0%) or discharge (HR 0.89, 95%CI 0.75–1.06; 126 VRE, 37.6%; 2386 VSE, 41.6%) was not different between VRE and VSE except in 2014 (HR 1.87, 95% CI 1.18–2.96). There was no interaction between time from admission to BSI (1–2, 3–14, and &gt;14 days) and HR of death (P = 0.14) or discharge (P = 0.45) after VRE compared to VSE, despite longer time for VRE patients (17 vs. 10 days for VSE, P &lt; 0.0001). In conclusion, VRE BSI was not associated with excess morbidity and mortality. The excess mortality in 2014 only may be attributed to improved diagnostic- and patient-management practices after 2014, reducing time to appropriate antibiotic therapy. The high level of mortality after E. faecium BSI warrants further study.","container-title":"Emerging Microbes &amp; Infections","DOI":"10.1080/22221751.2024.2309969","ISSN":"null","issue":"1","note":"_eprint: https://doi.org/10.1080/22221751.2024.2309969","page":"2309969","PMID":"38258968","publisher":"Taylor &amp; Francis","source":"Taylor and Francis+NEJM","title":"Comparison of morbidity and mortality after bloodstream infection with vancomycin-resistant versus -susceptible Enterococcus faecium: a nationwide cohort study in Denmark, 2010–2019","title-short":"Comparison of morbidity and mortality after bloodstream infection with vancomycin-resistant versus -susceptible Enterococcus faecium","volume":"13","author":[{"family":"Bager","given":"Peter"},{"family":"Kähler","given":"Jonas"},{"family":"Andersson","given":"Mikael"},{"family":"Holzknecht","given":"Barbara Juliane"},{"family":"Kjær Hansen","given":"Sanne Grønvall"},{"family":"Schønning","given":"Kristian"},{"family":"Nielsen","given":"Karen Leth"},{"family":"Koch","given":"Kristoffer"},{"family":"Pinholt","given":"Mette"},{"family":"Voldstedlund","given":"Marianne"},{"family":"Larsen","given":"Anders Rhod"},{"family":"Kristensen","given":"Brian"},{"family":"Mølbak","given":"Kåre"},{"family":"Sönksen","given":"Ute Wolff"},{"family":"Skovgaard","given":"Sissel"},{"family":"Skov","given":"Robert"},{"family":"Hammerum","given":"Anette M."}],"issued":{"date-parts":[["2024",12,31]]}}},{"id":1765,"uris":["http://zotero.org/users/9228761/items/8RJ7WD4S"],"itemData":{"id":1765,"type":"article-journal","abstract":"OBJECTIVES: It is unclear whether the poor outcome of patients with severe vancomycin-resistant enterococci (VRE) infection is attributable to vancomycin resistance or to Enterococcus faecium (Efm), which predominates among VRE.\nMETHODS: Retrospective study of a prospectively identified cohort from nationwide surveillance. A cohort of consecutive, nonduplicate episodes of monomicrobial bloodstream infections (BSIs) caused by Efm in 2016 was selected. The primary outcome was all-cause, 30-day, in-hospital mortality. Inverse probability weighting was applied using the propensity score for vancomycin-resistant Efm (VREfm) BSI.\nRESULTS: A total of 241 Efm BSI episodes were included, of which 59 (24.5%) were VREfm. Patients with VREfm BSI were younger but had similar comorbidities to those with vancomycin-sensitive Efm (VSEfm) BSI. Multivariable logistic regression revealed that younger age, previous piperacillin-tazobactam use, and steroid use were significant risk factors for VREfm BSI, but 30-day in-hospital mortality did not differ significantly between groups (35.6% and 23.6% for VREfm and VSEfm, respectively; odds ratio, 1.79; 95% confidence interval, 0.95-3.37; P = 0.101). However, Cox regression with inverse probability weighting revealed that vancomycin resistance was independently associated with an increased risk of mortality (adjusted hazard ratio, 2.18; 95% confidence interval, 1.03-4.62; P = 0.041).\nCONCLUSION: In patients with Efm BSI, vancomycin resistance was independently associated with mortality.","container-title":"International journal of infectious diseases: IJID: official publication of the International Society for Infectious Diseases","DOI":"10.1016/j.ijid.2023.04.411","ISSN":"1878-3511","journalAbbreviation":"Int J Infect Dis","language":"eng","page":"8-14","PMID":"37172775","source":"PubMed","title":"Impact of vancomycin resistance in Enterococcus faecium bloodstream infection on mortality: A retrospective analysis of nationwide surveillance data","title-short":"Impact of vancomycin resistance in Enterococcus faecium bloodstream infection on mortality","volume":"134","author":[{"family":"Huh","given":"Kyungmin"},{"family":"Chung","given":"Doo Ryeon"},{"family":"Ha","given":"Young Eun"},{"family":"Ko","given":"Jae-Hoon"},{"family":"Huh","given":"Hee Jae"},{"family":"Lee","given":"Nam Yong"},{"family":"Cho","given":"Sun Young"},{"family":"Kang","given":"Cheol-In"},{"family":"Peck","given":"Kyong Ran"},{"family":"Song","given":"Jae-Hoon"},{"literal":"Korean Antimicrobial Resistance Surveillance Network (KARS-Net) investigators"}],"issued":{"date-parts":[["2023",9]]}}},{"id":1768,"uris":["http://zotero.org/users/9228761/items/IK7DY9C4"],"itemData":{"id":1768,"type":"article-journal","abstract":"BACKGROUND: The relevance of vancomycin resistance in enterococcal blood stream infections (BSI) is still controversial. Aim of this study was to outline the effect of vancomycin resistance of Enterococcus faecium on the outcome of patients with BSI after orthotopic liver transplantation (OLT).\nMETHODS: The outcome of OLT recipients developing BSI with vancomycin-resistant (VRE) versus vancomycin-susceptible Enterococcus faecium (VSE) was compared based on data extraction from medical records. Multivariate regression analyses identified risk factors for mortality and unfavourable outcomes (defined as death or prolonged intensive care stay) after 30 and 90 days.\nRESULTS: Mortality was similar between VRE- (n = 39) and VSE- (n = 138) group after 30 (p = 0.44) or 90 days (p = 0.39). Comparable results occurred regarding unfavourable outcomes. Mean SOFANon-GCS score during the 7-day-period before BSI onset was the independent predictor for mortality at both timepoints (HR 1.32; CI 1.14-1.53; and HR 1.18; CI 1.08-1.28). Timely appropriate antibiotic therapy, recent ICU stay and vancomycin resistance did not affect outcome after adjusting for confounders.\nCONCLUSION: Vancomycin resistance did not influence outcome among patients with Enterococcus faecium bacteraemia after OLT. Only underlying severity of disease predicted poor outcome among this homogenous patient population.\nTRIAL REGISTRATION: This study was registered at the German clinical trials register (DRKS-ID: DRKS00013285).","container-title":"Antimicrobial Resistance and Infection Control","DOI":"10.1186/s13756-020-0683-3","ISSN":"2047-2994","issue":"1","journalAbbreviation":"Antimicrob Resist Infect Control","language":"eng","page":"22","PMID":"32005223","PMCID":"PMC6995054","source":"PubMed","title":"Does vancomycin resistance increase mortality in Enterococcus faecium bacteraemia after orthotopic liver transplantation? A retrospective study","title-short":"Does vancomycin resistance increase mortality in Enterococcus faecium bacteraemia after orthotopic liver transplantation?","volume":"9","author":[{"family":"Dubler","given":"S."},{"family":"Lenz","given":"M."},{"family":"Zimmermann","given":"S."},{"family":"Richter","given":"D. C."},{"family":"Weiss","given":"K. H."},{"family":"Mehrabi","given":"A."},{"family":"Mieth","given":"M."},{"family":"Bruckner","given":"T."},{"family":"Weigand","given":"M. A."},{"family":"Brenner","given":"T."},{"family":"Heininger","given":"A."}],"issued":{"date-parts":[["2020",1,31]]}}}],"schema":"https://github.com/citation-style-language/schema/raw/master/csl-citation.json"} </w:instrText>
      </w:r>
      <w:r w:rsidR="007B51E9">
        <w:rPr>
          <w:lang w:val="en-US"/>
        </w:rPr>
        <w:fldChar w:fldCharType="separate"/>
      </w:r>
      <w:r w:rsidR="00CA69E8" w:rsidRPr="00CA69E8">
        <w:t>(6,7,9,10)</w:t>
      </w:r>
      <w:r w:rsidR="007B51E9">
        <w:rPr>
          <w:lang w:val="en-US"/>
        </w:rPr>
        <w:fldChar w:fldCharType="end"/>
      </w:r>
      <w:r w:rsidR="007B51E9">
        <w:rPr>
          <w:lang w:val="en-US"/>
        </w:rPr>
        <w:t xml:space="preserve">, in two studies in-hospital mortality was reported </w:t>
      </w:r>
      <w:r w:rsidR="007B51E9">
        <w:rPr>
          <w:lang w:val="en-US"/>
        </w:rPr>
        <w:fldChar w:fldCharType="begin"/>
      </w:r>
      <w:r w:rsidR="00CA69E8">
        <w:rPr>
          <w:lang w:val="en-US"/>
        </w:rPr>
        <w:instrText xml:space="preserve"> ADDIN ZOTERO_ITEM CSL_CITATION {"citationID":"X9u7jnbn","properties":{"formattedCitation":"(8,11)","plainCitation":"(8,11)","noteIndex":0},"citationItems":[{"id":1761,"uris":["http://zotero.org/users/9228761/items/62AUI42A"],"itemData":{"id":1761,"type":"article-journal","abstract":"Enterococci are a major cause of nosocomial bacteraemia. The impacts of vanB vancomycin resistance and antibiotic therapy on outcomes in enterococcal bacteraemia are unclear. Factors that affect length of stay (LOS) and costs of managing patients with enterococcal bacteraemia are also unknown. This study aimed to identify factors associated with mortality, LOS and hospitalization costs in patients with enterococcal bacteraemia and the impact of vancomycin resistance and antibiotic therapy on these outcomes. Data from 116 patients with vancomycin-resistant Enterococci (VRE), matched 1:1 with patients with vancomycin-susceptible Enterococcus (VSE), from two Australian hospitals were reviewed for clinical and economic outcomes. Univariable and multivariable logistic and quantile regression analyses identified factors associated with mortality, LOS and costs. Intensive care unit admission (OR, 8.57; 95% CI, 3.99-18.38), a higher burden of co-morbidities (OR, 4.55; 95% CI, 1.83-11.33) and longer time to appropriate antibiotics (OR, 1.02; 95% CI, 1.01-1.03) were significantly associated with mortality in enterococcal bacteraemia. VanB vancomycin resistance increased LOS (4.89 days; 95% CI, 0.56-11.52) and hospitalization costs (AU$ 28 872; 95% CI, 734-70 667), after adjustment for confounders. Notably, linezolid definitive therapy was associated with lower mortality (OR, 0.13; 95% CI, 0.03-0.58) in vanB VRE bacteraemia patients. In patients with VSE bacteraemia, time to appropriate antibiotics independently influenced mortality, LOS and hospitalization costs, and underlying co-morbidities were associated with mortality. The study findings highlight the importance of preventing VRE bacteraemia and the significance of time to appropriate antibiotics in the management of enterococcal bacteraemia.","container-title":"Clinical Microbiology and Infection: The Official Publication of the European Society of Clinical Microbiology and Infectious Diseases","DOI":"10.1111/1469-0691.12132","ISSN":"1469-0691","issue":"4","journalAbbreviation":"Clin Microbiol Infect","language":"eng","page":"E181-189","PMID":"23398607","source":"PubMed","title":"Enterococcal bacteraemia: factors influencing mortality, length of stay and costs of hospitalization","title-short":"Enterococcal bacteraemia","volume":"19","author":[{"family":"Cheah","given":"A. L. Y."},{"family":"Spelman","given":"T."},{"family":"Liew","given":"D."},{"family":"Peel","given":"T."},{"family":"Howden","given":"B. P."},{"family":"Spelman","given":"D."},{"family":"Grayson","given":"M. L."},{"family":"Nation","given":"R. L."},{"family":"Kong","given":"D. C. M."}],"issued":{"date-parts":[["2013",4]]}}},{"id":1771,"uris":["http://zotero.org/users/9228761/items/BQBYJKFF"],"itemData":{"id":1771,"type":"article-journal","abstract":"BACKGROUND: Infections caused by vancomycin-resistant enterococci (VRE) are on the rise worldwide. Few studies have tried to estimate the mortality burden as well as the financial burden of those infections and found that VRE are associated with increased mortality and higher hospital costs. However, it is unclear whether these worse outcomes are attributable to vancomycin resistance only or whether the enterococcal species (Enterococcus faecium or Enterococcus faecalis) play an important role. We therefore aimed to determine the burden of enterococci infections attributable to vancomycin resistance and pathogen species (E. faecium and E. faecalis) in cases of bloodstream infection (BSI).\nMETHODS: We conducted a retrospective cohort study on patients with BSI caused by Enterococcus faecium or Enterococcus faecalis between 2008 and 2015 in three tertiary care hospitals. Data was collected on true hospital costs (in €), length of stay (LOS), basic demographic parameters, and underlying diseases including the results of the Charlson comorbidity index (CCI). We used univariate and multivariable regression analyses to compare risk factors for in-hospital mortality and length of stay (i) between vancomycin-susceptible E. faecium- (VSEm) and vancomycin-susceptible E. faecalis- (VSEf) cases and (ii) between vancomycin-susceptible E. faecium- (VSEm) and vancomycin-resistant E. faecium-cases (VREm). We calculated total hospital costs for VSEm, VSEf and VREm.\nRESULTS: Overall, we identified 1160 consecutive cases of BSI caused by enterococci: 596 (51.4%) cases of E. faecium BSI and 564 (48.6%) cases of E. faecalis BSI. 103 cases of E. faecium BSI (17.3%) and 1 case of E. faecalis BSI (0.2%) were infected by vancomycin-resistant isolates. Multivariable analyses revealed (i) that in addition to different underlying diseases E. faecium was an independent risk factor for in-hospital mortality and prolonged hospital stay and (ii) that vancomycin-resistance did not further increase the risk for the described outcomes among E. faecium-isolates. However, the overall hospital costs were significantly higher in VREm-BSI cases as compared to VSEm- and VSEf-BSI cases (80,465€ vs. 51,365€ vs. 31,122€ p &lt; 0.001).\nCONCLUSION: Our data indicates that in-hospital mortality and infection-attributed hospital stay in enterococci BSI might rather be influenced by Enterococcus species and underlying diseases than by vancomycin resistance. Therefore, future studies should consider adjusting for Enterococcus species in addition to vancomycin resistance in order to provide a conservative estimate for the burden of VRE infections.","container-title":"Antimicrobial Resistance and Infection Control","DOI":"10.1186/s13756-018-0419-9","ISSN":"2047-2994","journalAbbreviation":"Antimicrob Resist Infect Control","language":"eng","page":"133","PMID":"30459945","PMCID":"PMC6234683","source":"PubMed","title":"The importance of adjusting for enterococcus species when assessing the burden of vancomycin resistance: a cohort study including over 1000 cases of enterococcal bloodstream infections","title-short":"The importance of adjusting for enterococcus species when assessing the burden of vancomycin resistance","volume":"7","author":[{"family":"Kramer","given":"Tobias Siegfried"},{"family":"Remschmidt","given":"Cornelius"},{"family":"Werner","given":"Sven"},{"family":"Behnke","given":"Michael"},{"family":"Schwab","given":"Frank"},{"family":"Werner","given":"Guido"},{"family":"Gastmeier","given":"Petra"},{"family":"Leistner","given":"Rasmus"}],"issued":{"date-parts":[["2018"]]}}}],"schema":"https://github.com/citation-style-language/schema/raw/master/csl-citation.json"} </w:instrText>
      </w:r>
      <w:r w:rsidR="007B51E9">
        <w:rPr>
          <w:lang w:val="en-US"/>
        </w:rPr>
        <w:fldChar w:fldCharType="separate"/>
      </w:r>
      <w:r w:rsidR="00CA69E8" w:rsidRPr="00CA69E8">
        <w:t>(8,11)</w:t>
      </w:r>
      <w:r w:rsidR="007B51E9">
        <w:rPr>
          <w:lang w:val="en-US"/>
        </w:rPr>
        <w:fldChar w:fldCharType="end"/>
      </w:r>
      <w:r w:rsidR="007B51E9">
        <w:rPr>
          <w:lang w:val="en-US"/>
        </w:rPr>
        <w:t xml:space="preserve">. A summary of results is reported in </w:t>
      </w:r>
      <w:r w:rsidR="00123844" w:rsidRPr="00123844">
        <w:rPr>
          <w:b/>
          <w:bCs/>
          <w:lang w:val="en-US"/>
        </w:rPr>
        <w:t xml:space="preserve">Supplementary </w:t>
      </w:r>
      <w:r w:rsidR="007B51E9" w:rsidRPr="00007F1B">
        <w:rPr>
          <w:b/>
          <w:bCs/>
          <w:lang w:val="en-US"/>
        </w:rPr>
        <w:t xml:space="preserve">Table </w:t>
      </w:r>
      <w:r w:rsidR="00007F1B" w:rsidRPr="00007F1B">
        <w:rPr>
          <w:b/>
          <w:bCs/>
          <w:lang w:val="en-US"/>
        </w:rPr>
        <w:t>2</w:t>
      </w:r>
      <w:r w:rsidR="007B51E9" w:rsidRPr="00007F1B">
        <w:rPr>
          <w:lang w:val="en-US"/>
        </w:rPr>
        <w:t xml:space="preserve">. </w:t>
      </w:r>
      <w:r w:rsidR="007B51E9">
        <w:rPr>
          <w:lang w:val="en-US"/>
        </w:rPr>
        <w:t xml:space="preserve">Patients with VRE BSI showed an increased risk for mortality (OR 1.63, 95% 1.12-2.37; </w:t>
      </w:r>
      <w:r w:rsidR="00E128B6">
        <w:rPr>
          <w:b/>
          <w:bCs/>
          <w:lang w:val="en-US"/>
        </w:rPr>
        <w:t>Supplementary Figure 5</w:t>
      </w:r>
      <w:r w:rsidR="007B51E9">
        <w:rPr>
          <w:lang w:val="en-US"/>
        </w:rPr>
        <w:t>). High degree of</w:t>
      </w:r>
      <w:r w:rsidR="007B51E9" w:rsidRPr="00DA28D1">
        <w:rPr>
          <w:lang w:val="en-US"/>
        </w:rPr>
        <w:t xml:space="preserve"> heterogeneity was observed (</w:t>
      </w:r>
      <w:r w:rsidR="007B51E9" w:rsidRPr="00DA28D1">
        <w:rPr>
          <w:i/>
          <w:iCs/>
          <w:lang w:val="en-US"/>
        </w:rPr>
        <w:t>I</w:t>
      </w:r>
      <w:r w:rsidR="007B51E9" w:rsidRPr="00DA28D1">
        <w:rPr>
          <w:vertAlign w:val="superscript"/>
          <w:lang w:val="en-US"/>
        </w:rPr>
        <w:t>2</w:t>
      </w:r>
      <w:r w:rsidR="007B51E9" w:rsidRPr="00DA28D1">
        <w:rPr>
          <w:lang w:val="en-US"/>
        </w:rPr>
        <w:t>=</w:t>
      </w:r>
      <w:r w:rsidR="007B51E9">
        <w:rPr>
          <w:lang w:val="en-US"/>
        </w:rPr>
        <w:t>66.38%, p=0.011</w:t>
      </w:r>
      <w:r w:rsidR="007B51E9" w:rsidRPr="00DA28D1">
        <w:rPr>
          <w:lang w:val="en-US"/>
        </w:rPr>
        <w:t>)</w:t>
      </w:r>
      <w:r w:rsidR="007B51E9">
        <w:rPr>
          <w:lang w:val="en-US"/>
        </w:rPr>
        <w:t xml:space="preserve">. </w:t>
      </w:r>
      <w:r w:rsidR="007B51E9" w:rsidRPr="00DA28D1">
        <w:rPr>
          <w:lang w:val="en-US"/>
        </w:rPr>
        <w:t>The funnel plot and Egger’s test (p=0.</w:t>
      </w:r>
      <w:r w:rsidR="007B51E9">
        <w:rPr>
          <w:lang w:val="en-US"/>
        </w:rPr>
        <w:t xml:space="preserve">12) did not show </w:t>
      </w:r>
      <w:r w:rsidR="007B51E9" w:rsidRPr="00DA28D1">
        <w:rPr>
          <w:lang w:val="en-US"/>
        </w:rPr>
        <w:t>evidence of publication bias.</w:t>
      </w:r>
    </w:p>
    <w:p w14:paraId="2A4CA106" w14:textId="3B50704F" w:rsidR="009B3E92" w:rsidRDefault="009B3E92" w:rsidP="00DA35FB">
      <w:pPr>
        <w:spacing w:line="480" w:lineRule="auto"/>
        <w:jc w:val="both"/>
        <w:rPr>
          <w:lang w:val="en-US"/>
        </w:rPr>
      </w:pPr>
    </w:p>
    <w:p w14:paraId="70127394" w14:textId="5325DBFC" w:rsidR="00B430C6" w:rsidRPr="00B01054" w:rsidRDefault="00B430C6" w:rsidP="00DA35FB">
      <w:pPr>
        <w:spacing w:line="480" w:lineRule="auto"/>
        <w:jc w:val="both"/>
        <w:rPr>
          <w:lang w:val="en-US"/>
        </w:rPr>
      </w:pPr>
      <w:r w:rsidRPr="00B01054">
        <w:rPr>
          <w:lang w:val="en-US"/>
        </w:rPr>
        <w:t>PICO 3</w:t>
      </w:r>
    </w:p>
    <w:p w14:paraId="4B256678" w14:textId="5F2BE083" w:rsidR="002C77DA" w:rsidRDefault="00B01054" w:rsidP="00DA35FB">
      <w:pPr>
        <w:spacing w:line="480" w:lineRule="auto"/>
        <w:jc w:val="both"/>
        <w:rPr>
          <w:lang w:val="en-US"/>
        </w:rPr>
      </w:pPr>
      <w:r>
        <w:rPr>
          <w:lang w:val="en-US"/>
        </w:rPr>
        <w:t xml:space="preserve">Unfortunately, none of the retrieved studies addressed this specific topic. Only indirect data from studies with different objectives were available. </w:t>
      </w:r>
    </w:p>
    <w:p w14:paraId="1ED8EA4A" w14:textId="7CAA0EAE" w:rsidR="00B430C6" w:rsidRPr="00BF144B" w:rsidRDefault="00B430C6" w:rsidP="00DA35FB">
      <w:pPr>
        <w:spacing w:line="480" w:lineRule="auto"/>
        <w:jc w:val="both"/>
        <w:rPr>
          <w:lang w:val="en-US"/>
        </w:rPr>
      </w:pPr>
      <w:r w:rsidRPr="00BF144B">
        <w:rPr>
          <w:lang w:val="en-US"/>
        </w:rPr>
        <w:t>PICO 4</w:t>
      </w:r>
    </w:p>
    <w:p w14:paraId="21F4CFDE" w14:textId="72D243FB" w:rsidR="00E156FC" w:rsidRPr="007E424D" w:rsidRDefault="00975732" w:rsidP="00E156FC">
      <w:pPr>
        <w:spacing w:line="480" w:lineRule="auto"/>
        <w:jc w:val="both"/>
        <w:rPr>
          <w:lang w:val="en-US"/>
        </w:rPr>
      </w:pPr>
      <w:r w:rsidRPr="00BF144B">
        <w:rPr>
          <w:lang w:val="en-US"/>
        </w:rPr>
        <w:t xml:space="preserve">Features of the </w:t>
      </w:r>
      <w:r w:rsidR="0076363A">
        <w:rPr>
          <w:lang w:val="en-US"/>
        </w:rPr>
        <w:t>eight</w:t>
      </w:r>
      <w:r w:rsidR="000F2A56">
        <w:rPr>
          <w:lang w:val="en-US"/>
        </w:rPr>
        <w:t xml:space="preserve"> </w:t>
      </w:r>
      <w:r w:rsidRPr="00BF144B">
        <w:rPr>
          <w:lang w:val="en-US"/>
        </w:rPr>
        <w:t xml:space="preserve">included studies are reported in </w:t>
      </w:r>
      <w:r w:rsidR="00123844" w:rsidRPr="00123844">
        <w:rPr>
          <w:b/>
          <w:bCs/>
          <w:lang w:val="en-US"/>
        </w:rPr>
        <w:t xml:space="preserve">Supplementary </w:t>
      </w:r>
      <w:r w:rsidRPr="00BF144B">
        <w:rPr>
          <w:b/>
          <w:bCs/>
          <w:lang w:val="en-US"/>
        </w:rPr>
        <w:t xml:space="preserve">Table </w:t>
      </w:r>
      <w:r w:rsidR="000B60DB">
        <w:rPr>
          <w:b/>
          <w:bCs/>
          <w:lang w:val="en-US"/>
        </w:rPr>
        <w:t>3</w:t>
      </w:r>
      <w:r w:rsidR="004E1098">
        <w:rPr>
          <w:b/>
          <w:bCs/>
          <w:lang w:val="en-US"/>
        </w:rPr>
        <w:t xml:space="preserve"> </w:t>
      </w:r>
      <w:r w:rsidR="00A906B2">
        <w:rPr>
          <w:b/>
          <w:bCs/>
          <w:lang w:val="en-US"/>
        </w:rPr>
        <w:fldChar w:fldCharType="begin"/>
      </w:r>
      <w:r w:rsidR="00CA69E8">
        <w:rPr>
          <w:b/>
          <w:bCs/>
          <w:lang w:val="en-US"/>
        </w:rPr>
        <w:instrText xml:space="preserve"> ADDIN ZOTERO_ITEM CSL_CITATION {"citationID":"0VsvJAop","properties":{"formattedCitation":"(12\\uc0\\u8211{}19)","plainCitation":"(12–19)","noteIndex":0},"citationItems":[{"id":1813,"uris":["http://zotero.org/users/9228761/items/L544KJ26"],"itemData":{"id":1813,"type":"article-journal","abstract":"Vancomycin-resistant enterococci (VRE) are a growing health problem, and uncertainties exist regarding the optimal therapy for bloodstream infection due to VRE. We conducted systematic comparative evaluations of the impact of different antimicrobial therapies on the outcomes of patients with bloodstream infections due to VRE. A retrospective study from January 2008 to October 2010 was conducted at Detroit Medical Center. Unique patients with blood cultures due to VRE were included and reviewed. Three major therapeutic classes were analyzed: daptomycin, linezolid, and β-lactams. Three multivariate models were conducted for each outcome, matching for a propensity score predicting the likelihood of receipt of one of the therapeutic classes. A total of 225 cases of bacteremia due to VRE were included, including 86 (38.2%) cases of VR Enterococcus faecalis and 139 (61.8%) of VR Enterococcus faecium. Bacteremia due to VR E. faecalis was more frequent among subjects treated with β-lactams than among those treated with daptomycin or linezolid. The median dose of daptomycin was 6 mg/kg of body weight (range, 6 to 12 mg/kg). After controlling for propensity score and bacteremia due to VR E. faecalis, differences in mortality were nonsignificant among the treatment groups. Therapy with daptomycin was associated with higher median variable direct cost per day than that for linezolid. This large study revealed the three therapeutic classes (daptomycin, linezolid, and β-lactams) are similarly efficacious in the treatment of bacteremia due to susceptible strains of VRE.","container-title":"Antimicrobial Agents and Chemotherapy","DOI":"10.1128/AAC.02943-14","ISSN":"1098-6596","issue":"7","journalAbbreviation":"Antimicrob Agents Chemother","language":"eng","page":"3968-3975","PMID":"24798267","PMCID":"PMC4068570","source":"PubMed","title":"Impact of different antimicrobial therapies on clinical and fiscal outcomes of patients with bacteremia due to vancomycin-resistant enterococci","volume":"58","author":[{"family":"Hayakawa","given":"Kayoko"},{"family":"Martin","given":"Emily T."},{"family":"Gudur","given":"Uma Mahesh"},{"family":"Marchaim","given":"Dror"},{"family":"Dalle","given":"Dalia"},{"family":"Alshabani","given":"Khaled"},{"family":"Muppavarapu","given":"Kalyan Srinivas"},{"family":"Jaydev","given":"Fnu"},{"family":"Bathina","given":"Pradeep"},{"family":"Sundaragiri","given":"Pranathi Rao"},{"family":"Rajuri","given":"Shashi Dhar"},{"family":"Khatri","given":"Jaikumar"},{"family":"Pogue","given":"Jason M."},{"family":"Lephart","given":"Paul R."},{"family":"Rybak","given":"Michael J."},{"family":"Kaye","given":"Keith S."}],"issued":{"date-parts":[["2014",7]]}}},{"id":768,"uris":["http://zotero.org/users/9228761/items/28HJ75I6"],"itemData":{"id":768,"type":"article-journal","abstract":"BACKGROUND: Vancomycin-resistant Enterococcus bloodstream infections (VRE-BSIs) are becoming increasingly common. Linezolid and daptomycin are the primary treatment options for VRE-BSI, but optimal treatment is unclear.\nMETHODS: This was a national retrospective cohort study comparing linezolid and daptomycin for the treatment of VRE-BSI among Veterans Affairs Medical Center patients admitted during 2004-2013. The primary outcome was treatment failure, defined as a composite of (1) 30-day all-cause mortality; (2) microbiologic failure; and (3) 60-day VRE-BSI recurrence. Poisson regression was conducted to determine if antimicrobial treatment was independently associated with clinical outcomes.\nRESULTS: A total of 644 patients were included (linezolid, n = 319; daptomycin, n = 325). Overall, treatment failure was 60.9% (n = 392/644), and 30-day all-cause mortality was 38.2% (n = 246/644). Linezolid was associated with a significantly higher risk of treatment failure compared with daptomycin (risk ratio [RR], 1.37; 95% confidence interval [CI], 1.13-1.67; P = .001). After adjusting for confounding factors in Poisson regression, the relationship between linezolid use and treatment failure persisted (adjusted RR, 1.15; 95% CI, 1.02-1.30; P = .026). Linezolid was also associated with higher 30-day mortality (42.9% vs 33.5%; RR, 1.17; 95% CI, 1.04-1.32; P = .014) and microbiologic failure rates (RR, 1.10; 95% CI, 1.02-1.18; P = .011). No difference in 60-day VRE-BSI recurrence was observed between treatment groups.\nCONCLUSIONS: Treatment with linezolid for VRE-BSI resulted in significantly higher treatment failure in comparison to daptomycin. Linezolid treatment was also associated with greater 30-day all-cause mortality and microbiologic failure in this cohort.","container-title":"Clinical Infectious Diseases: An Official Publication of the Infectious Diseases Society of America","DOI":"10.1093/cid/civ444","ISSN":"1537-6591","issue":"6","journalAbbreviation":"Clin Infect Dis","language":"eng","page":"871-878","PMID":"26063715","PMCID":"PMC4551009","source":"PubMed","title":"Comparison of the Effectiveness and Safety of Linezolid and Daptomycin in Vancomycin-Resistant Enterococcal Bloodstream Infection: A National Cohort Study of Veterans Affairs Patients","title-short":"Comparison of the Effectiveness and Safety of Linezolid and Daptomycin in Vancomycin-Resistant Enterococcal Bloodstream Infection","volume":"61","author":[{"family":"Britt","given":"Nicholas S."},{"family":"Potter","given":"Emily M."},{"family":"Patel","given":"Nimish"},{"family":"Steed","given":"Molly E."}],"issued":{"date-parts":[["2015",9,15]]}}},{"id":763,"uris":["http://zotero.org/users/9228761/items/RS8JTBAQ"],"itemData":{"id":763,"type":"article-journal","abstract":"Treatment options for vancomycin-resistant enterococci (VRE) bloodstream infection are limited. Studies comparing daptomycin or linezolid in treating VRE bloodstream infection have conflicting results and suggest daptomycin underdosing. The responses to different daptomycin doses have not been studied. We conducted a multicentre prospective cohort study to compare linezolid and daptomycin (≥6 mg/kg) for the treatment of VRE bloodstream infection. The primary outcome was 14-day mortality. We used multivariate logistic regression analysis for outcome analysis and a generalized additive model for dose-dependent response estimation. Two hundred twelve patients were included (daptomycin, n = 141; linezolid, n = 71). All-cause 14-day mortality was higher in the daptomycin group (36.9% vs. 21.1%; p 0.03). After adjusting for confounders in logistic regression, mortality was lower in the linezolid group (adjusted odds ratio (aOR), 0.45; 95% confidence interval (CI), 0.21-0.96; p 0.04). The generalized additive model showed that higher-dose daptomycin (≥9 mg/kg) was associated with better survival than lower-dose daptomycin (6-9 mg/kg). Logistic regression showed that linezolid (aOR, 0.36; 95% CI, 0.17-0.79; p 0.01) and higher-dose daptomycin (aOR, 0.26; 95% CI, 0.09-0.74; p 0.01) independently predicted lower mortality compared to lower-dose daptomycin. Linezolid was not superior to higher-dose daptomycin in terms of mortality (aOR, 1.40; 95% CI, 0.45-4.37; p 0.57). Higher-dose daptomycin had lower mortality than lower-dose daptomycin. Despite higher mortality for lower-dose daptomycin than linezolid, linezolid conferred no survival benefit compared to higher-dose daptomycin. Our findings suggest that the recommended daptomycin dose is suboptimal for treating VRE bacteraemia.","container-title":"Clinical Microbiology and Infection: The Official Publication of the European Society of Clinical Microbiology and Infectious Diseases","DOI":"10.1016/j.cmi.2016.07.018","ISSN":"1469-0691","issue":"10","journalAbbreviation":"Clin Microbiol Infect","language":"eng","page":"890.e1-890.e7","PMID":"27475738","source":"PubMed","title":"Daptomycin versus linezolid for the treatment of vancomycin-resistant enterococcal bacteraemia: implications of daptomycin dose","title-short":"Daptomycin versus linezolid for the treatment of vancomycin-resistant enterococcal bacteraemia","volume":"22","author":[{"family":"Chuang","given":"Y.-C."},{"family":"Lin","given":"H.-Y."},{"family":"Chen","given":"P.-Y."},{"family":"Lin","given":"C.-Y."},{"family":"Wang","given":"J.-T."},{"family":"Chang","given":"S.-C."}],"issued":{"date-parts":[["2016",10]]}},"label":"page"},{"id":1821,"uris":["http://zotero.org/users/9228761/items/8BP85JGV"],"itemData":{"id":1821,"type":"article-journal","abstract":"Vancomycin-resistant Enterococcus faecium bloodstream infections (VREF-BSI) cause significant mortality, highlighting the need to optimize their treatment. We compared the effectiveness and safety of daptomycin (DAP) and linezolid (LZD) as continuous or sequential therapy for VREF-BSI in a national, retrospective, propensity score (PS)-matched cohort study of hospitalized Veterans Affairs patients (2004 to 2014). We compared clinical outcomes and adverse events among patients treated with continuous LZD, continuous DAP, or sequential LZD followed by DAP (LZD-to-DAP). Secondarily, we analyzed the impact of infectious diseases (ID) consultation and source of VREF-BSI. A total of 2,630 patients were included in the effectiveness analysis (LZD [n = 1,348], DAP [n = 1,055], LZD-to-DAP [n = 227]). LZD was associated with increased 30-day mortality versus DAP (risk ratio [RR], 1.11; 95% confidence interval [CI], 1.01 to 1.22; P = 0.042). After PS matching, this relationship persisted (RR, 1.13; 95% CI, 1.02 to 1.26; P = 0.015). LZD-to-DAP switchers had lower mortality than those remaining on LZD (RR, 1.29; 95% CI, 1.03 to 1.63; P = 0.021), suggesting a benefit may still be derived with sequential therapy. LZD-treated patients experienced more adverse events, including a ≥50% reduction in platelets (RR, 1.07; 95% CI, 1.03 to 1.11; P = 0.001). DAP was associated with lower mortality than was LZD in patients with endocarditis (RR, 1.20; 95% CI, 1.02 to 1.41; P = 0.024); however, there was no statistically significant association between treatment group and mortality with regard to other sources of infection. Therefore, source of infection appears to be important in selection of patients most likely to benefit from DAP over LZD.","container-title":"Antimicrobial Agents and Chemotherapy","DOI":"10.1128/AAC.02216-16","ISSN":"1098-6596","issue":"5","journalAbbreviation":"Antimicrob Agents Chemother","language":"eng","page":"e02216-16","PMID":"28264856","PMCID":"PMC5404546","source":"PubMed","title":"Effect of Continuous and Sequential Therapy among Veterans Receiving Daptomycin or Linezolid for Vancomycin-Resistant Enterococcus faecium Bacteremia","volume":"61","author":[{"family":"Britt","given":"Nicholas S."},{"family":"Potter","given":"Emily M."},{"family":"Patel","given":"Nimish"},{"family":"Steed","given":"Molly E."}],"issued":{"date-parts":[["2017",5]]}}},{"id":1824,"uris":["http://zotero.org/users/9228761/items/LT4HJRMM"],"itemData":{"id":1824,"type":"article-journal","abstract":"Background \n          Although linezolid and daptomycin are frequently used for the management of vancomycin-resistant Enterococcus (VRE) bloodstream infection, optimal treatment is undefined.\n          Methods \n          We conducted a retrospective cohort study from January 2010 to December 2013 of patients with VRE faecium (VREF) bloodstream infection in the absence of endocarditis treated with daptomycin or linezolid at a single 802-bed teaching hospital in Detroit, Mich. Ninety-day all-cause mortality, length of stay, bacteremia duration, antibiotic duration, and recurrence at 30 days were evaluated. Multivariable analysis was performed to determine the effect of treatment selection on mortality.\n          Results \n          One hundred eighteen patients were included. Seventy-four patients received daptomycin and 44 linezolid. There was no significant difference in baseline characteristics between the 2 groups with the exception of nursing home residence (P = 0.007), intensive care unit admission (P = 0.049), receipt of chemotherapy (P = 0.013), and neutropenia (P = 0.007). Ninety-day all-cause mortality was 46% and 27% (odds ratio = 2.27; 95% confidence interval, 1.1–5.07; P = 0.044) and mean bacteremia duration was 3.6 and 2.6 days (odds ratio = 2.52; 95% confidence interval, 1.17–5.42; P = 0.037) for daptomycin and linezolid, respectively. There was no significant difference in mean length of stay, mean antibiotic duration, and recurrence between the 2 groups. Moreover, there were no significant differences in mortality between the 2 groups after controlling for variables such as chemotherapy, neutropenia, and renal replacement therapy that were associated with increased mortality.\n          Conclusions \n          Our study showed that there was no significant difference in mortality between linezolid and daptomycin for therapy of VRE bacteremia in the absence of endocarditis after controlling for other variables that were associated with increased mortality.","container-title":"Infectious Diseases in Clinical Practice","DOI":"10.1097/IPC.0000000000000482","ISSN":"1536-9943","issue":"3","language":"en-US","page":"151","source":"journals.lww.com","title":"Comparison of Daptomycin and Linezolid in the Treatment of Vancomycin-Resistant Enterococcus faecium in the Absence of Endocarditis","volume":"25","author":[{"family":"Suleyman","given":"Geehan"},{"family":"Mahan","given":"Meredith"},{"family":"Zervos","given":"Marcus J."}],"issued":{"date-parts":[["2017",5]]}}},{"id":1826,"uris":["http://zotero.org/users/9228761/items/PWYYB5WD"],"itemData":{"id":1826,"type":"article-journal","abstract":"OBJECTIVES: Vancomycin-resistant enterococci are important pathogens for healthcare-associated infections. Although linezolid is bacteriostatic and daptomycin is rapidly bactericidal against vancomycin-resistant enterococci in vitro, it is not clear whether they differ in their effect on bacterial clearance in patients with vancomycin-resistant enterococci bloodstream infections.\nDESIGN: Prospective observational study.\nSETTING: Two university hospitals and research laboratory.\nPATIENTS: Patients with vancomycin-resistant enterococci bloodstream infection proven by blood cultures were prospectively enrolled from January 2010 to July 2015.\nINTERVENTIONS: Sequential blood samples were collected. Real-time quantitative polymerase chain reaction was used to monitor bacterial loads.\nMEASUREMENTS AND MAIN RESULTS: One hundred eight patients with vancomycin-resistant enterococci bloodstream infection were enrolled. Quantitative polymerase chain reaction assays were performed on 465 blood isolates. We found this method to be closely correlated with colony-forming units and more sensitive than culture. Sixty-three patients (58.3%) received \"conventional dose\" daptomycin (6-9 mg/kg), 15 (13.9%) received high-dose daptomycin (≥ 9 mg/kg), and 30 (27.8%) were treated with linezolid (600 mg every 12 hr) as sole agents. The initial mean bacterial load was 1.03 log10 copies/mL and unrelated to survival. Survivors had a more rapid early bacterial clearance than nonsurvivors (Δ log10 copies/mL/d; -0.16 vs 0.31; p = 0.02). Multivariable logistic regression showed that a slower early bacterial clearance independently predicted increased mortality (odds ratio, 3.21; 95% CI, 1.03-10.02; p = 0.045). Conventional dose daptomycin was associated with a significantly slower rate of bacterial clearance than high-dose daptomycin (Δ log10 copies/mL/d; -0.04 vs -0.41; p &lt; 0.001) and linezolid (-0.04 vs -0.56; p = 0.043).\nCONCLUSIONS: We found that survivors of vancomycin-resistant enterococci bloodstream infection had a significantly more rapid early bacterial clearance by quantitative polymerase chain reaction than nonsurvivors. High-dose daptomycin and linezolid were associated with more rapid bacterial clearance than conventional dose daptomycin. These results support recommendations that conventional dose daptomycin not be used for the treatment of patients with vancomycin-resistant enterococci bloodstream infection.","container-title":"Critical Care Medicine","DOI":"10.1097/CCM.0000000000003264","ISSN":"1530-0293","issue":"10","journalAbbreviation":"Crit Care Med","language":"eng","page":"1634-1642","PMID":"29957707","source":"PubMed","title":"Survival of Patients With Vancomycin-Resistant Enterococcus faecium Bacteremia Treated With Conventional or High Doses of Daptomycin or Linezolid Is Associated With the Rate of Bacterial Clearance","volume":"46","author":[{"family":"Chuang","given":"Yu-Chung"},{"family":"Lin","given":"Hsin-Yi"},{"family":"Chen","given":"Pao-Yu"},{"family":"Lin","given":"Chi-Ying"},{"family":"Chen","given":"Yee-Chun"},{"family":"Wang","given":"Jann-Tay"},{"family":"Chang","given":"Shan-Chwen"}],"issued":{"date-parts":[["2018",10]]}},"label":"page"},{"id":1828,"uris":["http://zotero.org/users/9228761/items/HIUL2YGS"],"itemData":{"id":1828,"type":"article-journal","abstract":"BACKGROUND: Vancomycin-resistant Enterococcus faecium (VRE-fm) bacteremia causes significant mortality in hospitalized patients. We sought to investigate clinical characteristics, treatment outcomes, and microbiological eradication associated with VRE-fm bacteremia.\nMETHODS: A retrospective cohort study was conducted and included 210 adult patients admitted between January 1, 2011 and December 31, 2015.\nRESULTS: The mean Pitt bacteremia score was 4.7. ICU stay (48.6%) and mechanical ventilation (46.2%) were common. Diabetes mellitus was the most common concomitant disease (43.3%), followed by malignancies, including hematologic malignancies (14.3%) and solid cancers (28.1%). The 14-day and 28-day mortality rates were 37.1% and 50.5%, respectively. Linezolid or daptomycin treatment for at least 10 days and higher Pitt bacteremia scores were independently associated with 14-day and 28-day mortality. Longer treatment duration of linezolid or daptomycin predicted microbiological eradication independently. Daptomycin-treated patients tended to have higher 14-day and 28-day mortality, and lower microbial eradication rates (20.8% versus 8.7%; 40.6% versus 26.1%; 14.1% versus 26.1%; respectively) than linezolid-treated patients, and cumulative survival rates at 14 and 28 days tended to be lower in patients who received low-dose daptomycin (&lt;10 mg/kg/day) than that in those who received linezolid and high-dose daptomycin (≥10 mg/kg/day); however, the differences were not statistically significant.\nCONCLUSION: Higher disease severity and inappropriate treatment were associated with increased mortality and longer treatment duration of linezolid or daptomycin was associated with microbial eradication for the patient with VRE-fm bacteremia.","container-title":"Journal of Microbiology, Immunology, and Infection = Wei Mian Yu Gan Ran Za Zhi","DOI":"10.1016/j.jmii.2017.08.025","ISSN":"1995-9133","issue":"6","journalAbbreviation":"J Microbiol Immunol Infect","language":"eng","page":"705-716","PMID":"29046248","source":"PubMed","title":"Clinical characteristics and treatment outcomes of vancomycin-resistant Enterococcus faecium bacteremia","volume":"51","author":[{"family":"Ye","given":"Jung-Jr"},{"family":"Shie","given":"Shian-Sen"},{"family":"Cheng","given":"Chun-Wen"},{"family":"Yang","given":"Jeng-How"},{"family":"Huang","given":"Po-Yen"},{"family":"Wu","given":"Ting-Shu"},{"family":"Lee","given":"Ming-Hsun"},{"family":"Huang","given":"Ching-Tai"}],"issued":{"date-parts":[["2018",12]]}}},{"id":1855,"uris":["http://zotero.org/users/9228761/items/PU6KVZP9"],"itemData":{"id":1855,"type":"article-journal","abstract":"Vancomycin-resistant enterococcal bacteremia (VRE-B) is a common nosocomial infection associated with significant morbidity and mortality. Daptomycin and linezolid are primary treatment options although definitive clinical data to assess comparative therapeutic effectiveness are lacking. This study assessed the outcomes of patients with VRE-B treated with linezolid or daptomycin. This was a single-center, retrospective cohort study evaluating adult patients with VRE-B treated with either daptomycin or linezolid admitted between January 2012 and August 2016 at a tertiary care, academic medical center. The primary outcome was clinical failure, a composite outcome defined as 14-day in-hospital mortality, microbiologic failure, or relapse of VRE-B. Secondary outcomes included 14-day in-hospital mortality, microbiologic failure, relapse of VRE-B, duration of VRE-B, and antibiotic failure. A multivariate logistic regression model was performed to adjust for potential confounding variables. A total of 93 patients were included (n = 62 for linezolid and n = 31 for daptomycin). All blood isolates were Enterococcus faecium. Overall clinical failure was 55.9% and 14-day in-hospital mortality was 21.5%. There was a significantly higher rate of clinical failure in the daptomycin group as compared with the linezolid-treated patients (74.2% versus 46.8%; p = 0.01; respectively). In multivariate logistic regression analysis, there was a significantly higher odds of clinical failure for patients treated with daptomycin as compared with linezolid (adjusted odds ratio 2.89; 95% confidence interval 1.08-7.75) after adjusting for confounders. Secondary outcomes were not statistically significantly different between study groups. Standard-dose (6 mg/kg) daptomycin treatment was associated with a higher rate of clinical failure as compared with linezolid treatment.","container-title":"Therapeutic Advances in Infectious Disease","DOI":"10.1177/2049936119828964","ISSN":"2049-9361","journalAbbreviation":"Ther Adv Infect Dis","language":"eng","page":"2049936119828964","PMID":"30792858","PMCID":"PMC6376491","source":"PubMed","title":"Comparison of linezolid and daptomycin for the treatment of vancomycin-resistant enterococcal bacteremia","volume":"6","author":[{"family":"Narayanan","given":"Navaneeth"},{"family":"Rai","given":"Rena"},{"family":"Vaidya","given":"Parth"},{"family":"Desai","given":"Avani"},{"family":"Bhowmick","given":"Tanaya"},{"family":"Weinstein","given":"Melvin P."}],"issued":{"date-parts":[["2019"]]}}}],"schema":"https://github.com/citation-style-language/schema/raw/master/csl-citation.json"} </w:instrText>
      </w:r>
      <w:r w:rsidR="00A906B2">
        <w:rPr>
          <w:b/>
          <w:bCs/>
          <w:lang w:val="en-US"/>
        </w:rPr>
        <w:fldChar w:fldCharType="separate"/>
      </w:r>
      <w:r w:rsidR="00CA69E8" w:rsidRPr="00CA69E8">
        <w:t>(12–19)</w:t>
      </w:r>
      <w:r w:rsidR="00A906B2">
        <w:rPr>
          <w:b/>
          <w:bCs/>
          <w:lang w:val="en-US"/>
        </w:rPr>
        <w:fldChar w:fldCharType="end"/>
      </w:r>
      <w:r w:rsidR="0076363A">
        <w:rPr>
          <w:lang w:val="en-US"/>
        </w:rPr>
        <w:t xml:space="preserve">. </w:t>
      </w:r>
      <w:r w:rsidR="00E156FC" w:rsidRPr="00BF144B">
        <w:rPr>
          <w:lang w:val="en-US"/>
        </w:rPr>
        <w:t xml:space="preserve">A total of six studies (N=2,993 patients) provided data for assessing mortality rate in patients with VRE BSI treated with daptomycin vs. linezolid. Two studies each evaluated mortality rate at 14- </w:t>
      </w:r>
      <w:r w:rsidR="00E156FC" w:rsidRPr="003327EB">
        <w:rPr>
          <w:lang w:val="en-US"/>
        </w:rPr>
        <w:fldChar w:fldCharType="begin"/>
      </w:r>
      <w:r w:rsidR="00CA69E8">
        <w:rPr>
          <w:lang w:val="en-US"/>
        </w:rPr>
        <w:instrText xml:space="preserve"> ADDIN ZOTERO_ITEM CSL_CITATION {"citationID":"tdH1vD92","properties":{"formattedCitation":"(14,18)","plainCitation":"(14,18)","noteIndex":0},"citationItems":[{"id":763,"uris":["http://zotero.org/users/9228761/items/RS8JTBAQ"],"itemData":{"id":763,"type":"article-journal","abstract":"Treatment options for vancomycin-resistant enterococci (VRE) bloodstream infection are limited. Studies comparing daptomycin or linezolid in treating VRE bloodstream infection have conflicting results and suggest daptomycin underdosing. The responses to different daptomycin doses have not been studied. We conducted a multicentre prospective cohort study to compare linezolid and daptomycin (≥6 mg/kg) for the treatment of VRE bloodstream infection. The primary outcome was 14-day mortality. We used multivariate logistic regression analysis for outcome analysis and a generalized additive model for dose-dependent response estimation. Two hundred twelve patients were included (daptomycin, n = 141; linezolid, n = 71). All-cause 14-day mortality was higher in the daptomycin group (36.9% vs. 21.1%; p 0.03). After adjusting for confounders in logistic regression, mortality was lower in the linezolid group (adjusted odds ratio (aOR), 0.45; 95% confidence interval (CI), 0.21-0.96; p 0.04). The generalized additive model showed that higher-dose daptomycin (≥9 mg/kg) was associated with better survival than lower-dose daptomycin (6-9 mg/kg). Logistic regression showed that linezolid (aOR, 0.36; 95% CI, 0.17-0.79; p 0.01) and higher-dose daptomycin (aOR, 0.26; 95% CI, 0.09-0.74; p 0.01) independently predicted lower mortality compared to lower-dose daptomycin. Linezolid was not superior to higher-dose daptomycin in terms of mortality (aOR, 1.40; 95% CI, 0.45-4.37; p 0.57). Higher-dose daptomycin had lower mortality than lower-dose daptomycin. Despite higher mortality for lower-dose daptomycin than linezolid, linezolid conferred no survival benefit compared to higher-dose daptomycin. Our findings suggest that the recommended daptomycin dose is suboptimal for treating VRE bacteraemia.","container-title":"Clinical Microbiology and Infection: The Official Publication of the European Society of Clinical Microbiology and Infectious Diseases","DOI":"10.1016/j.cmi.2016.07.018","ISSN":"1469-0691","issue":"10","journalAbbreviation":"Clin Microbiol Infect","language":"eng","page":"890.e1-890.e7","PMID":"27475738","source":"PubMed","title":"Daptomycin versus linezolid for the treatment of vancomycin-resistant enterococcal bacteraemia: implications of daptomycin dose","title-short":"Daptomycin versus linezolid for the treatment of vancomycin-resistant enterococcal bacteraemia","volume":"22","author":[{"family":"Chuang","given":"Y.-C."},{"family":"Lin","given":"H.-Y."},{"family":"Chen","given":"P.-Y."},{"family":"Lin","given":"C.-Y."},{"family":"Wang","given":"J.-T."},{"family":"Chang","given":"S.-C."}],"issued":{"date-parts":[["2016",10]]}}},{"id":1828,"uris":["http://zotero.org/users/9228761/items/HIUL2YGS"],"itemData":{"id":1828,"type":"article-journal","abstract":"BACKGROUND: Vancomycin-resistant Enterococcus faecium (VRE-fm) bacteremia causes significant mortality in hospitalized patients. We sought to investigate clinical characteristics, treatment outcomes, and microbiological eradication associated with VRE-fm bacteremia.\nMETHODS: A retrospective cohort study was conducted and included 210 adult patients admitted between January 1, 2011 and December 31, 2015.\nRESULTS: The mean Pitt bacteremia score was 4.7. ICU stay (48.6%) and mechanical ventilation (46.2%) were common. Diabetes mellitus was the most common concomitant disease (43.3%), followed by malignancies, including hematologic malignancies (14.3%) and solid cancers (28.1%). The 14-day and 28-day mortality rates were 37.1% and 50.5%, respectively. Linezolid or daptomycin treatment for at least 10 days and higher Pitt bacteremia scores were independently associated with 14-day and 28-day mortality. Longer treatment duration of linezolid or daptomycin predicted microbiological eradication independently. Daptomycin-treated patients tended to have higher 14-day and 28-day mortality, and lower microbial eradication rates (20.8% versus 8.7%; 40.6% versus 26.1%; 14.1% versus 26.1%; respectively) than linezolid-treated patients, and cumulative survival rates at 14 and 28 days tended to be lower in patients who received low-dose daptomycin (&lt;10 mg/kg/day) than that in those who received linezolid and high-dose daptomycin (≥10 mg/kg/day); however, the differences were not statistically significant.\nCONCLUSION: Higher disease severity and inappropriate treatment were associated with increased mortality and longer treatment duration of linezolid or daptomycin was associated with microbial eradication for the patient with VRE-fm bacteremia.","container-title":"Journal of Microbiology, Immunology, and Infection = Wei Mian Yu Gan Ran Za Zhi","DOI":"10.1016/j.jmii.2017.08.025","ISSN":"1995-9133","issue":"6","journalAbbreviation":"J Microbiol Immunol Infect","language":"eng","page":"705-716","PMID":"29046248","source":"PubMed","title":"Clinical characteristics and treatment outcomes of vancomycin-resistant Enterococcus faecium bacteremia","volume":"51","author":[{"family":"Ye","given":"Jung-Jr"},{"family":"Shie","given":"Shian-Sen"},{"family":"Cheng","given":"Chun-Wen"},{"family":"Yang","given":"Jeng-How"},{"family":"Huang","given":"Po-Yen"},{"family":"Wu","given":"Ting-Shu"},{"family":"Lee","given":"Ming-Hsun"},{"family":"Huang","given":"Ching-Tai"}],"issued":{"date-parts":[["2018",12]]}}}],"schema":"https://github.com/citation-style-language/schema/raw/master/csl-citation.json"} </w:instrText>
      </w:r>
      <w:r w:rsidR="00E156FC" w:rsidRPr="003327EB">
        <w:rPr>
          <w:lang w:val="en-US"/>
        </w:rPr>
        <w:fldChar w:fldCharType="separate"/>
      </w:r>
      <w:r w:rsidR="00CA69E8" w:rsidRPr="00CA69E8">
        <w:t>(14,18)</w:t>
      </w:r>
      <w:r w:rsidR="00E156FC" w:rsidRPr="003327EB">
        <w:rPr>
          <w:lang w:val="en-US"/>
        </w:rPr>
        <w:fldChar w:fldCharType="end"/>
      </w:r>
      <w:r w:rsidR="00E156FC" w:rsidRPr="003327EB">
        <w:rPr>
          <w:lang w:val="en-US"/>
        </w:rPr>
        <w:t xml:space="preserve"> and 30-day  </w:t>
      </w:r>
      <w:r w:rsidR="00E156FC" w:rsidRPr="003327EB">
        <w:rPr>
          <w:lang w:val="en-US"/>
        </w:rPr>
        <w:fldChar w:fldCharType="begin"/>
      </w:r>
      <w:r w:rsidR="00CA69E8">
        <w:rPr>
          <w:lang w:val="en-US"/>
        </w:rPr>
        <w:instrText xml:space="preserve"> ADDIN ZOTERO_ITEM CSL_CITATION {"citationID":"nznrbrDb","properties":{"formattedCitation":"(13,15)","plainCitation":"(13,15)","noteIndex":0},"citationItems":[{"id":768,"uris":["http://zotero.org/users/9228761/items/28HJ75I6"],"itemData":{"id":768,"type":"article-journal","abstract":"BACKGROUND: Vancomycin-resistant Enterococcus bloodstream infections (VRE-BSIs) are becoming increasingly common. Linezolid and daptomycin are the primary treatment options for VRE-BSI, but optimal treatment is unclear.\nMETHODS: This was a national retrospective cohort study comparing linezolid and daptomycin for the treatment of VRE-BSI among Veterans Affairs Medical Center patients admitted during 2004-2013. The primary outcome was treatment failure, defined as a composite of (1) 30-day all-cause mortality; (2) microbiologic failure; and (3) 60-day VRE-BSI recurrence. Poisson regression was conducted to determine if antimicrobial treatment was independently associated with clinical outcomes.\nRESULTS: A total of 644 patients were included (linezolid, n = 319; daptomycin, n = 325). Overall, treatment failure was 60.9% (n = 392/644), and 30-day all-cause mortality was 38.2% (n = 246/644). Linezolid was associated with a significantly higher risk of treatment failure compared with daptomycin (risk ratio [RR], 1.37; 95% confidence interval [CI], 1.13-1.67; P = .001). After adjusting for confounding factors in Poisson regression, the relationship between linezolid use and treatment failure persisted (adjusted RR, 1.15; 95% CI, 1.02-1.30; P = .026). Linezolid was also associated with higher 30-day mortality (42.9% vs 33.5%; RR, 1.17; 95% CI, 1.04-1.32; P = .014) and microbiologic failure rates (RR, 1.10; 95% CI, 1.02-1.18; P = .011). No difference in 60-day VRE-BSI recurrence was observed between treatment groups.\nCONCLUSIONS: Treatment with linezolid for VRE-BSI resulted in significantly higher treatment failure in comparison to daptomycin. Linezolid treatment was also associated with greater 30-day all-cause mortality and microbiologic failure in this cohort.","container-title":"Clinical Infectious Diseases: An Official Publication of the Infectious Diseases Society of America","DOI":"10.1093/cid/civ444","ISSN":"1537-6591","issue":"6","journalAbbreviation":"Clin Infect Dis","language":"eng","page":"871-878","PMID":"26063715","PMCID":"PMC4551009","source":"PubMed","title":"Comparison of the Effectiveness and Safety of Linezolid and Daptomycin in Vancomycin-Resistant Enterococcal Bloodstream Infection: A National Cohort Study of Veterans Affairs Patients","title-short":"Comparison of the Effectiveness and Safety of Linezolid and Daptomycin in Vancomycin-Resistant Enterococcal Bloodstream Infection","volume":"61","author":[{"family":"Britt","given":"Nicholas S."},{"family":"Potter","given":"Emily M."},{"family":"Patel","given":"Nimish"},{"family":"Steed","given":"Molly E."}],"issued":{"date-parts":[["2015",9,15]]}}},{"id":1821,"uris":["http://zotero.org/users/9228761/items/8BP85JGV"],"itemData":{"id":1821,"type":"article-journal","abstract":"Vancomycin-resistant Enterococcus faecium bloodstream infections (VREF-BSI) cause significant mortality, highlighting the need to optimize their treatment. We compared the effectiveness and safety of daptomycin (DAP) and linezolid (LZD) as continuous or sequential therapy for VREF-BSI in a national, retrospective, propensity score (PS)-matched cohort study of hospitalized Veterans Affairs patients (2004 to 2014). We compared clinical outcomes and adverse events among patients treated with continuous LZD, continuous DAP, or sequential LZD followed by DAP (LZD-to-DAP). Secondarily, we analyzed the impact of infectious diseases (ID) consultation and source of VREF-BSI. A total of 2,630 patients were included in the effectiveness analysis (LZD [n = 1,348], DAP [n = 1,055], LZD-to-DAP [n = 227]). LZD was associated with increased 30-day mortality versus DAP (risk ratio [RR], 1.11; 95% confidence interval [CI], 1.01 to 1.22; P = 0.042). After PS matching, this relationship persisted (RR, 1.13; 95% CI, 1.02 to 1.26; P = 0.015). LZD-to-DAP switchers had lower mortality than those remaining on LZD (RR, 1.29; 95% CI, 1.03 to 1.63; P = 0.021), suggesting a benefit may still be derived with sequential therapy. LZD-treated patients experienced more adverse events, including a ≥50% reduction in platelets (RR, 1.07; 95% CI, 1.03 to 1.11; P = 0.001). DAP was associated with lower mortality than was LZD in patients with endocarditis (RR, 1.20; 95% CI, 1.02 to 1.41; P = 0.024); however, there was no statistically significant association between treatment group and mortality with regard to other sources of infection. Therefore, source of infection appears to be important in selection of patients most likely to benefit from DAP over LZD.","container-title":"Antimicrobial Agents and Chemotherapy","DOI":"10.1128/AAC.02216-16","ISSN":"1098-6596","issue":"5","journalAbbreviation":"Antimicrob Agents Chemother","language":"eng","page":"e02216-16","PMID":"28264856","PMCID":"PMC5404546","source":"PubMed","title":"Effect of Continuous and Sequential Therapy among Veterans Receiving Daptomycin or Linezolid for Vancomycin-Resistant Enterococcus faecium Bacteremia","volume":"61","author":[{"family":"Britt","given":"Nicholas S."},{"family":"Potter","given":"Emily M."},{"family":"Patel","given":"Nimish"},{"family":"Steed","given":"Molly E."}],"issued":{"date-parts":[["2017",5]]}}}],"schema":"https://github.com/citation-style-language/schema/raw/master/csl-citation.json"} </w:instrText>
      </w:r>
      <w:r w:rsidR="00E156FC" w:rsidRPr="003327EB">
        <w:rPr>
          <w:lang w:val="en-US"/>
        </w:rPr>
        <w:fldChar w:fldCharType="separate"/>
      </w:r>
      <w:r w:rsidR="00CA69E8" w:rsidRPr="00CA69E8">
        <w:t>(13,15)</w:t>
      </w:r>
      <w:r w:rsidR="00E156FC" w:rsidRPr="003327EB">
        <w:rPr>
          <w:lang w:val="en-US"/>
        </w:rPr>
        <w:fldChar w:fldCharType="end"/>
      </w:r>
      <w:r w:rsidR="00E156FC" w:rsidRPr="003327EB">
        <w:rPr>
          <w:lang w:val="en-US"/>
        </w:rPr>
        <w:t xml:space="preserve">, whereas one study each assessed in-hospital </w:t>
      </w:r>
      <w:r w:rsidR="00E156FC" w:rsidRPr="003327EB">
        <w:rPr>
          <w:lang w:val="en-US"/>
        </w:rPr>
        <w:fldChar w:fldCharType="begin"/>
      </w:r>
      <w:r w:rsidR="00CA69E8">
        <w:rPr>
          <w:lang w:val="en-US"/>
        </w:rPr>
        <w:instrText xml:space="preserve"> ADDIN ZOTERO_ITEM CSL_CITATION {"citationID":"7TnePUw2","properties":{"formattedCitation":"(12)","plainCitation":"(12)","noteIndex":0},"citationItems":[{"id":1813,"uris":["http://zotero.org/users/9228761/items/L544KJ26"],"itemData":{"id":1813,"type":"article-journal","abstract":"Vancomycin-resistant enterococci (VRE) are a growing health problem, and uncertainties exist regarding the optimal therapy for bloodstream infection due to VRE. We conducted systematic comparative evaluations of the impact of different antimicrobial therapies on the outcomes of patients with bloodstream infections due to VRE. A retrospective study from January 2008 to October 2010 was conducted at Detroit Medical Center. Unique patients with blood cultures due to VRE were included and reviewed. Three major therapeutic classes were analyzed: daptomycin, linezolid, and β-lactams. Three multivariate models were conducted for each outcome, matching for a propensity score predicting the likelihood of receipt of one of the therapeutic classes. A total of 225 cases of bacteremia due to VRE were included, including 86 (38.2%) cases of VR Enterococcus faecalis and 139 (61.8%) of VR Enterococcus faecium. Bacteremia due to VR E. faecalis was more frequent among subjects treated with β-lactams than among those treated with daptomycin or linezolid. The median dose of daptomycin was 6 mg/kg of body weight (range, 6 to 12 mg/kg). After controlling for propensity score and bacteremia due to VR E. faecalis, differences in mortality were nonsignificant among the treatment groups. Therapy with daptomycin was associated with higher median variable direct cost per day than that for linezolid. This large study revealed the three therapeutic classes (daptomycin, linezolid, and β-lactams) are similarly efficacious in the treatment of bacteremia due to susceptible strains of VRE.","container-title":"Antimicrobial Agents and Chemotherapy","DOI":"10.1128/AAC.02943-14","ISSN":"1098-6596","issue":"7","journalAbbreviation":"Antimicrob Agents Chemother","language":"eng","page":"3968-3975","PMID":"24798267","PMCID":"PMC4068570","source":"PubMed","title":"Impact of different antimicrobial therapies on clinical and fiscal outcomes of patients with bacteremia due to vancomycin-resistant enterococci","volume":"58","author":[{"family":"Hayakawa","given":"Kayoko"},{"family":"Martin","given":"Emily T."},{"family":"Gudur","given":"Uma Mahesh"},{"family":"Marchaim","given":"Dror"},{"family":"Dalle","given":"Dalia"},{"family":"Alshabani","given":"Khaled"},{"family":"Muppavarapu","given":"Kalyan Srinivas"},{"family":"Jaydev","given":"Fnu"},{"family":"Bathina","given":"Pradeep"},{"family":"Sundaragiri","given":"Pranathi Rao"},{"family":"Rajuri","given":"Shashi Dhar"},{"family":"Khatri","given":"Jaikumar"},{"family":"Pogue","given":"Jason M."},{"family":"Lephart","given":"Paul R."},{"family":"Rybak","given":"Michael J."},{"family":"Kaye","given":"Keith S."}],"issued":{"date-parts":[["2014",7]]}}}],"schema":"https://github.com/citation-style-language/schema/raw/master/csl-citation.json"} </w:instrText>
      </w:r>
      <w:r w:rsidR="00E156FC" w:rsidRPr="003327EB">
        <w:rPr>
          <w:lang w:val="en-US"/>
        </w:rPr>
        <w:fldChar w:fldCharType="separate"/>
      </w:r>
      <w:r w:rsidR="00CA69E8" w:rsidRPr="00CA69E8">
        <w:t>(12)</w:t>
      </w:r>
      <w:r w:rsidR="00E156FC" w:rsidRPr="003327EB">
        <w:rPr>
          <w:lang w:val="en-US"/>
        </w:rPr>
        <w:fldChar w:fldCharType="end"/>
      </w:r>
      <w:r w:rsidR="00E156FC" w:rsidRPr="003327EB">
        <w:rPr>
          <w:lang w:val="en-US"/>
        </w:rPr>
        <w:t xml:space="preserve"> and 90-day mortality rate </w:t>
      </w:r>
      <w:r w:rsidR="00E156FC" w:rsidRPr="003327EB">
        <w:rPr>
          <w:lang w:val="en-US"/>
        </w:rPr>
        <w:fldChar w:fldCharType="begin"/>
      </w:r>
      <w:r w:rsidR="00CA69E8">
        <w:rPr>
          <w:lang w:val="en-US"/>
        </w:rPr>
        <w:instrText xml:space="preserve"> ADDIN ZOTERO_ITEM CSL_CITATION {"citationID":"jjreeWqx","properties":{"formattedCitation":"(16)","plainCitation":"(16)","noteIndex":0},"citationItems":[{"id":1824,"uris":["http://zotero.org/users/9228761/items/LT4HJRMM"],"itemData":{"id":1824,"type":"article-journal","abstract":"Background \n          Although linezolid and daptomycin are frequently used for the management of vancomycin-resistant Enterococcus (VRE) bloodstream infection, optimal treatment is undefined.\n          Methods \n          We conducted a retrospective cohort study from January 2010 to December 2013 of patients with VRE faecium (VREF) bloodstream infection in the absence of endocarditis treated with daptomycin or linezolid at a single 802-bed teaching hospital in Detroit, Mich. Ninety-day all-cause mortality, length of stay, bacteremia duration, antibiotic duration, and recurrence at 30 days were evaluated. Multivariable analysis was performed to determine the effect of treatment selection on mortality.\n          Results \n          One hundred eighteen patients were included. Seventy-four patients received daptomycin and 44 linezolid. There was no significant difference in baseline characteristics between the 2 groups with the exception of nursing home residence (P = 0.007), intensive care unit admission (P = 0.049), receipt of chemotherapy (P = 0.013), and neutropenia (P = 0.007). Ninety-day all-cause mortality was 46% and 27% (odds ratio = 2.27; 95% confidence interval, 1.1–5.07; P = 0.044) and mean bacteremia duration was 3.6 and 2.6 days (odds ratio = 2.52; 95% confidence interval, 1.17–5.42; P = 0.037) for daptomycin and linezolid, respectively. There was no significant difference in mean length of stay, mean antibiotic duration, and recurrence between the 2 groups. Moreover, there were no significant differences in mortality between the 2 groups after controlling for variables such as chemotherapy, neutropenia, and renal replacement therapy that were associated with increased mortality.\n          Conclusions \n          Our study showed that there was no significant difference in mortality between linezolid and daptomycin for therapy of VRE bacteremia in the absence of endocarditis after controlling for other variables that were associated with increased mortality.","container-title":"Infectious Diseases in Clinical Practice","DOI":"10.1097/IPC.0000000000000482","ISSN":"1536-9943","issue":"3","language":"en-US","page":"151","source":"journals.lww.com","title":"Comparison of Daptomycin and Linezolid in the Treatment of Vancomycin-Resistant Enterococcus faecium in the Absence of Endocarditis","volume":"25","author":[{"family":"Suleyman","given":"Geehan"},{"family":"Mahan","given":"Meredith"},{"family":"Zervos","given":"Marcus J."}],"issued":{"date-parts":[["2017",5]]}}}],"schema":"https://github.com/citation-style-language/schema/raw/master/csl-citation.json"} </w:instrText>
      </w:r>
      <w:r w:rsidR="00E156FC" w:rsidRPr="003327EB">
        <w:rPr>
          <w:lang w:val="en-US"/>
        </w:rPr>
        <w:fldChar w:fldCharType="separate"/>
      </w:r>
      <w:r w:rsidR="00CA69E8" w:rsidRPr="00CA69E8">
        <w:t>(16)</w:t>
      </w:r>
      <w:r w:rsidR="00E156FC" w:rsidRPr="003327EB">
        <w:rPr>
          <w:lang w:val="en-US"/>
        </w:rPr>
        <w:fldChar w:fldCharType="end"/>
      </w:r>
      <w:r w:rsidR="00E156FC" w:rsidRPr="003327EB">
        <w:rPr>
          <w:lang w:val="en-US"/>
        </w:rPr>
        <w:t xml:space="preserve">. </w:t>
      </w:r>
      <w:r w:rsidR="00290716">
        <w:rPr>
          <w:lang w:val="en-US"/>
        </w:rPr>
        <w:t>R</w:t>
      </w:r>
      <w:r w:rsidR="00290716" w:rsidRPr="007E424D">
        <w:rPr>
          <w:lang w:val="en-US"/>
        </w:rPr>
        <w:t xml:space="preserve">esults for </w:t>
      </w:r>
      <w:r w:rsidR="00290716" w:rsidRPr="007E424D">
        <w:rPr>
          <w:lang w:val="en-US"/>
        </w:rPr>
        <w:lastRenderedPageBreak/>
        <w:t xml:space="preserve">primary outcomes </w:t>
      </w:r>
      <w:r w:rsidR="00290716">
        <w:rPr>
          <w:lang w:val="en-US"/>
        </w:rPr>
        <w:t xml:space="preserve">of PICO 4 are summarized in </w:t>
      </w:r>
      <w:r w:rsidR="00123844" w:rsidRPr="00123844">
        <w:rPr>
          <w:b/>
          <w:bCs/>
          <w:lang w:val="en-US"/>
        </w:rPr>
        <w:t xml:space="preserve">Supplementary </w:t>
      </w:r>
      <w:r w:rsidR="00290716" w:rsidRPr="00290716">
        <w:rPr>
          <w:b/>
          <w:bCs/>
          <w:lang w:val="en-US"/>
        </w:rPr>
        <w:t xml:space="preserve">Table </w:t>
      </w:r>
      <w:r w:rsidR="000B60DB">
        <w:rPr>
          <w:b/>
          <w:bCs/>
          <w:lang w:val="en-US"/>
        </w:rPr>
        <w:t>4</w:t>
      </w:r>
      <w:r w:rsidR="00290716">
        <w:rPr>
          <w:lang w:val="en-US"/>
        </w:rPr>
        <w:t xml:space="preserve">. </w:t>
      </w:r>
      <w:r w:rsidR="00E156FC" w:rsidRPr="003327EB">
        <w:rPr>
          <w:lang w:val="en-US"/>
        </w:rPr>
        <w:t>Overall, no significant difference in mortality rate emerged between daptomycin and linezolid (OR 1.0</w:t>
      </w:r>
      <w:r w:rsidR="00E156FC">
        <w:rPr>
          <w:lang w:val="en-US"/>
        </w:rPr>
        <w:t>8</w:t>
      </w:r>
      <w:r w:rsidR="00E156FC" w:rsidRPr="003327EB">
        <w:rPr>
          <w:lang w:val="en-US"/>
        </w:rPr>
        <w:t xml:space="preserve">; </w:t>
      </w:r>
      <w:r w:rsidR="00E156FC" w:rsidRPr="007E424D">
        <w:rPr>
          <w:lang w:val="en-US"/>
        </w:rPr>
        <w:t xml:space="preserve">95%CI 0.85-1.38; </w:t>
      </w:r>
      <w:r w:rsidR="009F233F" w:rsidRPr="009F233F">
        <w:rPr>
          <w:b/>
          <w:bCs/>
          <w:lang w:val="en-US"/>
        </w:rPr>
        <w:t xml:space="preserve">Supplementary </w:t>
      </w:r>
      <w:r w:rsidR="00E156FC" w:rsidRPr="007E424D">
        <w:rPr>
          <w:b/>
          <w:bCs/>
          <w:lang w:val="en-US"/>
        </w:rPr>
        <w:t xml:space="preserve">Figure </w:t>
      </w:r>
      <w:r w:rsidR="009F233F">
        <w:rPr>
          <w:b/>
          <w:bCs/>
          <w:lang w:val="en-US"/>
        </w:rPr>
        <w:t>6</w:t>
      </w:r>
      <w:r w:rsidR="00E156FC" w:rsidRPr="007E424D">
        <w:rPr>
          <w:lang w:val="en-US"/>
        </w:rPr>
        <w:t>). No substantial degree of heterogeneity was found (</w:t>
      </w:r>
      <w:r w:rsidR="00E156FC" w:rsidRPr="007E424D">
        <w:rPr>
          <w:i/>
          <w:iCs/>
          <w:lang w:val="en-US"/>
        </w:rPr>
        <w:t>I</w:t>
      </w:r>
      <w:r w:rsidR="00E156FC" w:rsidRPr="007E424D">
        <w:rPr>
          <w:vertAlign w:val="superscript"/>
          <w:lang w:val="en-US"/>
        </w:rPr>
        <w:t>2</w:t>
      </w:r>
      <w:r w:rsidR="00E156FC" w:rsidRPr="007E424D">
        <w:rPr>
          <w:lang w:val="en-US"/>
        </w:rPr>
        <w:t xml:space="preserve">=46.9%; p=0.09), and no evidence of publication bias was reported. </w:t>
      </w:r>
      <w:r w:rsidR="004E1098">
        <w:rPr>
          <w:lang w:val="en-US"/>
        </w:rPr>
        <w:t>In addition, t</w:t>
      </w:r>
      <w:r w:rsidR="00E156FC" w:rsidRPr="007E424D">
        <w:rPr>
          <w:lang w:val="en-US"/>
        </w:rPr>
        <w:t xml:space="preserve">wo studies (N=2,350 patients) provided data for microbiological failure </w:t>
      </w:r>
      <w:r w:rsidR="00E156FC" w:rsidRPr="007E424D">
        <w:rPr>
          <w:lang w:val="en-US"/>
        </w:rPr>
        <w:fldChar w:fldCharType="begin"/>
      </w:r>
      <w:r w:rsidR="00CA69E8">
        <w:rPr>
          <w:lang w:val="en-US"/>
        </w:rPr>
        <w:instrText xml:space="preserve"> ADDIN ZOTERO_ITEM CSL_CITATION {"citationID":"5lXeBcSg","properties":{"formattedCitation":"(13,15)","plainCitation":"(13,15)","noteIndex":0},"citationItems":[{"id":768,"uris":["http://zotero.org/users/9228761/items/28HJ75I6"],"itemData":{"id":768,"type":"article-journal","abstract":"BACKGROUND: Vancomycin-resistant Enterococcus bloodstream infections (VRE-BSIs) are becoming increasingly common. Linezolid and daptomycin are the primary treatment options for VRE-BSI, but optimal treatment is unclear.\nMETHODS: This was a national retrospective cohort study comparing linezolid and daptomycin for the treatment of VRE-BSI among Veterans Affairs Medical Center patients admitted during 2004-2013. The primary outcome was treatment failure, defined as a composite of (1) 30-day all-cause mortality; (2) microbiologic failure; and (3) 60-day VRE-BSI recurrence. Poisson regression was conducted to determine if antimicrobial treatment was independently associated with clinical outcomes.\nRESULTS: A total of 644 patients were included (linezolid, n = 319; daptomycin, n = 325). Overall, treatment failure was 60.9% (n = 392/644), and 30-day all-cause mortality was 38.2% (n = 246/644). Linezolid was associated with a significantly higher risk of treatment failure compared with daptomycin (risk ratio [RR], 1.37; 95% confidence interval [CI], 1.13-1.67; P = .001). After adjusting for confounding factors in Poisson regression, the relationship between linezolid use and treatment failure persisted (adjusted RR, 1.15; 95% CI, 1.02-1.30; P = .026). Linezolid was also associated with higher 30-day mortality (42.9% vs 33.5%; RR, 1.17; 95% CI, 1.04-1.32; P = .014) and microbiologic failure rates (RR, 1.10; 95% CI, 1.02-1.18; P = .011). No difference in 60-day VRE-BSI recurrence was observed between treatment groups.\nCONCLUSIONS: Treatment with linezolid for VRE-BSI resulted in significantly higher treatment failure in comparison to daptomycin. Linezolid treatment was also associated with greater 30-day all-cause mortality and microbiologic failure in this cohort.","container-title":"Clinical Infectious Diseases: An Official Publication of the Infectious Diseases Society of America","DOI":"10.1093/cid/civ444","ISSN":"1537-6591","issue":"6","journalAbbreviation":"Clin Infect Dis","language":"eng","page":"871-878","PMID":"26063715","PMCID":"PMC4551009","source":"PubMed","title":"Comparison of the Effectiveness and Safety of Linezolid and Daptomycin in Vancomycin-Resistant Enterococcal Bloodstream Infection: A National Cohort Study of Veterans Affairs Patients","title-short":"Comparison of the Effectiveness and Safety of Linezolid and Daptomycin in Vancomycin-Resistant Enterococcal Bloodstream Infection","volume":"61","author":[{"family":"Britt","given":"Nicholas S."},{"family":"Potter","given":"Emily M."},{"family":"Patel","given":"Nimish"},{"family":"Steed","given":"Molly E."}],"issued":{"date-parts":[["2015",9,15]]}}},{"id":1821,"uris":["http://zotero.org/users/9228761/items/8BP85JGV"],"itemData":{"id":1821,"type":"article-journal","abstract":"Vancomycin-resistant Enterococcus faecium bloodstream infections (VREF-BSI) cause significant mortality, highlighting the need to optimize their treatment. We compared the effectiveness and safety of daptomycin (DAP) and linezolid (LZD) as continuous or sequential therapy for VREF-BSI in a national, retrospective, propensity score (PS)-matched cohort study of hospitalized Veterans Affairs patients (2004 to 2014). We compared clinical outcomes and adverse events among patients treated with continuous LZD, continuous DAP, or sequential LZD followed by DAP (LZD-to-DAP). Secondarily, we analyzed the impact of infectious diseases (ID) consultation and source of VREF-BSI. A total of 2,630 patients were included in the effectiveness analysis (LZD [n = 1,348], DAP [n = 1,055], LZD-to-DAP [n = 227]). LZD was associated with increased 30-day mortality versus DAP (risk ratio [RR], 1.11; 95% confidence interval [CI], 1.01 to 1.22; P = 0.042). After PS matching, this relationship persisted (RR, 1.13; 95% CI, 1.02 to 1.26; P = 0.015). LZD-to-DAP switchers had lower mortality than those remaining on LZD (RR, 1.29; 95% CI, 1.03 to 1.63; P = 0.021), suggesting a benefit may still be derived with sequential therapy. LZD-treated patients experienced more adverse events, including a ≥50% reduction in platelets (RR, 1.07; 95% CI, 1.03 to 1.11; P = 0.001). DAP was associated with lower mortality than was LZD in patients with endocarditis (RR, 1.20; 95% CI, 1.02 to 1.41; P = 0.024); however, there was no statistically significant association between treatment group and mortality with regard to other sources of infection. Therefore, source of infection appears to be important in selection of patients most likely to benefit from DAP over LZD.","container-title":"Antimicrobial Agents and Chemotherapy","DOI":"10.1128/AAC.02216-16","ISSN":"1098-6596","issue":"5","journalAbbreviation":"Antimicrob Agents Chemother","language":"eng","page":"e02216-16","PMID":"28264856","PMCID":"PMC5404546","source":"PubMed","title":"Effect of Continuous and Sequential Therapy among Veterans Receiving Daptomycin or Linezolid for Vancomycin-Resistant Enterococcus faecium Bacteremia","volume":"61","author":[{"family":"Britt","given":"Nicholas S."},{"family":"Potter","given":"Emily M."},{"family":"Patel","given":"Nimish"},{"family":"Steed","given":"Molly E."}],"issued":{"date-parts":[["2017",5]]}}}],"schema":"https://github.com/citation-style-language/schema/raw/master/csl-citation.json"} </w:instrText>
      </w:r>
      <w:r w:rsidR="00E156FC" w:rsidRPr="007E424D">
        <w:rPr>
          <w:lang w:val="en-US"/>
        </w:rPr>
        <w:fldChar w:fldCharType="separate"/>
      </w:r>
      <w:r w:rsidR="00CA69E8" w:rsidRPr="00CA69E8">
        <w:t>(13,15)</w:t>
      </w:r>
      <w:r w:rsidR="00E156FC" w:rsidRPr="007E424D">
        <w:rPr>
          <w:lang w:val="en-US"/>
        </w:rPr>
        <w:fldChar w:fldCharType="end"/>
      </w:r>
      <w:r w:rsidR="00E156FC" w:rsidRPr="007E424D">
        <w:rPr>
          <w:lang w:val="en-US"/>
        </w:rPr>
        <w:t xml:space="preserve">. Overall, linezolid was associated with significant higher risk of microbiological failure compared to daptomycin (OR 1.18; 95%CI 1.06-1.31; </w:t>
      </w:r>
      <w:r w:rsidR="00E156FC" w:rsidRPr="007E424D">
        <w:rPr>
          <w:i/>
          <w:iCs/>
          <w:lang w:val="en-US"/>
        </w:rPr>
        <w:t>I</w:t>
      </w:r>
      <w:r w:rsidR="00E156FC" w:rsidRPr="007E424D">
        <w:rPr>
          <w:vertAlign w:val="superscript"/>
          <w:lang w:val="en-US"/>
        </w:rPr>
        <w:t>2</w:t>
      </w:r>
      <w:r w:rsidR="00E156FC" w:rsidRPr="007E424D">
        <w:rPr>
          <w:lang w:val="en-US"/>
        </w:rPr>
        <w:t xml:space="preserve">=0.0%; </w:t>
      </w:r>
      <w:r w:rsidR="00E156FC" w:rsidRPr="007E424D">
        <w:rPr>
          <w:b/>
          <w:bCs/>
          <w:lang w:val="en-US"/>
        </w:rPr>
        <w:t>Supplementary Figure</w:t>
      </w:r>
      <w:r w:rsidR="009F233F">
        <w:rPr>
          <w:b/>
          <w:bCs/>
          <w:lang w:val="en-US"/>
        </w:rPr>
        <w:t xml:space="preserve"> 7</w:t>
      </w:r>
      <w:r w:rsidR="00E156FC" w:rsidRPr="007E424D">
        <w:rPr>
          <w:lang w:val="en-US"/>
        </w:rPr>
        <w:t xml:space="preserve">). </w:t>
      </w:r>
    </w:p>
    <w:p w14:paraId="7CBEBC68" w14:textId="6A9CC36C" w:rsidR="00715674" w:rsidRPr="008A75C4" w:rsidRDefault="000F2A56" w:rsidP="00BB2244">
      <w:pPr>
        <w:spacing w:line="480" w:lineRule="auto"/>
        <w:jc w:val="both"/>
        <w:rPr>
          <w:lang w:val="en-US"/>
        </w:rPr>
      </w:pPr>
      <w:r w:rsidRPr="00B45383">
        <w:rPr>
          <w:lang w:val="en-US"/>
        </w:rPr>
        <w:t xml:space="preserve">Among the studies </w:t>
      </w:r>
      <w:r w:rsidR="00E156FC" w:rsidRPr="00B45383">
        <w:rPr>
          <w:lang w:val="en-US"/>
        </w:rPr>
        <w:t xml:space="preserve">initially </w:t>
      </w:r>
      <w:r w:rsidRPr="00B45383">
        <w:rPr>
          <w:lang w:val="en-US"/>
        </w:rPr>
        <w:t>retrieved for this PICO</w:t>
      </w:r>
      <w:r w:rsidR="00E156FC" w:rsidRPr="00B45383">
        <w:rPr>
          <w:lang w:val="en-US"/>
        </w:rPr>
        <w:t xml:space="preserve"> (N=17)</w:t>
      </w:r>
      <w:r w:rsidR="00007F1B">
        <w:rPr>
          <w:lang w:val="en-US"/>
        </w:rPr>
        <w:t xml:space="preserve">, </w:t>
      </w:r>
      <w:r w:rsidR="00E156FC" w:rsidRPr="00B45383">
        <w:rPr>
          <w:lang w:val="en-US"/>
        </w:rPr>
        <w:t>9</w:t>
      </w:r>
      <w:r w:rsidRPr="00B45383">
        <w:rPr>
          <w:lang w:val="en-US"/>
        </w:rPr>
        <w:t xml:space="preserve"> </w:t>
      </w:r>
      <w:r w:rsidR="00007F1B">
        <w:rPr>
          <w:lang w:val="en-US"/>
        </w:rPr>
        <w:t>analyzed</w:t>
      </w:r>
      <w:r w:rsidRPr="00B45383">
        <w:rPr>
          <w:lang w:val="en-US"/>
        </w:rPr>
        <w:t xml:space="preserve"> the impact of different dosages of daptomycin. Study characteristics and main findings are reported in </w:t>
      </w:r>
      <w:r w:rsidR="00B45383" w:rsidRPr="00B45383">
        <w:rPr>
          <w:b/>
          <w:bCs/>
          <w:lang w:val="en-US"/>
        </w:rPr>
        <w:t>S</w:t>
      </w:r>
      <w:r w:rsidRPr="00B45383">
        <w:rPr>
          <w:b/>
          <w:bCs/>
          <w:lang w:val="en-US"/>
        </w:rPr>
        <w:t>uppl</w:t>
      </w:r>
      <w:r w:rsidR="00B45383" w:rsidRPr="00B45383">
        <w:rPr>
          <w:b/>
          <w:bCs/>
          <w:lang w:val="en-US"/>
        </w:rPr>
        <w:t>.</w:t>
      </w:r>
      <w:r w:rsidRPr="00B45383">
        <w:rPr>
          <w:lang w:val="en-US"/>
        </w:rPr>
        <w:t xml:space="preserve"> </w:t>
      </w:r>
      <w:r w:rsidR="00BB6B75" w:rsidRPr="00B45383">
        <w:rPr>
          <w:b/>
          <w:bCs/>
          <w:lang w:val="en-US"/>
        </w:rPr>
        <w:t xml:space="preserve">Table </w:t>
      </w:r>
      <w:r w:rsidR="00123844">
        <w:rPr>
          <w:b/>
          <w:bCs/>
          <w:lang w:val="en-US"/>
        </w:rPr>
        <w:t>5</w:t>
      </w:r>
      <w:r w:rsidR="00586CEF" w:rsidRPr="00B45383">
        <w:rPr>
          <w:b/>
          <w:bCs/>
          <w:lang w:val="en-US"/>
        </w:rPr>
        <w:t xml:space="preserve"> </w:t>
      </w:r>
      <w:r w:rsidR="00763A82" w:rsidRPr="00B45383">
        <w:rPr>
          <w:b/>
          <w:bCs/>
          <w:lang w:val="en-US"/>
        </w:rPr>
        <w:fldChar w:fldCharType="begin"/>
      </w:r>
      <w:r w:rsidR="00CA69E8">
        <w:rPr>
          <w:b/>
          <w:bCs/>
          <w:lang w:val="en-US"/>
        </w:rPr>
        <w:instrText xml:space="preserve"> ADDIN ZOTERO_ITEM CSL_CITATION {"citationID":"EXtzSsWx","properties":{"formattedCitation":"(15,20\\uc0\\u8211{}27)","plainCitation":"(15,20–27)","noteIndex":0},"citationItems":[{"id":1821,"uris":["http://zotero.org/users/9228761/items/8BP85JGV"],"itemData":{"id":1821,"type":"article-journal","abstract":"Vancomycin-resistant Enterococcus faecium bloodstream infections (VREF-BSI) cause significant mortality, highlighting the need to optimize their treatment. We compared the effectiveness and safety of daptomycin (DAP) and linezolid (LZD) as continuous or sequential therapy for VREF-BSI in a national, retrospective, propensity score (PS)-matched cohort study of hospitalized Veterans Affairs patients (2004 to 2014). We compared clinical outcomes and adverse events among patients treated with continuous LZD, continuous DAP, or sequential LZD followed by DAP (LZD-to-DAP). Secondarily, we analyzed the impact of infectious diseases (ID) consultation and source of VREF-BSI. A total of 2,630 patients were included in the effectiveness analysis (LZD [n = 1,348], DAP [n = 1,055], LZD-to-DAP [n = 227]). LZD was associated with increased 30-day mortality versus DAP (risk ratio [RR], 1.11; 95% confidence interval [CI], 1.01 to 1.22; P = 0.042). After PS matching, this relationship persisted (RR, 1.13; 95% CI, 1.02 to 1.26; P = 0.015). LZD-to-DAP switchers had lower mortality than those remaining on LZD (RR, 1.29; 95% CI, 1.03 to 1.63; P = 0.021), suggesting a benefit may still be derived with sequential therapy. LZD-treated patients experienced more adverse events, including a ≥50% reduction in platelets (RR, 1.07; 95% CI, 1.03 to 1.11; P = 0.001). DAP was associated with lower mortality than was LZD in patients with endocarditis (RR, 1.20; 95% CI, 1.02 to 1.41; P = 0.024); however, there was no statistically significant association between treatment group and mortality with regard to other sources of infection. Therefore, source of infection appears to be important in selection of patients most likely to benefit from DAP over LZD.","container-title":"Antimicrobial Agents and Chemotherapy","DOI":"10.1128/AAC.02216-16","ISSN":"1098-6596","issue":"5","journalAbbreviation":"Antimicrob Agents Chemother","language":"eng","page":"e02216-16","PMID":"28264856","PMCID":"PMC5404546","source":"PubMed","title":"Effect of Continuous and Sequential Therapy among Veterans Receiving Daptomycin or Linezolid for Vancomycin-Resistant Enterococcus faecium Bacteremia","volume":"61","author":[{"family":"Britt","given":"Nicholas S."},{"family":"Potter","given":"Emily M."},{"family":"Patel","given":"Nimish"},{"family":"Steed","given":"Molly E."}],"issued":{"date-parts":[["2017",5]]}},"label":"page"},{"id":1832,"uris":["http://zotero.org/users/9228761/items/PEYA3KVV"],"itemData":{"id":1832,"type":"article-journal","abstract":"PURPOSE: In light of recent evidence suggesting enhancement of daptomycin activity against vancomycin-resistant Enterococcus (VRE) by ampicillin and other β-lactam antibiotics, we evaluated the safety profile and clinical efficacy of daptomycin with and without concomitant β-lactam antimicrobials in the treatment of VRE (faecium or faecalis) bacteremia from multiple centers across the United States.\nMETHODS: Data were collected retrospectively as part of a larger multicenter registry (The Cubicin Outcomes Registry and Experience). Efficacy and clinical outcomes in patients with VRE bacteremia who received at least 3 days of daptomycin with or without concomitant β-lactams were analyzed. Although all the cases involved daptomycin-susceptible VRE, additional analysis was performed to examine whether the adjunctive β-lactam would play a more pivotal role in cases where the daptomycin MIC was in the upper limit of the susceptibility range, indicating that daptomycin monotherapy efficacy may be relatively compromised compared with cases with lower daptomycin MICs.\nFINDINGS: Two hundred sixty-two patients from 33 hospitals were evaluated. Most patients had at least one significant comorbidity, such as solid-organ or bone marrow transplantation (16%), neutropenia (36%), dialysis dependency (20%), or critical illness (36%) requiring care in an intensive care unit. Overall treatment success was 86% (n = 225/262), and treatment success for patients taking concomitant β-lactams was 86% (n = 105/122). Logistic regression identified treatment failure to be associated with sepsis (odds ratio = 3.42; P = 0.009) and an elevated daptomycin MIC (3-4 µg/mL) (odds ratio = 3.23, P = 0.013). No significant increase in clinical failure was seen among patients with elevated daptomycin MIC who received concomitant β-lactam therapy (clinical success, 88% vs 79% for MIC ≤2 vs 3-4 µg/mL, respectively; P = 0.417). Of 262 patients, 33 (13%) experienced ≥1 adverse event possibly related to daptomycin (increased creatine kinase in 8 patients).\nIMPLICATIONS: Overall, daptomycin was effective and well tolerated for VRE bacteremia, with lower effectiveness noted with daptomycin MIC of 3 to 4 µg/mL. Concomitant β-lactam therapy with daptomycin may improve clinical outcomes in this setting. Further studies are needed to characterize the potential benefit of concomitant β-lactams with daptomycin.","container-title":"Clinical Therapeutics","DOI":"10.1016/j.clinthera.2015.04.008","ISSN":"1879-114X","issue":"7","journalAbbreviation":"Clin Ther","language":"eng","page":"1443-1453.e2","PMID":"25982687","source":"PubMed","title":"Clinical Outcomes of Daptomycin for Vancomycin-resistant Enterococcus Bacteremia","volume":"37","author":[{"family":"Moise","given":"Pamela A."},{"family":"Sakoulas","given":"George"},{"family":"McKinnell","given":"James A."},{"family":"Lamp","given":"Kenneth C."},{"family":"DePestel","given":"Daryl D."},{"family":"Yoon","given":"Min J."},{"family":"Reyes","given":"Katherine"},{"family":"Zervos","given":"Marcus J."}],"issued":{"date-parts":[["2015",7,1]]}}},{"id":1837,"uris":["http://zotero.org/users/9228761/items/WBHP3U4I"],"itemData":{"id":1837,"type":"article-journal","abstract":"BACKGROUND: Treatment options for vancomycin-resistant enterococci (VRE) bloodstream infection (BSI) are limited. Daptomycin, although not currently approved for this indication, is frequently used for the treatment of VRE-BSI. Its optimal dose still needs to be determined.\nMETHODS: We conducted a prospective, observational, cohort study during 2010-2015. We included patients who received a daptomycin dose of ≥6 mg/kg for the treatment of VRE-BSI caused by daptomycin-susceptible VRE. The primary endpoint was 14-day mortality, and multivariable logistic regression was performed for outcome analysis.\nRESULTS: We included 112 patients treated with daptomycin for VRE-BSI and with evaluable clinical outcomes. The daptomycin minimum inhibitory concentration (MIC) was 4 mg/L in 78 (69.6%) and ≤2 mg/L in 34 (30.4%) isolates. The overall mortality was 40/112 (35.7%). The unadjusted mortality was 18/36 (50.0%) for a daptomycin dose of &lt;7 mg/kg, 17/51 (33.3%) for a dose of 7-9 mg/kg, and 5/25 (20%) for a dose of ≥9 mg/kg (P = .05). The best outcomes were associated with a daptomycin dose of ≥9 mg/kg compared to doses of &lt;7 mg/kg (adjusted odds ratio [aOR], 10.57; 95% confidence interval [CI], 2.25-49.62; P=.003) and 7-9 mg/kg (aOR, 5.01; 95% CI, 1.14-21.98; P=.03). There was no significant difference in mortality with respect to the daptomycin MIC. There was no association between daptomycin dose and elevated creatinine kinase.\nCONCLUSION: Higher daptomycin doses (≥9 mg/kg) were associated with lower mortality in patients with VRE-BSI. Our results suggest that higher daptomycin doses need to be considered for VRE-BSI treatment.","container-title":"Clinical Infectious Diseases: An Official Publication of the Infectious Diseases Society of America","DOI":"10.1093/cid/cix024","ISSN":"1537-6591","issue":"8","journalAbbreviation":"Clin Infect Dis","language":"eng","page":"1026-1034","PMID":"28329222","source":"PubMed","title":"Effect of Daptomycin Dose on the Outcome of Vancomycin-Resistant, Daptomycin-Susceptible Enterococcus faecium Bacteremia","volume":"64","author":[{"family":"Chuang","given":"Yu-Chung"},{"family":"Lin","given":"Hsin-Yi"},{"family":"Chen","given":"Pao-Yu"},{"family":"Lin","given":"Chi-Ying"},{"family":"Wang","given":"Jann-Tay"},{"family":"Chen","given":"Yee-Chun"},{"family":"Chang","given":"Shan-Chwen"}],"issued":{"date-parts":[["2017",4,15]]}}},{"id":1840,"uris":["http://zotero.org/users/9228761/items/8J2LJMDF"],"itemData":{"id":1840,"type":"article-journal","abstract":"There is limited clinical evidence to support the combination of daptomycin and beta-lactam antibiotics (DAP + BLA) for treatment of vancomycin-resistant enterococci (VRE) bloodstream infections (BSI). We conducted a prospective observational cohort study of VRE-BSI during 2010-2015. The primary endpoint was mortality at the end of treatment. We included 114 patients who received DAP for VRE-BSI. Of these 87 (76.3%) received DAP + BLA. There were no significant differences in mortality between the DAP and DAP + BLA groups on univariable analysis (10/27 vs. 34/87, P = 0.85). A subgroup analysis of patients with enterococcal DAP minimum inhibitory concentrations (MICs) ≤2 mg/L, revealed that those treated with DAP + BLA had a lower mortality (adjusted hazard ratio [aHR], 0.23; 95% confidence interval [CI], 0.06-0.93; P = 0.04) after adjustment for other significant predictors of mortality, including the DAP dose. In addition, patients receiving high-dose (≥9 mg/kg) DAP + BLA independently had a better survival than those receiving low-dose DAP alone (aHR = 5.16), low-dose DAP + BLA (aHR = 5.39), and high-dose DAP alone (aHR = 19.01) (P &lt; 0.05 for all comparisons). For patients with VRE-BSIs, the DAP MIC of the isolate and the DAP dose influence the effect of DAP + BLA on outcome. A high-dose DAP + BLA might improve survival. These findings support the use of high-dose DAP + BLA for treatment of VRE-BSI.","container-title":"Scientific Reports","DOI":"10.1038/s41598-018-19986-8","ISSN":"2045-2322","issue":"1","journalAbbreviation":"Sci Rep","language":"eng","page":"1632","PMID":"29374204","PMCID":"PMC5786011","source":"PubMed","title":"A retrospective clinical comparison of daptomycin vs daptomycin and a beta-lactam antibiotic for treating vancomycin-resistant Enterococcus faecium bloodstream infections","volume":"8","author":[{"family":"Chuang","given":"Yu-Chung"},{"family":"Chen","given":"Pao-Yu"},{"family":"Lin","given":"Chi-Ying"},{"family":"Chen","given":"Yee-Chun"},{"family":"Wang","given":"Jann-Tay"},{"family":"Chang","given":"Shan-Chwen"}],"issued":{"date-parts":[["2018",1,26]]}}},{"id":1843,"uris":["http://zotero.org/users/9228761/items/SBD2F8VH"],"itemData":{"id":1843,"type":"article-journal","abstract":"BACKGROUND: The treatment options for vancomycin-resistant Enterococcus (VRE) are limited. A combination of daptomycin (DAP) and β-lactam (BL) has been suggested; however clinical studies supporting this are lacking.\nMETHODS: Patients with VR E. faecium bacteremia who received ≥ 8 mg/kg daptomycin for ≥ 72 h and initiated ≤ 5 days of culture collection between 2010 and 2021 were included. DAP+BL was defined as receiving BL for ≥ 24 h and within 24 h of DAP initiation. The primary endpoint was a composite clinical success (neither 14-day mortality, microbiological failure, nor change in the anti-VRE regimen). Outcomes were analyzed using multivariable logistic regression and augmented inverse probability weighting (AIPW).\nRESULTS: A total of 430 patients were enrolled (DAP, n = 45; DAP+BL, n = 385). Clinical success was achieved in 19 (42.2%) patients in the DAP group and 244 (63.4%) in the DAP+BL group [adjusted odds ratio, 3.19; 95% confidence interval (CI) 1.61-6.33; P = 0.001]. Marginal analysis showed that the efficacy of DAP+BL was particularly significant with DAP dose ≥ 9 mg/kg and DAP minimum inhibitory concentration (MIC) ≥ 2 mg/L. With the balance of AIPW, standardized mean clinical success rates for DAP and DAP+BL 37.3% and 63.5%, respectively. The difference between DAP+BL and DAP was of 26.2% in favor of DAP+BL (95% CI, 10.0-42.3%; P = 0.001).\nCONCLUSIONS: DAP+BL was associated with a significantly higher rate of compositive clinical success than DAP for treatment of VR E. faecium bacteremia. The study suggested BL in combination with high-dose DAP for VR E. faecium bacteremia treatment, especially when VRE showed a high DAP MIC.","container-title":"Journal of Infection and Public Health","DOI":"10.1016/j.jiph.2022.10.017","ISSN":"1876-035X","issue":"12","journalAbbreviation":"J Infect Public Health","language":"eng","page":"1396-1402","PMID":"36371936","source":"PubMed","title":"The combination of daptomycin with β-lactam antibiotics is more effective than daptomycin alone for vancomycin-resistant Enterococcus faecium bloodstream infection","volume":"15","author":[{"family":"Chuang","given":"Yu-Chung"},{"family":"Wang","given":"Jann-Tay"},{"family":"Yang","given":"Jia-Ling"},{"family":"Lin","given":"Chi-Ying"},{"family":"Huang","given":"Sung-Hsi"},{"family":"Chen","given":"Yee-Chun"},{"family":"Chang","given":"Shan-Chwen"}],"issued":{"date-parts":[["2022",12]]}}},{"id":1845,"uris":["http://zotero.org/users/9228761/items/C7WUL6LX"],"itemData":{"id":1845,"type":"article-journal","abstract":"OBJECTIVES: The CLSI recommended high-dose daptomycin (8-12 mg/kg) for treating Enterococcus faecium bloodstream infections (BSI). The current study was designed to determine the safety and efficacy of increasing the daptomycin dose for VRE BSI patients receiving ≥8 mg/kg.\nMETHODS: We conducted a multicentre prospective observational study of patients who received a ≥8 mg/kg dose of daptomycin for treatment of VRE BSI. The primary outcome was 28 day mortality.\nRESULTS: A total of 661 patients were included. The 28 day mortality rate was 45.1%. The survivors received higher doses of daptomycin than non-survivors (10.1 versus 9.8 mg/kg; P &lt; 0.001). An increase in the daptomycin dose independently predicted lower mortality [adjusted OR (aOR) = 0.85; 95% CI = 0.73-0.99; P = 0.03]. Eighty-six survivors (23.7%) and 43 non-survivors (14.4%) received a ≥11 mg/kg dose of daptomycin (P = 0.003). The 8 to &lt;11 and ≥11 mg/kg doses of daptomycin differed in the 28 day mortality in the higher MIC group (≥2 mg/L) (49.4% versus 33.3%; P = 0.004), but not in the lower MIC group (≤1 mg/L) (29.3% versus 29.4%; P = 0.99). A dose of ≥11 mg/kg was associated with a higher (3.9%) rate of highly elevated creatine kinase (&gt;2000 U/L) compared with 1.1% with 8 to &lt;11 mg/kg (P = 0.04).\nCONCLUSIONS: The efficacy of daptomycin is dose dependent. A high daptomycin dose, especially at ≥11 mg/kg, improved survival in patients with VRE BSI, but was associated with highly elevated creatine kinase. We recommend a ≥11 mg/kg dose of daptomycin be considered for treatment of VRE BSI, particularly for isolates with higher MICs.","container-title":"The Journal of Antimicrobial Chemotherapy","DOI":"10.1093/jac/dkac164","ISSN":"1460-2091","issue":"8","journalAbbreviation":"J Antimicrob Chemother","language":"eng","page":"2278-2287","PMID":"35639586","source":"PubMed","title":"Influence of daptomycin doses on the outcomes of VRE bloodstream infection treated with high-dose daptomycin","volume":"77","author":[{"family":"Chuang","given":"Yu Chung"},{"family":"Lin","given":"Hsin Yi"},{"family":"Yang","given":"Jia Ling"},{"family":"Lin","given":"Chi Ying"},{"family":"Huang","given":"Sung Hsi"},{"family":"Wang","given":"Jann Tay"},{"family":"Chen","given":"Yee Chun"},{"family":"Chang","given":"Shan Chwen"}],"issued":{"date-parts":[["2022",7,28]]}}},{"id":783,"uris":["http://zotero.org/users/9228761/items/8S7QZR9Q"],"itemData":{"id":783,"type":"article-journal","abstract":"Synergistic combinations of daptomycin and β-lactam antibiotics are currently recommended for treatment of VRE bloodstream infection (BSI). The efficacy of these combinations is jeopardized by VRE inherently resistant to β-lactam antibiotics. The combination of daptomycin and fosfomycin is recommended as an alternative therapy for VRE BSI; however, clinical data to support use of this combination are lacking.We conducted a prospective observational multicentre study of patients treated with a combination of daptomycin and fosfomycin for VRE BSI during 2016–20. The primary outcome was 28 day mortality. Multivariable logistic regression was performed for outcome analysis.The study included 106 patients from 1112 VRE BSI episodes. The overall 28 day mortality was 40.6%. The median (IQR) daptomycin dose was 10.18 mg/kg (9.43–10.70). The fosfomycin dose was 16 g/day (8–22.5). Ninety-six isolates were available for MIC testing. The fosfomycin MIC was 32 mg/L in 6 (6.3%), 64 mg/L in 68 (70.8%) and ≥128 mg/L in 22 (22.9%) isolates. Independent of Charlson comorbidity index and Pitt bacteraemia score, fosfomycin MIC ≥128 mg/L [adjusted OR (aOR) = 3.05; 95% CI = 1.01–9.19; P = 0.047] and daptomycin dose (aOR = 0.64; 95% CI = 0.43–0.97; P = 0.04) predicted mortality.Higher daptomycin dose and susceptibility to fosfomycin were independently associated with lower mortality in patients with VRE BSI. Our results suggest that higher doses of daptomycin are indicated for VRE BSI, whether or not it is used in combination with fosfomycin. The combination was less effective for patients with fosfomycin-resistant isolates.","container-title":"Journal of Antimicrobial Chemotherapy","DOI":"10.1093/jac/dkac023","ISSN":"0305-7453","issue":"5","journalAbbreviation":"Journal of Antimicrobial Chemotherapy","page":"1436-1443","source":"Silverchair","title":"Influence of daptomycin dose and fosfomycin susceptibility on outcome of vancomycin-resistant Enterococcus faecium bloodstream infections treated with daptomycin and fosfomycin combination","volume":"77","author":[{"family":"Chuang","given":"Yu-Chung"},{"family":"Tseng","given":"Tai-Chung"},{"family":"Wang","given":"Jann-Tay"},{"family":"Lin","given":"Chi-Ying"},{"family":"Huang","given":"Sung-Hsi"},{"family":"Chen","given":"Yee-Chun"},{"family":"Chang","given":"Shan-Chwen"}],"issued":{"date-parts":[["2022",5,1]]}}},{"id":1849,"uris":["http://zotero.org/users/9228761/items/MCA86393"],"itemData":{"id":1849,"type":"article-journal","abstract":"INTRODUCTION: High-dose daptomycin-based combinations are recommended for vancomycin-resistant Enterococcus (VRE) bloodstream infection (BSI). Preclinical data have shown a synergistic effect of daptomycin/fosfomycin combinations against VRE. However, clinical studies comparing daptomycin monotherapy with daptomycin/fosfomycin combinations are unavailable.\nMETHODS: An observational study of VRE-BSI was performed between 2010-2021 on patients receiving daptomycin monotherapy (≥ 8 mg/kg) or daptomycin combined with intravenous fosfomycin. Patients treated with concomitant β-lactam combinations were excluded. The primary outcome was in-hospital mortality. Outcomes were analyzed using multivariable logistic regression and augmented inverse probability weighting (AIPW) analyses.\nRESULTS: Among 224 patients, 176 received daptomycin monotherapy, and 48 received fosfomycin combinations. The median daptomycin and fosfomycin doses were 9.8 mg/kg and 12 g/day, respectively. In-hospital mortality was 77.3% and 47.9% in the daptomycin monotherapy and fosfomycin combination groups (P &lt; 0.001), respectively. Multivariable logistic regression analysis predicted lower mortality with fosfomycin combination treatment (adjusted odds ratio, 0.35; 95% confidence interval (CI), 0.17-0.73; P = 0.005). AIPW demonstrated a 17.8% reduced mortality with fosfomycin combinations (95% CI, - 30.6- - 4.9%; P = 0.007). The survival benefit was significant, especially among patients with a lower Pitt bacteremia score or fosfomycin minimum inhibitory concentration (MIC) ≤ 64 mg/l. Fosfomycin combination resulted in higher hypernatremia (10.4% vs. 2.8%, P = 0.04) and hypokalemia (33.3% vs. 15.3%, P = 0.009) compared to daptomycin monotherapy.\nCONCLUSION: The combination of high-dose daptomycin with fosfomycin improved the survival rate of patients with VRE-BSI compared to daptomycin alone. The benefit of the combination was most pronounced for VRE with fosfomycin MIC ≤ 64 mg/l and for patients with a low Pitt bacteremia score.","container-title":"Infectious Diseases and Therapy","DOI":"10.1007/s40121-022-00754-1","ISSN":"2193-8229","issue":"2","journalAbbreviation":"Infect Dis Ther","language":"eng","page":"589-606","PMID":"36629997","PMCID":"PMC9925660","source":"PubMed","title":"The Combination of Daptomycin with Fosfomycin is More Effective than Daptomycin Alone in Reducing Mortality of Vancomycin-Resistant Enterococcal Bloodstream Infections: A Retrospective, Comparative Cohort Study","title-short":"The Combination of Daptomycin with Fosfomycin is More Effective than Daptomycin Alone in Reducing Mortality of Vancomycin-Resistant Enterococcal Bloodstream Infections","volume":"12","author":[{"family":"Tseng","given":"Tai-Chung"},{"family":"Chuang","given":"Yu-Chung"},{"family":"Yang","given":"Jia-Ling"},{"family":"Lin","given":"Chi-Ying"},{"family":"Huang","given":"Sung-Hsi"},{"family":"Wang","given":"Jann-Tay"},{"family":"Chen","given":"Yee-Chun"},{"family":"Chang","given":"Shan-Chwen"}],"issued":{"date-parts":[["2023",2]]}}},{"id":1852,"uris":["http://zotero.org/users/9228761/items/8IQGK76Z"],"itemData":{"id":1852,"type":"article-journal","abstract":"PURPOSE: Case reports of treatment failure with standard-dose daptomycin (6 mg/kg) have recently surfaced in vancomycin-resistant Enterococcus (VRE) bloodstream infection (BSI) episodes with daptomycin MICs of 3 to 4 mg/L. The clinical implications of daptomycin MICs of 3 to 4 mg/L in VRE BSIs have not been elucidated.\nMETHODS: We performed a single institutional retrospective analysis of adult stem cell transplant recipients and patients with hematologic malignancies diagnosed with VRE BSI from 2006 to 2014 and compared outcomes between those with daptomycin MICs of 3 to 4 mg/L those with 2 mg/L, as determined by Etest.\nFINDINGS: Forty-two daptomycin-treated VRE BSI episodes, all due to Enterococcus faecium were identified; 19 episodes with daptomycin MICs of 3 to 4 mg/L and 23 episodes with a daptomycin MIC of 2 mg/L. Patients in the higher daptomycin MIC group were more likely to be male, to be stem cell transplant recipients, and to have received high-dose daptomycin treatment (&gt;6 mg/kg). In unadjusted analyses, microbiological failure in the daptomycin MICs 3 to 4 mg/L versus 2 mg/L groups (odds ratio = 1.79, 95% CI, 0.52-6.11; P = 0.35), the median duration of bacteremia (4 days in daptomycin MICs 3-4 mg/L vs 3 days in daptomycin MIC 2 mg/L; P = 0.18) and all-cause 30-day mortality (21% in daptomycin MICs 3-4 mg/L vs 35% in daptomycin MIC 2 mg/L group; P = 0.49) were not different. In adjusted analyses, the association between higher Pitt bacteremia scores and all-cause 30-day mortality was statistically significant (P = 0.0006), whereas the association between daptomycin MICs of 3 to 4 mg/L and all-cause 30-day mortality approached statistical significance (P = 0.06).\nIMPLICATIONS: Duration of bacteremia and microbiological failure rates did not differ by daptomycin MICs in VRE BSI episodes in our patients, composed of adult stem cell transplant recipients and patients with hematologic malignancies. There was a nonsignificant trend in multivariable analysis suggesting that all-cause 30-day mortality was lower in patients whose VRE bloodstream isolates were with daptomycin MICs of 3 to 4 mg/L.","container-title":"Clinical Therapeutics","DOI":"10.1016/j.clinthera.2016.09.011","ISSN":"1879-114X","issue":"11","journalAbbreviation":"Clin Ther","language":"eng","page":"2468-2476","PMID":"27771176","source":"PubMed","title":"Vancomycin-resistant Enterococcal Bloodstream Infections in Hematopoietic Stem Cell Transplant Recipients and Patients with Hematologic Malignancies: Impact of Daptomycin MICs of 3 to 4 mg/L","title-short":"Vancomycin-resistant Enterococcal Bloodstream Infections in Hematopoietic Stem Cell Transplant Recipients and Patients with Hematologic Malignancies","volume":"38","author":[{"family":"Chong","given":"Pearlie P."},{"family":"Duin","given":"David","non-dropping-particle":"van"},{"family":"Bangdiwala","given":"Ananta"},{"family":"Ivanova","given":"Anastasia"},{"family":"Miller","given":"William C."},{"family":"Weber","given":"David J."},{"family":"Gilligan","given":"Peter H."},{"family":"Shea","given":"Thomas C."}],"issued":{"date-parts":[["2016",11]]}}}],"schema":"https://github.com/citation-style-language/schema/raw/master/csl-citation.json"} </w:instrText>
      </w:r>
      <w:r w:rsidR="00763A82" w:rsidRPr="00B45383">
        <w:rPr>
          <w:b/>
          <w:bCs/>
          <w:lang w:val="en-US"/>
        </w:rPr>
        <w:fldChar w:fldCharType="separate"/>
      </w:r>
      <w:r w:rsidR="00CA69E8" w:rsidRPr="00CA69E8">
        <w:t>(15,20–27)</w:t>
      </w:r>
      <w:r w:rsidR="00763A82" w:rsidRPr="00B45383">
        <w:rPr>
          <w:b/>
          <w:bCs/>
          <w:lang w:val="en-US"/>
        </w:rPr>
        <w:fldChar w:fldCharType="end"/>
      </w:r>
      <w:r w:rsidR="00FB5868" w:rsidRPr="00B45383">
        <w:rPr>
          <w:lang w:val="en-US"/>
        </w:rPr>
        <w:t>.</w:t>
      </w:r>
      <w:r w:rsidR="00F25914" w:rsidRPr="00B45383">
        <w:rPr>
          <w:lang w:val="en-US"/>
        </w:rPr>
        <w:t xml:space="preserve"> </w:t>
      </w:r>
      <w:r w:rsidR="00E7323D">
        <w:rPr>
          <w:lang w:val="en-US"/>
        </w:rPr>
        <w:t>R</w:t>
      </w:r>
      <w:r w:rsidR="00E7323D" w:rsidRPr="007E424D">
        <w:rPr>
          <w:lang w:val="en-US"/>
        </w:rPr>
        <w:t xml:space="preserve">esults for primary outcomes </w:t>
      </w:r>
      <w:r w:rsidR="00E7323D">
        <w:rPr>
          <w:lang w:val="en-US"/>
        </w:rPr>
        <w:t>retrieved from studies analyzing the impact of daptomycin regimens are</w:t>
      </w:r>
      <w:r w:rsidR="00E7323D" w:rsidRPr="007E424D">
        <w:rPr>
          <w:lang w:val="en-US"/>
        </w:rPr>
        <w:t xml:space="preserve"> reported in </w:t>
      </w:r>
      <w:r w:rsidR="00E7323D" w:rsidRPr="000B60DB">
        <w:rPr>
          <w:b/>
          <w:bCs/>
          <w:lang w:val="en-US"/>
        </w:rPr>
        <w:t>Suppl.</w:t>
      </w:r>
      <w:r w:rsidR="00E7323D" w:rsidRPr="000B60DB">
        <w:rPr>
          <w:lang w:val="en-US"/>
        </w:rPr>
        <w:t xml:space="preserve"> </w:t>
      </w:r>
      <w:r w:rsidR="00E7323D" w:rsidRPr="000B60DB">
        <w:rPr>
          <w:b/>
          <w:bCs/>
          <w:lang w:val="en-US"/>
        </w:rPr>
        <w:t xml:space="preserve">Table </w:t>
      </w:r>
      <w:r w:rsidR="00123844">
        <w:rPr>
          <w:b/>
          <w:bCs/>
          <w:lang w:val="en-US"/>
        </w:rPr>
        <w:t>6</w:t>
      </w:r>
      <w:r w:rsidR="00E7323D" w:rsidRPr="007E424D">
        <w:rPr>
          <w:lang w:val="en-US"/>
        </w:rPr>
        <w:t xml:space="preserve">. </w:t>
      </w:r>
      <w:r w:rsidR="00D4167A" w:rsidRPr="00D4167A">
        <w:rPr>
          <w:lang w:val="en-US"/>
        </w:rPr>
        <w:t>A total of six studies (N=2,116 patients) provided data for assessing mortality rate in patients receiving high-dose vs. standard dose daptomycin. High-dose daptomycin was defined as the administration of daptomycin daily dose &gt;9 mg/Kg, 10 mg/Kg, and 11 mg/Kg in three, two, and one study, respectively.</w:t>
      </w:r>
      <w:r w:rsidR="00D4167A" w:rsidRPr="007E424D">
        <w:rPr>
          <w:lang w:val="en-US"/>
        </w:rPr>
        <w:t xml:space="preserve"> Overall, the administration of high-dose daptomycin was associated with significant lower risk of mortality compared to standard dose (OR 0.67; 95%CI 0.52-0.86; </w:t>
      </w:r>
      <w:r w:rsidR="00D4167A" w:rsidRPr="007E424D">
        <w:rPr>
          <w:i/>
          <w:iCs/>
          <w:lang w:val="en-US"/>
        </w:rPr>
        <w:t>I</w:t>
      </w:r>
      <w:r w:rsidR="00D4167A" w:rsidRPr="007E424D">
        <w:rPr>
          <w:vertAlign w:val="superscript"/>
          <w:lang w:val="en-US"/>
        </w:rPr>
        <w:t>2</w:t>
      </w:r>
      <w:r w:rsidR="00D4167A" w:rsidRPr="007E424D">
        <w:rPr>
          <w:lang w:val="en-US"/>
        </w:rPr>
        <w:t xml:space="preserve">=61.7%; </w:t>
      </w:r>
      <w:r w:rsidR="000B60DB" w:rsidRPr="000B60DB">
        <w:rPr>
          <w:b/>
          <w:bCs/>
          <w:lang w:val="en-US"/>
        </w:rPr>
        <w:t>S</w:t>
      </w:r>
      <w:r w:rsidR="00D4167A" w:rsidRPr="000B60DB">
        <w:rPr>
          <w:b/>
          <w:bCs/>
          <w:lang w:val="en-US"/>
        </w:rPr>
        <w:t>uppl</w:t>
      </w:r>
      <w:r w:rsidR="000B60DB" w:rsidRPr="000B60DB">
        <w:rPr>
          <w:b/>
          <w:bCs/>
          <w:lang w:val="en-US"/>
        </w:rPr>
        <w:t>.</w:t>
      </w:r>
      <w:r w:rsidR="00D4167A" w:rsidRPr="000B60DB">
        <w:rPr>
          <w:b/>
          <w:bCs/>
          <w:lang w:val="en-US"/>
        </w:rPr>
        <w:t xml:space="preserve"> Figure</w:t>
      </w:r>
      <w:r w:rsidR="00D4167A" w:rsidRPr="007E424D">
        <w:rPr>
          <w:b/>
          <w:bCs/>
          <w:lang w:val="en-US"/>
        </w:rPr>
        <w:t xml:space="preserve"> </w:t>
      </w:r>
      <w:r w:rsidR="009F233F">
        <w:rPr>
          <w:b/>
          <w:bCs/>
          <w:lang w:val="en-US"/>
        </w:rPr>
        <w:t>8</w:t>
      </w:r>
      <w:r w:rsidR="00D4167A" w:rsidRPr="007E424D">
        <w:rPr>
          <w:lang w:val="en-US"/>
        </w:rPr>
        <w:t xml:space="preserve">). Three studies (N=999 patients) provided data for assessing mortality rate in patients receiving daptomycin combination therapy vs. monotherapy. In two studies daptomycin was used in association with beta-lactams, whereas fosfomycin was administered for combination therapy in the other. Overall, a lower risk of mortality was found in patients treated with daptomycin combination therapy compared to monotherapy (OR 0.56; 95%CI 0.36-0.89; </w:t>
      </w:r>
      <w:r w:rsidR="00D4167A" w:rsidRPr="007E424D">
        <w:rPr>
          <w:i/>
          <w:iCs/>
          <w:lang w:val="en-US"/>
        </w:rPr>
        <w:t>I</w:t>
      </w:r>
      <w:r w:rsidR="00D4167A" w:rsidRPr="007E424D">
        <w:rPr>
          <w:vertAlign w:val="superscript"/>
          <w:lang w:val="en-US"/>
        </w:rPr>
        <w:t>2</w:t>
      </w:r>
      <w:r w:rsidR="00D4167A" w:rsidRPr="007E424D">
        <w:rPr>
          <w:lang w:val="en-US"/>
        </w:rPr>
        <w:t xml:space="preserve">=33.8%; </w:t>
      </w:r>
      <w:r w:rsidR="008A75C4" w:rsidRPr="008A75C4">
        <w:rPr>
          <w:b/>
          <w:bCs/>
          <w:lang w:val="en-US"/>
        </w:rPr>
        <w:t>S</w:t>
      </w:r>
      <w:r w:rsidR="00D4167A" w:rsidRPr="008A75C4">
        <w:rPr>
          <w:b/>
          <w:bCs/>
          <w:lang w:val="en-US"/>
        </w:rPr>
        <w:t>uppl</w:t>
      </w:r>
      <w:r w:rsidR="008A75C4" w:rsidRPr="008A75C4">
        <w:rPr>
          <w:b/>
          <w:bCs/>
          <w:lang w:val="en-US"/>
        </w:rPr>
        <w:t>.</w:t>
      </w:r>
      <w:r w:rsidR="00D4167A" w:rsidRPr="008A75C4">
        <w:rPr>
          <w:b/>
          <w:bCs/>
          <w:lang w:val="en-US"/>
        </w:rPr>
        <w:t xml:space="preserve"> </w:t>
      </w:r>
      <w:r w:rsidR="00D4167A" w:rsidRPr="007E424D">
        <w:rPr>
          <w:b/>
          <w:bCs/>
          <w:lang w:val="en-US"/>
        </w:rPr>
        <w:t xml:space="preserve">Figure </w:t>
      </w:r>
      <w:r w:rsidR="009F233F">
        <w:rPr>
          <w:b/>
          <w:bCs/>
          <w:lang w:val="en-US"/>
        </w:rPr>
        <w:t>9</w:t>
      </w:r>
      <w:r w:rsidR="00D4167A" w:rsidRPr="007E424D">
        <w:rPr>
          <w:lang w:val="en-US"/>
        </w:rPr>
        <w:t xml:space="preserve">). Three studies (N=250 patients) provided data for assessing mortality rate according to daptomycin MIC values </w:t>
      </w:r>
      <w:r w:rsidR="00D4167A" w:rsidRPr="007E424D">
        <w:rPr>
          <w:lang w:val="en-US"/>
        </w:rPr>
        <w:fldChar w:fldCharType="begin"/>
      </w:r>
      <w:r w:rsidR="00CA69E8">
        <w:rPr>
          <w:lang w:val="en-US"/>
        </w:rPr>
        <w:instrText xml:space="preserve"> ADDIN ZOTERO_ITEM CSL_CITATION {"citationID":"tlBGSQ1b","properties":{"formattedCitation":"(21,25,27)","plainCitation":"(21,25,27)","noteIndex":0},"citationItems":[{"id":1837,"uris":["http://zotero.org/users/9228761/items/WBHP3U4I"],"itemData":{"id":1837,"type":"article-journal","abstract":"BACKGROUND: Treatment options for vancomycin-resistant enterococci (VRE) bloodstream infection (BSI) are limited. Daptomycin, although not currently approved for this indication, is frequently used for the treatment of VRE-BSI. Its optimal dose still needs to be determined.\nMETHODS: We conducted a prospective, observational, cohort study during 2010-2015. We included patients who received a daptomycin dose of ≥6 mg/kg for the treatment of VRE-BSI caused by daptomycin-susceptible VRE. The primary endpoint was 14-day mortality, and multivariable logistic regression was performed for outcome analysis.\nRESULTS: We included 112 patients treated with daptomycin for VRE-BSI and with evaluable clinical outcomes. The daptomycin minimum inhibitory concentration (MIC) was 4 mg/L in 78 (69.6%) and ≤2 mg/L in 34 (30.4%) isolates. The overall mortality was 40/112 (35.7%). The unadjusted mortality was 18/36 (50.0%) for a daptomycin dose of &lt;7 mg/kg, 17/51 (33.3%) for a dose of 7-9 mg/kg, and 5/25 (20%) for a dose of ≥9 mg/kg (P = .05). The best outcomes were associated with a daptomycin dose of ≥9 mg/kg compared to doses of &lt;7 mg/kg (adjusted odds ratio [aOR], 10.57; 95% confidence interval [CI], 2.25-49.62; P=.003) and 7-9 mg/kg (aOR, 5.01; 95% CI, 1.14-21.98; P=.03). There was no significant difference in mortality with respect to the daptomycin MIC. There was no association between daptomycin dose and elevated creatinine kinase.\nCONCLUSION: Higher daptomycin doses (≥9 mg/kg) were associated with lower mortality in patients with VRE-BSI. Our results suggest that higher daptomycin doses need to be considered for VRE-BSI treatment.","container-title":"Clinical Infectious Diseases: An Official Publication of the Infectious Diseases Society of America","DOI":"10.1093/cid/cix024","ISSN":"1537-6591","issue":"8","journalAbbreviation":"Clin Infect Dis","language":"eng","page":"1026-1034","PMID":"28329222","source":"PubMed","title":"Effect of Daptomycin Dose on the Outcome of Vancomycin-Resistant, Daptomycin-Susceptible Enterococcus faecium Bacteremia","volume":"64","author":[{"family":"Chuang","given":"Yu-Chung"},{"family":"Lin","given":"Hsin-Yi"},{"family":"Chen","given":"Pao-Yu"},{"family":"Lin","given":"Chi-Ying"},{"family":"Wang","given":"Jann-Tay"},{"family":"Chen","given":"Yee-Chun"},{"family":"Chang","given":"Shan-Chwen"}],"issued":{"date-parts":[["2017",4,15]]}}},{"id":783,"uris":["http://zotero.org/users/9228761/items/8S7QZR9Q"],"itemData":{"id":783,"type":"article-journal","abstract":"Synergistic combinations of daptomycin and β-lactam antibiotics are currently recommended for treatment of VRE bloodstream infection (BSI). The efficacy of these combinations is jeopardized by VRE inherently resistant to β-lactam antibiotics. The combination of daptomycin and fosfomycin is recommended as an alternative therapy for VRE BSI; however, clinical data to support use of this combination are lacking.We conducted a prospective observational multicentre study of patients treated with a combination of daptomycin and fosfomycin for VRE BSI during 2016–20. The primary outcome was 28 day mortality. Multivariable logistic regression was performed for outcome analysis.The study included 106 patients from 1112 VRE BSI episodes. The overall 28 day mortality was 40.6%. The median (IQR) daptomycin dose was 10.18 mg/kg (9.43–10.70). The fosfomycin dose was 16 g/day (8–22.5). Ninety-six isolates were available for MIC testing. The fosfomycin MIC was 32 mg/L in 6 (6.3%), 64 mg/L in 68 (70.8%) and ≥128 mg/L in 22 (22.9%) isolates. Independent of Charlson comorbidity index and Pitt bacteraemia score, fosfomycin MIC ≥128 mg/L [adjusted OR (aOR) = 3.05; 95% CI = 1.01–9.19; P = 0.047] and daptomycin dose (aOR = 0.64; 95% CI = 0.43–0.97; P = 0.04) predicted mortality.Higher daptomycin dose and susceptibility to fosfomycin were independently associated with lower mortality in patients with VRE BSI. Our results suggest that higher doses of daptomycin are indicated for VRE BSI, whether or not it is used in combination with fosfomycin. The combination was less effective for patients with fosfomycin-resistant isolates.","container-title":"Journal of Antimicrobial Chemotherapy","DOI":"10.1093/jac/dkac023","ISSN":"0305-7453","issue":"5","journalAbbreviation":"Journal of Antimicrobial Chemotherapy","page":"1436-1443","source":"Silverchair","title":"Influence of daptomycin dose and fosfomycin susceptibility on outcome of vancomycin-resistant Enterococcus faecium bloodstream infections treated with daptomycin and fosfomycin combination","volume":"77","author":[{"family":"Chuang","given":"Yu-Chung"},{"family":"Tseng","given":"Tai-Chung"},{"family":"Wang","given":"Jann-Tay"},{"family":"Lin","given":"Chi-Ying"},{"family":"Huang","given":"Sung-Hsi"},{"family":"Chen","given":"Yee-Chun"},{"family":"Chang","given":"Shan-Chwen"}],"issued":{"date-parts":[["2022",5,1]]}}},{"id":1852,"uris":["http://zotero.org/users/9228761/items/8IQGK76Z"],"itemData":{"id":1852,"type":"article-journal","abstract":"PURPOSE: Case reports of treatment failure with standard-dose daptomycin (6 mg/kg) have recently surfaced in vancomycin-resistant Enterococcus (VRE) bloodstream infection (BSI) episodes with daptomycin MICs of 3 to 4 mg/L. The clinical implications of daptomycin MICs of 3 to 4 mg/L in VRE BSIs have not been elucidated.\nMETHODS: We performed a single institutional retrospective analysis of adult stem cell transplant recipients and patients with hematologic malignancies diagnosed with VRE BSI from 2006 to 2014 and compared outcomes between those with daptomycin MICs of 3 to 4 mg/L those with 2 mg/L, as determined by Etest.\nFINDINGS: Forty-two daptomycin-treated VRE BSI episodes, all due to Enterococcus faecium were identified; 19 episodes with daptomycin MICs of 3 to 4 mg/L and 23 episodes with a daptomycin MIC of 2 mg/L. Patients in the higher daptomycin MIC group were more likely to be male, to be stem cell transplant recipients, and to have received high-dose daptomycin treatment (&gt;6 mg/kg). In unadjusted analyses, microbiological failure in the daptomycin MICs 3 to 4 mg/L versus 2 mg/L groups (odds ratio = 1.79, 95% CI, 0.52-6.11; P = 0.35), the median duration of bacteremia (4 days in daptomycin MICs 3-4 mg/L vs 3 days in daptomycin MIC 2 mg/L; P = 0.18) and all-cause 30-day mortality (21% in daptomycin MICs 3-4 mg/L vs 35% in daptomycin MIC 2 mg/L group; P = 0.49) were not different. In adjusted analyses, the association between higher Pitt bacteremia scores and all-cause 30-day mortality was statistically significant (P = 0.0006), whereas the association between daptomycin MICs of 3 to 4 mg/L and all-cause 30-day mortality approached statistical significance (P = 0.06).\nIMPLICATIONS: Duration of bacteremia and microbiological failure rates did not differ by daptomycin MICs in VRE BSI episodes in our patients, composed of adult stem cell transplant recipients and patients with hematologic malignancies. There was a nonsignificant trend in multivariable analysis suggesting that all-cause 30-day mortality was lower in patients whose VRE bloodstream isolates were with daptomycin MICs of 3 to 4 mg/L.","container-title":"Clinical Therapeutics","DOI":"10.1016/j.clinthera.2016.09.011","ISSN":"1879-114X","issue":"11","journalAbbreviation":"Clin Ther","language":"eng","page":"2468-2476","PMID":"27771176","source":"PubMed","title":"Vancomycin-resistant Enterococcal Bloodstream Infections in Hematopoietic Stem Cell Transplant Recipients and Patients with Hematologic Malignancies: Impact of Daptomycin MICs of 3 to 4 mg/L","title-short":"Vancomycin-resistant Enterococcal Bloodstream Infections in Hematopoietic Stem Cell Transplant Recipients and Patients with Hematologic Malignancies","volume":"38","author":[{"family":"Chong","given":"Pearlie P."},{"family":"Duin","given":"David","non-dropping-particle":"van"},{"family":"Bangdiwala","given":"Ananta"},{"family":"Ivanova","given":"Anastasia"},{"family":"Miller","given":"William C."},{"family":"Weber","given":"David J."},{"family":"Gilligan","given":"Peter H."},{"family":"Shea","given":"Thomas C."}],"issued":{"date-parts":[["2016",11]]}}}],"schema":"https://github.com/citation-style-language/schema/raw/master/csl-citation.json"} </w:instrText>
      </w:r>
      <w:r w:rsidR="00D4167A" w:rsidRPr="007E424D">
        <w:rPr>
          <w:lang w:val="en-US"/>
        </w:rPr>
        <w:fldChar w:fldCharType="separate"/>
      </w:r>
      <w:r w:rsidR="00CA69E8" w:rsidRPr="00CA69E8">
        <w:t>(21,25,27)</w:t>
      </w:r>
      <w:r w:rsidR="00D4167A" w:rsidRPr="007E424D">
        <w:rPr>
          <w:lang w:val="en-US"/>
        </w:rPr>
        <w:fldChar w:fldCharType="end"/>
      </w:r>
      <w:r w:rsidR="00D4167A" w:rsidRPr="007E424D">
        <w:rPr>
          <w:lang w:val="en-US"/>
        </w:rPr>
        <w:t xml:space="preserve">. No significant higher risk of mortality was found in VRE BSI showing a daptomycin MIC value &gt;2 compared to those with a MIC value ≤2 (OR 0.55; 95%CI 0.23-1.32; </w:t>
      </w:r>
      <w:r w:rsidR="00D4167A" w:rsidRPr="007E424D">
        <w:rPr>
          <w:i/>
          <w:iCs/>
          <w:lang w:val="en-US"/>
        </w:rPr>
        <w:t>I</w:t>
      </w:r>
      <w:r w:rsidR="00D4167A" w:rsidRPr="007E424D">
        <w:rPr>
          <w:vertAlign w:val="superscript"/>
          <w:lang w:val="en-US"/>
        </w:rPr>
        <w:t>2</w:t>
      </w:r>
      <w:r w:rsidR="00D4167A" w:rsidRPr="007E424D">
        <w:rPr>
          <w:lang w:val="en-US"/>
        </w:rPr>
        <w:t xml:space="preserve">=0.0%; </w:t>
      </w:r>
      <w:r w:rsidR="00D4167A" w:rsidRPr="008A75C4">
        <w:rPr>
          <w:b/>
          <w:bCs/>
          <w:lang w:val="en-US"/>
        </w:rPr>
        <w:t xml:space="preserve">Supplementary Figure </w:t>
      </w:r>
      <w:r w:rsidR="009F233F">
        <w:rPr>
          <w:b/>
          <w:bCs/>
          <w:lang w:val="en-US"/>
        </w:rPr>
        <w:t>10</w:t>
      </w:r>
      <w:r w:rsidR="00D4167A" w:rsidRPr="008A75C4">
        <w:rPr>
          <w:lang w:val="en-US"/>
        </w:rPr>
        <w:t>).</w:t>
      </w:r>
    </w:p>
    <w:p w14:paraId="6FB61D37" w14:textId="77777777" w:rsidR="00E7323D" w:rsidRPr="00E7323D" w:rsidRDefault="00E7323D" w:rsidP="00BB2244">
      <w:pPr>
        <w:spacing w:line="480" w:lineRule="auto"/>
        <w:jc w:val="both"/>
        <w:rPr>
          <w:color w:val="FF0000"/>
          <w:lang w:val="en-US"/>
        </w:rPr>
      </w:pPr>
    </w:p>
    <w:p w14:paraId="5CF7EBE7" w14:textId="77777777" w:rsidR="004D081C" w:rsidRPr="00A22780" w:rsidRDefault="004D081C" w:rsidP="00BB2244">
      <w:pPr>
        <w:spacing w:line="480" w:lineRule="auto"/>
        <w:jc w:val="both"/>
        <w:rPr>
          <w:b/>
          <w:bCs/>
          <w:lang w:val="en-US"/>
        </w:rPr>
      </w:pPr>
      <w:r>
        <w:rPr>
          <w:b/>
          <w:bCs/>
          <w:lang w:val="en-US"/>
        </w:rPr>
        <w:t>Sensitivity analysis</w:t>
      </w:r>
    </w:p>
    <w:p w14:paraId="5A970B49" w14:textId="6E094905" w:rsidR="001F493A" w:rsidRDefault="00FD4374" w:rsidP="00BB2244">
      <w:pPr>
        <w:spacing w:line="480" w:lineRule="auto"/>
        <w:jc w:val="both"/>
        <w:rPr>
          <w:lang w:val="en-US"/>
        </w:rPr>
      </w:pPr>
      <w:r w:rsidRPr="00A07291">
        <w:rPr>
          <w:lang w:val="en-US"/>
        </w:rPr>
        <w:lastRenderedPageBreak/>
        <w:t xml:space="preserve">In regard to PECO 2, after excluding studies at serious of bias, no differences in primary outcomes were reported. </w:t>
      </w:r>
      <w:r w:rsidR="00B430C6" w:rsidRPr="00FE7E72">
        <w:rPr>
          <w:lang w:val="en-US"/>
        </w:rPr>
        <w:t xml:space="preserve">In regard to PICO 4, </w:t>
      </w:r>
      <w:r w:rsidR="00FE7E72" w:rsidRPr="00FE7E72">
        <w:rPr>
          <w:lang w:val="en-US"/>
        </w:rPr>
        <w:t>after excluding studies at serious of bias, no differences in primary outcomes were reported.</w:t>
      </w:r>
      <w:r w:rsidR="00FE7E72">
        <w:rPr>
          <w:lang w:val="en-US"/>
        </w:rPr>
        <w:t xml:space="preserve"> </w:t>
      </w:r>
      <w:r w:rsidR="00802D24">
        <w:rPr>
          <w:lang w:val="en-US"/>
        </w:rPr>
        <w:t xml:space="preserve">A sensitivity analysis was performed for studies exploring daptomycin dosage, </w:t>
      </w:r>
      <w:r w:rsidR="00FE7E72" w:rsidRPr="00802D24">
        <w:rPr>
          <w:lang w:val="en-US"/>
        </w:rPr>
        <w:t xml:space="preserve">after excluding studies at serious of bias, no differences in primary outcomes were reported. </w:t>
      </w:r>
      <w:r w:rsidR="001F493A" w:rsidRPr="00BF144B">
        <w:rPr>
          <w:lang w:val="en-US"/>
        </w:rPr>
        <w:t>In regard to PECO 1 and PICO 3, no sensitivity analysis was conducted considering that meta-analysis was not performed.</w:t>
      </w:r>
    </w:p>
    <w:p w14:paraId="35B3FB29" w14:textId="77777777" w:rsidR="00715674" w:rsidRPr="00DA28D1" w:rsidRDefault="00715674" w:rsidP="00BB2244">
      <w:pPr>
        <w:spacing w:line="480" w:lineRule="auto"/>
        <w:jc w:val="both"/>
        <w:rPr>
          <w:lang w:val="en-US"/>
        </w:rPr>
      </w:pPr>
    </w:p>
    <w:p w14:paraId="5CF7EBE9" w14:textId="77777777" w:rsidR="00B43953" w:rsidRPr="00DA28D1" w:rsidRDefault="00B43953" w:rsidP="00BB2244">
      <w:pPr>
        <w:spacing w:line="480" w:lineRule="auto"/>
        <w:jc w:val="both"/>
        <w:rPr>
          <w:b/>
          <w:bCs/>
          <w:lang w:val="en-US"/>
        </w:rPr>
      </w:pPr>
      <w:r w:rsidRPr="00DA28D1">
        <w:rPr>
          <w:b/>
          <w:bCs/>
          <w:lang w:val="en-US"/>
        </w:rPr>
        <w:t>Quality of the included studies</w:t>
      </w:r>
    </w:p>
    <w:p w14:paraId="4748ABDA" w14:textId="47E86F85" w:rsidR="00F85CE8" w:rsidRDefault="00F85CE8" w:rsidP="00BB2244">
      <w:pPr>
        <w:spacing w:line="480" w:lineRule="auto"/>
        <w:jc w:val="both"/>
        <w:rPr>
          <w:lang w:val="en-US"/>
        </w:rPr>
      </w:pPr>
      <w:r>
        <w:rPr>
          <w:lang w:val="en-US"/>
        </w:rPr>
        <w:t>PECO 2</w:t>
      </w:r>
    </w:p>
    <w:p w14:paraId="2A0D040A" w14:textId="35AFC007" w:rsidR="00FD4374" w:rsidRDefault="00FD4374" w:rsidP="00FD4374">
      <w:pPr>
        <w:spacing w:line="480" w:lineRule="auto"/>
        <w:jc w:val="both"/>
        <w:rPr>
          <w:lang w:val="en-US"/>
        </w:rPr>
      </w:pPr>
      <w:r w:rsidRPr="00DA28D1">
        <w:rPr>
          <w:lang w:val="en-US"/>
        </w:rPr>
        <w:t xml:space="preserve">Among included studies, </w:t>
      </w:r>
      <w:r>
        <w:rPr>
          <w:lang w:val="en-US"/>
        </w:rPr>
        <w:t>one</w:t>
      </w:r>
      <w:r w:rsidRPr="00DA28D1">
        <w:rPr>
          <w:lang w:val="en-US"/>
        </w:rPr>
        <w:t xml:space="preserve"> out of the </w:t>
      </w:r>
      <w:r>
        <w:rPr>
          <w:lang w:val="en-US"/>
        </w:rPr>
        <w:t>six</w:t>
      </w:r>
      <w:r w:rsidRPr="00DA28D1">
        <w:rPr>
          <w:lang w:val="en-US"/>
        </w:rPr>
        <w:t xml:space="preserve"> included studies showed </w:t>
      </w:r>
      <w:r>
        <w:rPr>
          <w:lang w:val="en-US"/>
        </w:rPr>
        <w:t xml:space="preserve">serious </w:t>
      </w:r>
      <w:r w:rsidRPr="00DA28D1">
        <w:rPr>
          <w:lang w:val="en-US"/>
        </w:rPr>
        <w:t>risk of bias in at least one domain</w:t>
      </w:r>
      <w:r>
        <w:rPr>
          <w:lang w:val="en-US"/>
        </w:rPr>
        <w:t xml:space="preserve"> </w:t>
      </w:r>
      <w:r w:rsidRPr="00DA28D1">
        <w:rPr>
          <w:lang w:val="en-US"/>
        </w:rPr>
        <w:t xml:space="preserve">due to </w:t>
      </w:r>
      <w:r>
        <w:rPr>
          <w:lang w:val="en-US"/>
        </w:rPr>
        <w:t>missing data</w:t>
      </w:r>
      <w:r w:rsidRPr="00DA28D1">
        <w:rPr>
          <w:lang w:val="en-US"/>
        </w:rPr>
        <w:t xml:space="preserve">. </w:t>
      </w:r>
      <w:r>
        <w:rPr>
          <w:lang w:val="en-US"/>
        </w:rPr>
        <w:t>Five</w:t>
      </w:r>
      <w:r w:rsidRPr="00DA28D1">
        <w:rPr>
          <w:lang w:val="en-US"/>
        </w:rPr>
        <w:t xml:space="preserve"> studies were classified as being at moderate risk of bias, while none of the included observational studies exhibited a low risk of bias (</w:t>
      </w:r>
      <w:r w:rsidRPr="00DA28D1">
        <w:rPr>
          <w:b/>
          <w:bCs/>
          <w:lang w:val="en-US"/>
        </w:rPr>
        <w:t xml:space="preserve">Supplementary Table </w:t>
      </w:r>
      <w:r w:rsidR="00123844">
        <w:rPr>
          <w:b/>
          <w:bCs/>
          <w:lang w:val="en-US"/>
        </w:rPr>
        <w:t>7</w:t>
      </w:r>
      <w:r w:rsidRPr="00DA28D1">
        <w:rPr>
          <w:lang w:val="en-US"/>
        </w:rPr>
        <w:t xml:space="preserve">). </w:t>
      </w:r>
    </w:p>
    <w:p w14:paraId="278B20FA" w14:textId="61ED4110" w:rsidR="00D47CBB" w:rsidRDefault="00D47CBB" w:rsidP="00BB2244">
      <w:pPr>
        <w:spacing w:line="480" w:lineRule="auto"/>
        <w:jc w:val="both"/>
        <w:rPr>
          <w:lang w:val="en-US"/>
        </w:rPr>
      </w:pPr>
      <w:r w:rsidRPr="00295B7D">
        <w:rPr>
          <w:lang w:val="en-US"/>
        </w:rPr>
        <w:t>P</w:t>
      </w:r>
      <w:r w:rsidR="00AE1D7D" w:rsidRPr="00295B7D">
        <w:rPr>
          <w:lang w:val="en-US"/>
        </w:rPr>
        <w:t>I</w:t>
      </w:r>
      <w:r w:rsidRPr="00295B7D">
        <w:rPr>
          <w:lang w:val="en-US"/>
        </w:rPr>
        <w:t>CO 4</w:t>
      </w:r>
    </w:p>
    <w:p w14:paraId="59BADE79" w14:textId="250186AF" w:rsidR="00740B37" w:rsidRDefault="00295B7D" w:rsidP="00295B7D">
      <w:pPr>
        <w:spacing w:line="480" w:lineRule="auto"/>
        <w:jc w:val="both"/>
        <w:rPr>
          <w:lang w:val="en-US"/>
        </w:rPr>
      </w:pPr>
      <w:r w:rsidRPr="00345C5E">
        <w:rPr>
          <w:lang w:val="en-US"/>
        </w:rPr>
        <w:t xml:space="preserve">Among included studies, </w:t>
      </w:r>
      <w:r w:rsidR="00345C5E" w:rsidRPr="00345C5E">
        <w:rPr>
          <w:lang w:val="en-US"/>
        </w:rPr>
        <w:t>one</w:t>
      </w:r>
      <w:r w:rsidRPr="00345C5E">
        <w:rPr>
          <w:lang w:val="en-US"/>
        </w:rPr>
        <w:t xml:space="preserve"> out of </w:t>
      </w:r>
      <w:r w:rsidR="00345C5E" w:rsidRPr="00345C5E">
        <w:rPr>
          <w:lang w:val="en-US"/>
        </w:rPr>
        <w:t xml:space="preserve">eight </w:t>
      </w:r>
      <w:r w:rsidRPr="00345C5E">
        <w:rPr>
          <w:lang w:val="en-US"/>
        </w:rPr>
        <w:t>included studies showed serious risk of bias in at least one domai</w:t>
      </w:r>
      <w:r w:rsidR="00345C5E" w:rsidRPr="00345C5E">
        <w:rPr>
          <w:lang w:val="en-US"/>
        </w:rPr>
        <w:t>n for bias due to confounding</w:t>
      </w:r>
      <w:r w:rsidRPr="00345C5E">
        <w:rPr>
          <w:lang w:val="en-US"/>
        </w:rPr>
        <w:t>. All the remaining studies were classified as being at moderate risk of bias (</w:t>
      </w:r>
      <w:r w:rsidRPr="00345C5E">
        <w:rPr>
          <w:b/>
          <w:bCs/>
          <w:lang w:val="en-US"/>
        </w:rPr>
        <w:t xml:space="preserve">Supplementary Table </w:t>
      </w:r>
      <w:r w:rsidR="00123844">
        <w:rPr>
          <w:b/>
          <w:bCs/>
          <w:lang w:val="en-US"/>
        </w:rPr>
        <w:t>8</w:t>
      </w:r>
      <w:r w:rsidRPr="00345C5E">
        <w:rPr>
          <w:lang w:val="en-US"/>
        </w:rPr>
        <w:t>).</w:t>
      </w:r>
      <w:r w:rsidRPr="00DA28D1">
        <w:rPr>
          <w:lang w:val="en-US"/>
        </w:rPr>
        <w:t xml:space="preserve"> </w:t>
      </w:r>
    </w:p>
    <w:p w14:paraId="572A2D58" w14:textId="77777777" w:rsidR="001F2AFE" w:rsidRDefault="00740B37" w:rsidP="00740B37">
      <w:pPr>
        <w:spacing w:after="160" w:line="259" w:lineRule="auto"/>
        <w:rPr>
          <w:lang w:val="en-US"/>
        </w:rPr>
        <w:sectPr w:rsidR="001F2AFE" w:rsidSect="001F2AFE">
          <w:footerReference w:type="default" r:id="rId8"/>
          <w:pgSz w:w="11906" w:h="16838"/>
          <w:pgMar w:top="1411" w:right="1138" w:bottom="1138" w:left="1138" w:header="706" w:footer="706" w:gutter="0"/>
          <w:cols w:space="708"/>
          <w:docGrid w:linePitch="360"/>
        </w:sectPr>
      </w:pPr>
      <w:r>
        <w:rPr>
          <w:lang w:val="en-US"/>
        </w:rPr>
        <w:br w:type="page"/>
      </w:r>
    </w:p>
    <w:p w14:paraId="7315664C" w14:textId="34346506" w:rsidR="00740B37" w:rsidRPr="00740B37" w:rsidRDefault="00E604EC" w:rsidP="00740B37">
      <w:pPr>
        <w:spacing w:after="160" w:line="259" w:lineRule="auto"/>
        <w:rPr>
          <w:lang w:val="en-US"/>
        </w:rPr>
      </w:pPr>
      <w:r>
        <w:rPr>
          <w:rFonts w:eastAsia="Calibri"/>
          <w:b/>
          <w:sz w:val="22"/>
          <w:szCs w:val="22"/>
          <w:lang w:val="en-US" w:eastAsia="en-US"/>
        </w:rPr>
        <w:lastRenderedPageBreak/>
        <w:t xml:space="preserve">Supplementary </w:t>
      </w:r>
      <w:r w:rsidR="00740B37" w:rsidRPr="00740B37">
        <w:rPr>
          <w:rFonts w:eastAsia="Calibri"/>
          <w:b/>
          <w:sz w:val="22"/>
          <w:szCs w:val="22"/>
          <w:lang w:val="en-US" w:eastAsia="en-US"/>
        </w:rPr>
        <w:t>Table 1.</w:t>
      </w:r>
      <w:r w:rsidR="00740B37" w:rsidRPr="00740B37">
        <w:rPr>
          <w:rFonts w:eastAsia="Calibri"/>
          <w:sz w:val="22"/>
          <w:szCs w:val="22"/>
          <w:lang w:val="en-US" w:eastAsia="en-US"/>
        </w:rPr>
        <w:t xml:space="preserve"> Principal characteristics of included studies for PECO 2.</w:t>
      </w:r>
    </w:p>
    <w:tbl>
      <w:tblPr>
        <w:tblStyle w:val="Grigliatabella1"/>
        <w:tblpPr w:leftFromText="141" w:rightFromText="141" w:vertAnchor="page" w:horzAnchor="margin" w:tblpXSpec="center" w:tblpY="1700"/>
        <w:tblW w:w="5546" w:type="pct"/>
        <w:tblLook w:val="04A0" w:firstRow="1" w:lastRow="0" w:firstColumn="1" w:lastColumn="0" w:noHBand="0" w:noVBand="1"/>
      </w:tblPr>
      <w:tblGrid>
        <w:gridCol w:w="1008"/>
        <w:gridCol w:w="1192"/>
        <w:gridCol w:w="929"/>
        <w:gridCol w:w="956"/>
        <w:gridCol w:w="1219"/>
        <w:gridCol w:w="991"/>
        <w:gridCol w:w="1178"/>
        <w:gridCol w:w="1188"/>
        <w:gridCol w:w="1542"/>
        <w:gridCol w:w="795"/>
        <w:gridCol w:w="874"/>
        <w:gridCol w:w="975"/>
        <w:gridCol w:w="1064"/>
        <w:gridCol w:w="972"/>
        <w:gridCol w:w="953"/>
      </w:tblGrid>
      <w:tr w:rsidR="00740B37" w:rsidRPr="00740B37" w14:paraId="4D3CE3C5" w14:textId="77777777" w:rsidTr="00AA51D2">
        <w:tc>
          <w:tcPr>
            <w:tcW w:w="318" w:type="pct"/>
            <w:vAlign w:val="center"/>
          </w:tcPr>
          <w:p w14:paraId="1702684C"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Study reference</w:t>
            </w:r>
          </w:p>
        </w:tc>
        <w:tc>
          <w:tcPr>
            <w:tcW w:w="376" w:type="pct"/>
            <w:vAlign w:val="center"/>
          </w:tcPr>
          <w:p w14:paraId="5267FAA8"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Stud design</w:t>
            </w:r>
          </w:p>
        </w:tc>
        <w:tc>
          <w:tcPr>
            <w:tcW w:w="293" w:type="pct"/>
            <w:vAlign w:val="center"/>
          </w:tcPr>
          <w:p w14:paraId="7A07F112"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Country</w:t>
            </w:r>
          </w:p>
        </w:tc>
        <w:tc>
          <w:tcPr>
            <w:tcW w:w="302" w:type="pct"/>
            <w:vAlign w:val="center"/>
          </w:tcPr>
          <w:p w14:paraId="1DB82AEA"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Time period</w:t>
            </w:r>
          </w:p>
        </w:tc>
        <w:tc>
          <w:tcPr>
            <w:tcW w:w="385" w:type="pct"/>
            <w:vAlign w:val="center"/>
          </w:tcPr>
          <w:p w14:paraId="3D5311B9"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N. of enrolled patients</w:t>
            </w:r>
          </w:p>
          <w:p w14:paraId="36DBC152"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(VRE vs. VSE)</w:t>
            </w:r>
          </w:p>
        </w:tc>
        <w:tc>
          <w:tcPr>
            <w:tcW w:w="313" w:type="pct"/>
            <w:vAlign w:val="center"/>
          </w:tcPr>
          <w:p w14:paraId="27943BD6"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Age</w:t>
            </w:r>
          </w:p>
          <w:p w14:paraId="7CC83A6F"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(mean or median)</w:t>
            </w:r>
          </w:p>
        </w:tc>
        <w:tc>
          <w:tcPr>
            <w:tcW w:w="372" w:type="pct"/>
            <w:vAlign w:val="center"/>
          </w:tcPr>
          <w:p w14:paraId="2876AF49"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Sex</w:t>
            </w:r>
          </w:p>
          <w:p w14:paraId="6C2F39D7"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(Male)</w:t>
            </w:r>
          </w:p>
        </w:tc>
        <w:tc>
          <w:tcPr>
            <w:tcW w:w="375" w:type="pct"/>
          </w:tcPr>
          <w:p w14:paraId="6ACAE164"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N. of ICU patients (VRE vs. VSE)</w:t>
            </w:r>
          </w:p>
        </w:tc>
        <w:tc>
          <w:tcPr>
            <w:tcW w:w="487" w:type="pct"/>
          </w:tcPr>
          <w:p w14:paraId="0435B5F0"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N. of immunosuppressed patients (VRE vs. VSE)</w:t>
            </w:r>
          </w:p>
        </w:tc>
        <w:tc>
          <w:tcPr>
            <w:tcW w:w="835" w:type="pct"/>
            <w:gridSpan w:val="3"/>
            <w:vAlign w:val="center"/>
          </w:tcPr>
          <w:p w14:paraId="1B916E5D"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Exposed group</w:t>
            </w:r>
          </w:p>
          <w:p w14:paraId="3543A5C6"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(Type of BSI)</w:t>
            </w:r>
          </w:p>
        </w:tc>
        <w:tc>
          <w:tcPr>
            <w:tcW w:w="944" w:type="pct"/>
            <w:gridSpan w:val="3"/>
            <w:vAlign w:val="center"/>
          </w:tcPr>
          <w:p w14:paraId="7F3B7B69"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Comparator group</w:t>
            </w:r>
          </w:p>
          <w:p w14:paraId="27FA6D39"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(Type of BSI)</w:t>
            </w:r>
          </w:p>
        </w:tc>
      </w:tr>
      <w:tr w:rsidR="00740B37" w:rsidRPr="00740B37" w14:paraId="7CF2E4B8" w14:textId="77777777" w:rsidTr="00AA51D2">
        <w:tc>
          <w:tcPr>
            <w:tcW w:w="318" w:type="pct"/>
            <w:vAlign w:val="center"/>
          </w:tcPr>
          <w:p w14:paraId="33FAE205" w14:textId="77777777" w:rsidR="00740B37" w:rsidRPr="00740B37" w:rsidRDefault="00740B37" w:rsidP="00740B37">
            <w:pPr>
              <w:jc w:val="center"/>
              <w:rPr>
                <w:rFonts w:eastAsia="Calibri"/>
                <w:sz w:val="16"/>
                <w:szCs w:val="16"/>
                <w:lang w:val="en-GB" w:eastAsia="en-US"/>
              </w:rPr>
            </w:pPr>
          </w:p>
        </w:tc>
        <w:tc>
          <w:tcPr>
            <w:tcW w:w="376" w:type="pct"/>
            <w:vAlign w:val="center"/>
          </w:tcPr>
          <w:p w14:paraId="3ABDB169" w14:textId="77777777" w:rsidR="00740B37" w:rsidRPr="00740B37" w:rsidRDefault="00740B37" w:rsidP="00740B37">
            <w:pPr>
              <w:jc w:val="center"/>
              <w:rPr>
                <w:rFonts w:eastAsia="Calibri"/>
                <w:b/>
                <w:bCs/>
                <w:sz w:val="16"/>
                <w:szCs w:val="16"/>
                <w:lang w:val="en-GB" w:eastAsia="en-US"/>
              </w:rPr>
            </w:pPr>
          </w:p>
        </w:tc>
        <w:tc>
          <w:tcPr>
            <w:tcW w:w="293" w:type="pct"/>
            <w:vAlign w:val="center"/>
          </w:tcPr>
          <w:p w14:paraId="1A4BC996" w14:textId="77777777" w:rsidR="00740B37" w:rsidRPr="00740B37" w:rsidRDefault="00740B37" w:rsidP="00740B37">
            <w:pPr>
              <w:jc w:val="center"/>
              <w:rPr>
                <w:rFonts w:eastAsia="Calibri"/>
                <w:b/>
                <w:bCs/>
                <w:sz w:val="16"/>
                <w:szCs w:val="16"/>
                <w:lang w:val="en-GB" w:eastAsia="en-US"/>
              </w:rPr>
            </w:pPr>
          </w:p>
        </w:tc>
        <w:tc>
          <w:tcPr>
            <w:tcW w:w="302" w:type="pct"/>
            <w:vAlign w:val="center"/>
          </w:tcPr>
          <w:p w14:paraId="68813B0F" w14:textId="77777777" w:rsidR="00740B37" w:rsidRPr="00740B37" w:rsidRDefault="00740B37" w:rsidP="00740B37">
            <w:pPr>
              <w:jc w:val="center"/>
              <w:rPr>
                <w:rFonts w:eastAsia="Calibri"/>
                <w:b/>
                <w:bCs/>
                <w:sz w:val="16"/>
                <w:szCs w:val="16"/>
                <w:lang w:val="en-GB" w:eastAsia="en-US"/>
              </w:rPr>
            </w:pPr>
          </w:p>
        </w:tc>
        <w:tc>
          <w:tcPr>
            <w:tcW w:w="385" w:type="pct"/>
            <w:vAlign w:val="center"/>
          </w:tcPr>
          <w:p w14:paraId="40C397CC" w14:textId="77777777" w:rsidR="00740B37" w:rsidRPr="00740B37" w:rsidRDefault="00740B37" w:rsidP="00740B37">
            <w:pPr>
              <w:jc w:val="center"/>
              <w:rPr>
                <w:rFonts w:eastAsia="Calibri"/>
                <w:b/>
                <w:bCs/>
                <w:sz w:val="16"/>
                <w:szCs w:val="16"/>
                <w:lang w:val="en-GB" w:eastAsia="en-US"/>
              </w:rPr>
            </w:pPr>
          </w:p>
        </w:tc>
        <w:tc>
          <w:tcPr>
            <w:tcW w:w="313" w:type="pct"/>
            <w:vAlign w:val="center"/>
          </w:tcPr>
          <w:p w14:paraId="2AA355C9" w14:textId="77777777" w:rsidR="00740B37" w:rsidRPr="00740B37" w:rsidRDefault="00740B37" w:rsidP="00740B37">
            <w:pPr>
              <w:jc w:val="center"/>
              <w:rPr>
                <w:rFonts w:eastAsia="Calibri"/>
                <w:b/>
                <w:bCs/>
                <w:sz w:val="16"/>
                <w:szCs w:val="16"/>
                <w:lang w:val="en-GB" w:eastAsia="en-US"/>
              </w:rPr>
            </w:pPr>
          </w:p>
        </w:tc>
        <w:tc>
          <w:tcPr>
            <w:tcW w:w="372" w:type="pct"/>
            <w:vAlign w:val="center"/>
          </w:tcPr>
          <w:p w14:paraId="571ED057" w14:textId="77777777" w:rsidR="00740B37" w:rsidRPr="00740B37" w:rsidRDefault="00740B37" w:rsidP="00740B37">
            <w:pPr>
              <w:jc w:val="center"/>
              <w:rPr>
                <w:rFonts w:eastAsia="Calibri"/>
                <w:b/>
                <w:bCs/>
                <w:sz w:val="16"/>
                <w:szCs w:val="16"/>
                <w:lang w:val="en-GB" w:eastAsia="en-US"/>
              </w:rPr>
            </w:pPr>
          </w:p>
        </w:tc>
        <w:tc>
          <w:tcPr>
            <w:tcW w:w="375" w:type="pct"/>
          </w:tcPr>
          <w:p w14:paraId="542B8F04" w14:textId="77777777" w:rsidR="00740B37" w:rsidRPr="00740B37" w:rsidRDefault="00740B37" w:rsidP="00740B37">
            <w:pPr>
              <w:jc w:val="center"/>
              <w:rPr>
                <w:rFonts w:eastAsia="Calibri"/>
                <w:b/>
                <w:bCs/>
                <w:sz w:val="16"/>
                <w:szCs w:val="16"/>
                <w:lang w:val="en-GB" w:eastAsia="en-US"/>
              </w:rPr>
            </w:pPr>
          </w:p>
        </w:tc>
        <w:tc>
          <w:tcPr>
            <w:tcW w:w="487" w:type="pct"/>
          </w:tcPr>
          <w:p w14:paraId="261A7E7F" w14:textId="77777777" w:rsidR="00740B37" w:rsidRPr="00740B37" w:rsidRDefault="00740B37" w:rsidP="00740B37">
            <w:pPr>
              <w:jc w:val="center"/>
              <w:rPr>
                <w:rFonts w:eastAsia="Calibri"/>
                <w:b/>
                <w:bCs/>
                <w:sz w:val="16"/>
                <w:szCs w:val="16"/>
                <w:lang w:val="en-GB" w:eastAsia="en-US"/>
              </w:rPr>
            </w:pPr>
          </w:p>
        </w:tc>
        <w:tc>
          <w:tcPr>
            <w:tcW w:w="251" w:type="pct"/>
            <w:vAlign w:val="center"/>
          </w:tcPr>
          <w:p w14:paraId="61739325"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Primary</w:t>
            </w:r>
          </w:p>
        </w:tc>
        <w:tc>
          <w:tcPr>
            <w:tcW w:w="276" w:type="pct"/>
            <w:vAlign w:val="center"/>
          </w:tcPr>
          <w:p w14:paraId="29E0D772"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Device-related</w:t>
            </w:r>
          </w:p>
        </w:tc>
        <w:tc>
          <w:tcPr>
            <w:tcW w:w="308" w:type="pct"/>
            <w:vAlign w:val="center"/>
          </w:tcPr>
          <w:p w14:paraId="31B6048F"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Secondary</w:t>
            </w:r>
          </w:p>
        </w:tc>
        <w:tc>
          <w:tcPr>
            <w:tcW w:w="336" w:type="pct"/>
            <w:vAlign w:val="center"/>
          </w:tcPr>
          <w:p w14:paraId="2ED9BB1E"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Primary</w:t>
            </w:r>
          </w:p>
        </w:tc>
        <w:tc>
          <w:tcPr>
            <w:tcW w:w="307" w:type="pct"/>
            <w:vAlign w:val="center"/>
          </w:tcPr>
          <w:p w14:paraId="71EC2737"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Device-related</w:t>
            </w:r>
          </w:p>
        </w:tc>
        <w:tc>
          <w:tcPr>
            <w:tcW w:w="301" w:type="pct"/>
            <w:vAlign w:val="center"/>
          </w:tcPr>
          <w:p w14:paraId="0BA96777" w14:textId="77777777" w:rsidR="00740B37" w:rsidRPr="00740B37" w:rsidRDefault="00740B37" w:rsidP="00740B37">
            <w:pPr>
              <w:jc w:val="center"/>
              <w:rPr>
                <w:rFonts w:eastAsia="Calibri"/>
                <w:b/>
                <w:bCs/>
                <w:sz w:val="16"/>
                <w:szCs w:val="16"/>
                <w:lang w:val="en-GB" w:eastAsia="en-US"/>
              </w:rPr>
            </w:pPr>
            <w:r w:rsidRPr="00740B37">
              <w:rPr>
                <w:rFonts w:eastAsia="Calibri"/>
                <w:b/>
                <w:bCs/>
                <w:sz w:val="16"/>
                <w:szCs w:val="16"/>
                <w:lang w:val="en-GB" w:eastAsia="en-US"/>
              </w:rPr>
              <w:t>Secondary</w:t>
            </w:r>
          </w:p>
        </w:tc>
      </w:tr>
      <w:tr w:rsidR="00740B37" w:rsidRPr="00740B37" w14:paraId="5F3AF495" w14:textId="77777777" w:rsidTr="00AA51D2">
        <w:tc>
          <w:tcPr>
            <w:tcW w:w="318" w:type="pct"/>
            <w:vAlign w:val="center"/>
          </w:tcPr>
          <w:p w14:paraId="0D3D524B"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 xml:space="preserve">Rao C. </w:t>
            </w:r>
            <w:r w:rsidRPr="00740B37">
              <w:rPr>
                <w:rFonts w:eastAsia="Calibri"/>
                <w:i/>
                <w:sz w:val="16"/>
                <w:szCs w:val="16"/>
                <w:lang w:eastAsia="en-US"/>
              </w:rPr>
              <w:t>et al</w:t>
            </w:r>
          </w:p>
        </w:tc>
        <w:tc>
          <w:tcPr>
            <w:tcW w:w="376" w:type="pct"/>
            <w:vAlign w:val="center"/>
          </w:tcPr>
          <w:p w14:paraId="048ACD02" w14:textId="77777777" w:rsidR="00740B37" w:rsidRPr="00740B37" w:rsidRDefault="00740B37" w:rsidP="00740B37">
            <w:pPr>
              <w:jc w:val="center"/>
              <w:rPr>
                <w:rFonts w:eastAsia="Calibri"/>
                <w:sz w:val="16"/>
                <w:szCs w:val="16"/>
                <w:lang w:eastAsia="en-US"/>
              </w:rPr>
            </w:pPr>
            <w:proofErr w:type="spellStart"/>
            <w:r w:rsidRPr="00740B37">
              <w:rPr>
                <w:rFonts w:eastAsia="Calibri"/>
                <w:sz w:val="16"/>
                <w:szCs w:val="16"/>
                <w:lang w:eastAsia="en-US"/>
              </w:rPr>
              <w:t>Prospective</w:t>
            </w:r>
            <w:proofErr w:type="spellEnd"/>
            <w:r w:rsidRPr="00740B37">
              <w:rPr>
                <w:rFonts w:eastAsia="Calibri"/>
                <w:sz w:val="16"/>
                <w:szCs w:val="16"/>
                <w:lang w:eastAsia="en-US"/>
              </w:rPr>
              <w:t xml:space="preserve"> </w:t>
            </w:r>
            <w:proofErr w:type="spellStart"/>
            <w:r w:rsidRPr="00740B37">
              <w:rPr>
                <w:rFonts w:eastAsia="Calibri"/>
                <w:sz w:val="16"/>
                <w:szCs w:val="16"/>
                <w:lang w:eastAsia="en-US"/>
              </w:rPr>
              <w:t>observational</w:t>
            </w:r>
            <w:proofErr w:type="spellEnd"/>
          </w:p>
        </w:tc>
        <w:tc>
          <w:tcPr>
            <w:tcW w:w="293" w:type="pct"/>
            <w:vAlign w:val="center"/>
          </w:tcPr>
          <w:p w14:paraId="5BE77D52"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India</w:t>
            </w:r>
          </w:p>
        </w:tc>
        <w:tc>
          <w:tcPr>
            <w:tcW w:w="302" w:type="pct"/>
            <w:vAlign w:val="center"/>
          </w:tcPr>
          <w:p w14:paraId="5ABFAA73"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Jan 2010</w:t>
            </w:r>
          </w:p>
          <w:p w14:paraId="05FADAB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w:t>
            </w:r>
          </w:p>
          <w:p w14:paraId="03A474C6"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Jun 2014</w:t>
            </w:r>
          </w:p>
        </w:tc>
        <w:tc>
          <w:tcPr>
            <w:tcW w:w="385" w:type="pct"/>
            <w:vAlign w:val="center"/>
          </w:tcPr>
          <w:p w14:paraId="57207372"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73 vs. 100</w:t>
            </w:r>
          </w:p>
        </w:tc>
        <w:tc>
          <w:tcPr>
            <w:tcW w:w="313" w:type="pct"/>
            <w:vAlign w:val="center"/>
          </w:tcPr>
          <w:p w14:paraId="12F9BA01"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35 vs. 41</w:t>
            </w:r>
          </w:p>
        </w:tc>
        <w:tc>
          <w:tcPr>
            <w:tcW w:w="372" w:type="pct"/>
            <w:vAlign w:val="center"/>
          </w:tcPr>
          <w:p w14:paraId="116166D2"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58% vs. 62%</w:t>
            </w:r>
          </w:p>
        </w:tc>
        <w:tc>
          <w:tcPr>
            <w:tcW w:w="375" w:type="pct"/>
          </w:tcPr>
          <w:p w14:paraId="60B2517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29% vs. 41%</w:t>
            </w:r>
          </w:p>
        </w:tc>
        <w:tc>
          <w:tcPr>
            <w:tcW w:w="487" w:type="pct"/>
          </w:tcPr>
          <w:p w14:paraId="33EB3D02"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60% vs. 13%</w:t>
            </w:r>
          </w:p>
        </w:tc>
        <w:tc>
          <w:tcPr>
            <w:tcW w:w="251" w:type="pct"/>
            <w:vAlign w:val="center"/>
          </w:tcPr>
          <w:p w14:paraId="62905136"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76" w:type="pct"/>
            <w:vAlign w:val="center"/>
          </w:tcPr>
          <w:p w14:paraId="55887C80"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8" w:type="pct"/>
            <w:vAlign w:val="center"/>
          </w:tcPr>
          <w:p w14:paraId="701D2C50"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36" w:type="pct"/>
            <w:vAlign w:val="center"/>
          </w:tcPr>
          <w:p w14:paraId="2A39F5E5"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7" w:type="pct"/>
            <w:vAlign w:val="center"/>
          </w:tcPr>
          <w:p w14:paraId="0C9B1D59"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1" w:type="pct"/>
            <w:vAlign w:val="center"/>
          </w:tcPr>
          <w:p w14:paraId="35C199ED"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r>
      <w:tr w:rsidR="00740B37" w:rsidRPr="00740B37" w14:paraId="77B415F9" w14:textId="77777777" w:rsidTr="00AA51D2">
        <w:tc>
          <w:tcPr>
            <w:tcW w:w="318" w:type="pct"/>
            <w:vAlign w:val="center"/>
          </w:tcPr>
          <w:p w14:paraId="73C5F003"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 xml:space="preserve">Bager P. </w:t>
            </w:r>
            <w:r w:rsidRPr="00740B37">
              <w:rPr>
                <w:rFonts w:eastAsia="Calibri"/>
                <w:i/>
                <w:sz w:val="16"/>
                <w:szCs w:val="16"/>
                <w:lang w:eastAsia="en-US"/>
              </w:rPr>
              <w:t>et al</w:t>
            </w:r>
          </w:p>
        </w:tc>
        <w:tc>
          <w:tcPr>
            <w:tcW w:w="376" w:type="pct"/>
            <w:vAlign w:val="center"/>
          </w:tcPr>
          <w:p w14:paraId="0B9594E9" w14:textId="77777777" w:rsidR="00740B37" w:rsidRPr="00740B37" w:rsidRDefault="00740B37" w:rsidP="00740B37">
            <w:pPr>
              <w:jc w:val="center"/>
              <w:rPr>
                <w:rFonts w:eastAsia="Calibri"/>
                <w:sz w:val="16"/>
                <w:szCs w:val="16"/>
                <w:lang w:eastAsia="en-US"/>
              </w:rPr>
            </w:pPr>
            <w:proofErr w:type="spellStart"/>
            <w:r w:rsidRPr="00740B37">
              <w:rPr>
                <w:rFonts w:eastAsia="Calibri"/>
                <w:sz w:val="16"/>
                <w:szCs w:val="16"/>
                <w:lang w:eastAsia="en-US"/>
              </w:rPr>
              <w:t>Retrospective</w:t>
            </w:r>
            <w:proofErr w:type="spellEnd"/>
            <w:r w:rsidRPr="00740B37">
              <w:rPr>
                <w:rFonts w:eastAsia="Calibri"/>
                <w:sz w:val="16"/>
                <w:szCs w:val="16"/>
                <w:lang w:eastAsia="en-US"/>
              </w:rPr>
              <w:t xml:space="preserve"> </w:t>
            </w:r>
            <w:proofErr w:type="spellStart"/>
            <w:r w:rsidRPr="00740B37">
              <w:rPr>
                <w:rFonts w:eastAsia="Calibri"/>
                <w:sz w:val="16"/>
                <w:szCs w:val="16"/>
                <w:lang w:eastAsia="en-US"/>
              </w:rPr>
              <w:t>observational</w:t>
            </w:r>
            <w:proofErr w:type="spellEnd"/>
          </w:p>
        </w:tc>
        <w:tc>
          <w:tcPr>
            <w:tcW w:w="293" w:type="pct"/>
            <w:vAlign w:val="center"/>
          </w:tcPr>
          <w:p w14:paraId="047E5ED4"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Denmark</w:t>
            </w:r>
          </w:p>
        </w:tc>
        <w:tc>
          <w:tcPr>
            <w:tcW w:w="302" w:type="pct"/>
            <w:vAlign w:val="center"/>
          </w:tcPr>
          <w:p w14:paraId="7F08969F"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Jan 2010</w:t>
            </w:r>
          </w:p>
          <w:p w14:paraId="0787470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w:t>
            </w:r>
          </w:p>
          <w:p w14:paraId="6BBC955B"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Dec 2019</w:t>
            </w:r>
          </w:p>
        </w:tc>
        <w:tc>
          <w:tcPr>
            <w:tcW w:w="385" w:type="pct"/>
            <w:vAlign w:val="center"/>
          </w:tcPr>
          <w:p w14:paraId="3CBABEA4"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335 vs. 5736</w:t>
            </w:r>
          </w:p>
        </w:tc>
        <w:tc>
          <w:tcPr>
            <w:tcW w:w="313" w:type="pct"/>
            <w:vAlign w:val="center"/>
          </w:tcPr>
          <w:p w14:paraId="633079B6"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70 vs. 68</w:t>
            </w:r>
          </w:p>
        </w:tc>
        <w:tc>
          <w:tcPr>
            <w:tcW w:w="372" w:type="pct"/>
            <w:vAlign w:val="center"/>
          </w:tcPr>
          <w:p w14:paraId="55BA16AE"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60% vs. 60%</w:t>
            </w:r>
          </w:p>
        </w:tc>
        <w:tc>
          <w:tcPr>
            <w:tcW w:w="375" w:type="pct"/>
          </w:tcPr>
          <w:p w14:paraId="5F04E9B3"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14% vs. 9%</w:t>
            </w:r>
          </w:p>
        </w:tc>
        <w:tc>
          <w:tcPr>
            <w:tcW w:w="487" w:type="pct"/>
          </w:tcPr>
          <w:p w14:paraId="5A8665B9"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51" w:type="pct"/>
            <w:vAlign w:val="center"/>
          </w:tcPr>
          <w:p w14:paraId="70F9410C"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76" w:type="pct"/>
            <w:vAlign w:val="center"/>
          </w:tcPr>
          <w:p w14:paraId="25415735"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8" w:type="pct"/>
            <w:vAlign w:val="center"/>
          </w:tcPr>
          <w:p w14:paraId="56BB4AD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36" w:type="pct"/>
            <w:vAlign w:val="center"/>
          </w:tcPr>
          <w:p w14:paraId="6A32277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7" w:type="pct"/>
            <w:vAlign w:val="center"/>
          </w:tcPr>
          <w:p w14:paraId="2120DD85"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1" w:type="pct"/>
            <w:vAlign w:val="center"/>
          </w:tcPr>
          <w:p w14:paraId="04DEF044"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r>
      <w:tr w:rsidR="00740B37" w:rsidRPr="00740B37" w14:paraId="72413CFB" w14:textId="77777777" w:rsidTr="00AA51D2">
        <w:tc>
          <w:tcPr>
            <w:tcW w:w="318" w:type="pct"/>
            <w:vAlign w:val="center"/>
          </w:tcPr>
          <w:p w14:paraId="52BBF74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 xml:space="preserve">Cheah ALY. </w:t>
            </w:r>
            <w:r w:rsidRPr="00740B37">
              <w:rPr>
                <w:rFonts w:eastAsia="Calibri"/>
                <w:i/>
                <w:sz w:val="16"/>
                <w:szCs w:val="16"/>
                <w:lang w:eastAsia="en-US"/>
              </w:rPr>
              <w:t>et al</w:t>
            </w:r>
          </w:p>
        </w:tc>
        <w:tc>
          <w:tcPr>
            <w:tcW w:w="376" w:type="pct"/>
            <w:vAlign w:val="center"/>
          </w:tcPr>
          <w:p w14:paraId="100A4885" w14:textId="77777777" w:rsidR="00740B37" w:rsidRPr="00740B37" w:rsidRDefault="00740B37" w:rsidP="00740B37">
            <w:pPr>
              <w:jc w:val="center"/>
              <w:rPr>
                <w:rFonts w:eastAsia="Calibri"/>
                <w:sz w:val="16"/>
                <w:szCs w:val="16"/>
                <w:lang w:eastAsia="en-US"/>
              </w:rPr>
            </w:pPr>
            <w:proofErr w:type="spellStart"/>
            <w:r w:rsidRPr="00740B37">
              <w:rPr>
                <w:rFonts w:eastAsia="Calibri"/>
                <w:sz w:val="16"/>
                <w:szCs w:val="16"/>
                <w:lang w:eastAsia="en-US"/>
              </w:rPr>
              <w:t>Retrospective</w:t>
            </w:r>
            <w:proofErr w:type="spellEnd"/>
            <w:r w:rsidRPr="00740B37">
              <w:rPr>
                <w:rFonts w:eastAsia="Calibri"/>
                <w:sz w:val="16"/>
                <w:szCs w:val="16"/>
                <w:lang w:eastAsia="en-US"/>
              </w:rPr>
              <w:t xml:space="preserve"> </w:t>
            </w:r>
            <w:proofErr w:type="spellStart"/>
            <w:r w:rsidRPr="00740B37">
              <w:rPr>
                <w:rFonts w:eastAsia="Calibri"/>
                <w:sz w:val="16"/>
                <w:szCs w:val="16"/>
                <w:lang w:eastAsia="en-US"/>
              </w:rPr>
              <w:t>observational</w:t>
            </w:r>
            <w:proofErr w:type="spellEnd"/>
          </w:p>
        </w:tc>
        <w:tc>
          <w:tcPr>
            <w:tcW w:w="293" w:type="pct"/>
            <w:vAlign w:val="center"/>
          </w:tcPr>
          <w:p w14:paraId="758CD51A"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Australia</w:t>
            </w:r>
          </w:p>
        </w:tc>
        <w:tc>
          <w:tcPr>
            <w:tcW w:w="302" w:type="pct"/>
            <w:vAlign w:val="center"/>
          </w:tcPr>
          <w:p w14:paraId="36D84EE4"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Jan 2002</w:t>
            </w:r>
          </w:p>
          <w:p w14:paraId="235751D4"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w:t>
            </w:r>
          </w:p>
          <w:p w14:paraId="67EAF30D"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Mar 2010</w:t>
            </w:r>
          </w:p>
        </w:tc>
        <w:tc>
          <w:tcPr>
            <w:tcW w:w="385" w:type="pct"/>
            <w:vAlign w:val="center"/>
          </w:tcPr>
          <w:p w14:paraId="3B7B2D0A"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116 vs. 116</w:t>
            </w:r>
          </w:p>
        </w:tc>
        <w:tc>
          <w:tcPr>
            <w:tcW w:w="313" w:type="pct"/>
            <w:vAlign w:val="center"/>
          </w:tcPr>
          <w:p w14:paraId="7F7BA103"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60 vs. 64</w:t>
            </w:r>
          </w:p>
        </w:tc>
        <w:tc>
          <w:tcPr>
            <w:tcW w:w="372" w:type="pct"/>
            <w:vAlign w:val="center"/>
          </w:tcPr>
          <w:p w14:paraId="44DCDBC3"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59% vs. 62%</w:t>
            </w:r>
          </w:p>
        </w:tc>
        <w:tc>
          <w:tcPr>
            <w:tcW w:w="375" w:type="pct"/>
          </w:tcPr>
          <w:p w14:paraId="67E7A26D"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487" w:type="pct"/>
          </w:tcPr>
          <w:p w14:paraId="3C4F209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51" w:type="pct"/>
            <w:vAlign w:val="center"/>
          </w:tcPr>
          <w:p w14:paraId="42A21766"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76" w:type="pct"/>
            <w:vAlign w:val="center"/>
          </w:tcPr>
          <w:p w14:paraId="5F687606"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8" w:type="pct"/>
            <w:vAlign w:val="center"/>
          </w:tcPr>
          <w:p w14:paraId="4584B97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36" w:type="pct"/>
            <w:vAlign w:val="center"/>
          </w:tcPr>
          <w:p w14:paraId="0FCB0829"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7" w:type="pct"/>
            <w:vAlign w:val="center"/>
          </w:tcPr>
          <w:p w14:paraId="7B04B3C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1" w:type="pct"/>
            <w:vAlign w:val="center"/>
          </w:tcPr>
          <w:p w14:paraId="7E71E3E8"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r>
      <w:tr w:rsidR="00740B37" w:rsidRPr="00740B37" w14:paraId="2EABEE37" w14:textId="77777777" w:rsidTr="00AA51D2">
        <w:tc>
          <w:tcPr>
            <w:tcW w:w="318" w:type="pct"/>
            <w:vAlign w:val="center"/>
          </w:tcPr>
          <w:p w14:paraId="4BCD5335" w14:textId="77777777" w:rsidR="00740B37" w:rsidRPr="00740B37" w:rsidRDefault="00740B37" w:rsidP="00740B37">
            <w:pPr>
              <w:jc w:val="center"/>
              <w:rPr>
                <w:rFonts w:eastAsia="Calibri"/>
                <w:sz w:val="16"/>
                <w:szCs w:val="16"/>
                <w:lang w:val="en-US" w:eastAsia="en-US"/>
              </w:rPr>
            </w:pPr>
            <w:r w:rsidRPr="00740B37">
              <w:rPr>
                <w:rFonts w:eastAsia="Calibri"/>
                <w:sz w:val="16"/>
                <w:szCs w:val="16"/>
                <w:lang w:val="en-US" w:eastAsia="en-US"/>
              </w:rPr>
              <w:t xml:space="preserve">Huh K. </w:t>
            </w:r>
            <w:r w:rsidRPr="00740B37">
              <w:rPr>
                <w:rFonts w:eastAsia="Calibri"/>
                <w:i/>
                <w:sz w:val="16"/>
                <w:szCs w:val="16"/>
                <w:lang w:val="en-US" w:eastAsia="en-US"/>
              </w:rPr>
              <w:t>et al.</w:t>
            </w:r>
          </w:p>
        </w:tc>
        <w:tc>
          <w:tcPr>
            <w:tcW w:w="376" w:type="pct"/>
            <w:vAlign w:val="center"/>
          </w:tcPr>
          <w:p w14:paraId="1EFDF2FF" w14:textId="77777777" w:rsidR="00740B37" w:rsidRPr="00740B37" w:rsidRDefault="00740B37" w:rsidP="00740B37">
            <w:pPr>
              <w:jc w:val="center"/>
              <w:rPr>
                <w:rFonts w:eastAsia="Calibri"/>
                <w:sz w:val="16"/>
                <w:szCs w:val="16"/>
                <w:lang w:eastAsia="en-US"/>
              </w:rPr>
            </w:pPr>
            <w:proofErr w:type="spellStart"/>
            <w:r w:rsidRPr="00740B37">
              <w:rPr>
                <w:rFonts w:eastAsia="Calibri"/>
                <w:sz w:val="16"/>
                <w:szCs w:val="16"/>
                <w:lang w:eastAsia="en-US"/>
              </w:rPr>
              <w:t>Retrospective</w:t>
            </w:r>
            <w:proofErr w:type="spellEnd"/>
            <w:r w:rsidRPr="00740B37">
              <w:rPr>
                <w:rFonts w:eastAsia="Calibri"/>
                <w:sz w:val="16"/>
                <w:szCs w:val="16"/>
                <w:lang w:eastAsia="en-US"/>
              </w:rPr>
              <w:t xml:space="preserve"> </w:t>
            </w:r>
            <w:proofErr w:type="spellStart"/>
            <w:r w:rsidRPr="00740B37">
              <w:rPr>
                <w:rFonts w:eastAsia="Calibri"/>
                <w:sz w:val="16"/>
                <w:szCs w:val="16"/>
                <w:lang w:eastAsia="en-US"/>
              </w:rPr>
              <w:t>observational</w:t>
            </w:r>
            <w:proofErr w:type="spellEnd"/>
          </w:p>
        </w:tc>
        <w:tc>
          <w:tcPr>
            <w:tcW w:w="293" w:type="pct"/>
            <w:vAlign w:val="center"/>
          </w:tcPr>
          <w:p w14:paraId="0F5FD2D8"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South Korea</w:t>
            </w:r>
          </w:p>
        </w:tc>
        <w:tc>
          <w:tcPr>
            <w:tcW w:w="302" w:type="pct"/>
            <w:vAlign w:val="center"/>
          </w:tcPr>
          <w:p w14:paraId="6A28506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Jan 2016</w:t>
            </w:r>
          </w:p>
          <w:p w14:paraId="27A1788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w:t>
            </w:r>
          </w:p>
          <w:p w14:paraId="7898B4B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Dec 2016</w:t>
            </w:r>
          </w:p>
        </w:tc>
        <w:tc>
          <w:tcPr>
            <w:tcW w:w="385" w:type="pct"/>
            <w:vAlign w:val="center"/>
          </w:tcPr>
          <w:p w14:paraId="1559D81B"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59 vs. 182</w:t>
            </w:r>
          </w:p>
        </w:tc>
        <w:tc>
          <w:tcPr>
            <w:tcW w:w="313" w:type="pct"/>
            <w:vAlign w:val="center"/>
          </w:tcPr>
          <w:p w14:paraId="32C42E98"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NA</w:t>
            </w:r>
          </w:p>
        </w:tc>
        <w:tc>
          <w:tcPr>
            <w:tcW w:w="372" w:type="pct"/>
            <w:vAlign w:val="center"/>
          </w:tcPr>
          <w:p w14:paraId="2B3C4C32"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58% vs. 62%</w:t>
            </w:r>
          </w:p>
        </w:tc>
        <w:tc>
          <w:tcPr>
            <w:tcW w:w="375" w:type="pct"/>
          </w:tcPr>
          <w:p w14:paraId="4343DEE0"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29% vs. 17%</w:t>
            </w:r>
          </w:p>
        </w:tc>
        <w:tc>
          <w:tcPr>
            <w:tcW w:w="487" w:type="pct"/>
          </w:tcPr>
          <w:p w14:paraId="1DCA0082"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51" w:type="pct"/>
            <w:vAlign w:val="center"/>
          </w:tcPr>
          <w:p w14:paraId="6982397D"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32</w:t>
            </w:r>
          </w:p>
        </w:tc>
        <w:tc>
          <w:tcPr>
            <w:tcW w:w="276" w:type="pct"/>
            <w:vAlign w:val="center"/>
          </w:tcPr>
          <w:p w14:paraId="43E46E7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1</w:t>
            </w:r>
          </w:p>
        </w:tc>
        <w:tc>
          <w:tcPr>
            <w:tcW w:w="308" w:type="pct"/>
            <w:vAlign w:val="center"/>
          </w:tcPr>
          <w:p w14:paraId="2D6DAC75"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26</w:t>
            </w:r>
          </w:p>
        </w:tc>
        <w:tc>
          <w:tcPr>
            <w:tcW w:w="336" w:type="pct"/>
            <w:vAlign w:val="center"/>
          </w:tcPr>
          <w:p w14:paraId="637DE250"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86</w:t>
            </w:r>
          </w:p>
        </w:tc>
        <w:tc>
          <w:tcPr>
            <w:tcW w:w="307" w:type="pct"/>
            <w:vAlign w:val="center"/>
          </w:tcPr>
          <w:p w14:paraId="6F6000C9"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8</w:t>
            </w:r>
          </w:p>
        </w:tc>
        <w:tc>
          <w:tcPr>
            <w:tcW w:w="301" w:type="pct"/>
            <w:vAlign w:val="center"/>
          </w:tcPr>
          <w:p w14:paraId="510B042C"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88</w:t>
            </w:r>
          </w:p>
        </w:tc>
      </w:tr>
      <w:tr w:rsidR="00740B37" w:rsidRPr="00740B37" w14:paraId="7FA777A3" w14:textId="77777777" w:rsidTr="00AA51D2">
        <w:tc>
          <w:tcPr>
            <w:tcW w:w="318" w:type="pct"/>
            <w:vAlign w:val="center"/>
          </w:tcPr>
          <w:p w14:paraId="14DE92D8"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 xml:space="preserve">Dubler S. </w:t>
            </w:r>
            <w:r w:rsidRPr="00740B37">
              <w:rPr>
                <w:rFonts w:eastAsia="Calibri"/>
                <w:i/>
                <w:sz w:val="16"/>
                <w:szCs w:val="16"/>
                <w:lang w:eastAsia="en-US"/>
              </w:rPr>
              <w:t>et al</w:t>
            </w:r>
          </w:p>
        </w:tc>
        <w:tc>
          <w:tcPr>
            <w:tcW w:w="376" w:type="pct"/>
            <w:vAlign w:val="center"/>
          </w:tcPr>
          <w:p w14:paraId="39B41A4C" w14:textId="77777777" w:rsidR="00740B37" w:rsidRPr="00740B37" w:rsidRDefault="00740B37" w:rsidP="00740B37">
            <w:pPr>
              <w:jc w:val="center"/>
              <w:rPr>
                <w:rFonts w:eastAsia="Calibri"/>
                <w:sz w:val="16"/>
                <w:szCs w:val="16"/>
                <w:lang w:eastAsia="en-US"/>
              </w:rPr>
            </w:pPr>
            <w:proofErr w:type="spellStart"/>
            <w:r w:rsidRPr="00740B37">
              <w:rPr>
                <w:rFonts w:eastAsia="Calibri"/>
                <w:sz w:val="16"/>
                <w:szCs w:val="16"/>
                <w:lang w:eastAsia="en-US"/>
              </w:rPr>
              <w:t>Retrospective</w:t>
            </w:r>
            <w:proofErr w:type="spellEnd"/>
            <w:r w:rsidRPr="00740B37">
              <w:rPr>
                <w:rFonts w:eastAsia="Calibri"/>
                <w:sz w:val="16"/>
                <w:szCs w:val="16"/>
                <w:lang w:eastAsia="en-US"/>
              </w:rPr>
              <w:t xml:space="preserve"> </w:t>
            </w:r>
            <w:proofErr w:type="spellStart"/>
            <w:r w:rsidRPr="00740B37">
              <w:rPr>
                <w:rFonts w:eastAsia="Calibri"/>
                <w:sz w:val="16"/>
                <w:szCs w:val="16"/>
                <w:lang w:eastAsia="en-US"/>
              </w:rPr>
              <w:t>observational</w:t>
            </w:r>
            <w:proofErr w:type="spellEnd"/>
          </w:p>
        </w:tc>
        <w:tc>
          <w:tcPr>
            <w:tcW w:w="293" w:type="pct"/>
            <w:vAlign w:val="center"/>
          </w:tcPr>
          <w:p w14:paraId="4D61A76E"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Germany</w:t>
            </w:r>
          </w:p>
        </w:tc>
        <w:tc>
          <w:tcPr>
            <w:tcW w:w="302" w:type="pct"/>
            <w:vAlign w:val="center"/>
          </w:tcPr>
          <w:p w14:paraId="36610E4A"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Jan 2006</w:t>
            </w:r>
          </w:p>
          <w:p w14:paraId="446DF2DE"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w:t>
            </w:r>
          </w:p>
          <w:p w14:paraId="490AFB26"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Dec 2016</w:t>
            </w:r>
          </w:p>
        </w:tc>
        <w:tc>
          <w:tcPr>
            <w:tcW w:w="385" w:type="pct"/>
            <w:vAlign w:val="center"/>
          </w:tcPr>
          <w:p w14:paraId="4551CC1A"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39 vs. 138</w:t>
            </w:r>
          </w:p>
        </w:tc>
        <w:tc>
          <w:tcPr>
            <w:tcW w:w="313" w:type="pct"/>
            <w:vAlign w:val="center"/>
          </w:tcPr>
          <w:p w14:paraId="6E0FDF7A"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54 vs. 52</w:t>
            </w:r>
          </w:p>
        </w:tc>
        <w:tc>
          <w:tcPr>
            <w:tcW w:w="372" w:type="pct"/>
            <w:vAlign w:val="center"/>
          </w:tcPr>
          <w:p w14:paraId="71FD49F2"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72% vs. 71%</w:t>
            </w:r>
          </w:p>
        </w:tc>
        <w:tc>
          <w:tcPr>
            <w:tcW w:w="375" w:type="pct"/>
          </w:tcPr>
          <w:p w14:paraId="1D0AC838"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487" w:type="pct"/>
          </w:tcPr>
          <w:p w14:paraId="41AFD733"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100% vs. 100%</w:t>
            </w:r>
          </w:p>
        </w:tc>
        <w:tc>
          <w:tcPr>
            <w:tcW w:w="251" w:type="pct"/>
            <w:vAlign w:val="center"/>
          </w:tcPr>
          <w:p w14:paraId="11DF849D"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2</w:t>
            </w:r>
          </w:p>
        </w:tc>
        <w:tc>
          <w:tcPr>
            <w:tcW w:w="276" w:type="pct"/>
            <w:vAlign w:val="center"/>
          </w:tcPr>
          <w:p w14:paraId="46EF40A5"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0</w:t>
            </w:r>
          </w:p>
        </w:tc>
        <w:tc>
          <w:tcPr>
            <w:tcW w:w="308" w:type="pct"/>
            <w:vAlign w:val="center"/>
          </w:tcPr>
          <w:p w14:paraId="638FC9F7"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37</w:t>
            </w:r>
          </w:p>
        </w:tc>
        <w:tc>
          <w:tcPr>
            <w:tcW w:w="336" w:type="pct"/>
            <w:vAlign w:val="center"/>
          </w:tcPr>
          <w:p w14:paraId="1E43E246"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20</w:t>
            </w:r>
          </w:p>
        </w:tc>
        <w:tc>
          <w:tcPr>
            <w:tcW w:w="307" w:type="pct"/>
            <w:vAlign w:val="center"/>
          </w:tcPr>
          <w:p w14:paraId="2D4C4D3B"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1</w:t>
            </w:r>
          </w:p>
        </w:tc>
        <w:tc>
          <w:tcPr>
            <w:tcW w:w="301" w:type="pct"/>
            <w:vAlign w:val="center"/>
          </w:tcPr>
          <w:p w14:paraId="633B93F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118</w:t>
            </w:r>
          </w:p>
        </w:tc>
      </w:tr>
      <w:tr w:rsidR="00740B37" w:rsidRPr="00740B37" w14:paraId="3C0D0CA9" w14:textId="77777777" w:rsidTr="00AA51D2">
        <w:tc>
          <w:tcPr>
            <w:tcW w:w="318" w:type="pct"/>
            <w:vAlign w:val="center"/>
          </w:tcPr>
          <w:p w14:paraId="56A5A86B"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 xml:space="preserve">Kramer T. </w:t>
            </w:r>
            <w:r w:rsidRPr="00740B37">
              <w:rPr>
                <w:rFonts w:eastAsia="Calibri"/>
                <w:i/>
                <w:sz w:val="16"/>
                <w:szCs w:val="16"/>
                <w:lang w:eastAsia="en-US"/>
              </w:rPr>
              <w:t>et al</w:t>
            </w:r>
          </w:p>
        </w:tc>
        <w:tc>
          <w:tcPr>
            <w:tcW w:w="376" w:type="pct"/>
            <w:vAlign w:val="center"/>
          </w:tcPr>
          <w:p w14:paraId="2C3AE29F" w14:textId="77777777" w:rsidR="00740B37" w:rsidRPr="00740B37" w:rsidRDefault="00740B37" w:rsidP="00740B37">
            <w:pPr>
              <w:jc w:val="center"/>
              <w:rPr>
                <w:rFonts w:eastAsia="Calibri"/>
                <w:sz w:val="16"/>
                <w:szCs w:val="16"/>
                <w:lang w:eastAsia="en-US"/>
              </w:rPr>
            </w:pPr>
            <w:proofErr w:type="spellStart"/>
            <w:r w:rsidRPr="00740B37">
              <w:rPr>
                <w:rFonts w:eastAsia="Calibri"/>
                <w:sz w:val="16"/>
                <w:szCs w:val="16"/>
                <w:lang w:eastAsia="en-US"/>
              </w:rPr>
              <w:t>Retrospective</w:t>
            </w:r>
            <w:proofErr w:type="spellEnd"/>
            <w:r w:rsidRPr="00740B37">
              <w:rPr>
                <w:rFonts w:eastAsia="Calibri"/>
                <w:sz w:val="16"/>
                <w:szCs w:val="16"/>
                <w:lang w:eastAsia="en-US"/>
              </w:rPr>
              <w:t xml:space="preserve"> </w:t>
            </w:r>
            <w:proofErr w:type="spellStart"/>
            <w:r w:rsidRPr="00740B37">
              <w:rPr>
                <w:rFonts w:eastAsia="Calibri"/>
                <w:sz w:val="16"/>
                <w:szCs w:val="16"/>
                <w:lang w:eastAsia="en-US"/>
              </w:rPr>
              <w:t>observational</w:t>
            </w:r>
            <w:proofErr w:type="spellEnd"/>
          </w:p>
        </w:tc>
        <w:tc>
          <w:tcPr>
            <w:tcW w:w="293" w:type="pct"/>
            <w:vAlign w:val="center"/>
          </w:tcPr>
          <w:p w14:paraId="6A14A7C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Germany</w:t>
            </w:r>
          </w:p>
        </w:tc>
        <w:tc>
          <w:tcPr>
            <w:tcW w:w="302" w:type="pct"/>
            <w:vAlign w:val="center"/>
          </w:tcPr>
          <w:p w14:paraId="35748795"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Jan 2008</w:t>
            </w:r>
          </w:p>
          <w:p w14:paraId="52822B4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w:t>
            </w:r>
          </w:p>
          <w:p w14:paraId="66C24B6E"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Dec 2015</w:t>
            </w:r>
          </w:p>
        </w:tc>
        <w:tc>
          <w:tcPr>
            <w:tcW w:w="385" w:type="pct"/>
            <w:vAlign w:val="center"/>
          </w:tcPr>
          <w:p w14:paraId="46D4AD9A"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103 vs. 493</w:t>
            </w:r>
          </w:p>
        </w:tc>
        <w:tc>
          <w:tcPr>
            <w:tcW w:w="313" w:type="pct"/>
            <w:vAlign w:val="center"/>
          </w:tcPr>
          <w:p w14:paraId="6814C356"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61 vs. 67</w:t>
            </w:r>
          </w:p>
        </w:tc>
        <w:tc>
          <w:tcPr>
            <w:tcW w:w="372" w:type="pct"/>
            <w:vAlign w:val="center"/>
          </w:tcPr>
          <w:p w14:paraId="7F96A4A3" w14:textId="77777777" w:rsidR="00740B37" w:rsidRPr="00740B37" w:rsidRDefault="00740B37" w:rsidP="00740B37">
            <w:pPr>
              <w:jc w:val="center"/>
              <w:rPr>
                <w:rFonts w:eastAsia="Calibri"/>
                <w:sz w:val="16"/>
                <w:szCs w:val="16"/>
                <w:lang w:val="en-GB" w:eastAsia="en-US"/>
              </w:rPr>
            </w:pPr>
            <w:r w:rsidRPr="00740B37">
              <w:rPr>
                <w:rFonts w:eastAsia="Calibri"/>
                <w:sz w:val="16"/>
                <w:szCs w:val="16"/>
                <w:lang w:val="en-GB" w:eastAsia="en-US"/>
              </w:rPr>
              <w:t>66% vs. 59%</w:t>
            </w:r>
          </w:p>
        </w:tc>
        <w:tc>
          <w:tcPr>
            <w:tcW w:w="375" w:type="pct"/>
          </w:tcPr>
          <w:p w14:paraId="5136FEB8"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487" w:type="pct"/>
          </w:tcPr>
          <w:p w14:paraId="45D6BC46"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51" w:type="pct"/>
            <w:vAlign w:val="center"/>
          </w:tcPr>
          <w:p w14:paraId="5A01A4B1"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276" w:type="pct"/>
            <w:vAlign w:val="center"/>
          </w:tcPr>
          <w:p w14:paraId="0C17FD49"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8" w:type="pct"/>
            <w:vAlign w:val="center"/>
          </w:tcPr>
          <w:p w14:paraId="0F5C8AFA"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36" w:type="pct"/>
            <w:vAlign w:val="center"/>
          </w:tcPr>
          <w:p w14:paraId="6C4C47CC"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7" w:type="pct"/>
            <w:vAlign w:val="center"/>
          </w:tcPr>
          <w:p w14:paraId="456B590A"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c>
          <w:tcPr>
            <w:tcW w:w="301" w:type="pct"/>
            <w:vAlign w:val="center"/>
          </w:tcPr>
          <w:p w14:paraId="4243BF42" w14:textId="77777777" w:rsidR="00740B37" w:rsidRPr="00740B37" w:rsidRDefault="00740B37" w:rsidP="00740B37">
            <w:pPr>
              <w:jc w:val="center"/>
              <w:rPr>
                <w:rFonts w:eastAsia="Calibri"/>
                <w:sz w:val="16"/>
                <w:szCs w:val="16"/>
                <w:lang w:eastAsia="en-US"/>
              </w:rPr>
            </w:pPr>
            <w:r w:rsidRPr="00740B37">
              <w:rPr>
                <w:rFonts w:eastAsia="Calibri"/>
                <w:sz w:val="16"/>
                <w:szCs w:val="16"/>
                <w:lang w:eastAsia="en-US"/>
              </w:rPr>
              <w:t>NA</w:t>
            </w:r>
          </w:p>
        </w:tc>
      </w:tr>
    </w:tbl>
    <w:p w14:paraId="5BAB8663" w14:textId="77777777" w:rsidR="00740B37" w:rsidRPr="00740B37" w:rsidRDefault="00740B37" w:rsidP="00740B37">
      <w:pPr>
        <w:spacing w:after="200" w:line="276" w:lineRule="auto"/>
        <w:rPr>
          <w:rFonts w:ascii="Calibri" w:eastAsia="Calibri" w:hAnsi="Calibri"/>
          <w:sz w:val="22"/>
          <w:szCs w:val="22"/>
          <w:lang w:val="en-US" w:eastAsia="en-US"/>
        </w:rPr>
      </w:pPr>
    </w:p>
    <w:p w14:paraId="5E4F5962" w14:textId="77777777" w:rsidR="00740B37" w:rsidRPr="00740B37" w:rsidRDefault="00740B37" w:rsidP="00740B37">
      <w:pPr>
        <w:spacing w:after="200" w:line="276" w:lineRule="auto"/>
        <w:rPr>
          <w:rFonts w:ascii="Calibri" w:eastAsia="Calibri" w:hAnsi="Calibri"/>
          <w:sz w:val="22"/>
          <w:szCs w:val="22"/>
          <w:lang w:val="en-US" w:eastAsia="en-US"/>
        </w:rPr>
      </w:pPr>
      <w:r w:rsidRPr="00740B37">
        <w:rPr>
          <w:rFonts w:ascii="Calibri" w:eastAsia="Calibri" w:hAnsi="Calibri"/>
          <w:sz w:val="22"/>
          <w:szCs w:val="22"/>
          <w:lang w:val="en-US" w:eastAsia="en-US"/>
        </w:rPr>
        <w:br w:type="page"/>
      </w:r>
    </w:p>
    <w:p w14:paraId="2524E124" w14:textId="268BF79A" w:rsidR="00740B37" w:rsidRPr="00740B37" w:rsidRDefault="00E604EC" w:rsidP="00740B37">
      <w:pPr>
        <w:spacing w:after="200" w:line="360" w:lineRule="auto"/>
        <w:jc w:val="both"/>
        <w:rPr>
          <w:rFonts w:eastAsia="Calibri"/>
          <w:sz w:val="22"/>
          <w:szCs w:val="22"/>
          <w:lang w:val="en-US" w:eastAsia="en-US"/>
        </w:rPr>
      </w:pPr>
      <w:r>
        <w:rPr>
          <w:rFonts w:eastAsia="Calibri"/>
          <w:b/>
          <w:bCs/>
          <w:sz w:val="22"/>
          <w:szCs w:val="22"/>
          <w:lang w:val="en-US" w:eastAsia="en-US"/>
        </w:rPr>
        <w:lastRenderedPageBreak/>
        <w:t xml:space="preserve">Supplementary </w:t>
      </w:r>
      <w:r w:rsidR="00740B37" w:rsidRPr="00740B37">
        <w:rPr>
          <w:rFonts w:eastAsia="Calibri"/>
          <w:b/>
          <w:bCs/>
          <w:sz w:val="22"/>
          <w:szCs w:val="22"/>
          <w:lang w:val="en-US" w:eastAsia="en-US"/>
        </w:rPr>
        <w:t xml:space="preserve">Table 2 – </w:t>
      </w:r>
      <w:r w:rsidR="00740B37" w:rsidRPr="00740B37">
        <w:rPr>
          <w:rFonts w:eastAsia="Calibri"/>
          <w:sz w:val="22"/>
          <w:szCs w:val="22"/>
          <w:lang w:val="en-US" w:eastAsia="en-US"/>
        </w:rPr>
        <w:t>Results of meta-analysis for PECO 2 for primary outcome.</w:t>
      </w:r>
    </w:p>
    <w:tbl>
      <w:tblPr>
        <w:tblStyle w:val="Grigliatabella2"/>
        <w:tblW w:w="15149" w:type="dxa"/>
        <w:jc w:val="center"/>
        <w:tblLook w:val="04A0" w:firstRow="1" w:lastRow="0" w:firstColumn="1" w:lastColumn="0" w:noHBand="0" w:noVBand="1"/>
      </w:tblPr>
      <w:tblGrid>
        <w:gridCol w:w="1849"/>
        <w:gridCol w:w="992"/>
        <w:gridCol w:w="3362"/>
        <w:gridCol w:w="1925"/>
        <w:gridCol w:w="1801"/>
        <w:gridCol w:w="1559"/>
        <w:gridCol w:w="1669"/>
        <w:gridCol w:w="1992"/>
      </w:tblGrid>
      <w:tr w:rsidR="00740B37" w:rsidRPr="00740B37" w14:paraId="74A97765" w14:textId="77777777" w:rsidTr="00AA51D2">
        <w:trPr>
          <w:jc w:val="center"/>
        </w:trPr>
        <w:tc>
          <w:tcPr>
            <w:tcW w:w="1849" w:type="dxa"/>
            <w:vAlign w:val="center"/>
          </w:tcPr>
          <w:p w14:paraId="12DDE212"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Outcome</w:t>
            </w:r>
          </w:p>
        </w:tc>
        <w:tc>
          <w:tcPr>
            <w:tcW w:w="992" w:type="dxa"/>
            <w:vAlign w:val="center"/>
          </w:tcPr>
          <w:p w14:paraId="653684A9"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Studies</w:t>
            </w:r>
          </w:p>
        </w:tc>
        <w:tc>
          <w:tcPr>
            <w:tcW w:w="3362" w:type="dxa"/>
            <w:vAlign w:val="center"/>
          </w:tcPr>
          <w:p w14:paraId="778C231B"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N. of E. faecium BSIs</w:t>
            </w:r>
          </w:p>
          <w:p w14:paraId="562BA93C"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(VRE vs. VSE)</w:t>
            </w:r>
          </w:p>
        </w:tc>
        <w:tc>
          <w:tcPr>
            <w:tcW w:w="1925" w:type="dxa"/>
            <w:vAlign w:val="center"/>
          </w:tcPr>
          <w:p w14:paraId="64084853"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No. of events in intervention group</w:t>
            </w:r>
          </w:p>
        </w:tc>
        <w:tc>
          <w:tcPr>
            <w:tcW w:w="1801" w:type="dxa"/>
            <w:vAlign w:val="center"/>
          </w:tcPr>
          <w:p w14:paraId="2CCB76B7"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No. of events in comparator group</w:t>
            </w:r>
          </w:p>
        </w:tc>
        <w:tc>
          <w:tcPr>
            <w:tcW w:w="1559" w:type="dxa"/>
            <w:vAlign w:val="center"/>
          </w:tcPr>
          <w:p w14:paraId="149606CD"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Odds ratio</w:t>
            </w:r>
          </w:p>
          <w:p w14:paraId="5A8FA26A"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(95% CI)</w:t>
            </w:r>
          </w:p>
        </w:tc>
        <w:tc>
          <w:tcPr>
            <w:tcW w:w="1669" w:type="dxa"/>
            <w:vAlign w:val="center"/>
          </w:tcPr>
          <w:p w14:paraId="5356A256"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Heterogeneity</w:t>
            </w:r>
          </w:p>
          <w:p w14:paraId="3D9E9150"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w:t>
            </w:r>
            <w:r w:rsidRPr="00740B37">
              <w:rPr>
                <w:rFonts w:eastAsia="Calibri"/>
                <w:b/>
                <w:bCs/>
                <w:i/>
                <w:iCs/>
                <w:sz w:val="18"/>
                <w:szCs w:val="18"/>
                <w:lang w:eastAsia="en-US"/>
              </w:rPr>
              <w:t>I</w:t>
            </w:r>
            <w:r w:rsidRPr="00740B37">
              <w:rPr>
                <w:rFonts w:eastAsia="Calibri"/>
                <w:b/>
                <w:bCs/>
                <w:sz w:val="18"/>
                <w:szCs w:val="18"/>
                <w:vertAlign w:val="superscript"/>
                <w:lang w:eastAsia="en-US"/>
              </w:rPr>
              <w:t>2</w:t>
            </w:r>
            <w:r w:rsidRPr="00740B37">
              <w:rPr>
                <w:rFonts w:eastAsia="Calibri"/>
                <w:b/>
                <w:bCs/>
                <w:sz w:val="18"/>
                <w:szCs w:val="18"/>
                <w:lang w:eastAsia="en-US"/>
              </w:rPr>
              <w:t>; p value)</w:t>
            </w:r>
          </w:p>
        </w:tc>
        <w:tc>
          <w:tcPr>
            <w:tcW w:w="1992" w:type="dxa"/>
            <w:vAlign w:val="center"/>
          </w:tcPr>
          <w:p w14:paraId="07397C43"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Publication bias</w:t>
            </w:r>
          </w:p>
          <w:p w14:paraId="4360D3C8"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(p value Egger’s test)</w:t>
            </w:r>
          </w:p>
        </w:tc>
      </w:tr>
      <w:tr w:rsidR="00740B37" w:rsidRPr="00740B37" w14:paraId="1844ECEC" w14:textId="77777777" w:rsidTr="00AA51D2">
        <w:trPr>
          <w:jc w:val="center"/>
        </w:trPr>
        <w:tc>
          <w:tcPr>
            <w:tcW w:w="1849" w:type="dxa"/>
            <w:vAlign w:val="center"/>
          </w:tcPr>
          <w:p w14:paraId="2456526F"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Overall mortality</w:t>
            </w:r>
          </w:p>
        </w:tc>
        <w:tc>
          <w:tcPr>
            <w:tcW w:w="992" w:type="dxa"/>
            <w:vAlign w:val="center"/>
          </w:tcPr>
          <w:p w14:paraId="1EA51FCD"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6</w:t>
            </w:r>
          </w:p>
        </w:tc>
        <w:tc>
          <w:tcPr>
            <w:tcW w:w="3362" w:type="dxa"/>
            <w:vAlign w:val="center"/>
          </w:tcPr>
          <w:p w14:paraId="3FC1CD25"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725 vs. 6,765</w:t>
            </w:r>
          </w:p>
        </w:tc>
        <w:tc>
          <w:tcPr>
            <w:tcW w:w="1925" w:type="dxa"/>
            <w:vAlign w:val="center"/>
          </w:tcPr>
          <w:p w14:paraId="08E7DDD6"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274/725</w:t>
            </w:r>
          </w:p>
        </w:tc>
        <w:tc>
          <w:tcPr>
            <w:tcW w:w="1801" w:type="dxa"/>
            <w:vAlign w:val="center"/>
          </w:tcPr>
          <w:p w14:paraId="4236029B"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2,439/6,765</w:t>
            </w:r>
          </w:p>
        </w:tc>
        <w:tc>
          <w:tcPr>
            <w:tcW w:w="1559" w:type="dxa"/>
            <w:vAlign w:val="center"/>
          </w:tcPr>
          <w:p w14:paraId="2D0EC010"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1.63</w:t>
            </w:r>
          </w:p>
          <w:p w14:paraId="29EAF1CB"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 xml:space="preserve">(1.12-2.37) </w:t>
            </w:r>
          </w:p>
          <w:p w14:paraId="354AB344"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p=0.011</w:t>
            </w:r>
          </w:p>
        </w:tc>
        <w:tc>
          <w:tcPr>
            <w:tcW w:w="1669" w:type="dxa"/>
            <w:vAlign w:val="center"/>
          </w:tcPr>
          <w:p w14:paraId="0DCC0C3A"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66.38%</w:t>
            </w:r>
          </w:p>
          <w:p w14:paraId="67FDBC59"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p = 0.011</w:t>
            </w:r>
          </w:p>
        </w:tc>
        <w:tc>
          <w:tcPr>
            <w:tcW w:w="1992" w:type="dxa"/>
            <w:vAlign w:val="center"/>
          </w:tcPr>
          <w:p w14:paraId="0C2F93C7"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0.12</w:t>
            </w:r>
          </w:p>
        </w:tc>
      </w:tr>
    </w:tbl>
    <w:p w14:paraId="2741D2FB" w14:textId="77777777" w:rsidR="00740B37" w:rsidRPr="00740B37" w:rsidRDefault="00740B37" w:rsidP="00740B37">
      <w:pPr>
        <w:spacing w:after="200" w:line="276" w:lineRule="auto"/>
        <w:rPr>
          <w:rFonts w:ascii="Calibri" w:eastAsia="Calibri" w:hAnsi="Calibri"/>
          <w:sz w:val="22"/>
          <w:szCs w:val="22"/>
          <w:lang w:val="en-US" w:eastAsia="en-US"/>
        </w:rPr>
      </w:pPr>
      <w:r w:rsidRPr="00740B37">
        <w:rPr>
          <w:rFonts w:eastAsia="Calibri"/>
          <w:b/>
          <w:sz w:val="22"/>
          <w:szCs w:val="22"/>
          <w:lang w:val="en-US" w:eastAsia="en-US"/>
        </w:rPr>
        <w:br w:type="page"/>
      </w:r>
    </w:p>
    <w:p w14:paraId="2347B855" w14:textId="5875524F" w:rsidR="00740B37" w:rsidRPr="00740B37" w:rsidRDefault="00E604EC" w:rsidP="00740B37">
      <w:pPr>
        <w:spacing w:after="200" w:line="276" w:lineRule="auto"/>
        <w:rPr>
          <w:rFonts w:eastAsia="Calibri"/>
          <w:sz w:val="22"/>
          <w:szCs w:val="22"/>
          <w:lang w:val="en-US" w:eastAsia="en-US"/>
        </w:rPr>
      </w:pPr>
      <w:r>
        <w:rPr>
          <w:rFonts w:eastAsia="Calibri"/>
          <w:b/>
          <w:sz w:val="22"/>
          <w:szCs w:val="22"/>
          <w:lang w:val="en-US" w:eastAsia="en-US"/>
        </w:rPr>
        <w:lastRenderedPageBreak/>
        <w:t xml:space="preserve">Supplementary </w:t>
      </w:r>
      <w:r w:rsidR="00740B37" w:rsidRPr="00740B37">
        <w:rPr>
          <w:rFonts w:eastAsia="Calibri"/>
          <w:b/>
          <w:sz w:val="22"/>
          <w:szCs w:val="22"/>
          <w:lang w:val="en-US" w:eastAsia="en-US"/>
        </w:rPr>
        <w:t>Table 3.</w:t>
      </w:r>
      <w:r w:rsidR="00740B37" w:rsidRPr="00740B37">
        <w:rPr>
          <w:rFonts w:eastAsia="Calibri"/>
          <w:sz w:val="22"/>
          <w:szCs w:val="22"/>
          <w:lang w:val="en-US" w:eastAsia="en-US"/>
        </w:rPr>
        <w:t xml:space="preserve"> Principal characteristics of included studies for PICO 4</w:t>
      </w:r>
    </w:p>
    <w:tbl>
      <w:tblPr>
        <w:tblStyle w:val="Grigliatabella1"/>
        <w:tblpPr w:leftFromText="141" w:rightFromText="141" w:vertAnchor="page" w:horzAnchor="margin" w:tblpXSpec="center" w:tblpY="1700"/>
        <w:tblW w:w="0" w:type="auto"/>
        <w:tblLook w:val="04A0" w:firstRow="1" w:lastRow="0" w:firstColumn="1" w:lastColumn="0" w:noHBand="0" w:noVBand="1"/>
      </w:tblPr>
      <w:tblGrid>
        <w:gridCol w:w="962"/>
        <w:gridCol w:w="1113"/>
        <w:gridCol w:w="722"/>
        <w:gridCol w:w="660"/>
        <w:gridCol w:w="1175"/>
        <w:gridCol w:w="1075"/>
        <w:gridCol w:w="863"/>
        <w:gridCol w:w="668"/>
        <w:gridCol w:w="1256"/>
        <w:gridCol w:w="722"/>
        <w:gridCol w:w="727"/>
        <w:gridCol w:w="846"/>
        <w:gridCol w:w="722"/>
        <w:gridCol w:w="727"/>
        <w:gridCol w:w="846"/>
        <w:gridCol w:w="1193"/>
      </w:tblGrid>
      <w:tr w:rsidR="00740B37" w:rsidRPr="00740B37" w14:paraId="145B145B" w14:textId="77777777" w:rsidTr="00AA51D2">
        <w:tc>
          <w:tcPr>
            <w:tcW w:w="0" w:type="auto"/>
            <w:vAlign w:val="center"/>
          </w:tcPr>
          <w:p w14:paraId="117763DB"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Study reference</w:t>
            </w:r>
          </w:p>
        </w:tc>
        <w:tc>
          <w:tcPr>
            <w:tcW w:w="0" w:type="auto"/>
            <w:vAlign w:val="center"/>
          </w:tcPr>
          <w:p w14:paraId="2C3E8D45"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Stud design</w:t>
            </w:r>
          </w:p>
        </w:tc>
        <w:tc>
          <w:tcPr>
            <w:tcW w:w="0" w:type="auto"/>
            <w:vAlign w:val="center"/>
          </w:tcPr>
          <w:p w14:paraId="76BE5932"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Country</w:t>
            </w:r>
          </w:p>
        </w:tc>
        <w:tc>
          <w:tcPr>
            <w:tcW w:w="0" w:type="auto"/>
            <w:vAlign w:val="center"/>
          </w:tcPr>
          <w:p w14:paraId="7F70B7CA"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Time period</w:t>
            </w:r>
          </w:p>
        </w:tc>
        <w:tc>
          <w:tcPr>
            <w:tcW w:w="0" w:type="auto"/>
            <w:vAlign w:val="center"/>
          </w:tcPr>
          <w:p w14:paraId="2247BE7D"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Drug(s) used in the comparator group</w:t>
            </w:r>
          </w:p>
        </w:tc>
        <w:tc>
          <w:tcPr>
            <w:tcW w:w="0" w:type="auto"/>
            <w:vAlign w:val="center"/>
          </w:tcPr>
          <w:p w14:paraId="35638FDC"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N. of enrolled patients</w:t>
            </w:r>
          </w:p>
          <w:p w14:paraId="4792CB94"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(daptomycin vs. others)</w:t>
            </w:r>
          </w:p>
        </w:tc>
        <w:tc>
          <w:tcPr>
            <w:tcW w:w="0" w:type="auto"/>
            <w:vAlign w:val="center"/>
          </w:tcPr>
          <w:p w14:paraId="6598D2BE"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Age</w:t>
            </w:r>
          </w:p>
          <w:p w14:paraId="32D9A508"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(mean or median)</w:t>
            </w:r>
          </w:p>
        </w:tc>
        <w:tc>
          <w:tcPr>
            <w:tcW w:w="0" w:type="auto"/>
            <w:vAlign w:val="center"/>
          </w:tcPr>
          <w:p w14:paraId="629CEDDC"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Sex</w:t>
            </w:r>
          </w:p>
          <w:p w14:paraId="395DF57A"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(Male)</w:t>
            </w:r>
          </w:p>
        </w:tc>
        <w:tc>
          <w:tcPr>
            <w:tcW w:w="0" w:type="auto"/>
            <w:vAlign w:val="center"/>
          </w:tcPr>
          <w:p w14:paraId="649F1A04"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 of ICU patients (daptomycin vs. others)</w:t>
            </w:r>
          </w:p>
        </w:tc>
        <w:tc>
          <w:tcPr>
            <w:tcW w:w="0" w:type="auto"/>
            <w:gridSpan w:val="3"/>
            <w:vAlign w:val="center"/>
          </w:tcPr>
          <w:p w14:paraId="46B5FD58"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Exposed group</w:t>
            </w:r>
          </w:p>
          <w:p w14:paraId="4EC4F667"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(Type of BSI)</w:t>
            </w:r>
          </w:p>
        </w:tc>
        <w:tc>
          <w:tcPr>
            <w:tcW w:w="0" w:type="auto"/>
            <w:gridSpan w:val="3"/>
            <w:vAlign w:val="center"/>
          </w:tcPr>
          <w:p w14:paraId="752DBAA9"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Comparator group</w:t>
            </w:r>
          </w:p>
          <w:p w14:paraId="765EDF26"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(Type of BSI)</w:t>
            </w:r>
          </w:p>
        </w:tc>
        <w:tc>
          <w:tcPr>
            <w:tcW w:w="0" w:type="auto"/>
            <w:vAlign w:val="center"/>
          </w:tcPr>
          <w:p w14:paraId="30A3BB74"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Treatment duration in days (mean or median)</w:t>
            </w:r>
          </w:p>
        </w:tc>
      </w:tr>
      <w:tr w:rsidR="00740B37" w:rsidRPr="00740B37" w14:paraId="29729E53" w14:textId="77777777" w:rsidTr="00AA51D2">
        <w:tc>
          <w:tcPr>
            <w:tcW w:w="0" w:type="auto"/>
            <w:vAlign w:val="center"/>
          </w:tcPr>
          <w:p w14:paraId="052897EA" w14:textId="77777777" w:rsidR="00740B37" w:rsidRPr="00740B37" w:rsidRDefault="00740B37" w:rsidP="00740B37">
            <w:pPr>
              <w:jc w:val="center"/>
              <w:rPr>
                <w:rFonts w:eastAsia="Calibri"/>
                <w:sz w:val="14"/>
                <w:szCs w:val="14"/>
                <w:lang w:val="en-GB" w:eastAsia="en-US"/>
              </w:rPr>
            </w:pPr>
          </w:p>
        </w:tc>
        <w:tc>
          <w:tcPr>
            <w:tcW w:w="0" w:type="auto"/>
            <w:vAlign w:val="center"/>
          </w:tcPr>
          <w:p w14:paraId="0158AFF9" w14:textId="77777777" w:rsidR="00740B37" w:rsidRPr="00740B37" w:rsidRDefault="00740B37" w:rsidP="00740B37">
            <w:pPr>
              <w:jc w:val="center"/>
              <w:rPr>
                <w:rFonts w:eastAsia="Calibri"/>
                <w:sz w:val="14"/>
                <w:szCs w:val="14"/>
                <w:lang w:val="en-GB" w:eastAsia="en-US"/>
              </w:rPr>
            </w:pPr>
          </w:p>
        </w:tc>
        <w:tc>
          <w:tcPr>
            <w:tcW w:w="0" w:type="auto"/>
            <w:vAlign w:val="center"/>
          </w:tcPr>
          <w:p w14:paraId="42638D44" w14:textId="77777777" w:rsidR="00740B37" w:rsidRPr="00740B37" w:rsidRDefault="00740B37" w:rsidP="00740B37">
            <w:pPr>
              <w:jc w:val="center"/>
              <w:rPr>
                <w:rFonts w:eastAsia="Calibri"/>
                <w:sz w:val="14"/>
                <w:szCs w:val="14"/>
                <w:lang w:val="en-GB" w:eastAsia="en-US"/>
              </w:rPr>
            </w:pPr>
          </w:p>
        </w:tc>
        <w:tc>
          <w:tcPr>
            <w:tcW w:w="0" w:type="auto"/>
            <w:vAlign w:val="center"/>
          </w:tcPr>
          <w:p w14:paraId="002F512F" w14:textId="77777777" w:rsidR="00740B37" w:rsidRPr="00740B37" w:rsidRDefault="00740B37" w:rsidP="00740B37">
            <w:pPr>
              <w:jc w:val="center"/>
              <w:rPr>
                <w:rFonts w:eastAsia="Calibri"/>
                <w:sz w:val="14"/>
                <w:szCs w:val="14"/>
                <w:lang w:val="en-GB" w:eastAsia="en-US"/>
              </w:rPr>
            </w:pPr>
          </w:p>
        </w:tc>
        <w:tc>
          <w:tcPr>
            <w:tcW w:w="0" w:type="auto"/>
            <w:vAlign w:val="center"/>
          </w:tcPr>
          <w:p w14:paraId="324A3119" w14:textId="77777777" w:rsidR="00740B37" w:rsidRPr="00740B37" w:rsidRDefault="00740B37" w:rsidP="00740B37">
            <w:pPr>
              <w:jc w:val="center"/>
              <w:rPr>
                <w:rFonts w:eastAsia="Calibri"/>
                <w:sz w:val="14"/>
                <w:szCs w:val="14"/>
                <w:lang w:val="en-GB" w:eastAsia="en-US"/>
              </w:rPr>
            </w:pPr>
          </w:p>
        </w:tc>
        <w:tc>
          <w:tcPr>
            <w:tcW w:w="0" w:type="auto"/>
            <w:vAlign w:val="center"/>
          </w:tcPr>
          <w:p w14:paraId="634A4853" w14:textId="77777777" w:rsidR="00740B37" w:rsidRPr="00740B37" w:rsidRDefault="00740B37" w:rsidP="00740B37">
            <w:pPr>
              <w:jc w:val="center"/>
              <w:rPr>
                <w:rFonts w:eastAsia="Calibri"/>
                <w:sz w:val="14"/>
                <w:szCs w:val="14"/>
                <w:lang w:val="en-GB" w:eastAsia="en-US"/>
              </w:rPr>
            </w:pPr>
          </w:p>
        </w:tc>
        <w:tc>
          <w:tcPr>
            <w:tcW w:w="0" w:type="auto"/>
            <w:vAlign w:val="center"/>
          </w:tcPr>
          <w:p w14:paraId="33C581E1" w14:textId="77777777" w:rsidR="00740B37" w:rsidRPr="00740B37" w:rsidRDefault="00740B37" w:rsidP="00740B37">
            <w:pPr>
              <w:jc w:val="center"/>
              <w:rPr>
                <w:rFonts w:eastAsia="Calibri"/>
                <w:sz w:val="14"/>
                <w:szCs w:val="14"/>
                <w:lang w:val="en-GB" w:eastAsia="en-US"/>
              </w:rPr>
            </w:pPr>
          </w:p>
        </w:tc>
        <w:tc>
          <w:tcPr>
            <w:tcW w:w="0" w:type="auto"/>
            <w:vAlign w:val="center"/>
          </w:tcPr>
          <w:p w14:paraId="3B145387" w14:textId="77777777" w:rsidR="00740B37" w:rsidRPr="00740B37" w:rsidRDefault="00740B37" w:rsidP="00740B37">
            <w:pPr>
              <w:jc w:val="center"/>
              <w:rPr>
                <w:rFonts w:eastAsia="Calibri"/>
                <w:b/>
                <w:bCs/>
                <w:sz w:val="14"/>
                <w:szCs w:val="14"/>
                <w:lang w:val="en-GB" w:eastAsia="en-US"/>
              </w:rPr>
            </w:pPr>
          </w:p>
        </w:tc>
        <w:tc>
          <w:tcPr>
            <w:tcW w:w="0" w:type="auto"/>
            <w:vAlign w:val="center"/>
          </w:tcPr>
          <w:p w14:paraId="15D54421" w14:textId="77777777" w:rsidR="00740B37" w:rsidRPr="00740B37" w:rsidRDefault="00740B37" w:rsidP="00740B37">
            <w:pPr>
              <w:jc w:val="center"/>
              <w:rPr>
                <w:rFonts w:eastAsia="Calibri"/>
                <w:b/>
                <w:bCs/>
                <w:sz w:val="14"/>
                <w:szCs w:val="14"/>
                <w:lang w:val="en-GB" w:eastAsia="en-US"/>
              </w:rPr>
            </w:pPr>
          </w:p>
        </w:tc>
        <w:tc>
          <w:tcPr>
            <w:tcW w:w="0" w:type="auto"/>
            <w:vAlign w:val="center"/>
          </w:tcPr>
          <w:p w14:paraId="31A3508C"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Primary</w:t>
            </w:r>
          </w:p>
        </w:tc>
        <w:tc>
          <w:tcPr>
            <w:tcW w:w="0" w:type="auto"/>
            <w:vAlign w:val="center"/>
          </w:tcPr>
          <w:p w14:paraId="6155EB4A"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Device-related</w:t>
            </w:r>
          </w:p>
        </w:tc>
        <w:tc>
          <w:tcPr>
            <w:tcW w:w="0" w:type="auto"/>
            <w:vAlign w:val="center"/>
          </w:tcPr>
          <w:p w14:paraId="38306D52"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Secondary</w:t>
            </w:r>
          </w:p>
        </w:tc>
        <w:tc>
          <w:tcPr>
            <w:tcW w:w="0" w:type="auto"/>
            <w:vAlign w:val="center"/>
          </w:tcPr>
          <w:p w14:paraId="34DEAACC"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Primary</w:t>
            </w:r>
          </w:p>
        </w:tc>
        <w:tc>
          <w:tcPr>
            <w:tcW w:w="0" w:type="auto"/>
            <w:vAlign w:val="center"/>
          </w:tcPr>
          <w:p w14:paraId="5D4B1CF0"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Device-related</w:t>
            </w:r>
          </w:p>
          <w:p w14:paraId="25A2124F" w14:textId="77777777" w:rsidR="00740B37" w:rsidRPr="00740B37" w:rsidRDefault="00740B37" w:rsidP="00740B37">
            <w:pPr>
              <w:jc w:val="center"/>
              <w:rPr>
                <w:rFonts w:eastAsia="Calibri"/>
                <w:b/>
                <w:bCs/>
                <w:sz w:val="14"/>
                <w:szCs w:val="14"/>
                <w:lang w:val="en-GB" w:eastAsia="en-US"/>
              </w:rPr>
            </w:pPr>
          </w:p>
        </w:tc>
        <w:tc>
          <w:tcPr>
            <w:tcW w:w="0" w:type="auto"/>
            <w:vAlign w:val="center"/>
          </w:tcPr>
          <w:p w14:paraId="55A5227C" w14:textId="77777777" w:rsidR="00740B37" w:rsidRPr="00740B37" w:rsidRDefault="00740B37" w:rsidP="00740B37">
            <w:pPr>
              <w:jc w:val="center"/>
              <w:rPr>
                <w:rFonts w:eastAsia="Calibri"/>
                <w:b/>
                <w:bCs/>
                <w:sz w:val="14"/>
                <w:szCs w:val="14"/>
                <w:lang w:val="en-GB" w:eastAsia="en-US"/>
              </w:rPr>
            </w:pPr>
            <w:r w:rsidRPr="00740B37">
              <w:rPr>
                <w:rFonts w:eastAsia="Calibri"/>
                <w:b/>
                <w:bCs/>
                <w:sz w:val="14"/>
                <w:szCs w:val="14"/>
                <w:lang w:val="en-GB" w:eastAsia="en-US"/>
              </w:rPr>
              <w:t xml:space="preserve">Secondary </w:t>
            </w:r>
          </w:p>
        </w:tc>
        <w:tc>
          <w:tcPr>
            <w:tcW w:w="0" w:type="auto"/>
            <w:vAlign w:val="center"/>
          </w:tcPr>
          <w:p w14:paraId="3B28DB52" w14:textId="77777777" w:rsidR="00740B37" w:rsidRPr="00740B37" w:rsidRDefault="00740B37" w:rsidP="00740B37">
            <w:pPr>
              <w:jc w:val="center"/>
              <w:rPr>
                <w:rFonts w:eastAsia="Calibri"/>
                <w:b/>
                <w:bCs/>
                <w:sz w:val="14"/>
                <w:szCs w:val="14"/>
                <w:lang w:val="en-GB" w:eastAsia="en-US"/>
              </w:rPr>
            </w:pPr>
          </w:p>
        </w:tc>
      </w:tr>
      <w:tr w:rsidR="00740B37" w:rsidRPr="00740B37" w14:paraId="150F0C98" w14:textId="77777777" w:rsidTr="00AA51D2">
        <w:tc>
          <w:tcPr>
            <w:tcW w:w="0" w:type="auto"/>
            <w:vAlign w:val="center"/>
          </w:tcPr>
          <w:p w14:paraId="2D309F3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 xml:space="preserve">Hayakawa K. </w:t>
            </w:r>
            <w:r w:rsidRPr="00740B37">
              <w:rPr>
                <w:rFonts w:eastAsia="Calibri"/>
                <w:i/>
                <w:iCs/>
                <w:sz w:val="14"/>
                <w:szCs w:val="14"/>
                <w:lang w:val="de-DE" w:eastAsia="en-US"/>
              </w:rPr>
              <w:t>et al</w:t>
            </w:r>
          </w:p>
          <w:p w14:paraId="3D5891E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(2014)</w:t>
            </w:r>
          </w:p>
        </w:tc>
        <w:tc>
          <w:tcPr>
            <w:tcW w:w="0" w:type="auto"/>
            <w:vAlign w:val="center"/>
          </w:tcPr>
          <w:p w14:paraId="09E299CC" w14:textId="77777777" w:rsidR="00740B37" w:rsidRPr="00740B37" w:rsidRDefault="00740B37" w:rsidP="00740B37">
            <w:pPr>
              <w:jc w:val="center"/>
              <w:rPr>
                <w:rFonts w:eastAsia="Calibri"/>
                <w:sz w:val="14"/>
                <w:szCs w:val="14"/>
                <w:lang w:val="de-DE" w:eastAsia="en-US"/>
              </w:rPr>
            </w:pPr>
            <w:proofErr w:type="spellStart"/>
            <w:r w:rsidRPr="00740B37">
              <w:rPr>
                <w:rFonts w:eastAsia="Calibri"/>
                <w:sz w:val="14"/>
                <w:szCs w:val="14"/>
                <w:lang w:val="de-DE" w:eastAsia="en-US"/>
              </w:rPr>
              <w:t>Retrospective</w:t>
            </w:r>
            <w:proofErr w:type="spellEnd"/>
            <w:r w:rsidRPr="00740B37">
              <w:rPr>
                <w:rFonts w:eastAsia="Calibri"/>
                <w:sz w:val="14"/>
                <w:szCs w:val="14"/>
                <w:lang w:val="de-DE" w:eastAsia="en-US"/>
              </w:rPr>
              <w:t xml:space="preserve"> </w:t>
            </w:r>
            <w:proofErr w:type="spellStart"/>
            <w:r w:rsidRPr="00740B37">
              <w:rPr>
                <w:rFonts w:eastAsia="Calibri"/>
                <w:sz w:val="14"/>
                <w:szCs w:val="14"/>
                <w:lang w:val="de-DE" w:eastAsia="en-US"/>
              </w:rPr>
              <w:t>observational</w:t>
            </w:r>
            <w:proofErr w:type="spellEnd"/>
          </w:p>
        </w:tc>
        <w:tc>
          <w:tcPr>
            <w:tcW w:w="0" w:type="auto"/>
            <w:vAlign w:val="center"/>
          </w:tcPr>
          <w:p w14:paraId="5532EE2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USA</w:t>
            </w:r>
          </w:p>
        </w:tc>
        <w:tc>
          <w:tcPr>
            <w:tcW w:w="0" w:type="auto"/>
            <w:vAlign w:val="center"/>
          </w:tcPr>
          <w:p w14:paraId="1DE6BC6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2008</w:t>
            </w:r>
          </w:p>
          <w:p w14:paraId="37D6E01C"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49607574" w14:textId="77777777" w:rsidR="00740B37" w:rsidRPr="00740B37" w:rsidRDefault="00740B37" w:rsidP="00740B37">
            <w:pPr>
              <w:jc w:val="center"/>
              <w:rPr>
                <w:rFonts w:eastAsia="Calibri"/>
                <w:sz w:val="14"/>
                <w:szCs w:val="14"/>
                <w:lang w:val="de-DE" w:eastAsia="en-US"/>
              </w:rPr>
            </w:pPr>
            <w:proofErr w:type="spellStart"/>
            <w:r w:rsidRPr="00740B37">
              <w:rPr>
                <w:rFonts w:eastAsia="Calibri"/>
                <w:sz w:val="14"/>
                <w:szCs w:val="14"/>
                <w:lang w:val="de-DE" w:eastAsia="en-US"/>
              </w:rPr>
              <w:t>Oct</w:t>
            </w:r>
            <w:proofErr w:type="spellEnd"/>
            <w:r w:rsidRPr="00740B37">
              <w:rPr>
                <w:rFonts w:eastAsia="Calibri"/>
                <w:sz w:val="14"/>
                <w:szCs w:val="14"/>
                <w:lang w:val="de-DE" w:eastAsia="en-US"/>
              </w:rPr>
              <w:t xml:space="preserve"> 2010</w:t>
            </w:r>
          </w:p>
        </w:tc>
        <w:tc>
          <w:tcPr>
            <w:tcW w:w="0" w:type="auto"/>
            <w:vAlign w:val="center"/>
          </w:tcPr>
          <w:p w14:paraId="1486B078"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 xml:space="preserve">[1] LZD </w:t>
            </w:r>
          </w:p>
          <w:p w14:paraId="0E2CB07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[2] BL</w:t>
            </w:r>
          </w:p>
        </w:tc>
        <w:tc>
          <w:tcPr>
            <w:tcW w:w="0" w:type="auto"/>
            <w:vAlign w:val="center"/>
          </w:tcPr>
          <w:p w14:paraId="637A293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 xml:space="preserve">56 vs. 169 ([1] 112; </w:t>
            </w:r>
          </w:p>
          <w:p w14:paraId="608BB2A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[2] 57)</w:t>
            </w:r>
          </w:p>
        </w:tc>
        <w:tc>
          <w:tcPr>
            <w:tcW w:w="0" w:type="auto"/>
            <w:vAlign w:val="center"/>
          </w:tcPr>
          <w:p w14:paraId="6A5115FE"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 xml:space="preserve">54.6 vs. </w:t>
            </w:r>
            <w:r w:rsidRPr="00740B37">
              <w:rPr>
                <w:rFonts w:eastAsia="Calibri"/>
                <w:sz w:val="14"/>
                <w:szCs w:val="14"/>
                <w:lang w:eastAsia="en-US"/>
              </w:rPr>
              <w:t xml:space="preserve"> [1]</w:t>
            </w:r>
            <w:r w:rsidRPr="00740B37">
              <w:rPr>
                <w:rFonts w:eastAsia="Calibri"/>
                <w:sz w:val="14"/>
                <w:szCs w:val="14"/>
                <w:lang w:val="de-DE" w:eastAsia="en-US"/>
              </w:rPr>
              <w:t xml:space="preserve"> 63.8; [2] 64.1</w:t>
            </w:r>
          </w:p>
        </w:tc>
        <w:tc>
          <w:tcPr>
            <w:tcW w:w="0" w:type="auto"/>
            <w:vAlign w:val="center"/>
          </w:tcPr>
          <w:p w14:paraId="43C59800"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59% vs.</w:t>
            </w:r>
          </w:p>
          <w:p w14:paraId="0E6512F7"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[1] 54%;</w:t>
            </w:r>
          </w:p>
          <w:p w14:paraId="569554D6"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[2] 58%</w:t>
            </w:r>
          </w:p>
        </w:tc>
        <w:tc>
          <w:tcPr>
            <w:tcW w:w="0" w:type="auto"/>
            <w:vAlign w:val="center"/>
          </w:tcPr>
          <w:p w14:paraId="39E47E0B"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 xml:space="preserve">50% vs. </w:t>
            </w:r>
          </w:p>
          <w:p w14:paraId="0DC43FD8"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 xml:space="preserve">[1] 50%; </w:t>
            </w:r>
          </w:p>
          <w:p w14:paraId="3CD1FEC3"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[2] 28%</w:t>
            </w:r>
          </w:p>
        </w:tc>
        <w:tc>
          <w:tcPr>
            <w:tcW w:w="0" w:type="auto"/>
            <w:vAlign w:val="center"/>
          </w:tcPr>
          <w:p w14:paraId="5F2748A5"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10</w:t>
            </w:r>
          </w:p>
        </w:tc>
        <w:tc>
          <w:tcPr>
            <w:tcW w:w="0" w:type="auto"/>
            <w:vAlign w:val="center"/>
          </w:tcPr>
          <w:p w14:paraId="011AB890"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20</w:t>
            </w:r>
          </w:p>
        </w:tc>
        <w:tc>
          <w:tcPr>
            <w:tcW w:w="0" w:type="auto"/>
            <w:vAlign w:val="center"/>
          </w:tcPr>
          <w:p w14:paraId="79271EE3"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46</w:t>
            </w:r>
          </w:p>
        </w:tc>
        <w:tc>
          <w:tcPr>
            <w:tcW w:w="0" w:type="auto"/>
            <w:vAlign w:val="center"/>
          </w:tcPr>
          <w:p w14:paraId="6CD8DB9B"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[1] 7;</w:t>
            </w:r>
          </w:p>
          <w:p w14:paraId="566DB953"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 xml:space="preserve"> [2] 3</w:t>
            </w:r>
          </w:p>
        </w:tc>
        <w:tc>
          <w:tcPr>
            <w:tcW w:w="0" w:type="auto"/>
            <w:vAlign w:val="center"/>
          </w:tcPr>
          <w:p w14:paraId="4A6B944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[1] 47;</w:t>
            </w:r>
          </w:p>
          <w:p w14:paraId="1C240338"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[2] 22</w:t>
            </w:r>
          </w:p>
        </w:tc>
        <w:tc>
          <w:tcPr>
            <w:tcW w:w="0" w:type="auto"/>
            <w:vAlign w:val="center"/>
          </w:tcPr>
          <w:p w14:paraId="2C9C4141"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[1] 105;</w:t>
            </w:r>
          </w:p>
          <w:p w14:paraId="01802027"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[2] 44</w:t>
            </w:r>
          </w:p>
        </w:tc>
        <w:tc>
          <w:tcPr>
            <w:tcW w:w="0" w:type="auto"/>
            <w:vAlign w:val="center"/>
          </w:tcPr>
          <w:p w14:paraId="2B5E1ADD"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 xml:space="preserve">4.5 vs. </w:t>
            </w:r>
          </w:p>
          <w:p w14:paraId="54394795"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[1] 6.9;</w:t>
            </w:r>
          </w:p>
          <w:p w14:paraId="347C066B"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[2] 8.3</w:t>
            </w:r>
          </w:p>
        </w:tc>
      </w:tr>
      <w:tr w:rsidR="00740B37" w:rsidRPr="00740B37" w14:paraId="3CCC05DE" w14:textId="77777777" w:rsidTr="00AA51D2">
        <w:tc>
          <w:tcPr>
            <w:tcW w:w="0" w:type="auto"/>
            <w:vAlign w:val="center"/>
          </w:tcPr>
          <w:p w14:paraId="7D62CEE6" w14:textId="77777777" w:rsidR="00740B37" w:rsidRPr="00740B37" w:rsidRDefault="00740B37" w:rsidP="00740B37">
            <w:pPr>
              <w:jc w:val="center"/>
              <w:rPr>
                <w:rFonts w:eastAsia="Calibri"/>
                <w:i/>
                <w:iCs/>
                <w:sz w:val="14"/>
                <w:szCs w:val="14"/>
                <w:lang w:val="de-DE" w:eastAsia="en-US"/>
              </w:rPr>
            </w:pPr>
            <w:r w:rsidRPr="00740B37">
              <w:rPr>
                <w:rFonts w:eastAsia="Calibri"/>
                <w:sz w:val="14"/>
                <w:szCs w:val="14"/>
                <w:lang w:val="de-DE" w:eastAsia="en-US"/>
              </w:rPr>
              <w:t xml:space="preserve">Britt N. S. </w:t>
            </w:r>
            <w:r w:rsidRPr="00740B37">
              <w:rPr>
                <w:rFonts w:eastAsia="Calibri"/>
                <w:i/>
                <w:iCs/>
                <w:sz w:val="14"/>
                <w:szCs w:val="14"/>
                <w:lang w:val="de-DE" w:eastAsia="en-US"/>
              </w:rPr>
              <w:t>et al</w:t>
            </w:r>
          </w:p>
          <w:p w14:paraId="52A849C9"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(2015)</w:t>
            </w:r>
          </w:p>
        </w:tc>
        <w:tc>
          <w:tcPr>
            <w:tcW w:w="0" w:type="auto"/>
            <w:vAlign w:val="center"/>
          </w:tcPr>
          <w:p w14:paraId="1D238428" w14:textId="77777777" w:rsidR="00740B37" w:rsidRPr="00740B37" w:rsidRDefault="00740B37" w:rsidP="00740B37">
            <w:pPr>
              <w:jc w:val="center"/>
              <w:rPr>
                <w:rFonts w:eastAsia="Calibri"/>
                <w:sz w:val="14"/>
                <w:szCs w:val="14"/>
                <w:lang w:eastAsia="en-US"/>
              </w:rPr>
            </w:pPr>
            <w:proofErr w:type="spellStart"/>
            <w:r w:rsidRPr="00740B37">
              <w:rPr>
                <w:rFonts w:eastAsia="Calibri"/>
                <w:sz w:val="14"/>
                <w:szCs w:val="14"/>
                <w:lang w:val="de-DE" w:eastAsia="en-US"/>
              </w:rPr>
              <w:t>Retrospective</w:t>
            </w:r>
            <w:proofErr w:type="spellEnd"/>
            <w:r w:rsidRPr="00740B37">
              <w:rPr>
                <w:rFonts w:eastAsia="Calibri"/>
                <w:sz w:val="14"/>
                <w:szCs w:val="14"/>
                <w:lang w:val="de-DE" w:eastAsia="en-US"/>
              </w:rPr>
              <w:t xml:space="preserve"> </w:t>
            </w:r>
            <w:proofErr w:type="spellStart"/>
            <w:r w:rsidRPr="00740B37">
              <w:rPr>
                <w:rFonts w:eastAsia="Calibri"/>
                <w:sz w:val="14"/>
                <w:szCs w:val="14"/>
                <w:lang w:val="de-DE" w:eastAsia="en-US"/>
              </w:rPr>
              <w:t>observational</w:t>
            </w:r>
            <w:proofErr w:type="spellEnd"/>
          </w:p>
        </w:tc>
        <w:tc>
          <w:tcPr>
            <w:tcW w:w="0" w:type="auto"/>
            <w:vAlign w:val="center"/>
          </w:tcPr>
          <w:p w14:paraId="7691A7BA"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USA</w:t>
            </w:r>
          </w:p>
        </w:tc>
        <w:tc>
          <w:tcPr>
            <w:tcW w:w="0" w:type="auto"/>
            <w:vAlign w:val="center"/>
          </w:tcPr>
          <w:p w14:paraId="4CDC896C"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2004</w:t>
            </w:r>
          </w:p>
          <w:p w14:paraId="4390E201"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283B1E2D"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Jan 2013</w:t>
            </w:r>
          </w:p>
        </w:tc>
        <w:tc>
          <w:tcPr>
            <w:tcW w:w="0" w:type="auto"/>
            <w:vAlign w:val="center"/>
          </w:tcPr>
          <w:p w14:paraId="7F0167B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LZD</w:t>
            </w:r>
          </w:p>
        </w:tc>
        <w:tc>
          <w:tcPr>
            <w:tcW w:w="0" w:type="auto"/>
            <w:vAlign w:val="center"/>
          </w:tcPr>
          <w:p w14:paraId="73F46FE7"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325 vs. 619</w:t>
            </w:r>
          </w:p>
        </w:tc>
        <w:tc>
          <w:tcPr>
            <w:tcW w:w="0" w:type="auto"/>
            <w:vAlign w:val="center"/>
          </w:tcPr>
          <w:p w14:paraId="0375F984"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64 vs. 67</w:t>
            </w:r>
          </w:p>
        </w:tc>
        <w:tc>
          <w:tcPr>
            <w:tcW w:w="0" w:type="auto"/>
            <w:vAlign w:val="center"/>
          </w:tcPr>
          <w:p w14:paraId="5FF1F586"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99% vs. 97%</w:t>
            </w:r>
          </w:p>
        </w:tc>
        <w:tc>
          <w:tcPr>
            <w:tcW w:w="0" w:type="auto"/>
            <w:vAlign w:val="center"/>
          </w:tcPr>
          <w:p w14:paraId="6064F4D6"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71% vs. 84%</w:t>
            </w:r>
          </w:p>
        </w:tc>
        <w:tc>
          <w:tcPr>
            <w:tcW w:w="0" w:type="auto"/>
            <w:vAlign w:val="center"/>
          </w:tcPr>
          <w:p w14:paraId="1C11A9CF"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59</w:t>
            </w:r>
          </w:p>
        </w:tc>
        <w:tc>
          <w:tcPr>
            <w:tcW w:w="0" w:type="auto"/>
            <w:vAlign w:val="center"/>
          </w:tcPr>
          <w:p w14:paraId="6CAC2B89"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134</w:t>
            </w:r>
          </w:p>
        </w:tc>
        <w:tc>
          <w:tcPr>
            <w:tcW w:w="0" w:type="auto"/>
            <w:vAlign w:val="center"/>
          </w:tcPr>
          <w:p w14:paraId="240F0F99"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132</w:t>
            </w:r>
          </w:p>
        </w:tc>
        <w:tc>
          <w:tcPr>
            <w:tcW w:w="0" w:type="auto"/>
            <w:vAlign w:val="center"/>
          </w:tcPr>
          <w:p w14:paraId="70D6188D"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61</w:t>
            </w:r>
          </w:p>
        </w:tc>
        <w:tc>
          <w:tcPr>
            <w:tcW w:w="0" w:type="auto"/>
            <w:vAlign w:val="center"/>
          </w:tcPr>
          <w:p w14:paraId="6078CD5C"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109</w:t>
            </w:r>
          </w:p>
        </w:tc>
        <w:tc>
          <w:tcPr>
            <w:tcW w:w="0" w:type="auto"/>
            <w:vAlign w:val="center"/>
          </w:tcPr>
          <w:p w14:paraId="156B313E"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149</w:t>
            </w:r>
          </w:p>
        </w:tc>
        <w:tc>
          <w:tcPr>
            <w:tcW w:w="0" w:type="auto"/>
            <w:vAlign w:val="center"/>
          </w:tcPr>
          <w:p w14:paraId="4C4CE3CD"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NA</w:t>
            </w:r>
          </w:p>
        </w:tc>
      </w:tr>
      <w:tr w:rsidR="00740B37" w:rsidRPr="00740B37" w14:paraId="253F0B5F" w14:textId="77777777" w:rsidTr="00AA51D2">
        <w:tc>
          <w:tcPr>
            <w:tcW w:w="0" w:type="auto"/>
            <w:vAlign w:val="center"/>
          </w:tcPr>
          <w:p w14:paraId="7A09D9AE" w14:textId="77777777" w:rsidR="00740B37" w:rsidRPr="00740B37" w:rsidRDefault="00740B37" w:rsidP="00740B37">
            <w:pPr>
              <w:jc w:val="center"/>
              <w:rPr>
                <w:rFonts w:eastAsia="Calibri"/>
                <w:i/>
                <w:iCs/>
                <w:sz w:val="14"/>
                <w:szCs w:val="14"/>
                <w:lang w:val="en-US" w:eastAsia="en-US"/>
              </w:rPr>
            </w:pPr>
            <w:r w:rsidRPr="00740B37">
              <w:rPr>
                <w:rFonts w:eastAsia="Calibri"/>
                <w:sz w:val="14"/>
                <w:szCs w:val="14"/>
                <w:lang w:val="en-US" w:eastAsia="en-US"/>
              </w:rPr>
              <w:t xml:space="preserve">Chuang Y. </w:t>
            </w:r>
            <w:r w:rsidRPr="00740B37">
              <w:rPr>
                <w:rFonts w:eastAsia="Calibri"/>
                <w:i/>
                <w:iCs/>
                <w:sz w:val="14"/>
                <w:szCs w:val="14"/>
                <w:lang w:val="en-US" w:eastAsia="en-US"/>
              </w:rPr>
              <w:t>et al</w:t>
            </w:r>
          </w:p>
          <w:p w14:paraId="66F0E5B7"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US" w:eastAsia="en-US"/>
              </w:rPr>
              <w:t>(2016)</w:t>
            </w:r>
          </w:p>
        </w:tc>
        <w:tc>
          <w:tcPr>
            <w:tcW w:w="0" w:type="auto"/>
            <w:vAlign w:val="center"/>
          </w:tcPr>
          <w:p w14:paraId="42A980E9" w14:textId="77777777" w:rsidR="00740B37" w:rsidRPr="00740B37" w:rsidRDefault="00740B37" w:rsidP="00740B37">
            <w:pPr>
              <w:jc w:val="center"/>
              <w:rPr>
                <w:rFonts w:eastAsia="Calibri"/>
                <w:sz w:val="14"/>
                <w:szCs w:val="14"/>
                <w:lang w:val="de-DE" w:eastAsia="en-US"/>
              </w:rPr>
            </w:pPr>
            <w:proofErr w:type="spellStart"/>
            <w:r w:rsidRPr="00740B37">
              <w:rPr>
                <w:rFonts w:eastAsia="Calibri"/>
                <w:sz w:val="14"/>
                <w:szCs w:val="14"/>
                <w:lang w:eastAsia="en-US"/>
              </w:rPr>
              <w:t>Prospective</w:t>
            </w:r>
            <w:proofErr w:type="spellEnd"/>
            <w:r w:rsidRPr="00740B37">
              <w:rPr>
                <w:rFonts w:eastAsia="Calibri"/>
                <w:sz w:val="14"/>
                <w:szCs w:val="14"/>
                <w:lang w:eastAsia="en-US"/>
              </w:rPr>
              <w:t xml:space="preserve"> </w:t>
            </w:r>
            <w:proofErr w:type="spellStart"/>
            <w:r w:rsidRPr="00740B37">
              <w:rPr>
                <w:rFonts w:eastAsia="Calibri"/>
                <w:sz w:val="14"/>
                <w:szCs w:val="14"/>
                <w:lang w:eastAsia="en-US"/>
              </w:rPr>
              <w:t>observational</w:t>
            </w:r>
            <w:proofErr w:type="spellEnd"/>
          </w:p>
        </w:tc>
        <w:tc>
          <w:tcPr>
            <w:tcW w:w="0" w:type="auto"/>
            <w:vAlign w:val="center"/>
          </w:tcPr>
          <w:p w14:paraId="7BC345E7"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Taiwan</w:t>
            </w:r>
          </w:p>
        </w:tc>
        <w:tc>
          <w:tcPr>
            <w:tcW w:w="0" w:type="auto"/>
            <w:vAlign w:val="center"/>
          </w:tcPr>
          <w:p w14:paraId="0D5DB84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2010</w:t>
            </w:r>
          </w:p>
          <w:p w14:paraId="5F72BA3B"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4F5F45BF"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Jul 2015</w:t>
            </w:r>
          </w:p>
        </w:tc>
        <w:tc>
          <w:tcPr>
            <w:tcW w:w="0" w:type="auto"/>
            <w:vAlign w:val="center"/>
          </w:tcPr>
          <w:p w14:paraId="150381D6"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LZD</w:t>
            </w:r>
          </w:p>
        </w:tc>
        <w:tc>
          <w:tcPr>
            <w:tcW w:w="0" w:type="auto"/>
            <w:vAlign w:val="center"/>
          </w:tcPr>
          <w:p w14:paraId="4298B33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141 vs. 71</w:t>
            </w:r>
          </w:p>
        </w:tc>
        <w:tc>
          <w:tcPr>
            <w:tcW w:w="0" w:type="auto"/>
            <w:vAlign w:val="center"/>
          </w:tcPr>
          <w:p w14:paraId="772092A8"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64.4 vs. 66.6</w:t>
            </w:r>
          </w:p>
        </w:tc>
        <w:tc>
          <w:tcPr>
            <w:tcW w:w="0" w:type="auto"/>
            <w:vAlign w:val="center"/>
          </w:tcPr>
          <w:p w14:paraId="37A72806"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53% vs. 63%</w:t>
            </w:r>
          </w:p>
        </w:tc>
        <w:tc>
          <w:tcPr>
            <w:tcW w:w="0" w:type="auto"/>
            <w:vAlign w:val="center"/>
          </w:tcPr>
          <w:p w14:paraId="22B744B9"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NA</w:t>
            </w:r>
          </w:p>
        </w:tc>
        <w:tc>
          <w:tcPr>
            <w:tcW w:w="0" w:type="auto"/>
            <w:vAlign w:val="center"/>
          </w:tcPr>
          <w:p w14:paraId="6BD43F2D"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95</w:t>
            </w:r>
          </w:p>
        </w:tc>
        <w:tc>
          <w:tcPr>
            <w:tcW w:w="0" w:type="auto"/>
            <w:vAlign w:val="center"/>
          </w:tcPr>
          <w:p w14:paraId="4888969C"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12</w:t>
            </w:r>
          </w:p>
        </w:tc>
        <w:tc>
          <w:tcPr>
            <w:tcW w:w="0" w:type="auto"/>
            <w:vAlign w:val="center"/>
          </w:tcPr>
          <w:p w14:paraId="3B06C2DA"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46</w:t>
            </w:r>
          </w:p>
        </w:tc>
        <w:tc>
          <w:tcPr>
            <w:tcW w:w="0" w:type="auto"/>
            <w:vAlign w:val="center"/>
          </w:tcPr>
          <w:p w14:paraId="0D6DF96B"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38</w:t>
            </w:r>
          </w:p>
        </w:tc>
        <w:tc>
          <w:tcPr>
            <w:tcW w:w="0" w:type="auto"/>
            <w:vAlign w:val="center"/>
          </w:tcPr>
          <w:p w14:paraId="4F0637A4"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9</w:t>
            </w:r>
          </w:p>
        </w:tc>
        <w:tc>
          <w:tcPr>
            <w:tcW w:w="0" w:type="auto"/>
            <w:vAlign w:val="center"/>
          </w:tcPr>
          <w:p w14:paraId="3C916A24"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33</w:t>
            </w:r>
          </w:p>
        </w:tc>
        <w:tc>
          <w:tcPr>
            <w:tcW w:w="0" w:type="auto"/>
            <w:vAlign w:val="center"/>
          </w:tcPr>
          <w:p w14:paraId="31A1BF92"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NA</w:t>
            </w:r>
          </w:p>
        </w:tc>
      </w:tr>
      <w:tr w:rsidR="00740B37" w:rsidRPr="00740B37" w14:paraId="228021B4" w14:textId="77777777" w:rsidTr="00AA51D2">
        <w:tc>
          <w:tcPr>
            <w:tcW w:w="0" w:type="auto"/>
            <w:vAlign w:val="center"/>
          </w:tcPr>
          <w:p w14:paraId="7EA4125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Britt N.S.</w:t>
            </w:r>
          </w:p>
          <w:p w14:paraId="7760F48A" w14:textId="77777777" w:rsidR="00740B37" w:rsidRPr="00740B37" w:rsidRDefault="00740B37" w:rsidP="00740B37">
            <w:pPr>
              <w:jc w:val="center"/>
              <w:rPr>
                <w:rFonts w:eastAsia="Calibri"/>
                <w:i/>
                <w:iCs/>
                <w:sz w:val="14"/>
                <w:szCs w:val="14"/>
                <w:lang w:val="de-DE" w:eastAsia="en-US"/>
              </w:rPr>
            </w:pPr>
            <w:r w:rsidRPr="00740B37">
              <w:rPr>
                <w:rFonts w:eastAsia="Calibri"/>
                <w:i/>
                <w:iCs/>
                <w:sz w:val="14"/>
                <w:szCs w:val="14"/>
                <w:lang w:val="de-DE" w:eastAsia="en-US"/>
              </w:rPr>
              <w:t>et al</w:t>
            </w:r>
          </w:p>
          <w:p w14:paraId="5D92370F"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(2017)</w:t>
            </w:r>
          </w:p>
        </w:tc>
        <w:tc>
          <w:tcPr>
            <w:tcW w:w="0" w:type="auto"/>
            <w:vAlign w:val="center"/>
          </w:tcPr>
          <w:p w14:paraId="4D572E10" w14:textId="77777777" w:rsidR="00740B37" w:rsidRPr="00740B37" w:rsidRDefault="00740B37" w:rsidP="00740B37">
            <w:pPr>
              <w:jc w:val="center"/>
              <w:rPr>
                <w:rFonts w:eastAsia="Calibri"/>
                <w:sz w:val="14"/>
                <w:szCs w:val="14"/>
                <w:lang w:eastAsia="en-US"/>
              </w:rPr>
            </w:pPr>
            <w:proofErr w:type="spellStart"/>
            <w:r w:rsidRPr="00740B37">
              <w:rPr>
                <w:rFonts w:eastAsia="Calibri"/>
                <w:sz w:val="14"/>
                <w:szCs w:val="14"/>
                <w:lang w:val="de-DE" w:eastAsia="en-US"/>
              </w:rPr>
              <w:t>Retrospective</w:t>
            </w:r>
            <w:proofErr w:type="spellEnd"/>
            <w:r w:rsidRPr="00740B37">
              <w:rPr>
                <w:rFonts w:eastAsia="Calibri"/>
                <w:sz w:val="14"/>
                <w:szCs w:val="14"/>
                <w:lang w:val="de-DE" w:eastAsia="en-US"/>
              </w:rPr>
              <w:t xml:space="preserve"> </w:t>
            </w:r>
            <w:proofErr w:type="spellStart"/>
            <w:r w:rsidRPr="00740B37">
              <w:rPr>
                <w:rFonts w:eastAsia="Calibri"/>
                <w:sz w:val="14"/>
                <w:szCs w:val="14"/>
                <w:lang w:val="de-DE" w:eastAsia="en-US"/>
              </w:rPr>
              <w:t>observational</w:t>
            </w:r>
            <w:proofErr w:type="spellEnd"/>
          </w:p>
        </w:tc>
        <w:tc>
          <w:tcPr>
            <w:tcW w:w="0" w:type="auto"/>
            <w:vAlign w:val="center"/>
          </w:tcPr>
          <w:p w14:paraId="248F0012"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USA</w:t>
            </w:r>
          </w:p>
        </w:tc>
        <w:tc>
          <w:tcPr>
            <w:tcW w:w="0" w:type="auto"/>
            <w:vAlign w:val="center"/>
          </w:tcPr>
          <w:p w14:paraId="1D02675E"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2004</w:t>
            </w:r>
          </w:p>
          <w:p w14:paraId="004436CD"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53F70C0C"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Dec 2014</w:t>
            </w:r>
          </w:p>
        </w:tc>
        <w:tc>
          <w:tcPr>
            <w:tcW w:w="0" w:type="auto"/>
            <w:vAlign w:val="center"/>
          </w:tcPr>
          <w:p w14:paraId="4795FD5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LZD</w:t>
            </w:r>
          </w:p>
        </w:tc>
        <w:tc>
          <w:tcPr>
            <w:tcW w:w="0" w:type="auto"/>
            <w:vAlign w:val="center"/>
          </w:tcPr>
          <w:p w14:paraId="602466FD"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853 vs. 853</w:t>
            </w:r>
          </w:p>
        </w:tc>
        <w:tc>
          <w:tcPr>
            <w:tcW w:w="0" w:type="auto"/>
            <w:vAlign w:val="center"/>
          </w:tcPr>
          <w:p w14:paraId="6F8FF231"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NA</w:t>
            </w:r>
          </w:p>
        </w:tc>
        <w:tc>
          <w:tcPr>
            <w:tcW w:w="0" w:type="auto"/>
            <w:vAlign w:val="center"/>
          </w:tcPr>
          <w:p w14:paraId="004B2C6E"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97% vs. 97%</w:t>
            </w:r>
          </w:p>
        </w:tc>
        <w:tc>
          <w:tcPr>
            <w:tcW w:w="0" w:type="auto"/>
            <w:vAlign w:val="center"/>
          </w:tcPr>
          <w:p w14:paraId="5EF4175B"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32% vs. 32%</w:t>
            </w:r>
          </w:p>
        </w:tc>
        <w:tc>
          <w:tcPr>
            <w:tcW w:w="0" w:type="auto"/>
            <w:vAlign w:val="center"/>
          </w:tcPr>
          <w:p w14:paraId="5530DC05"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420</w:t>
            </w:r>
          </w:p>
        </w:tc>
        <w:tc>
          <w:tcPr>
            <w:tcW w:w="0" w:type="auto"/>
            <w:vAlign w:val="center"/>
          </w:tcPr>
          <w:p w14:paraId="4E758B80"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89</w:t>
            </w:r>
          </w:p>
        </w:tc>
        <w:tc>
          <w:tcPr>
            <w:tcW w:w="0" w:type="auto"/>
            <w:vAlign w:val="center"/>
          </w:tcPr>
          <w:p w14:paraId="0E75859E"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433</w:t>
            </w:r>
          </w:p>
        </w:tc>
        <w:tc>
          <w:tcPr>
            <w:tcW w:w="0" w:type="auto"/>
            <w:vAlign w:val="center"/>
          </w:tcPr>
          <w:p w14:paraId="4D93C940"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397</w:t>
            </w:r>
          </w:p>
        </w:tc>
        <w:tc>
          <w:tcPr>
            <w:tcW w:w="0" w:type="auto"/>
            <w:vAlign w:val="center"/>
          </w:tcPr>
          <w:p w14:paraId="399C87B3"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107</w:t>
            </w:r>
          </w:p>
        </w:tc>
        <w:tc>
          <w:tcPr>
            <w:tcW w:w="0" w:type="auto"/>
            <w:vAlign w:val="center"/>
          </w:tcPr>
          <w:p w14:paraId="450EA3A3"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456</w:t>
            </w:r>
          </w:p>
        </w:tc>
        <w:tc>
          <w:tcPr>
            <w:tcW w:w="0" w:type="auto"/>
            <w:vAlign w:val="center"/>
          </w:tcPr>
          <w:p w14:paraId="5DA8743D"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13 vs. 9</w:t>
            </w:r>
          </w:p>
        </w:tc>
      </w:tr>
      <w:tr w:rsidR="00740B37" w:rsidRPr="00740B37" w14:paraId="0B090B7F" w14:textId="77777777" w:rsidTr="00AA51D2">
        <w:tc>
          <w:tcPr>
            <w:tcW w:w="0" w:type="auto"/>
            <w:vAlign w:val="center"/>
          </w:tcPr>
          <w:p w14:paraId="2899AC31"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 xml:space="preserve">Suleyman G. </w:t>
            </w:r>
            <w:r w:rsidRPr="00740B37">
              <w:rPr>
                <w:rFonts w:eastAsia="Calibri"/>
                <w:i/>
                <w:iCs/>
                <w:sz w:val="14"/>
                <w:szCs w:val="14"/>
                <w:lang w:val="de-DE" w:eastAsia="en-US"/>
              </w:rPr>
              <w:t>et al</w:t>
            </w:r>
            <w:r w:rsidRPr="00740B37">
              <w:rPr>
                <w:rFonts w:eastAsia="Calibri"/>
                <w:sz w:val="14"/>
                <w:szCs w:val="14"/>
                <w:lang w:val="de-DE" w:eastAsia="en-US"/>
              </w:rPr>
              <w:t xml:space="preserve"> (2017)</w:t>
            </w:r>
          </w:p>
        </w:tc>
        <w:tc>
          <w:tcPr>
            <w:tcW w:w="0" w:type="auto"/>
            <w:vAlign w:val="center"/>
          </w:tcPr>
          <w:p w14:paraId="2A6F9750" w14:textId="77777777" w:rsidR="00740B37" w:rsidRPr="00740B37" w:rsidRDefault="00740B37" w:rsidP="00740B37">
            <w:pPr>
              <w:jc w:val="center"/>
              <w:rPr>
                <w:rFonts w:eastAsia="Calibri"/>
                <w:sz w:val="14"/>
                <w:szCs w:val="14"/>
                <w:lang w:eastAsia="en-US"/>
              </w:rPr>
            </w:pPr>
            <w:proofErr w:type="spellStart"/>
            <w:r w:rsidRPr="00740B37">
              <w:rPr>
                <w:rFonts w:eastAsia="Calibri"/>
                <w:sz w:val="14"/>
                <w:szCs w:val="14"/>
                <w:lang w:val="de-DE" w:eastAsia="en-US"/>
              </w:rPr>
              <w:t>Retrospective</w:t>
            </w:r>
            <w:proofErr w:type="spellEnd"/>
            <w:r w:rsidRPr="00740B37">
              <w:rPr>
                <w:rFonts w:eastAsia="Calibri"/>
                <w:sz w:val="14"/>
                <w:szCs w:val="14"/>
                <w:lang w:val="de-DE" w:eastAsia="en-US"/>
              </w:rPr>
              <w:t xml:space="preserve"> </w:t>
            </w:r>
            <w:proofErr w:type="spellStart"/>
            <w:r w:rsidRPr="00740B37">
              <w:rPr>
                <w:rFonts w:eastAsia="Calibri"/>
                <w:sz w:val="14"/>
                <w:szCs w:val="14"/>
                <w:lang w:val="de-DE" w:eastAsia="en-US"/>
              </w:rPr>
              <w:t>observational</w:t>
            </w:r>
            <w:proofErr w:type="spellEnd"/>
          </w:p>
        </w:tc>
        <w:tc>
          <w:tcPr>
            <w:tcW w:w="0" w:type="auto"/>
            <w:vAlign w:val="center"/>
          </w:tcPr>
          <w:p w14:paraId="160CA4CB"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USA</w:t>
            </w:r>
          </w:p>
        </w:tc>
        <w:tc>
          <w:tcPr>
            <w:tcW w:w="0" w:type="auto"/>
            <w:vAlign w:val="center"/>
          </w:tcPr>
          <w:p w14:paraId="7E1AB338"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2010</w:t>
            </w:r>
          </w:p>
          <w:p w14:paraId="615A6361"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63A359C7"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Dec 2013</w:t>
            </w:r>
          </w:p>
        </w:tc>
        <w:tc>
          <w:tcPr>
            <w:tcW w:w="0" w:type="auto"/>
            <w:vAlign w:val="center"/>
          </w:tcPr>
          <w:p w14:paraId="0CB8037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LZD</w:t>
            </w:r>
          </w:p>
        </w:tc>
        <w:tc>
          <w:tcPr>
            <w:tcW w:w="0" w:type="auto"/>
            <w:vAlign w:val="center"/>
          </w:tcPr>
          <w:p w14:paraId="0A696305"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74 vs. 44</w:t>
            </w:r>
          </w:p>
        </w:tc>
        <w:tc>
          <w:tcPr>
            <w:tcW w:w="0" w:type="auto"/>
            <w:vAlign w:val="center"/>
          </w:tcPr>
          <w:p w14:paraId="08085D2F"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60.3 vs. 64.8</w:t>
            </w:r>
          </w:p>
        </w:tc>
        <w:tc>
          <w:tcPr>
            <w:tcW w:w="0" w:type="auto"/>
            <w:vAlign w:val="center"/>
          </w:tcPr>
          <w:p w14:paraId="43EB878D"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de-DE" w:eastAsia="en-US"/>
              </w:rPr>
              <w:t>50% vs. 57%</w:t>
            </w:r>
          </w:p>
        </w:tc>
        <w:tc>
          <w:tcPr>
            <w:tcW w:w="0" w:type="auto"/>
            <w:vAlign w:val="center"/>
          </w:tcPr>
          <w:p w14:paraId="3DBBFDE5"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35% vs. 23%</w:t>
            </w:r>
          </w:p>
        </w:tc>
        <w:tc>
          <w:tcPr>
            <w:tcW w:w="0" w:type="auto"/>
            <w:vAlign w:val="center"/>
          </w:tcPr>
          <w:p w14:paraId="70081394"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NA</w:t>
            </w:r>
          </w:p>
        </w:tc>
        <w:tc>
          <w:tcPr>
            <w:tcW w:w="0" w:type="auto"/>
            <w:vAlign w:val="center"/>
          </w:tcPr>
          <w:p w14:paraId="00E4095C"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39</w:t>
            </w:r>
          </w:p>
        </w:tc>
        <w:tc>
          <w:tcPr>
            <w:tcW w:w="0" w:type="auto"/>
            <w:vAlign w:val="center"/>
          </w:tcPr>
          <w:p w14:paraId="4747B3D0"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NA</w:t>
            </w:r>
          </w:p>
        </w:tc>
        <w:tc>
          <w:tcPr>
            <w:tcW w:w="0" w:type="auto"/>
            <w:vAlign w:val="center"/>
          </w:tcPr>
          <w:p w14:paraId="24C9FE8B"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NA</w:t>
            </w:r>
          </w:p>
        </w:tc>
        <w:tc>
          <w:tcPr>
            <w:tcW w:w="0" w:type="auto"/>
            <w:vAlign w:val="center"/>
          </w:tcPr>
          <w:p w14:paraId="7436E07A"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19</w:t>
            </w:r>
          </w:p>
        </w:tc>
        <w:tc>
          <w:tcPr>
            <w:tcW w:w="0" w:type="auto"/>
            <w:vAlign w:val="center"/>
          </w:tcPr>
          <w:p w14:paraId="784E9B2F" w14:textId="77777777" w:rsidR="00740B37" w:rsidRPr="00740B37" w:rsidRDefault="00740B37" w:rsidP="00740B37">
            <w:pPr>
              <w:jc w:val="center"/>
              <w:rPr>
                <w:rFonts w:eastAsia="Calibri"/>
                <w:sz w:val="14"/>
                <w:szCs w:val="14"/>
                <w:lang w:eastAsia="en-US"/>
              </w:rPr>
            </w:pPr>
            <w:r w:rsidRPr="00740B37">
              <w:rPr>
                <w:rFonts w:eastAsia="Calibri"/>
                <w:sz w:val="14"/>
                <w:szCs w:val="14"/>
                <w:lang w:val="de-DE" w:eastAsia="en-US"/>
              </w:rPr>
              <w:t>NA</w:t>
            </w:r>
          </w:p>
        </w:tc>
        <w:tc>
          <w:tcPr>
            <w:tcW w:w="0" w:type="auto"/>
            <w:vAlign w:val="center"/>
          </w:tcPr>
          <w:p w14:paraId="7AA44571"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2.8 vs. 2.5</w:t>
            </w:r>
          </w:p>
        </w:tc>
      </w:tr>
      <w:tr w:rsidR="00740B37" w:rsidRPr="00740B37" w14:paraId="4D56747A" w14:textId="77777777" w:rsidTr="00AA51D2">
        <w:tc>
          <w:tcPr>
            <w:tcW w:w="0" w:type="auto"/>
            <w:vAlign w:val="center"/>
          </w:tcPr>
          <w:p w14:paraId="750ABBF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Chuang Y.</w:t>
            </w:r>
          </w:p>
          <w:p w14:paraId="37D9A861" w14:textId="77777777" w:rsidR="00740B37" w:rsidRPr="00740B37" w:rsidRDefault="00740B37" w:rsidP="00740B37">
            <w:pPr>
              <w:jc w:val="center"/>
              <w:rPr>
                <w:rFonts w:eastAsia="Calibri"/>
                <w:sz w:val="14"/>
                <w:szCs w:val="14"/>
                <w:lang w:val="de-DE" w:eastAsia="en-US"/>
              </w:rPr>
            </w:pPr>
            <w:r w:rsidRPr="00740B37">
              <w:rPr>
                <w:rFonts w:eastAsia="Calibri"/>
                <w:i/>
                <w:iCs/>
                <w:sz w:val="14"/>
                <w:szCs w:val="14"/>
                <w:lang w:val="de-DE" w:eastAsia="en-US"/>
              </w:rPr>
              <w:t>et al</w:t>
            </w:r>
          </w:p>
          <w:p w14:paraId="341D6D2D"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(2018)</w:t>
            </w:r>
          </w:p>
        </w:tc>
        <w:tc>
          <w:tcPr>
            <w:tcW w:w="0" w:type="auto"/>
            <w:vAlign w:val="center"/>
          </w:tcPr>
          <w:p w14:paraId="67F22C50" w14:textId="77777777" w:rsidR="00740B37" w:rsidRPr="00740B37" w:rsidRDefault="00740B37" w:rsidP="00740B37">
            <w:pPr>
              <w:jc w:val="center"/>
              <w:rPr>
                <w:rFonts w:eastAsia="Calibri"/>
                <w:sz w:val="14"/>
                <w:szCs w:val="14"/>
                <w:lang w:val="de-DE" w:eastAsia="en-US"/>
              </w:rPr>
            </w:pPr>
            <w:proofErr w:type="spellStart"/>
            <w:r w:rsidRPr="00740B37">
              <w:rPr>
                <w:rFonts w:eastAsia="Calibri"/>
                <w:sz w:val="14"/>
                <w:szCs w:val="14"/>
                <w:lang w:val="de-DE" w:eastAsia="en-US"/>
              </w:rPr>
              <w:t>Prospective</w:t>
            </w:r>
            <w:proofErr w:type="spellEnd"/>
            <w:r w:rsidRPr="00740B37">
              <w:rPr>
                <w:rFonts w:eastAsia="Calibri"/>
                <w:sz w:val="14"/>
                <w:szCs w:val="14"/>
                <w:lang w:val="de-DE" w:eastAsia="en-US"/>
              </w:rPr>
              <w:t xml:space="preserve"> </w:t>
            </w:r>
            <w:proofErr w:type="spellStart"/>
            <w:r w:rsidRPr="00740B37">
              <w:rPr>
                <w:rFonts w:eastAsia="Calibri"/>
                <w:sz w:val="14"/>
                <w:szCs w:val="14"/>
                <w:lang w:val="de-DE" w:eastAsia="en-US"/>
              </w:rPr>
              <w:t>observational</w:t>
            </w:r>
            <w:proofErr w:type="spellEnd"/>
          </w:p>
        </w:tc>
        <w:tc>
          <w:tcPr>
            <w:tcW w:w="0" w:type="auto"/>
            <w:vAlign w:val="center"/>
          </w:tcPr>
          <w:p w14:paraId="509AF88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Taiwan</w:t>
            </w:r>
          </w:p>
        </w:tc>
        <w:tc>
          <w:tcPr>
            <w:tcW w:w="0" w:type="auto"/>
            <w:vAlign w:val="center"/>
          </w:tcPr>
          <w:p w14:paraId="643CB8AB"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2010</w:t>
            </w:r>
          </w:p>
          <w:p w14:paraId="0885545D"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7E0217E6"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Jul 2015</w:t>
            </w:r>
          </w:p>
        </w:tc>
        <w:tc>
          <w:tcPr>
            <w:tcW w:w="0" w:type="auto"/>
            <w:vAlign w:val="center"/>
          </w:tcPr>
          <w:p w14:paraId="315BC186"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LZD</w:t>
            </w:r>
          </w:p>
        </w:tc>
        <w:tc>
          <w:tcPr>
            <w:tcW w:w="0" w:type="auto"/>
            <w:vAlign w:val="center"/>
          </w:tcPr>
          <w:p w14:paraId="281C0BF8"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78 vs. 30</w:t>
            </w:r>
          </w:p>
        </w:tc>
        <w:tc>
          <w:tcPr>
            <w:tcW w:w="0" w:type="auto"/>
            <w:vAlign w:val="center"/>
          </w:tcPr>
          <w:p w14:paraId="5703FE36"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64.4</w:t>
            </w:r>
          </w:p>
        </w:tc>
        <w:tc>
          <w:tcPr>
            <w:tcW w:w="0" w:type="auto"/>
            <w:vAlign w:val="center"/>
          </w:tcPr>
          <w:p w14:paraId="4F3C44A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57%</w:t>
            </w:r>
          </w:p>
        </w:tc>
        <w:tc>
          <w:tcPr>
            <w:tcW w:w="0" w:type="auto"/>
            <w:vAlign w:val="center"/>
          </w:tcPr>
          <w:p w14:paraId="56223E6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c>
          <w:tcPr>
            <w:tcW w:w="0" w:type="auto"/>
            <w:vAlign w:val="center"/>
          </w:tcPr>
          <w:p w14:paraId="7AC1457E"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c>
          <w:tcPr>
            <w:tcW w:w="0" w:type="auto"/>
            <w:vAlign w:val="center"/>
          </w:tcPr>
          <w:p w14:paraId="6393DC92"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c>
          <w:tcPr>
            <w:tcW w:w="0" w:type="auto"/>
            <w:vAlign w:val="center"/>
          </w:tcPr>
          <w:p w14:paraId="3A81B929"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c>
          <w:tcPr>
            <w:tcW w:w="0" w:type="auto"/>
            <w:vAlign w:val="center"/>
          </w:tcPr>
          <w:p w14:paraId="1DA937DB"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c>
          <w:tcPr>
            <w:tcW w:w="0" w:type="auto"/>
            <w:vAlign w:val="center"/>
          </w:tcPr>
          <w:p w14:paraId="7FD09DD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c>
          <w:tcPr>
            <w:tcW w:w="0" w:type="auto"/>
            <w:vAlign w:val="center"/>
          </w:tcPr>
          <w:p w14:paraId="0144B779"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c>
          <w:tcPr>
            <w:tcW w:w="0" w:type="auto"/>
            <w:vAlign w:val="center"/>
          </w:tcPr>
          <w:p w14:paraId="443F596D"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NA</w:t>
            </w:r>
          </w:p>
        </w:tc>
      </w:tr>
      <w:tr w:rsidR="00740B37" w:rsidRPr="00740B37" w14:paraId="4F479D6B" w14:textId="77777777" w:rsidTr="00AA51D2">
        <w:tc>
          <w:tcPr>
            <w:tcW w:w="0" w:type="auto"/>
            <w:vAlign w:val="center"/>
          </w:tcPr>
          <w:p w14:paraId="08BF5560" w14:textId="77777777" w:rsidR="00740B37" w:rsidRPr="00740B37" w:rsidRDefault="00740B37" w:rsidP="00740B37">
            <w:pPr>
              <w:jc w:val="center"/>
              <w:rPr>
                <w:rFonts w:eastAsia="Calibri"/>
                <w:sz w:val="14"/>
                <w:szCs w:val="14"/>
                <w:lang w:val="de-DE" w:eastAsia="en-US"/>
              </w:rPr>
            </w:pPr>
            <w:proofErr w:type="spellStart"/>
            <w:r w:rsidRPr="00740B37">
              <w:rPr>
                <w:rFonts w:eastAsia="Calibri"/>
                <w:sz w:val="14"/>
                <w:szCs w:val="14"/>
                <w:lang w:eastAsia="en-US"/>
              </w:rPr>
              <w:t>Ye</w:t>
            </w:r>
            <w:proofErr w:type="spellEnd"/>
            <w:r w:rsidRPr="00740B37">
              <w:rPr>
                <w:rFonts w:eastAsia="Calibri"/>
                <w:sz w:val="14"/>
                <w:szCs w:val="14"/>
                <w:lang w:eastAsia="en-US"/>
              </w:rPr>
              <w:t xml:space="preserve"> J. </w:t>
            </w:r>
            <w:r w:rsidRPr="00740B37">
              <w:rPr>
                <w:rFonts w:eastAsia="Calibri"/>
                <w:i/>
                <w:iCs/>
                <w:sz w:val="14"/>
                <w:szCs w:val="14"/>
                <w:lang w:eastAsia="en-US"/>
              </w:rPr>
              <w:t xml:space="preserve">et al </w:t>
            </w:r>
            <w:r w:rsidRPr="00740B37">
              <w:rPr>
                <w:rFonts w:eastAsia="Calibri"/>
                <w:sz w:val="14"/>
                <w:szCs w:val="14"/>
                <w:lang w:eastAsia="en-US"/>
              </w:rPr>
              <w:t>(2018)</w:t>
            </w:r>
          </w:p>
        </w:tc>
        <w:tc>
          <w:tcPr>
            <w:tcW w:w="0" w:type="auto"/>
            <w:vAlign w:val="center"/>
          </w:tcPr>
          <w:p w14:paraId="2F3AEA51" w14:textId="77777777" w:rsidR="00740B37" w:rsidRPr="00740B37" w:rsidRDefault="00740B37" w:rsidP="00740B37">
            <w:pPr>
              <w:jc w:val="center"/>
              <w:rPr>
                <w:rFonts w:eastAsia="Calibri"/>
                <w:sz w:val="14"/>
                <w:szCs w:val="14"/>
                <w:lang w:val="de-DE" w:eastAsia="en-US"/>
              </w:rPr>
            </w:pPr>
            <w:proofErr w:type="spellStart"/>
            <w:r w:rsidRPr="00740B37">
              <w:rPr>
                <w:rFonts w:eastAsia="Calibri"/>
                <w:sz w:val="14"/>
                <w:szCs w:val="14"/>
                <w:lang w:eastAsia="en-US"/>
              </w:rPr>
              <w:t>Retrospective</w:t>
            </w:r>
            <w:proofErr w:type="spellEnd"/>
            <w:r w:rsidRPr="00740B37">
              <w:rPr>
                <w:rFonts w:eastAsia="Calibri"/>
                <w:sz w:val="14"/>
                <w:szCs w:val="14"/>
                <w:lang w:eastAsia="en-US"/>
              </w:rPr>
              <w:t xml:space="preserve"> </w:t>
            </w:r>
            <w:proofErr w:type="spellStart"/>
            <w:r w:rsidRPr="00740B37">
              <w:rPr>
                <w:rFonts w:eastAsia="Calibri"/>
                <w:sz w:val="14"/>
                <w:szCs w:val="14"/>
                <w:lang w:eastAsia="en-US"/>
              </w:rPr>
              <w:t>observational</w:t>
            </w:r>
            <w:proofErr w:type="spellEnd"/>
          </w:p>
        </w:tc>
        <w:tc>
          <w:tcPr>
            <w:tcW w:w="0" w:type="auto"/>
            <w:vAlign w:val="center"/>
          </w:tcPr>
          <w:p w14:paraId="023BDFE0"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Taiwan</w:t>
            </w:r>
          </w:p>
        </w:tc>
        <w:tc>
          <w:tcPr>
            <w:tcW w:w="0" w:type="auto"/>
            <w:vAlign w:val="center"/>
          </w:tcPr>
          <w:p w14:paraId="4E083B90"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2011</w:t>
            </w:r>
          </w:p>
          <w:p w14:paraId="2CE1DD15"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6FEB29F8"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Dec 2015</w:t>
            </w:r>
          </w:p>
        </w:tc>
        <w:tc>
          <w:tcPr>
            <w:tcW w:w="0" w:type="auto"/>
            <w:vAlign w:val="center"/>
          </w:tcPr>
          <w:p w14:paraId="2BB609E7"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LZD</w:t>
            </w:r>
          </w:p>
        </w:tc>
        <w:tc>
          <w:tcPr>
            <w:tcW w:w="0" w:type="auto"/>
            <w:vAlign w:val="center"/>
          </w:tcPr>
          <w:p w14:paraId="01A6B1AC"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96 vs. 23</w:t>
            </w:r>
          </w:p>
        </w:tc>
        <w:tc>
          <w:tcPr>
            <w:tcW w:w="0" w:type="auto"/>
            <w:vAlign w:val="center"/>
          </w:tcPr>
          <w:p w14:paraId="72FAC349"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63 vs. 64.1</w:t>
            </w:r>
          </w:p>
        </w:tc>
        <w:tc>
          <w:tcPr>
            <w:tcW w:w="0" w:type="auto"/>
            <w:vAlign w:val="center"/>
          </w:tcPr>
          <w:p w14:paraId="1922C361"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55% vs. 48%</w:t>
            </w:r>
          </w:p>
        </w:tc>
        <w:tc>
          <w:tcPr>
            <w:tcW w:w="0" w:type="auto"/>
            <w:vAlign w:val="center"/>
          </w:tcPr>
          <w:p w14:paraId="65AE28FE"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51% vs. 57%</w:t>
            </w:r>
          </w:p>
        </w:tc>
        <w:tc>
          <w:tcPr>
            <w:tcW w:w="0" w:type="auto"/>
            <w:vAlign w:val="center"/>
          </w:tcPr>
          <w:p w14:paraId="6567806C"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34</w:t>
            </w:r>
          </w:p>
        </w:tc>
        <w:tc>
          <w:tcPr>
            <w:tcW w:w="0" w:type="auto"/>
            <w:vAlign w:val="center"/>
          </w:tcPr>
          <w:p w14:paraId="4EB69B81"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21</w:t>
            </w:r>
          </w:p>
        </w:tc>
        <w:tc>
          <w:tcPr>
            <w:tcW w:w="0" w:type="auto"/>
            <w:vAlign w:val="center"/>
          </w:tcPr>
          <w:p w14:paraId="4E788FC2"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62</w:t>
            </w:r>
          </w:p>
        </w:tc>
        <w:tc>
          <w:tcPr>
            <w:tcW w:w="0" w:type="auto"/>
            <w:vAlign w:val="center"/>
          </w:tcPr>
          <w:p w14:paraId="022FF4E6"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12</w:t>
            </w:r>
          </w:p>
        </w:tc>
        <w:tc>
          <w:tcPr>
            <w:tcW w:w="0" w:type="auto"/>
            <w:vAlign w:val="center"/>
          </w:tcPr>
          <w:p w14:paraId="04D2D2DB"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5</w:t>
            </w:r>
          </w:p>
        </w:tc>
        <w:tc>
          <w:tcPr>
            <w:tcW w:w="0" w:type="auto"/>
            <w:vAlign w:val="center"/>
          </w:tcPr>
          <w:p w14:paraId="26EFD0FD"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11</w:t>
            </w:r>
          </w:p>
        </w:tc>
        <w:tc>
          <w:tcPr>
            <w:tcW w:w="0" w:type="auto"/>
            <w:vAlign w:val="center"/>
          </w:tcPr>
          <w:p w14:paraId="59313192"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15 vs. 15</w:t>
            </w:r>
          </w:p>
        </w:tc>
      </w:tr>
      <w:tr w:rsidR="00740B37" w:rsidRPr="00740B37" w14:paraId="0855DC6A" w14:textId="77777777" w:rsidTr="00AA51D2">
        <w:tc>
          <w:tcPr>
            <w:tcW w:w="0" w:type="auto"/>
            <w:vAlign w:val="center"/>
          </w:tcPr>
          <w:p w14:paraId="096EFF45"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 xml:space="preserve">Narayanan N. </w:t>
            </w:r>
            <w:r w:rsidRPr="00740B37">
              <w:rPr>
                <w:rFonts w:eastAsia="Calibri"/>
                <w:i/>
                <w:iCs/>
                <w:sz w:val="14"/>
                <w:szCs w:val="14"/>
                <w:lang w:eastAsia="en-US"/>
              </w:rPr>
              <w:t xml:space="preserve">et al </w:t>
            </w:r>
            <w:r w:rsidRPr="00740B37">
              <w:rPr>
                <w:rFonts w:eastAsia="Calibri"/>
                <w:sz w:val="14"/>
                <w:szCs w:val="14"/>
                <w:lang w:eastAsia="en-US"/>
              </w:rPr>
              <w:t>(2019)</w:t>
            </w:r>
          </w:p>
        </w:tc>
        <w:tc>
          <w:tcPr>
            <w:tcW w:w="0" w:type="auto"/>
            <w:vAlign w:val="center"/>
          </w:tcPr>
          <w:p w14:paraId="0243B50A" w14:textId="77777777" w:rsidR="00740B37" w:rsidRPr="00740B37" w:rsidRDefault="00740B37" w:rsidP="00740B37">
            <w:pPr>
              <w:jc w:val="center"/>
              <w:rPr>
                <w:rFonts w:eastAsia="Calibri"/>
                <w:sz w:val="14"/>
                <w:szCs w:val="14"/>
                <w:lang w:val="de-DE" w:eastAsia="en-US"/>
              </w:rPr>
            </w:pPr>
            <w:proofErr w:type="spellStart"/>
            <w:r w:rsidRPr="00740B37">
              <w:rPr>
                <w:rFonts w:eastAsia="Calibri"/>
                <w:sz w:val="14"/>
                <w:szCs w:val="14"/>
                <w:lang w:eastAsia="en-US"/>
              </w:rPr>
              <w:t>Retrospective</w:t>
            </w:r>
            <w:proofErr w:type="spellEnd"/>
            <w:r w:rsidRPr="00740B37">
              <w:rPr>
                <w:rFonts w:eastAsia="Calibri"/>
                <w:sz w:val="14"/>
                <w:szCs w:val="14"/>
                <w:lang w:eastAsia="en-US"/>
              </w:rPr>
              <w:t xml:space="preserve"> </w:t>
            </w:r>
            <w:proofErr w:type="spellStart"/>
            <w:r w:rsidRPr="00740B37">
              <w:rPr>
                <w:rFonts w:eastAsia="Calibri"/>
                <w:sz w:val="14"/>
                <w:szCs w:val="14"/>
                <w:lang w:eastAsia="en-US"/>
              </w:rPr>
              <w:t>observational</w:t>
            </w:r>
            <w:proofErr w:type="spellEnd"/>
          </w:p>
        </w:tc>
        <w:tc>
          <w:tcPr>
            <w:tcW w:w="0" w:type="auto"/>
            <w:vAlign w:val="center"/>
          </w:tcPr>
          <w:p w14:paraId="7A84F23B"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USA</w:t>
            </w:r>
          </w:p>
        </w:tc>
        <w:tc>
          <w:tcPr>
            <w:tcW w:w="0" w:type="auto"/>
            <w:vAlign w:val="center"/>
          </w:tcPr>
          <w:p w14:paraId="594DCB1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Jan 2012</w:t>
            </w:r>
          </w:p>
          <w:p w14:paraId="1874A299"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w:t>
            </w:r>
          </w:p>
          <w:p w14:paraId="4D8E8360"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de-DE" w:eastAsia="en-US"/>
              </w:rPr>
              <w:t>Aug 2016</w:t>
            </w:r>
          </w:p>
        </w:tc>
        <w:tc>
          <w:tcPr>
            <w:tcW w:w="0" w:type="auto"/>
            <w:vAlign w:val="center"/>
          </w:tcPr>
          <w:p w14:paraId="6F52D1C3" w14:textId="77777777" w:rsidR="00740B37" w:rsidRPr="00740B37" w:rsidRDefault="00740B37" w:rsidP="00740B37">
            <w:pPr>
              <w:jc w:val="center"/>
              <w:rPr>
                <w:rFonts w:eastAsia="Calibri"/>
                <w:sz w:val="14"/>
                <w:szCs w:val="14"/>
                <w:lang w:val="en-GB" w:eastAsia="en-US"/>
              </w:rPr>
            </w:pPr>
            <w:r w:rsidRPr="00740B37">
              <w:rPr>
                <w:rFonts w:eastAsia="Calibri"/>
                <w:sz w:val="14"/>
                <w:szCs w:val="14"/>
                <w:lang w:val="en-GB" w:eastAsia="en-US"/>
              </w:rPr>
              <w:t>LZD</w:t>
            </w:r>
          </w:p>
        </w:tc>
        <w:tc>
          <w:tcPr>
            <w:tcW w:w="0" w:type="auto"/>
            <w:vAlign w:val="center"/>
          </w:tcPr>
          <w:p w14:paraId="5746288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31 vs. 62</w:t>
            </w:r>
          </w:p>
        </w:tc>
        <w:tc>
          <w:tcPr>
            <w:tcW w:w="0" w:type="auto"/>
            <w:vAlign w:val="center"/>
          </w:tcPr>
          <w:p w14:paraId="398D2167"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65.2 vs. 61.5</w:t>
            </w:r>
          </w:p>
        </w:tc>
        <w:tc>
          <w:tcPr>
            <w:tcW w:w="0" w:type="auto"/>
            <w:vAlign w:val="center"/>
          </w:tcPr>
          <w:p w14:paraId="764730E6"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val="en-GB" w:eastAsia="en-US"/>
              </w:rPr>
              <w:t>68% vs. 58%</w:t>
            </w:r>
          </w:p>
        </w:tc>
        <w:tc>
          <w:tcPr>
            <w:tcW w:w="0" w:type="auto"/>
            <w:vAlign w:val="center"/>
          </w:tcPr>
          <w:p w14:paraId="242BE882"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38% vs. 23%</w:t>
            </w:r>
          </w:p>
        </w:tc>
        <w:tc>
          <w:tcPr>
            <w:tcW w:w="0" w:type="auto"/>
            <w:vAlign w:val="center"/>
          </w:tcPr>
          <w:p w14:paraId="43838DEE"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19</w:t>
            </w:r>
          </w:p>
        </w:tc>
        <w:tc>
          <w:tcPr>
            <w:tcW w:w="0" w:type="auto"/>
            <w:vAlign w:val="center"/>
          </w:tcPr>
          <w:p w14:paraId="28E8C0F9"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5</w:t>
            </w:r>
          </w:p>
        </w:tc>
        <w:tc>
          <w:tcPr>
            <w:tcW w:w="0" w:type="auto"/>
            <w:vAlign w:val="center"/>
          </w:tcPr>
          <w:p w14:paraId="043FDE50"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12</w:t>
            </w:r>
          </w:p>
        </w:tc>
        <w:tc>
          <w:tcPr>
            <w:tcW w:w="0" w:type="auto"/>
            <w:vAlign w:val="center"/>
          </w:tcPr>
          <w:p w14:paraId="21404BF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23</w:t>
            </w:r>
          </w:p>
        </w:tc>
        <w:tc>
          <w:tcPr>
            <w:tcW w:w="0" w:type="auto"/>
            <w:vAlign w:val="center"/>
          </w:tcPr>
          <w:p w14:paraId="3AAF700A"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20</w:t>
            </w:r>
          </w:p>
        </w:tc>
        <w:tc>
          <w:tcPr>
            <w:tcW w:w="0" w:type="auto"/>
            <w:vAlign w:val="center"/>
          </w:tcPr>
          <w:p w14:paraId="776A0EA4" w14:textId="77777777" w:rsidR="00740B37" w:rsidRPr="00740B37" w:rsidRDefault="00740B37" w:rsidP="00740B37">
            <w:pPr>
              <w:jc w:val="center"/>
              <w:rPr>
                <w:rFonts w:eastAsia="Calibri"/>
                <w:sz w:val="14"/>
                <w:szCs w:val="14"/>
                <w:lang w:val="de-DE" w:eastAsia="en-US"/>
              </w:rPr>
            </w:pPr>
            <w:r w:rsidRPr="00740B37">
              <w:rPr>
                <w:rFonts w:eastAsia="Calibri"/>
                <w:sz w:val="14"/>
                <w:szCs w:val="14"/>
                <w:lang w:eastAsia="en-US"/>
              </w:rPr>
              <w:t>19</w:t>
            </w:r>
          </w:p>
        </w:tc>
        <w:tc>
          <w:tcPr>
            <w:tcW w:w="0" w:type="auto"/>
            <w:vAlign w:val="center"/>
          </w:tcPr>
          <w:p w14:paraId="3AC08FB5" w14:textId="77777777" w:rsidR="00740B37" w:rsidRPr="00740B37" w:rsidRDefault="00740B37" w:rsidP="00740B37">
            <w:pPr>
              <w:jc w:val="center"/>
              <w:rPr>
                <w:rFonts w:eastAsia="Calibri"/>
                <w:sz w:val="14"/>
                <w:szCs w:val="14"/>
                <w:lang w:eastAsia="en-US"/>
              </w:rPr>
            </w:pPr>
            <w:r w:rsidRPr="00740B37">
              <w:rPr>
                <w:rFonts w:eastAsia="Calibri"/>
                <w:sz w:val="14"/>
                <w:szCs w:val="14"/>
                <w:lang w:eastAsia="en-US"/>
              </w:rPr>
              <w:t>NA</w:t>
            </w:r>
          </w:p>
        </w:tc>
      </w:tr>
    </w:tbl>
    <w:p w14:paraId="60F570D3" w14:textId="77777777" w:rsidR="00740B37" w:rsidRPr="00740B37" w:rsidRDefault="00740B37" w:rsidP="00740B37">
      <w:pPr>
        <w:spacing w:after="200" w:line="276" w:lineRule="auto"/>
        <w:rPr>
          <w:rFonts w:eastAsia="Calibri"/>
          <w:sz w:val="18"/>
          <w:szCs w:val="18"/>
          <w:lang w:val="en-GB" w:eastAsia="en-US"/>
        </w:rPr>
      </w:pPr>
      <w:r w:rsidRPr="00740B37">
        <w:rPr>
          <w:rFonts w:eastAsia="Calibri"/>
          <w:sz w:val="18"/>
          <w:szCs w:val="18"/>
          <w:lang w:val="en-GB" w:eastAsia="en-US"/>
        </w:rPr>
        <w:t>ICU= Intensive Care Unit; BSI= bloodstream infection; LZD = linezolid; BL = beta-lactam; NA = not available;</w:t>
      </w:r>
    </w:p>
    <w:p w14:paraId="42F62FD6" w14:textId="77777777" w:rsidR="00740B37" w:rsidRPr="00740B37" w:rsidRDefault="00740B37" w:rsidP="00740B37">
      <w:pPr>
        <w:spacing w:after="200" w:line="276" w:lineRule="auto"/>
        <w:rPr>
          <w:rFonts w:ascii="Calibri" w:eastAsia="Calibri" w:hAnsi="Calibri"/>
          <w:sz w:val="22"/>
          <w:szCs w:val="22"/>
          <w:lang w:val="en-GB" w:eastAsia="en-US"/>
        </w:rPr>
      </w:pPr>
      <w:r w:rsidRPr="00740B37">
        <w:rPr>
          <w:rFonts w:ascii="Calibri" w:eastAsia="Calibri" w:hAnsi="Calibri"/>
          <w:sz w:val="22"/>
          <w:szCs w:val="22"/>
          <w:lang w:val="en-GB" w:eastAsia="en-US"/>
        </w:rPr>
        <w:br w:type="page"/>
      </w:r>
    </w:p>
    <w:p w14:paraId="7995EEC5" w14:textId="1C3D4199" w:rsidR="00740B37" w:rsidRPr="00740B37" w:rsidRDefault="00E604EC" w:rsidP="00740B37">
      <w:pPr>
        <w:spacing w:after="200" w:line="360" w:lineRule="auto"/>
        <w:jc w:val="both"/>
        <w:rPr>
          <w:rFonts w:eastAsia="Calibri"/>
          <w:sz w:val="22"/>
          <w:szCs w:val="22"/>
          <w:lang w:val="en-US" w:eastAsia="en-US"/>
        </w:rPr>
      </w:pPr>
      <w:r>
        <w:rPr>
          <w:rFonts w:eastAsia="Calibri"/>
          <w:b/>
          <w:bCs/>
          <w:sz w:val="22"/>
          <w:szCs w:val="22"/>
          <w:lang w:val="en-US" w:eastAsia="en-US"/>
        </w:rPr>
        <w:lastRenderedPageBreak/>
        <w:t>Supplementar</w:t>
      </w:r>
      <w:r w:rsidR="00D653E1">
        <w:rPr>
          <w:rFonts w:eastAsia="Calibri"/>
          <w:b/>
          <w:bCs/>
          <w:sz w:val="22"/>
          <w:szCs w:val="22"/>
          <w:lang w:val="en-US" w:eastAsia="en-US"/>
        </w:rPr>
        <w:t>y</w:t>
      </w:r>
      <w:r>
        <w:rPr>
          <w:rFonts w:eastAsia="Calibri"/>
          <w:b/>
          <w:bCs/>
          <w:sz w:val="22"/>
          <w:szCs w:val="22"/>
          <w:lang w:val="en-US" w:eastAsia="en-US"/>
        </w:rPr>
        <w:t xml:space="preserve"> </w:t>
      </w:r>
      <w:r w:rsidR="00740B37" w:rsidRPr="00740B37">
        <w:rPr>
          <w:rFonts w:eastAsia="Calibri"/>
          <w:b/>
          <w:bCs/>
          <w:sz w:val="22"/>
          <w:szCs w:val="22"/>
          <w:lang w:val="en-US" w:eastAsia="en-US"/>
        </w:rPr>
        <w:t xml:space="preserve">Table 4 – </w:t>
      </w:r>
      <w:r w:rsidR="00740B37" w:rsidRPr="00740B37">
        <w:rPr>
          <w:rFonts w:eastAsia="Calibri"/>
          <w:sz w:val="22"/>
          <w:szCs w:val="22"/>
          <w:lang w:val="en-US" w:eastAsia="en-US"/>
        </w:rPr>
        <w:t>Results of meta-analysis for PICO 4.</w:t>
      </w:r>
    </w:p>
    <w:tbl>
      <w:tblPr>
        <w:tblStyle w:val="Grigliatabella2"/>
        <w:tblW w:w="13434" w:type="dxa"/>
        <w:jc w:val="center"/>
        <w:tblLook w:val="04A0" w:firstRow="1" w:lastRow="0" w:firstColumn="1" w:lastColumn="0" w:noHBand="0" w:noVBand="1"/>
      </w:tblPr>
      <w:tblGrid>
        <w:gridCol w:w="2581"/>
        <w:gridCol w:w="777"/>
        <w:gridCol w:w="1173"/>
        <w:gridCol w:w="2093"/>
        <w:gridCol w:w="1633"/>
        <w:gridCol w:w="1633"/>
        <w:gridCol w:w="1701"/>
        <w:gridCol w:w="1843"/>
      </w:tblGrid>
      <w:tr w:rsidR="00740B37" w:rsidRPr="00740B37" w14:paraId="478AB494" w14:textId="77777777" w:rsidTr="00AA51D2">
        <w:trPr>
          <w:jc w:val="center"/>
        </w:trPr>
        <w:tc>
          <w:tcPr>
            <w:tcW w:w="2581" w:type="dxa"/>
          </w:tcPr>
          <w:p w14:paraId="07F5E718"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Subgroup analysis</w:t>
            </w:r>
          </w:p>
          <w:p w14:paraId="7FAF2A01" w14:textId="77777777" w:rsidR="00740B37" w:rsidRPr="00740B37" w:rsidRDefault="00740B37" w:rsidP="00740B37">
            <w:pPr>
              <w:spacing w:after="200" w:line="288" w:lineRule="auto"/>
              <w:jc w:val="center"/>
              <w:rPr>
                <w:rFonts w:eastAsia="Calibri"/>
                <w:b/>
                <w:bCs/>
                <w:sz w:val="18"/>
                <w:szCs w:val="18"/>
                <w:lang w:val="en-US" w:eastAsia="en-US"/>
              </w:rPr>
            </w:pPr>
          </w:p>
        </w:tc>
        <w:tc>
          <w:tcPr>
            <w:tcW w:w="777" w:type="dxa"/>
          </w:tcPr>
          <w:p w14:paraId="7DEB6198"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Studies</w:t>
            </w:r>
          </w:p>
        </w:tc>
        <w:tc>
          <w:tcPr>
            <w:tcW w:w="1173" w:type="dxa"/>
          </w:tcPr>
          <w:p w14:paraId="4A0C0086"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 xml:space="preserve">No. of VRE </w:t>
            </w:r>
            <w:proofErr w:type="spellStart"/>
            <w:r w:rsidRPr="00740B37">
              <w:rPr>
                <w:rFonts w:eastAsia="Calibri"/>
                <w:b/>
                <w:bCs/>
                <w:sz w:val="18"/>
                <w:szCs w:val="18"/>
                <w:lang w:eastAsia="en-US"/>
              </w:rPr>
              <w:t>BSIs</w:t>
            </w:r>
            <w:proofErr w:type="spellEnd"/>
          </w:p>
        </w:tc>
        <w:tc>
          <w:tcPr>
            <w:tcW w:w="2093" w:type="dxa"/>
            <w:vAlign w:val="center"/>
          </w:tcPr>
          <w:p w14:paraId="497CFBB5"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No. of patients in intervention group</w:t>
            </w:r>
          </w:p>
        </w:tc>
        <w:tc>
          <w:tcPr>
            <w:tcW w:w="1633" w:type="dxa"/>
            <w:vAlign w:val="center"/>
          </w:tcPr>
          <w:p w14:paraId="5AD11F3A"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No. of patients in comparator group</w:t>
            </w:r>
          </w:p>
        </w:tc>
        <w:tc>
          <w:tcPr>
            <w:tcW w:w="1633" w:type="dxa"/>
          </w:tcPr>
          <w:p w14:paraId="23A7D10F"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Odds ratio</w:t>
            </w:r>
          </w:p>
          <w:p w14:paraId="780BEFE2"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(95% CI)</w:t>
            </w:r>
          </w:p>
        </w:tc>
        <w:tc>
          <w:tcPr>
            <w:tcW w:w="1701" w:type="dxa"/>
          </w:tcPr>
          <w:p w14:paraId="7CFE9D38"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 xml:space="preserve">Heterogeneity </w:t>
            </w:r>
          </w:p>
          <w:p w14:paraId="4EE271BE"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w:t>
            </w:r>
            <w:r w:rsidRPr="00740B37">
              <w:rPr>
                <w:rFonts w:eastAsia="Calibri"/>
                <w:b/>
                <w:bCs/>
                <w:i/>
                <w:iCs/>
                <w:sz w:val="18"/>
                <w:szCs w:val="18"/>
                <w:lang w:eastAsia="en-US"/>
              </w:rPr>
              <w:t>I</w:t>
            </w:r>
            <w:r w:rsidRPr="00740B37">
              <w:rPr>
                <w:rFonts w:eastAsia="Calibri"/>
                <w:b/>
                <w:bCs/>
                <w:sz w:val="18"/>
                <w:szCs w:val="18"/>
                <w:vertAlign w:val="superscript"/>
                <w:lang w:eastAsia="en-US"/>
              </w:rPr>
              <w:t>2</w:t>
            </w:r>
            <w:r w:rsidRPr="00740B37">
              <w:rPr>
                <w:rFonts w:eastAsia="Calibri"/>
                <w:b/>
                <w:bCs/>
                <w:sz w:val="18"/>
                <w:szCs w:val="18"/>
                <w:lang w:eastAsia="en-US"/>
              </w:rPr>
              <w:t>; p value)</w:t>
            </w:r>
          </w:p>
        </w:tc>
        <w:tc>
          <w:tcPr>
            <w:tcW w:w="1843" w:type="dxa"/>
          </w:tcPr>
          <w:p w14:paraId="60325E5D"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Publication bias</w:t>
            </w:r>
          </w:p>
          <w:p w14:paraId="075AF58C" w14:textId="77777777" w:rsidR="00740B37" w:rsidRPr="00740B37" w:rsidRDefault="00740B37" w:rsidP="00740B37">
            <w:pPr>
              <w:spacing w:after="200" w:line="288" w:lineRule="auto"/>
              <w:jc w:val="center"/>
              <w:rPr>
                <w:rFonts w:eastAsia="Calibri"/>
                <w:b/>
                <w:bCs/>
                <w:sz w:val="18"/>
                <w:szCs w:val="18"/>
                <w:lang w:val="en-US" w:eastAsia="en-US"/>
              </w:rPr>
            </w:pPr>
            <w:r w:rsidRPr="00740B37">
              <w:rPr>
                <w:rFonts w:eastAsia="Calibri"/>
                <w:b/>
                <w:bCs/>
                <w:sz w:val="18"/>
                <w:szCs w:val="18"/>
                <w:lang w:val="en-US" w:eastAsia="en-US"/>
              </w:rPr>
              <w:t>(p value Egger’s test)</w:t>
            </w:r>
          </w:p>
        </w:tc>
      </w:tr>
      <w:tr w:rsidR="00740B37" w:rsidRPr="00740B37" w14:paraId="4E8DAE41" w14:textId="77777777" w:rsidTr="00AA51D2">
        <w:trPr>
          <w:jc w:val="center"/>
        </w:trPr>
        <w:tc>
          <w:tcPr>
            <w:tcW w:w="2581" w:type="dxa"/>
          </w:tcPr>
          <w:p w14:paraId="2F3E7EDD"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Mortality rate</w:t>
            </w:r>
          </w:p>
        </w:tc>
        <w:tc>
          <w:tcPr>
            <w:tcW w:w="777" w:type="dxa"/>
          </w:tcPr>
          <w:p w14:paraId="0B95A9BF"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6</w:t>
            </w:r>
          </w:p>
        </w:tc>
        <w:tc>
          <w:tcPr>
            <w:tcW w:w="1173" w:type="dxa"/>
          </w:tcPr>
          <w:p w14:paraId="079DC67A"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2,993</w:t>
            </w:r>
          </w:p>
        </w:tc>
        <w:tc>
          <w:tcPr>
            <w:tcW w:w="2093" w:type="dxa"/>
          </w:tcPr>
          <w:p w14:paraId="4AD3F1BD"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1,560</w:t>
            </w:r>
          </w:p>
        </w:tc>
        <w:tc>
          <w:tcPr>
            <w:tcW w:w="1633" w:type="dxa"/>
          </w:tcPr>
          <w:p w14:paraId="3FEDBB13"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1,433</w:t>
            </w:r>
          </w:p>
        </w:tc>
        <w:tc>
          <w:tcPr>
            <w:tcW w:w="1633" w:type="dxa"/>
          </w:tcPr>
          <w:p w14:paraId="1E2E9275"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1.09</w:t>
            </w:r>
          </w:p>
          <w:p w14:paraId="7BB56213"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(0.85-1.38)</w:t>
            </w:r>
          </w:p>
          <w:p w14:paraId="78806F5B"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p=0.53</w:t>
            </w:r>
          </w:p>
        </w:tc>
        <w:tc>
          <w:tcPr>
            <w:tcW w:w="1701" w:type="dxa"/>
          </w:tcPr>
          <w:p w14:paraId="723CEB05"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46.9%</w:t>
            </w:r>
          </w:p>
          <w:p w14:paraId="26110D7D"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p=0.09</w:t>
            </w:r>
          </w:p>
        </w:tc>
        <w:tc>
          <w:tcPr>
            <w:tcW w:w="1843" w:type="dxa"/>
          </w:tcPr>
          <w:p w14:paraId="773F32D3"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0.49</w:t>
            </w:r>
          </w:p>
        </w:tc>
      </w:tr>
      <w:tr w:rsidR="00740B37" w:rsidRPr="00740B37" w14:paraId="533C94D4" w14:textId="77777777" w:rsidTr="00AA51D2">
        <w:trPr>
          <w:jc w:val="center"/>
        </w:trPr>
        <w:tc>
          <w:tcPr>
            <w:tcW w:w="2581" w:type="dxa"/>
          </w:tcPr>
          <w:p w14:paraId="2C62D925" w14:textId="77777777" w:rsidR="00740B37" w:rsidRPr="00740B37" w:rsidRDefault="00740B37" w:rsidP="00740B37">
            <w:pPr>
              <w:spacing w:after="200" w:line="288" w:lineRule="auto"/>
              <w:jc w:val="center"/>
              <w:rPr>
                <w:rFonts w:eastAsia="Calibri"/>
                <w:sz w:val="18"/>
                <w:szCs w:val="18"/>
                <w:lang w:val="en-US" w:eastAsia="en-US"/>
              </w:rPr>
            </w:pPr>
            <w:r w:rsidRPr="00740B37">
              <w:rPr>
                <w:rFonts w:eastAsia="Calibri"/>
                <w:sz w:val="18"/>
                <w:szCs w:val="18"/>
                <w:lang w:val="en-US" w:eastAsia="en-US"/>
              </w:rPr>
              <w:t>Microbiological failure</w:t>
            </w:r>
          </w:p>
        </w:tc>
        <w:tc>
          <w:tcPr>
            <w:tcW w:w="777" w:type="dxa"/>
          </w:tcPr>
          <w:p w14:paraId="673118A3"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2</w:t>
            </w:r>
          </w:p>
        </w:tc>
        <w:tc>
          <w:tcPr>
            <w:tcW w:w="1173" w:type="dxa"/>
          </w:tcPr>
          <w:p w14:paraId="618B07E5"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2,350</w:t>
            </w:r>
          </w:p>
        </w:tc>
        <w:tc>
          <w:tcPr>
            <w:tcW w:w="2093" w:type="dxa"/>
          </w:tcPr>
          <w:p w14:paraId="2DBABE80"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1,178</w:t>
            </w:r>
          </w:p>
        </w:tc>
        <w:tc>
          <w:tcPr>
            <w:tcW w:w="1633" w:type="dxa"/>
          </w:tcPr>
          <w:p w14:paraId="702AF3F6"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1,172</w:t>
            </w:r>
          </w:p>
        </w:tc>
        <w:tc>
          <w:tcPr>
            <w:tcW w:w="1633" w:type="dxa"/>
          </w:tcPr>
          <w:p w14:paraId="3ADE1ECD"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1.18</w:t>
            </w:r>
          </w:p>
          <w:p w14:paraId="765070D1"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(1.06-1.31)</w:t>
            </w:r>
          </w:p>
          <w:p w14:paraId="0704F3AC" w14:textId="77777777" w:rsidR="00740B37" w:rsidRPr="00740B37" w:rsidRDefault="00740B37" w:rsidP="00740B37">
            <w:pPr>
              <w:spacing w:after="200" w:line="288" w:lineRule="auto"/>
              <w:jc w:val="center"/>
              <w:rPr>
                <w:rFonts w:eastAsia="Calibri"/>
                <w:b/>
                <w:bCs/>
                <w:sz w:val="18"/>
                <w:szCs w:val="18"/>
                <w:lang w:eastAsia="en-US"/>
              </w:rPr>
            </w:pPr>
            <w:r w:rsidRPr="00740B37">
              <w:rPr>
                <w:rFonts w:eastAsia="Calibri"/>
                <w:b/>
                <w:bCs/>
                <w:sz w:val="18"/>
                <w:szCs w:val="18"/>
                <w:lang w:eastAsia="en-US"/>
              </w:rPr>
              <w:t>p=0.003</w:t>
            </w:r>
          </w:p>
        </w:tc>
        <w:tc>
          <w:tcPr>
            <w:tcW w:w="1701" w:type="dxa"/>
          </w:tcPr>
          <w:p w14:paraId="6404B6C5"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0.0%</w:t>
            </w:r>
          </w:p>
          <w:p w14:paraId="23E480A1"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p=0.40</w:t>
            </w:r>
          </w:p>
        </w:tc>
        <w:tc>
          <w:tcPr>
            <w:tcW w:w="1843" w:type="dxa"/>
          </w:tcPr>
          <w:p w14:paraId="10276AE5" w14:textId="77777777" w:rsidR="00740B37" w:rsidRPr="00740B37" w:rsidRDefault="00740B37" w:rsidP="00740B37">
            <w:pPr>
              <w:spacing w:after="200" w:line="288" w:lineRule="auto"/>
              <w:jc w:val="center"/>
              <w:rPr>
                <w:rFonts w:eastAsia="Calibri"/>
                <w:sz w:val="18"/>
                <w:szCs w:val="18"/>
                <w:lang w:eastAsia="en-US"/>
              </w:rPr>
            </w:pPr>
            <w:r w:rsidRPr="00740B37">
              <w:rPr>
                <w:rFonts w:eastAsia="Calibri"/>
                <w:sz w:val="18"/>
                <w:szCs w:val="18"/>
                <w:lang w:eastAsia="en-US"/>
              </w:rPr>
              <w:t>NA</w:t>
            </w:r>
          </w:p>
        </w:tc>
      </w:tr>
    </w:tbl>
    <w:p w14:paraId="56266759" w14:textId="77777777" w:rsidR="00740B37" w:rsidRPr="00740B37" w:rsidRDefault="00740B37" w:rsidP="00740B37">
      <w:pPr>
        <w:spacing w:after="200" w:line="276" w:lineRule="auto"/>
        <w:rPr>
          <w:rFonts w:eastAsia="Calibri"/>
          <w:i/>
          <w:iCs/>
          <w:sz w:val="18"/>
          <w:szCs w:val="18"/>
          <w:lang w:val="en-US" w:eastAsia="en-US"/>
        </w:rPr>
      </w:pPr>
      <w:r w:rsidRPr="00740B37">
        <w:rPr>
          <w:rFonts w:eastAsia="Calibri"/>
          <w:sz w:val="18"/>
          <w:szCs w:val="18"/>
          <w:lang w:val="en-US" w:eastAsia="en-US"/>
        </w:rPr>
        <w:t xml:space="preserve">BSIs: bloodstream infections; CI: confidence interval; VRE: vancomycin-resistant </w:t>
      </w:r>
      <w:r w:rsidRPr="00740B37">
        <w:rPr>
          <w:rFonts w:eastAsia="Calibri"/>
          <w:i/>
          <w:iCs/>
          <w:sz w:val="18"/>
          <w:szCs w:val="18"/>
          <w:lang w:val="en-US" w:eastAsia="en-US"/>
        </w:rPr>
        <w:t>Enterococci</w:t>
      </w:r>
    </w:p>
    <w:p w14:paraId="4BA6D47B" w14:textId="77777777" w:rsidR="0028778F" w:rsidRDefault="0028778F" w:rsidP="00471AE3">
      <w:pPr>
        <w:spacing w:after="160" w:line="259" w:lineRule="auto"/>
        <w:rPr>
          <w:b/>
        </w:rPr>
      </w:pPr>
    </w:p>
    <w:p w14:paraId="57C835AD" w14:textId="072684E2" w:rsidR="001E0F1B" w:rsidRDefault="001E0F1B">
      <w:pPr>
        <w:spacing w:after="160" w:line="259" w:lineRule="auto"/>
        <w:rPr>
          <w:b/>
        </w:rPr>
      </w:pPr>
      <w:r>
        <w:rPr>
          <w:b/>
        </w:rPr>
        <w:br w:type="page"/>
      </w:r>
    </w:p>
    <w:p w14:paraId="6C343CB9" w14:textId="2E959BF8" w:rsidR="001E0F1B" w:rsidRDefault="001E0F1B" w:rsidP="001E0F1B">
      <w:pPr>
        <w:rPr>
          <w:lang w:val="en-US"/>
        </w:rPr>
      </w:pPr>
      <w:r>
        <w:rPr>
          <w:b/>
          <w:lang w:val="en-US"/>
        </w:rPr>
        <w:lastRenderedPageBreak/>
        <w:t xml:space="preserve">Suppl. </w:t>
      </w:r>
      <w:r w:rsidRPr="00E66F92">
        <w:rPr>
          <w:b/>
          <w:lang w:val="en-US"/>
        </w:rPr>
        <w:t xml:space="preserve">Table </w:t>
      </w:r>
      <w:r w:rsidR="00123844">
        <w:rPr>
          <w:b/>
          <w:lang w:val="en-US"/>
        </w:rPr>
        <w:t>5</w:t>
      </w:r>
      <w:r w:rsidRPr="00E66F92">
        <w:rPr>
          <w:b/>
          <w:lang w:val="en-US"/>
        </w:rPr>
        <w:t>.</w:t>
      </w:r>
      <w:r w:rsidRPr="00E66F92">
        <w:rPr>
          <w:lang w:val="en-US"/>
        </w:rPr>
        <w:t xml:space="preserve"> Principal characteristics of </w:t>
      </w:r>
      <w:r>
        <w:rPr>
          <w:lang w:val="en-US"/>
        </w:rPr>
        <w:t>studies exploring daptomycin dosage, regimen and MIC</w:t>
      </w:r>
      <w:r w:rsidRPr="00E66F92">
        <w:rPr>
          <w:lang w:val="en-US"/>
        </w:rPr>
        <w:t>.</w:t>
      </w:r>
    </w:p>
    <w:tbl>
      <w:tblPr>
        <w:tblStyle w:val="Grigliatabella1"/>
        <w:tblpPr w:leftFromText="141" w:rightFromText="141" w:vertAnchor="page" w:horzAnchor="margin" w:tblpXSpec="center" w:tblpY="1700"/>
        <w:tblW w:w="0" w:type="auto"/>
        <w:tblLook w:val="04A0" w:firstRow="1" w:lastRow="0" w:firstColumn="1" w:lastColumn="0" w:noHBand="0" w:noVBand="1"/>
      </w:tblPr>
      <w:tblGrid>
        <w:gridCol w:w="826"/>
        <w:gridCol w:w="1041"/>
        <w:gridCol w:w="722"/>
        <w:gridCol w:w="629"/>
        <w:gridCol w:w="1101"/>
        <w:gridCol w:w="1101"/>
        <w:gridCol w:w="808"/>
        <w:gridCol w:w="746"/>
        <w:gridCol w:w="654"/>
        <w:gridCol w:w="1094"/>
        <w:gridCol w:w="722"/>
        <w:gridCol w:w="689"/>
        <w:gridCol w:w="846"/>
        <w:gridCol w:w="744"/>
        <w:gridCol w:w="689"/>
        <w:gridCol w:w="864"/>
        <w:gridCol w:w="1001"/>
      </w:tblGrid>
      <w:tr w:rsidR="001E0F1B" w:rsidRPr="006A2C22" w14:paraId="133DB89C" w14:textId="77777777" w:rsidTr="00AA51D2">
        <w:tc>
          <w:tcPr>
            <w:tcW w:w="0" w:type="auto"/>
            <w:vAlign w:val="center"/>
          </w:tcPr>
          <w:p w14:paraId="2B0A668A" w14:textId="77777777" w:rsidR="001E0F1B" w:rsidRPr="00567138" w:rsidRDefault="001E0F1B" w:rsidP="00AA51D2">
            <w:pPr>
              <w:jc w:val="center"/>
              <w:rPr>
                <w:rFonts w:eastAsia="Calibri"/>
                <w:b/>
                <w:bCs/>
                <w:sz w:val="14"/>
                <w:szCs w:val="14"/>
              </w:rPr>
            </w:pPr>
            <w:r w:rsidRPr="00567138">
              <w:rPr>
                <w:rFonts w:eastAsia="Calibri"/>
                <w:b/>
                <w:bCs/>
                <w:sz w:val="14"/>
                <w:szCs w:val="14"/>
              </w:rPr>
              <w:t xml:space="preserve">Study </w:t>
            </w:r>
            <w:proofErr w:type="spellStart"/>
            <w:r w:rsidRPr="00567138">
              <w:rPr>
                <w:rFonts w:eastAsia="Calibri"/>
                <w:b/>
                <w:bCs/>
                <w:sz w:val="14"/>
                <w:szCs w:val="14"/>
              </w:rPr>
              <w:t>reference</w:t>
            </w:r>
            <w:proofErr w:type="spellEnd"/>
          </w:p>
        </w:tc>
        <w:tc>
          <w:tcPr>
            <w:tcW w:w="0" w:type="auto"/>
            <w:vAlign w:val="center"/>
          </w:tcPr>
          <w:p w14:paraId="490C942C" w14:textId="77777777" w:rsidR="001E0F1B" w:rsidRPr="00567138" w:rsidRDefault="001E0F1B" w:rsidP="00AA51D2">
            <w:pPr>
              <w:jc w:val="center"/>
              <w:rPr>
                <w:rFonts w:eastAsia="Calibri"/>
                <w:b/>
                <w:bCs/>
                <w:sz w:val="14"/>
                <w:szCs w:val="14"/>
              </w:rPr>
            </w:pPr>
            <w:proofErr w:type="spellStart"/>
            <w:r w:rsidRPr="00567138">
              <w:rPr>
                <w:rFonts w:eastAsia="Calibri"/>
                <w:b/>
                <w:bCs/>
                <w:sz w:val="14"/>
                <w:szCs w:val="14"/>
              </w:rPr>
              <w:t>Stud</w:t>
            </w:r>
            <w:proofErr w:type="spellEnd"/>
            <w:r w:rsidRPr="00567138">
              <w:rPr>
                <w:rFonts w:eastAsia="Calibri"/>
                <w:b/>
                <w:bCs/>
                <w:sz w:val="14"/>
                <w:szCs w:val="14"/>
              </w:rPr>
              <w:t xml:space="preserve"> design</w:t>
            </w:r>
          </w:p>
        </w:tc>
        <w:tc>
          <w:tcPr>
            <w:tcW w:w="0" w:type="auto"/>
            <w:vAlign w:val="center"/>
          </w:tcPr>
          <w:p w14:paraId="029D463D" w14:textId="77777777" w:rsidR="001E0F1B" w:rsidRPr="00567138" w:rsidRDefault="001E0F1B" w:rsidP="00AA51D2">
            <w:pPr>
              <w:jc w:val="center"/>
              <w:rPr>
                <w:rFonts w:eastAsia="Calibri"/>
                <w:b/>
                <w:bCs/>
                <w:sz w:val="14"/>
                <w:szCs w:val="14"/>
              </w:rPr>
            </w:pPr>
            <w:r w:rsidRPr="00567138">
              <w:rPr>
                <w:rFonts w:eastAsia="Calibri"/>
                <w:b/>
                <w:bCs/>
                <w:sz w:val="14"/>
                <w:szCs w:val="14"/>
              </w:rPr>
              <w:t>Country</w:t>
            </w:r>
          </w:p>
        </w:tc>
        <w:tc>
          <w:tcPr>
            <w:tcW w:w="0" w:type="auto"/>
            <w:vAlign w:val="center"/>
          </w:tcPr>
          <w:p w14:paraId="669C3500" w14:textId="77777777" w:rsidR="001E0F1B" w:rsidRPr="00567138" w:rsidRDefault="001E0F1B" w:rsidP="00AA51D2">
            <w:pPr>
              <w:jc w:val="center"/>
              <w:rPr>
                <w:rFonts w:eastAsia="Calibri"/>
                <w:b/>
                <w:bCs/>
                <w:sz w:val="14"/>
                <w:szCs w:val="14"/>
              </w:rPr>
            </w:pPr>
            <w:r w:rsidRPr="00567138">
              <w:rPr>
                <w:rFonts w:eastAsia="Calibri"/>
                <w:b/>
                <w:bCs/>
                <w:sz w:val="14"/>
                <w:szCs w:val="14"/>
              </w:rPr>
              <w:t xml:space="preserve">Time </w:t>
            </w:r>
            <w:proofErr w:type="spellStart"/>
            <w:r w:rsidRPr="00567138">
              <w:rPr>
                <w:rFonts w:eastAsia="Calibri"/>
                <w:b/>
                <w:bCs/>
                <w:sz w:val="14"/>
                <w:szCs w:val="14"/>
              </w:rPr>
              <w:t>period</w:t>
            </w:r>
            <w:proofErr w:type="spellEnd"/>
          </w:p>
        </w:tc>
        <w:tc>
          <w:tcPr>
            <w:tcW w:w="0" w:type="auto"/>
            <w:vAlign w:val="center"/>
          </w:tcPr>
          <w:p w14:paraId="11AA2C9A" w14:textId="77777777" w:rsidR="001E0F1B" w:rsidRPr="00567138" w:rsidRDefault="001E0F1B" w:rsidP="00AA51D2">
            <w:pPr>
              <w:jc w:val="center"/>
              <w:rPr>
                <w:rFonts w:eastAsia="Calibri"/>
                <w:b/>
                <w:bCs/>
                <w:sz w:val="14"/>
                <w:szCs w:val="14"/>
              </w:rPr>
            </w:pPr>
            <w:r>
              <w:rPr>
                <w:rFonts w:eastAsia="Calibri"/>
                <w:b/>
                <w:bCs/>
                <w:sz w:val="14"/>
                <w:szCs w:val="14"/>
              </w:rPr>
              <w:t xml:space="preserve">Drug(s) </w:t>
            </w:r>
            <w:proofErr w:type="spellStart"/>
            <w:r>
              <w:rPr>
                <w:rFonts w:eastAsia="Calibri"/>
                <w:b/>
                <w:bCs/>
                <w:sz w:val="14"/>
                <w:szCs w:val="14"/>
              </w:rPr>
              <w:t>used</w:t>
            </w:r>
            <w:proofErr w:type="spellEnd"/>
            <w:r>
              <w:rPr>
                <w:rFonts w:eastAsia="Calibri"/>
                <w:b/>
                <w:bCs/>
                <w:sz w:val="14"/>
                <w:szCs w:val="14"/>
              </w:rPr>
              <w:t xml:space="preserve"> in the </w:t>
            </w:r>
            <w:proofErr w:type="spellStart"/>
            <w:r>
              <w:rPr>
                <w:rFonts w:eastAsia="Calibri"/>
                <w:b/>
                <w:bCs/>
                <w:sz w:val="14"/>
                <w:szCs w:val="14"/>
              </w:rPr>
              <w:t>intervention</w:t>
            </w:r>
            <w:proofErr w:type="spellEnd"/>
            <w:r>
              <w:rPr>
                <w:rFonts w:eastAsia="Calibri"/>
                <w:b/>
                <w:bCs/>
                <w:sz w:val="14"/>
                <w:szCs w:val="14"/>
              </w:rPr>
              <w:t xml:space="preserve"> group</w:t>
            </w:r>
          </w:p>
        </w:tc>
        <w:tc>
          <w:tcPr>
            <w:tcW w:w="0" w:type="auto"/>
            <w:vAlign w:val="center"/>
          </w:tcPr>
          <w:p w14:paraId="487DD421" w14:textId="77777777" w:rsidR="001E0F1B" w:rsidRPr="00567138" w:rsidRDefault="001E0F1B" w:rsidP="00AA51D2">
            <w:pPr>
              <w:jc w:val="center"/>
              <w:rPr>
                <w:rFonts w:eastAsia="Calibri"/>
                <w:b/>
                <w:bCs/>
                <w:sz w:val="14"/>
                <w:szCs w:val="14"/>
              </w:rPr>
            </w:pPr>
            <w:r w:rsidRPr="00567138">
              <w:rPr>
                <w:rFonts w:eastAsia="Calibri"/>
                <w:b/>
                <w:bCs/>
                <w:sz w:val="14"/>
                <w:szCs w:val="14"/>
              </w:rPr>
              <w:t>Drug</w:t>
            </w:r>
            <w:r>
              <w:rPr>
                <w:rFonts w:eastAsia="Calibri"/>
                <w:b/>
                <w:bCs/>
                <w:sz w:val="14"/>
                <w:szCs w:val="14"/>
              </w:rPr>
              <w:t>(s)</w:t>
            </w:r>
            <w:r w:rsidRPr="00567138">
              <w:rPr>
                <w:rFonts w:eastAsia="Calibri"/>
                <w:b/>
                <w:bCs/>
                <w:sz w:val="14"/>
                <w:szCs w:val="14"/>
              </w:rPr>
              <w:t xml:space="preserve"> </w:t>
            </w:r>
            <w:proofErr w:type="spellStart"/>
            <w:r w:rsidRPr="00567138">
              <w:rPr>
                <w:rFonts w:eastAsia="Calibri"/>
                <w:b/>
                <w:bCs/>
                <w:sz w:val="14"/>
                <w:szCs w:val="14"/>
              </w:rPr>
              <w:t>used</w:t>
            </w:r>
            <w:proofErr w:type="spellEnd"/>
            <w:r w:rsidRPr="00567138">
              <w:rPr>
                <w:rFonts w:eastAsia="Calibri"/>
                <w:b/>
                <w:bCs/>
                <w:sz w:val="14"/>
                <w:szCs w:val="14"/>
              </w:rPr>
              <w:t xml:space="preserve"> in the </w:t>
            </w:r>
            <w:proofErr w:type="spellStart"/>
            <w:r w:rsidRPr="00567138">
              <w:rPr>
                <w:rFonts w:eastAsia="Calibri"/>
                <w:b/>
                <w:bCs/>
                <w:sz w:val="14"/>
                <w:szCs w:val="14"/>
              </w:rPr>
              <w:t>comparator</w:t>
            </w:r>
            <w:proofErr w:type="spellEnd"/>
            <w:r w:rsidRPr="00567138">
              <w:rPr>
                <w:rFonts w:eastAsia="Calibri"/>
                <w:b/>
                <w:bCs/>
                <w:sz w:val="14"/>
                <w:szCs w:val="14"/>
              </w:rPr>
              <w:t xml:space="preserve"> group</w:t>
            </w:r>
          </w:p>
        </w:tc>
        <w:tc>
          <w:tcPr>
            <w:tcW w:w="0" w:type="auto"/>
            <w:vAlign w:val="center"/>
          </w:tcPr>
          <w:p w14:paraId="1E3FDB12" w14:textId="77777777" w:rsidR="001E0F1B" w:rsidRPr="00567138" w:rsidRDefault="001E0F1B" w:rsidP="00AA51D2">
            <w:pPr>
              <w:jc w:val="center"/>
              <w:rPr>
                <w:rFonts w:eastAsia="Calibri"/>
                <w:b/>
                <w:bCs/>
                <w:sz w:val="14"/>
                <w:szCs w:val="14"/>
              </w:rPr>
            </w:pPr>
            <w:r w:rsidRPr="00567138">
              <w:rPr>
                <w:rFonts w:eastAsia="Calibri"/>
                <w:b/>
                <w:bCs/>
                <w:sz w:val="14"/>
                <w:szCs w:val="14"/>
              </w:rPr>
              <w:t xml:space="preserve">N. of </w:t>
            </w:r>
            <w:proofErr w:type="spellStart"/>
            <w:r w:rsidRPr="00567138">
              <w:rPr>
                <w:rFonts w:eastAsia="Calibri"/>
                <w:b/>
                <w:bCs/>
                <w:sz w:val="14"/>
                <w:szCs w:val="14"/>
              </w:rPr>
              <w:t>enrolled</w:t>
            </w:r>
            <w:proofErr w:type="spellEnd"/>
            <w:r w:rsidRPr="00567138">
              <w:rPr>
                <w:rFonts w:eastAsia="Calibri"/>
                <w:b/>
                <w:bCs/>
                <w:sz w:val="14"/>
                <w:szCs w:val="14"/>
              </w:rPr>
              <w:t xml:space="preserve"> patients</w:t>
            </w:r>
          </w:p>
          <w:p w14:paraId="12C3F64B" w14:textId="77777777" w:rsidR="001E0F1B" w:rsidRPr="00567138" w:rsidRDefault="001E0F1B" w:rsidP="00AA51D2">
            <w:pPr>
              <w:jc w:val="center"/>
              <w:rPr>
                <w:rFonts w:eastAsia="Calibri"/>
                <w:b/>
                <w:bCs/>
                <w:sz w:val="14"/>
                <w:szCs w:val="14"/>
              </w:rPr>
            </w:pPr>
            <w:r w:rsidRPr="00567138">
              <w:rPr>
                <w:rFonts w:eastAsia="Calibri"/>
                <w:b/>
                <w:bCs/>
                <w:sz w:val="14"/>
                <w:szCs w:val="14"/>
              </w:rPr>
              <w:t>(</w:t>
            </w:r>
            <w:r>
              <w:rPr>
                <w:rFonts w:eastAsia="Calibri"/>
                <w:b/>
                <w:bCs/>
                <w:sz w:val="14"/>
                <w:szCs w:val="14"/>
              </w:rPr>
              <w:t>HD DAP or combo</w:t>
            </w:r>
            <w:r w:rsidRPr="00567138">
              <w:rPr>
                <w:rFonts w:eastAsia="Calibri"/>
                <w:b/>
                <w:bCs/>
                <w:sz w:val="14"/>
                <w:szCs w:val="14"/>
              </w:rPr>
              <w:t xml:space="preserve"> vs.</w:t>
            </w:r>
            <w:r>
              <w:rPr>
                <w:rFonts w:eastAsia="Calibri"/>
                <w:b/>
                <w:bCs/>
                <w:sz w:val="14"/>
                <w:szCs w:val="14"/>
              </w:rPr>
              <w:t xml:space="preserve"> SD DAP</w:t>
            </w:r>
            <w:r w:rsidRPr="00567138">
              <w:rPr>
                <w:rFonts w:eastAsia="Calibri"/>
                <w:b/>
                <w:bCs/>
                <w:sz w:val="14"/>
                <w:szCs w:val="14"/>
              </w:rPr>
              <w:t>)</w:t>
            </w:r>
          </w:p>
        </w:tc>
        <w:tc>
          <w:tcPr>
            <w:tcW w:w="0" w:type="auto"/>
            <w:vAlign w:val="center"/>
          </w:tcPr>
          <w:p w14:paraId="02CC49EE" w14:textId="77777777" w:rsidR="001E0F1B" w:rsidRPr="00567138" w:rsidRDefault="001E0F1B" w:rsidP="00AA51D2">
            <w:pPr>
              <w:jc w:val="center"/>
              <w:rPr>
                <w:rFonts w:eastAsia="Calibri"/>
                <w:b/>
                <w:bCs/>
                <w:sz w:val="14"/>
                <w:szCs w:val="14"/>
              </w:rPr>
            </w:pPr>
            <w:r w:rsidRPr="00567138">
              <w:rPr>
                <w:rFonts w:eastAsia="Calibri"/>
                <w:b/>
                <w:bCs/>
                <w:sz w:val="14"/>
                <w:szCs w:val="14"/>
              </w:rPr>
              <w:t>Age</w:t>
            </w:r>
          </w:p>
          <w:p w14:paraId="723CE927" w14:textId="77777777" w:rsidR="001E0F1B" w:rsidRPr="00567138" w:rsidRDefault="001E0F1B" w:rsidP="00AA51D2">
            <w:pPr>
              <w:jc w:val="center"/>
              <w:rPr>
                <w:rFonts w:eastAsia="Calibri"/>
                <w:b/>
                <w:bCs/>
                <w:sz w:val="14"/>
                <w:szCs w:val="14"/>
              </w:rPr>
            </w:pPr>
            <w:r w:rsidRPr="00567138">
              <w:rPr>
                <w:rFonts w:eastAsia="Calibri"/>
                <w:b/>
                <w:bCs/>
                <w:sz w:val="14"/>
                <w:szCs w:val="14"/>
              </w:rPr>
              <w:t>(</w:t>
            </w:r>
            <w:proofErr w:type="spellStart"/>
            <w:r w:rsidRPr="00567138">
              <w:rPr>
                <w:rFonts w:eastAsia="Calibri"/>
                <w:b/>
                <w:bCs/>
                <w:sz w:val="14"/>
                <w:szCs w:val="14"/>
              </w:rPr>
              <w:t>mean</w:t>
            </w:r>
            <w:proofErr w:type="spellEnd"/>
            <w:r w:rsidRPr="00567138">
              <w:rPr>
                <w:rFonts w:eastAsia="Calibri"/>
                <w:b/>
                <w:bCs/>
                <w:sz w:val="14"/>
                <w:szCs w:val="14"/>
              </w:rPr>
              <w:t xml:space="preserve"> or </w:t>
            </w:r>
            <w:proofErr w:type="spellStart"/>
            <w:r w:rsidRPr="00567138">
              <w:rPr>
                <w:rFonts w:eastAsia="Calibri"/>
                <w:b/>
                <w:bCs/>
                <w:sz w:val="14"/>
                <w:szCs w:val="14"/>
              </w:rPr>
              <w:t>median</w:t>
            </w:r>
            <w:proofErr w:type="spellEnd"/>
            <w:r w:rsidRPr="00567138">
              <w:rPr>
                <w:rFonts w:eastAsia="Calibri"/>
                <w:b/>
                <w:bCs/>
                <w:sz w:val="14"/>
                <w:szCs w:val="14"/>
              </w:rPr>
              <w:t>)</w:t>
            </w:r>
          </w:p>
        </w:tc>
        <w:tc>
          <w:tcPr>
            <w:tcW w:w="0" w:type="auto"/>
            <w:vAlign w:val="center"/>
          </w:tcPr>
          <w:p w14:paraId="25C97821" w14:textId="77777777" w:rsidR="001E0F1B" w:rsidRPr="00567138" w:rsidRDefault="001E0F1B" w:rsidP="00AA51D2">
            <w:pPr>
              <w:jc w:val="center"/>
              <w:rPr>
                <w:rFonts w:eastAsia="Calibri"/>
                <w:b/>
                <w:bCs/>
                <w:sz w:val="14"/>
                <w:szCs w:val="14"/>
              </w:rPr>
            </w:pPr>
            <w:r w:rsidRPr="00567138">
              <w:rPr>
                <w:rFonts w:eastAsia="Calibri"/>
                <w:b/>
                <w:bCs/>
                <w:sz w:val="14"/>
                <w:szCs w:val="14"/>
              </w:rPr>
              <w:t>Sex</w:t>
            </w:r>
          </w:p>
          <w:p w14:paraId="3D12573D" w14:textId="77777777" w:rsidR="001E0F1B" w:rsidRPr="00567138" w:rsidRDefault="001E0F1B" w:rsidP="00AA51D2">
            <w:pPr>
              <w:jc w:val="center"/>
              <w:rPr>
                <w:rFonts w:eastAsia="Calibri"/>
                <w:b/>
                <w:bCs/>
                <w:sz w:val="14"/>
                <w:szCs w:val="14"/>
              </w:rPr>
            </w:pPr>
            <w:r w:rsidRPr="00567138">
              <w:rPr>
                <w:rFonts w:eastAsia="Calibri"/>
                <w:b/>
                <w:bCs/>
                <w:sz w:val="14"/>
                <w:szCs w:val="14"/>
              </w:rPr>
              <w:t>(Male)</w:t>
            </w:r>
          </w:p>
        </w:tc>
        <w:tc>
          <w:tcPr>
            <w:tcW w:w="0" w:type="auto"/>
            <w:vAlign w:val="center"/>
          </w:tcPr>
          <w:p w14:paraId="03A9A36B" w14:textId="77777777" w:rsidR="001E0F1B" w:rsidRPr="00567138" w:rsidRDefault="001E0F1B" w:rsidP="00AA51D2">
            <w:pPr>
              <w:jc w:val="center"/>
              <w:rPr>
                <w:rFonts w:eastAsia="Calibri"/>
                <w:b/>
                <w:bCs/>
                <w:sz w:val="14"/>
                <w:szCs w:val="14"/>
              </w:rPr>
            </w:pPr>
            <w:r>
              <w:rPr>
                <w:rFonts w:eastAsia="Calibri"/>
                <w:b/>
                <w:bCs/>
                <w:sz w:val="14"/>
                <w:szCs w:val="14"/>
              </w:rPr>
              <w:t>%</w:t>
            </w:r>
            <w:r w:rsidRPr="00567138">
              <w:rPr>
                <w:rFonts w:eastAsia="Calibri"/>
                <w:b/>
                <w:bCs/>
                <w:sz w:val="14"/>
                <w:szCs w:val="14"/>
              </w:rPr>
              <w:t xml:space="preserve"> of ICU patients (</w:t>
            </w:r>
            <w:proofErr w:type="spellStart"/>
            <w:r w:rsidRPr="00567138">
              <w:rPr>
                <w:rFonts w:eastAsia="Calibri"/>
                <w:b/>
                <w:bCs/>
                <w:sz w:val="14"/>
                <w:szCs w:val="14"/>
              </w:rPr>
              <w:t>daptomycin</w:t>
            </w:r>
            <w:proofErr w:type="spellEnd"/>
            <w:r w:rsidRPr="00567138">
              <w:rPr>
                <w:rFonts w:eastAsia="Calibri"/>
                <w:b/>
                <w:bCs/>
                <w:sz w:val="14"/>
                <w:szCs w:val="14"/>
              </w:rPr>
              <w:t xml:space="preserve"> vs. </w:t>
            </w:r>
            <w:proofErr w:type="spellStart"/>
            <w:r w:rsidRPr="00567138">
              <w:rPr>
                <w:rFonts w:eastAsia="Calibri"/>
                <w:b/>
                <w:bCs/>
                <w:sz w:val="14"/>
                <w:szCs w:val="14"/>
              </w:rPr>
              <w:t>others</w:t>
            </w:r>
            <w:proofErr w:type="spellEnd"/>
            <w:r w:rsidRPr="00567138">
              <w:rPr>
                <w:rFonts w:eastAsia="Calibri"/>
                <w:b/>
                <w:bCs/>
                <w:sz w:val="14"/>
                <w:szCs w:val="14"/>
              </w:rPr>
              <w:t>)</w:t>
            </w:r>
          </w:p>
        </w:tc>
        <w:tc>
          <w:tcPr>
            <w:tcW w:w="0" w:type="auto"/>
            <w:gridSpan w:val="3"/>
            <w:vAlign w:val="center"/>
          </w:tcPr>
          <w:p w14:paraId="1DEEF4B3" w14:textId="77777777" w:rsidR="001E0F1B" w:rsidRPr="00567138" w:rsidRDefault="001E0F1B" w:rsidP="00AA51D2">
            <w:pPr>
              <w:jc w:val="center"/>
              <w:rPr>
                <w:rFonts w:eastAsia="Calibri"/>
                <w:b/>
                <w:bCs/>
                <w:sz w:val="14"/>
                <w:szCs w:val="14"/>
              </w:rPr>
            </w:pPr>
            <w:proofErr w:type="spellStart"/>
            <w:r w:rsidRPr="00567138">
              <w:rPr>
                <w:rFonts w:eastAsia="Calibri"/>
                <w:b/>
                <w:bCs/>
                <w:sz w:val="14"/>
                <w:szCs w:val="14"/>
              </w:rPr>
              <w:t>Exposed</w:t>
            </w:r>
            <w:proofErr w:type="spellEnd"/>
            <w:r w:rsidRPr="00567138">
              <w:rPr>
                <w:rFonts w:eastAsia="Calibri"/>
                <w:b/>
                <w:bCs/>
                <w:sz w:val="14"/>
                <w:szCs w:val="14"/>
              </w:rPr>
              <w:t xml:space="preserve"> group</w:t>
            </w:r>
          </w:p>
          <w:p w14:paraId="732E2CAC" w14:textId="77777777" w:rsidR="001E0F1B" w:rsidRPr="00567138" w:rsidRDefault="001E0F1B" w:rsidP="00AA51D2">
            <w:pPr>
              <w:jc w:val="center"/>
              <w:rPr>
                <w:rFonts w:eastAsia="Calibri"/>
                <w:b/>
                <w:bCs/>
                <w:sz w:val="14"/>
                <w:szCs w:val="14"/>
              </w:rPr>
            </w:pPr>
            <w:r w:rsidRPr="00567138">
              <w:rPr>
                <w:rFonts w:eastAsia="Calibri"/>
                <w:b/>
                <w:bCs/>
                <w:sz w:val="14"/>
                <w:szCs w:val="14"/>
              </w:rPr>
              <w:t>(Type of BSI)</w:t>
            </w:r>
          </w:p>
        </w:tc>
        <w:tc>
          <w:tcPr>
            <w:tcW w:w="0" w:type="auto"/>
            <w:gridSpan w:val="3"/>
            <w:vAlign w:val="center"/>
          </w:tcPr>
          <w:p w14:paraId="4D74C4C9" w14:textId="77777777" w:rsidR="001E0F1B" w:rsidRPr="00567138" w:rsidRDefault="001E0F1B" w:rsidP="00AA51D2">
            <w:pPr>
              <w:jc w:val="center"/>
              <w:rPr>
                <w:rFonts w:eastAsia="Calibri"/>
                <w:b/>
                <w:bCs/>
                <w:sz w:val="14"/>
                <w:szCs w:val="14"/>
              </w:rPr>
            </w:pPr>
            <w:proofErr w:type="spellStart"/>
            <w:r w:rsidRPr="00567138">
              <w:rPr>
                <w:rFonts w:eastAsia="Calibri"/>
                <w:b/>
                <w:bCs/>
                <w:sz w:val="14"/>
                <w:szCs w:val="14"/>
              </w:rPr>
              <w:t>Comparator</w:t>
            </w:r>
            <w:proofErr w:type="spellEnd"/>
            <w:r w:rsidRPr="00567138">
              <w:rPr>
                <w:rFonts w:eastAsia="Calibri"/>
                <w:b/>
                <w:bCs/>
                <w:sz w:val="14"/>
                <w:szCs w:val="14"/>
              </w:rPr>
              <w:t xml:space="preserve"> group</w:t>
            </w:r>
          </w:p>
          <w:p w14:paraId="13AE2811" w14:textId="77777777" w:rsidR="001E0F1B" w:rsidRPr="00567138" w:rsidRDefault="001E0F1B" w:rsidP="00AA51D2">
            <w:pPr>
              <w:jc w:val="center"/>
              <w:rPr>
                <w:rFonts w:eastAsia="Calibri"/>
                <w:b/>
                <w:bCs/>
                <w:sz w:val="14"/>
                <w:szCs w:val="14"/>
              </w:rPr>
            </w:pPr>
            <w:r w:rsidRPr="00567138">
              <w:rPr>
                <w:rFonts w:eastAsia="Calibri"/>
                <w:b/>
                <w:bCs/>
                <w:sz w:val="14"/>
                <w:szCs w:val="14"/>
              </w:rPr>
              <w:t>(Type of BSI)</w:t>
            </w:r>
          </w:p>
        </w:tc>
        <w:tc>
          <w:tcPr>
            <w:tcW w:w="0" w:type="auto"/>
            <w:vAlign w:val="center"/>
          </w:tcPr>
          <w:p w14:paraId="1B43CDE0" w14:textId="77777777" w:rsidR="001E0F1B" w:rsidRPr="00567138" w:rsidRDefault="001E0F1B" w:rsidP="00AA51D2">
            <w:pPr>
              <w:jc w:val="center"/>
              <w:rPr>
                <w:rFonts w:eastAsia="Calibri"/>
                <w:b/>
                <w:bCs/>
                <w:sz w:val="14"/>
                <w:szCs w:val="14"/>
              </w:rPr>
            </w:pPr>
            <w:r w:rsidRPr="00567138">
              <w:rPr>
                <w:rFonts w:eastAsia="Calibri"/>
                <w:b/>
                <w:bCs/>
                <w:sz w:val="14"/>
                <w:szCs w:val="14"/>
              </w:rPr>
              <w:t>Treatment duration in days (</w:t>
            </w:r>
            <w:proofErr w:type="spellStart"/>
            <w:r w:rsidRPr="00567138">
              <w:rPr>
                <w:rFonts w:eastAsia="Calibri"/>
                <w:b/>
                <w:bCs/>
                <w:sz w:val="14"/>
                <w:szCs w:val="14"/>
              </w:rPr>
              <w:t>mean</w:t>
            </w:r>
            <w:proofErr w:type="spellEnd"/>
            <w:r w:rsidRPr="00567138">
              <w:rPr>
                <w:rFonts w:eastAsia="Calibri"/>
                <w:b/>
                <w:bCs/>
                <w:sz w:val="14"/>
                <w:szCs w:val="14"/>
              </w:rPr>
              <w:t xml:space="preserve"> or </w:t>
            </w:r>
            <w:proofErr w:type="spellStart"/>
            <w:r w:rsidRPr="00567138">
              <w:rPr>
                <w:rFonts w:eastAsia="Calibri"/>
                <w:b/>
                <w:bCs/>
                <w:sz w:val="14"/>
                <w:szCs w:val="14"/>
              </w:rPr>
              <w:t>median</w:t>
            </w:r>
            <w:proofErr w:type="spellEnd"/>
            <w:r w:rsidRPr="00567138">
              <w:rPr>
                <w:rFonts w:eastAsia="Calibri"/>
                <w:b/>
                <w:bCs/>
                <w:sz w:val="14"/>
                <w:szCs w:val="14"/>
              </w:rPr>
              <w:t>)</w:t>
            </w:r>
          </w:p>
        </w:tc>
      </w:tr>
      <w:tr w:rsidR="001E0F1B" w:rsidRPr="00541794" w14:paraId="3F89C79D" w14:textId="77777777" w:rsidTr="00AA51D2">
        <w:tc>
          <w:tcPr>
            <w:tcW w:w="0" w:type="auto"/>
            <w:vAlign w:val="center"/>
          </w:tcPr>
          <w:p w14:paraId="41DFEEEC" w14:textId="77777777" w:rsidR="001E0F1B" w:rsidRPr="00567138" w:rsidRDefault="001E0F1B" w:rsidP="00AA51D2">
            <w:pPr>
              <w:jc w:val="center"/>
              <w:rPr>
                <w:rFonts w:eastAsia="Calibri"/>
                <w:sz w:val="14"/>
                <w:szCs w:val="14"/>
              </w:rPr>
            </w:pPr>
          </w:p>
        </w:tc>
        <w:tc>
          <w:tcPr>
            <w:tcW w:w="0" w:type="auto"/>
            <w:vAlign w:val="center"/>
          </w:tcPr>
          <w:p w14:paraId="46DD9AB1" w14:textId="77777777" w:rsidR="001E0F1B" w:rsidRPr="00567138" w:rsidRDefault="001E0F1B" w:rsidP="00AA51D2">
            <w:pPr>
              <w:jc w:val="center"/>
              <w:rPr>
                <w:rFonts w:eastAsia="Calibri"/>
                <w:sz w:val="14"/>
                <w:szCs w:val="14"/>
              </w:rPr>
            </w:pPr>
          </w:p>
        </w:tc>
        <w:tc>
          <w:tcPr>
            <w:tcW w:w="0" w:type="auto"/>
            <w:vAlign w:val="center"/>
          </w:tcPr>
          <w:p w14:paraId="3E8452AA" w14:textId="77777777" w:rsidR="001E0F1B" w:rsidRPr="00567138" w:rsidRDefault="001E0F1B" w:rsidP="00AA51D2">
            <w:pPr>
              <w:jc w:val="center"/>
              <w:rPr>
                <w:rFonts w:eastAsia="Calibri"/>
                <w:sz w:val="14"/>
                <w:szCs w:val="14"/>
              </w:rPr>
            </w:pPr>
          </w:p>
        </w:tc>
        <w:tc>
          <w:tcPr>
            <w:tcW w:w="0" w:type="auto"/>
            <w:vAlign w:val="center"/>
          </w:tcPr>
          <w:p w14:paraId="75641FD7" w14:textId="77777777" w:rsidR="001E0F1B" w:rsidRPr="00567138" w:rsidRDefault="001E0F1B" w:rsidP="00AA51D2">
            <w:pPr>
              <w:jc w:val="center"/>
              <w:rPr>
                <w:rFonts w:eastAsia="Calibri"/>
                <w:sz w:val="14"/>
                <w:szCs w:val="14"/>
              </w:rPr>
            </w:pPr>
          </w:p>
        </w:tc>
        <w:tc>
          <w:tcPr>
            <w:tcW w:w="0" w:type="auto"/>
            <w:vAlign w:val="center"/>
          </w:tcPr>
          <w:p w14:paraId="1D268460" w14:textId="77777777" w:rsidR="001E0F1B" w:rsidRPr="00567138" w:rsidRDefault="001E0F1B" w:rsidP="00AA51D2">
            <w:pPr>
              <w:jc w:val="center"/>
              <w:rPr>
                <w:rFonts w:eastAsia="Calibri"/>
                <w:sz w:val="14"/>
                <w:szCs w:val="14"/>
              </w:rPr>
            </w:pPr>
          </w:p>
        </w:tc>
        <w:tc>
          <w:tcPr>
            <w:tcW w:w="0" w:type="auto"/>
            <w:vAlign w:val="center"/>
          </w:tcPr>
          <w:p w14:paraId="69B127B8" w14:textId="77777777" w:rsidR="001E0F1B" w:rsidRPr="00567138" w:rsidRDefault="001E0F1B" w:rsidP="00AA51D2">
            <w:pPr>
              <w:jc w:val="center"/>
              <w:rPr>
                <w:rFonts w:eastAsia="Calibri"/>
                <w:sz w:val="14"/>
                <w:szCs w:val="14"/>
              </w:rPr>
            </w:pPr>
          </w:p>
        </w:tc>
        <w:tc>
          <w:tcPr>
            <w:tcW w:w="0" w:type="auto"/>
            <w:vAlign w:val="center"/>
          </w:tcPr>
          <w:p w14:paraId="4C4DBDAC" w14:textId="77777777" w:rsidR="001E0F1B" w:rsidRPr="00567138" w:rsidRDefault="001E0F1B" w:rsidP="00AA51D2">
            <w:pPr>
              <w:jc w:val="center"/>
              <w:rPr>
                <w:rFonts w:eastAsia="Calibri"/>
                <w:sz w:val="14"/>
                <w:szCs w:val="14"/>
              </w:rPr>
            </w:pPr>
          </w:p>
        </w:tc>
        <w:tc>
          <w:tcPr>
            <w:tcW w:w="0" w:type="auto"/>
            <w:vAlign w:val="center"/>
          </w:tcPr>
          <w:p w14:paraId="5D7244AD" w14:textId="77777777" w:rsidR="001E0F1B" w:rsidRPr="00567138" w:rsidRDefault="001E0F1B" w:rsidP="00AA51D2">
            <w:pPr>
              <w:jc w:val="center"/>
              <w:rPr>
                <w:rFonts w:eastAsia="Calibri"/>
                <w:sz w:val="14"/>
                <w:szCs w:val="14"/>
              </w:rPr>
            </w:pPr>
          </w:p>
        </w:tc>
        <w:tc>
          <w:tcPr>
            <w:tcW w:w="0" w:type="auto"/>
            <w:vAlign w:val="center"/>
          </w:tcPr>
          <w:p w14:paraId="03C18ED9" w14:textId="77777777" w:rsidR="001E0F1B" w:rsidRPr="00567138" w:rsidRDefault="001E0F1B" w:rsidP="00AA51D2">
            <w:pPr>
              <w:jc w:val="center"/>
              <w:rPr>
                <w:rFonts w:eastAsia="Calibri"/>
                <w:b/>
                <w:bCs/>
                <w:sz w:val="14"/>
                <w:szCs w:val="14"/>
              </w:rPr>
            </w:pPr>
          </w:p>
        </w:tc>
        <w:tc>
          <w:tcPr>
            <w:tcW w:w="0" w:type="auto"/>
            <w:vAlign w:val="center"/>
          </w:tcPr>
          <w:p w14:paraId="3391C0D2" w14:textId="77777777" w:rsidR="001E0F1B" w:rsidRPr="00567138" w:rsidRDefault="001E0F1B" w:rsidP="00AA51D2">
            <w:pPr>
              <w:jc w:val="center"/>
              <w:rPr>
                <w:rFonts w:eastAsia="Calibri"/>
                <w:b/>
                <w:bCs/>
                <w:sz w:val="14"/>
                <w:szCs w:val="14"/>
              </w:rPr>
            </w:pPr>
          </w:p>
        </w:tc>
        <w:tc>
          <w:tcPr>
            <w:tcW w:w="0" w:type="auto"/>
            <w:vAlign w:val="center"/>
          </w:tcPr>
          <w:p w14:paraId="799F15A6" w14:textId="77777777" w:rsidR="001E0F1B" w:rsidRPr="00567138" w:rsidRDefault="001E0F1B" w:rsidP="00AA51D2">
            <w:pPr>
              <w:jc w:val="center"/>
              <w:rPr>
                <w:rFonts w:eastAsia="Calibri"/>
                <w:b/>
                <w:bCs/>
                <w:sz w:val="14"/>
                <w:szCs w:val="14"/>
              </w:rPr>
            </w:pPr>
            <w:r w:rsidRPr="00567138">
              <w:rPr>
                <w:rFonts w:eastAsia="Calibri"/>
                <w:b/>
                <w:bCs/>
                <w:sz w:val="14"/>
                <w:szCs w:val="14"/>
              </w:rPr>
              <w:t>Primary</w:t>
            </w:r>
          </w:p>
        </w:tc>
        <w:tc>
          <w:tcPr>
            <w:tcW w:w="0" w:type="auto"/>
            <w:vAlign w:val="center"/>
          </w:tcPr>
          <w:p w14:paraId="670E6794" w14:textId="77777777" w:rsidR="001E0F1B" w:rsidRPr="00567138" w:rsidRDefault="001E0F1B" w:rsidP="00AA51D2">
            <w:pPr>
              <w:jc w:val="center"/>
              <w:rPr>
                <w:rFonts w:eastAsia="Calibri"/>
                <w:b/>
                <w:bCs/>
                <w:sz w:val="14"/>
                <w:szCs w:val="14"/>
              </w:rPr>
            </w:pPr>
            <w:r w:rsidRPr="00567138">
              <w:rPr>
                <w:rFonts w:eastAsia="Calibri"/>
                <w:b/>
                <w:bCs/>
                <w:sz w:val="14"/>
                <w:szCs w:val="14"/>
              </w:rPr>
              <w:t>Device-</w:t>
            </w:r>
            <w:proofErr w:type="spellStart"/>
            <w:r w:rsidRPr="00567138">
              <w:rPr>
                <w:rFonts w:eastAsia="Calibri"/>
                <w:b/>
                <w:bCs/>
                <w:sz w:val="14"/>
                <w:szCs w:val="14"/>
              </w:rPr>
              <w:t>related</w:t>
            </w:r>
            <w:proofErr w:type="spellEnd"/>
          </w:p>
        </w:tc>
        <w:tc>
          <w:tcPr>
            <w:tcW w:w="0" w:type="auto"/>
            <w:vAlign w:val="center"/>
          </w:tcPr>
          <w:p w14:paraId="2EA896B9" w14:textId="77777777" w:rsidR="001E0F1B" w:rsidRPr="00567138" w:rsidRDefault="001E0F1B" w:rsidP="00AA51D2">
            <w:pPr>
              <w:jc w:val="center"/>
              <w:rPr>
                <w:rFonts w:eastAsia="Calibri"/>
                <w:b/>
                <w:bCs/>
                <w:sz w:val="14"/>
                <w:szCs w:val="14"/>
              </w:rPr>
            </w:pPr>
            <w:proofErr w:type="spellStart"/>
            <w:r w:rsidRPr="00567138">
              <w:rPr>
                <w:rFonts w:eastAsia="Calibri"/>
                <w:b/>
                <w:bCs/>
                <w:sz w:val="14"/>
                <w:szCs w:val="14"/>
              </w:rPr>
              <w:t>Secondary</w:t>
            </w:r>
            <w:proofErr w:type="spellEnd"/>
          </w:p>
        </w:tc>
        <w:tc>
          <w:tcPr>
            <w:tcW w:w="0" w:type="auto"/>
            <w:vAlign w:val="center"/>
          </w:tcPr>
          <w:p w14:paraId="14AAF7A6" w14:textId="77777777" w:rsidR="001E0F1B" w:rsidRPr="00567138" w:rsidRDefault="001E0F1B" w:rsidP="00AA51D2">
            <w:pPr>
              <w:jc w:val="center"/>
              <w:rPr>
                <w:rFonts w:eastAsia="Calibri"/>
                <w:b/>
                <w:bCs/>
                <w:sz w:val="14"/>
                <w:szCs w:val="14"/>
              </w:rPr>
            </w:pPr>
            <w:r w:rsidRPr="00567138">
              <w:rPr>
                <w:rFonts w:eastAsia="Calibri"/>
                <w:b/>
                <w:bCs/>
                <w:sz w:val="14"/>
                <w:szCs w:val="14"/>
              </w:rPr>
              <w:t>Primary</w:t>
            </w:r>
          </w:p>
        </w:tc>
        <w:tc>
          <w:tcPr>
            <w:tcW w:w="0" w:type="auto"/>
            <w:vAlign w:val="center"/>
          </w:tcPr>
          <w:p w14:paraId="7DEB56DF" w14:textId="77777777" w:rsidR="001E0F1B" w:rsidRPr="00567138" w:rsidRDefault="001E0F1B" w:rsidP="00AA51D2">
            <w:pPr>
              <w:jc w:val="center"/>
              <w:rPr>
                <w:rFonts w:eastAsia="Calibri"/>
                <w:b/>
                <w:bCs/>
                <w:sz w:val="14"/>
                <w:szCs w:val="14"/>
              </w:rPr>
            </w:pPr>
            <w:r w:rsidRPr="00567138">
              <w:rPr>
                <w:rFonts w:eastAsia="Calibri"/>
                <w:b/>
                <w:bCs/>
                <w:sz w:val="14"/>
                <w:szCs w:val="14"/>
              </w:rPr>
              <w:t>Device-</w:t>
            </w:r>
            <w:proofErr w:type="spellStart"/>
            <w:r w:rsidRPr="00567138">
              <w:rPr>
                <w:rFonts w:eastAsia="Calibri"/>
                <w:b/>
                <w:bCs/>
                <w:sz w:val="14"/>
                <w:szCs w:val="14"/>
              </w:rPr>
              <w:t>related</w:t>
            </w:r>
            <w:proofErr w:type="spellEnd"/>
          </w:p>
          <w:p w14:paraId="4870925C" w14:textId="77777777" w:rsidR="001E0F1B" w:rsidRPr="00567138" w:rsidRDefault="001E0F1B" w:rsidP="00AA51D2">
            <w:pPr>
              <w:jc w:val="center"/>
              <w:rPr>
                <w:rFonts w:eastAsia="Calibri"/>
                <w:b/>
                <w:bCs/>
                <w:sz w:val="14"/>
                <w:szCs w:val="14"/>
              </w:rPr>
            </w:pPr>
          </w:p>
        </w:tc>
        <w:tc>
          <w:tcPr>
            <w:tcW w:w="0" w:type="auto"/>
            <w:vAlign w:val="center"/>
          </w:tcPr>
          <w:p w14:paraId="21ABBC40" w14:textId="77777777" w:rsidR="001E0F1B" w:rsidRPr="00567138" w:rsidRDefault="001E0F1B" w:rsidP="00AA51D2">
            <w:pPr>
              <w:jc w:val="center"/>
              <w:rPr>
                <w:rFonts w:eastAsia="Calibri"/>
                <w:b/>
                <w:bCs/>
                <w:sz w:val="14"/>
                <w:szCs w:val="14"/>
              </w:rPr>
            </w:pPr>
            <w:proofErr w:type="spellStart"/>
            <w:r w:rsidRPr="00567138">
              <w:rPr>
                <w:rFonts w:eastAsia="Calibri"/>
                <w:b/>
                <w:bCs/>
                <w:sz w:val="14"/>
                <w:szCs w:val="14"/>
              </w:rPr>
              <w:t>Secondary</w:t>
            </w:r>
            <w:proofErr w:type="spellEnd"/>
          </w:p>
        </w:tc>
        <w:tc>
          <w:tcPr>
            <w:tcW w:w="0" w:type="auto"/>
            <w:vAlign w:val="center"/>
          </w:tcPr>
          <w:p w14:paraId="54619B25" w14:textId="77777777" w:rsidR="001E0F1B" w:rsidRPr="00567138" w:rsidRDefault="001E0F1B" w:rsidP="00AA51D2">
            <w:pPr>
              <w:jc w:val="center"/>
              <w:rPr>
                <w:rFonts w:eastAsia="Calibri"/>
                <w:b/>
                <w:bCs/>
                <w:sz w:val="14"/>
                <w:szCs w:val="14"/>
              </w:rPr>
            </w:pPr>
          </w:p>
        </w:tc>
      </w:tr>
      <w:tr w:rsidR="001E0F1B" w:rsidRPr="00567138" w14:paraId="13C8C0B0" w14:textId="77777777" w:rsidTr="00AA51D2">
        <w:tc>
          <w:tcPr>
            <w:tcW w:w="0" w:type="auto"/>
            <w:vAlign w:val="center"/>
          </w:tcPr>
          <w:p w14:paraId="23BB9E77" w14:textId="77777777" w:rsidR="001E0F1B" w:rsidRDefault="001E0F1B" w:rsidP="00AA51D2">
            <w:pPr>
              <w:jc w:val="center"/>
              <w:rPr>
                <w:rFonts w:eastAsia="Calibri"/>
                <w:i/>
                <w:iCs/>
                <w:sz w:val="14"/>
                <w:szCs w:val="14"/>
              </w:rPr>
            </w:pPr>
            <w:r w:rsidRPr="00567138">
              <w:rPr>
                <w:rFonts w:eastAsia="Calibri"/>
                <w:sz w:val="14"/>
                <w:szCs w:val="14"/>
              </w:rPr>
              <w:t xml:space="preserve">Moise P.A. </w:t>
            </w:r>
            <w:r w:rsidRPr="00567138">
              <w:rPr>
                <w:rFonts w:eastAsia="Calibri"/>
                <w:i/>
                <w:iCs/>
                <w:sz w:val="14"/>
                <w:szCs w:val="14"/>
              </w:rPr>
              <w:t>et al</w:t>
            </w:r>
          </w:p>
          <w:p w14:paraId="6FBAF932" w14:textId="77777777" w:rsidR="001E0F1B" w:rsidRPr="00567138" w:rsidRDefault="001E0F1B" w:rsidP="00AA51D2">
            <w:pPr>
              <w:jc w:val="center"/>
              <w:rPr>
                <w:rFonts w:eastAsia="Calibri"/>
                <w:sz w:val="14"/>
                <w:szCs w:val="14"/>
              </w:rPr>
            </w:pPr>
            <w:r>
              <w:rPr>
                <w:rFonts w:eastAsia="Calibri"/>
                <w:sz w:val="14"/>
                <w:szCs w:val="14"/>
              </w:rPr>
              <w:t>(2015)</w:t>
            </w:r>
          </w:p>
        </w:tc>
        <w:tc>
          <w:tcPr>
            <w:tcW w:w="0" w:type="auto"/>
            <w:vAlign w:val="center"/>
          </w:tcPr>
          <w:p w14:paraId="72F6D551" w14:textId="77777777" w:rsidR="001E0F1B" w:rsidRPr="00567138" w:rsidRDefault="001E0F1B" w:rsidP="00AA51D2">
            <w:pPr>
              <w:jc w:val="center"/>
              <w:rPr>
                <w:rFonts w:eastAsia="Calibri"/>
                <w:sz w:val="14"/>
                <w:szCs w:val="14"/>
              </w:rPr>
            </w:pPr>
            <w:proofErr w:type="spellStart"/>
            <w:r>
              <w:rPr>
                <w:rFonts w:eastAsia="Calibri"/>
                <w:sz w:val="14"/>
                <w:szCs w:val="14"/>
              </w:rPr>
              <w:t>Retrospective</w:t>
            </w:r>
            <w:proofErr w:type="spellEnd"/>
            <w:r>
              <w:rPr>
                <w:rFonts w:eastAsia="Calibri"/>
                <w:sz w:val="14"/>
                <w:szCs w:val="14"/>
              </w:rPr>
              <w:t xml:space="preserve"> </w:t>
            </w:r>
            <w:proofErr w:type="spellStart"/>
            <w:r>
              <w:rPr>
                <w:rFonts w:eastAsia="Calibri"/>
                <w:sz w:val="14"/>
                <w:szCs w:val="14"/>
              </w:rPr>
              <w:t>observational</w:t>
            </w:r>
            <w:proofErr w:type="spellEnd"/>
          </w:p>
        </w:tc>
        <w:tc>
          <w:tcPr>
            <w:tcW w:w="0" w:type="auto"/>
            <w:vAlign w:val="center"/>
          </w:tcPr>
          <w:p w14:paraId="026282D5" w14:textId="77777777" w:rsidR="001E0F1B" w:rsidRPr="00567138" w:rsidRDefault="001E0F1B" w:rsidP="00AA51D2">
            <w:pPr>
              <w:jc w:val="center"/>
              <w:rPr>
                <w:rFonts w:eastAsia="Calibri"/>
                <w:sz w:val="14"/>
                <w:szCs w:val="14"/>
              </w:rPr>
            </w:pPr>
            <w:r>
              <w:rPr>
                <w:rFonts w:eastAsia="Calibri"/>
                <w:sz w:val="14"/>
                <w:szCs w:val="14"/>
              </w:rPr>
              <w:t>USA</w:t>
            </w:r>
          </w:p>
        </w:tc>
        <w:tc>
          <w:tcPr>
            <w:tcW w:w="0" w:type="auto"/>
            <w:vAlign w:val="center"/>
          </w:tcPr>
          <w:p w14:paraId="1841E957" w14:textId="77777777" w:rsidR="001E0F1B" w:rsidRPr="00567138" w:rsidRDefault="001E0F1B" w:rsidP="00AA51D2">
            <w:pPr>
              <w:jc w:val="center"/>
              <w:rPr>
                <w:rFonts w:eastAsia="Calibri"/>
                <w:sz w:val="14"/>
                <w:szCs w:val="14"/>
                <w:lang w:val="de-DE"/>
              </w:rPr>
            </w:pPr>
            <w:r w:rsidRPr="00567138">
              <w:rPr>
                <w:rFonts w:eastAsia="Calibri"/>
                <w:sz w:val="14"/>
                <w:szCs w:val="14"/>
                <w:lang w:val="de-DE"/>
              </w:rPr>
              <w:t>Jan 20</w:t>
            </w:r>
            <w:r>
              <w:rPr>
                <w:rFonts w:eastAsia="Calibri"/>
                <w:sz w:val="14"/>
                <w:szCs w:val="14"/>
                <w:lang w:val="de-DE"/>
              </w:rPr>
              <w:t>05</w:t>
            </w:r>
          </w:p>
          <w:p w14:paraId="33A17EC8" w14:textId="77777777" w:rsidR="001E0F1B" w:rsidRPr="00567138" w:rsidRDefault="001E0F1B" w:rsidP="00AA51D2">
            <w:pPr>
              <w:jc w:val="center"/>
              <w:rPr>
                <w:sz w:val="14"/>
                <w:szCs w:val="14"/>
              </w:rPr>
            </w:pPr>
            <w:r w:rsidRPr="00567138">
              <w:rPr>
                <w:sz w:val="14"/>
                <w:szCs w:val="14"/>
              </w:rPr>
              <w:t>–</w:t>
            </w:r>
          </w:p>
          <w:p w14:paraId="558996C5" w14:textId="77777777" w:rsidR="001E0F1B" w:rsidRPr="00567138" w:rsidRDefault="001E0F1B" w:rsidP="00AA51D2">
            <w:pPr>
              <w:jc w:val="center"/>
              <w:rPr>
                <w:rFonts w:eastAsia="Calibri"/>
                <w:sz w:val="14"/>
                <w:szCs w:val="14"/>
              </w:rPr>
            </w:pPr>
            <w:proofErr w:type="spellStart"/>
            <w:r>
              <w:rPr>
                <w:rFonts w:eastAsia="Calibri"/>
                <w:sz w:val="14"/>
                <w:szCs w:val="14"/>
                <w:lang w:val="de-DE"/>
              </w:rPr>
              <w:t>Dec</w:t>
            </w:r>
            <w:proofErr w:type="spellEnd"/>
            <w:r w:rsidRPr="00567138">
              <w:rPr>
                <w:rFonts w:eastAsia="Calibri"/>
                <w:sz w:val="14"/>
                <w:szCs w:val="14"/>
                <w:lang w:val="de-DE"/>
              </w:rPr>
              <w:t xml:space="preserve"> 20</w:t>
            </w:r>
            <w:r>
              <w:rPr>
                <w:rFonts w:eastAsia="Calibri"/>
                <w:sz w:val="14"/>
                <w:szCs w:val="14"/>
                <w:lang w:val="de-DE"/>
              </w:rPr>
              <w:t>09</w:t>
            </w:r>
          </w:p>
        </w:tc>
        <w:tc>
          <w:tcPr>
            <w:tcW w:w="0" w:type="auto"/>
            <w:vAlign w:val="center"/>
          </w:tcPr>
          <w:p w14:paraId="1A69F4C9" w14:textId="77777777" w:rsidR="001E0F1B" w:rsidRPr="00567138" w:rsidRDefault="001E0F1B" w:rsidP="00AA51D2">
            <w:pPr>
              <w:jc w:val="center"/>
              <w:rPr>
                <w:rFonts w:eastAsia="Calibri"/>
                <w:sz w:val="14"/>
                <w:szCs w:val="14"/>
              </w:rPr>
            </w:pPr>
            <w:r>
              <w:rPr>
                <w:rFonts w:eastAsia="Calibri"/>
                <w:sz w:val="14"/>
                <w:szCs w:val="14"/>
              </w:rPr>
              <w:t>DAP+BL</w:t>
            </w:r>
          </w:p>
        </w:tc>
        <w:tc>
          <w:tcPr>
            <w:tcW w:w="0" w:type="auto"/>
            <w:vAlign w:val="center"/>
          </w:tcPr>
          <w:p w14:paraId="6DE0881A" w14:textId="77777777" w:rsidR="001E0F1B" w:rsidRPr="00567138" w:rsidRDefault="001E0F1B" w:rsidP="00AA51D2">
            <w:pPr>
              <w:jc w:val="center"/>
              <w:rPr>
                <w:rFonts w:eastAsia="Calibri"/>
                <w:sz w:val="14"/>
                <w:szCs w:val="14"/>
              </w:rPr>
            </w:pPr>
            <w:r>
              <w:rPr>
                <w:rFonts w:eastAsia="Calibri"/>
                <w:sz w:val="14"/>
                <w:szCs w:val="14"/>
              </w:rPr>
              <w:t>DAP</w:t>
            </w:r>
          </w:p>
        </w:tc>
        <w:tc>
          <w:tcPr>
            <w:tcW w:w="0" w:type="auto"/>
            <w:vAlign w:val="center"/>
          </w:tcPr>
          <w:p w14:paraId="59D2396A" w14:textId="77777777" w:rsidR="001E0F1B" w:rsidRPr="00567138" w:rsidRDefault="001E0F1B" w:rsidP="00AA51D2">
            <w:pPr>
              <w:jc w:val="center"/>
              <w:rPr>
                <w:rFonts w:eastAsia="Calibri"/>
                <w:sz w:val="14"/>
                <w:szCs w:val="14"/>
              </w:rPr>
            </w:pPr>
            <w:r>
              <w:rPr>
                <w:rFonts w:eastAsia="Calibri"/>
                <w:sz w:val="14"/>
                <w:szCs w:val="14"/>
              </w:rPr>
              <w:t>109 vs. 153</w:t>
            </w:r>
          </w:p>
        </w:tc>
        <w:tc>
          <w:tcPr>
            <w:tcW w:w="0" w:type="auto"/>
            <w:vAlign w:val="center"/>
          </w:tcPr>
          <w:p w14:paraId="70F18DF7" w14:textId="77777777" w:rsidR="001E0F1B" w:rsidRPr="00567138" w:rsidRDefault="001E0F1B" w:rsidP="00AA51D2">
            <w:pPr>
              <w:jc w:val="center"/>
              <w:rPr>
                <w:rFonts w:eastAsia="Calibri"/>
                <w:sz w:val="14"/>
                <w:szCs w:val="14"/>
              </w:rPr>
            </w:pPr>
            <w:r>
              <w:rPr>
                <w:rFonts w:eastAsia="Calibri"/>
                <w:sz w:val="14"/>
                <w:szCs w:val="14"/>
              </w:rPr>
              <w:t>NA</w:t>
            </w:r>
          </w:p>
        </w:tc>
        <w:tc>
          <w:tcPr>
            <w:tcW w:w="0" w:type="auto"/>
            <w:vAlign w:val="center"/>
          </w:tcPr>
          <w:p w14:paraId="7DE04399" w14:textId="77777777" w:rsidR="001E0F1B" w:rsidRPr="00567138" w:rsidRDefault="001E0F1B" w:rsidP="00AA51D2">
            <w:pPr>
              <w:jc w:val="center"/>
              <w:rPr>
                <w:rFonts w:eastAsia="Calibri"/>
                <w:sz w:val="14"/>
                <w:szCs w:val="14"/>
              </w:rPr>
            </w:pPr>
            <w:r>
              <w:rPr>
                <w:rFonts w:eastAsia="Calibri"/>
                <w:sz w:val="14"/>
                <w:szCs w:val="14"/>
              </w:rPr>
              <w:t>55%</w:t>
            </w:r>
          </w:p>
        </w:tc>
        <w:tc>
          <w:tcPr>
            <w:tcW w:w="0" w:type="auto"/>
            <w:vAlign w:val="center"/>
          </w:tcPr>
          <w:p w14:paraId="1F8E42FD" w14:textId="77777777" w:rsidR="001E0F1B" w:rsidRPr="00567138" w:rsidRDefault="001E0F1B" w:rsidP="00AA51D2">
            <w:pPr>
              <w:jc w:val="center"/>
              <w:rPr>
                <w:sz w:val="14"/>
                <w:szCs w:val="14"/>
              </w:rPr>
            </w:pPr>
            <w:r>
              <w:rPr>
                <w:sz w:val="14"/>
                <w:szCs w:val="14"/>
              </w:rPr>
              <w:t>39% vs. 34%</w:t>
            </w:r>
          </w:p>
        </w:tc>
        <w:tc>
          <w:tcPr>
            <w:tcW w:w="0" w:type="auto"/>
            <w:vAlign w:val="center"/>
          </w:tcPr>
          <w:p w14:paraId="2FACA7DF" w14:textId="77777777" w:rsidR="001E0F1B" w:rsidRPr="00567138" w:rsidRDefault="001E0F1B" w:rsidP="00AA51D2">
            <w:pPr>
              <w:jc w:val="center"/>
              <w:rPr>
                <w:sz w:val="14"/>
                <w:szCs w:val="14"/>
              </w:rPr>
            </w:pPr>
            <w:r>
              <w:rPr>
                <w:sz w:val="14"/>
                <w:szCs w:val="14"/>
              </w:rPr>
              <w:t>NA</w:t>
            </w:r>
          </w:p>
        </w:tc>
        <w:tc>
          <w:tcPr>
            <w:tcW w:w="0" w:type="auto"/>
            <w:vAlign w:val="center"/>
          </w:tcPr>
          <w:p w14:paraId="0DB0E630" w14:textId="77777777" w:rsidR="001E0F1B" w:rsidRPr="00567138" w:rsidRDefault="001E0F1B" w:rsidP="00AA51D2">
            <w:pPr>
              <w:jc w:val="center"/>
              <w:rPr>
                <w:sz w:val="14"/>
                <w:szCs w:val="14"/>
              </w:rPr>
            </w:pPr>
            <w:r>
              <w:rPr>
                <w:sz w:val="14"/>
                <w:szCs w:val="14"/>
              </w:rPr>
              <w:t>NA</w:t>
            </w:r>
          </w:p>
        </w:tc>
        <w:tc>
          <w:tcPr>
            <w:tcW w:w="0" w:type="auto"/>
            <w:vAlign w:val="center"/>
          </w:tcPr>
          <w:p w14:paraId="567B808D" w14:textId="77777777" w:rsidR="001E0F1B" w:rsidRPr="00567138" w:rsidRDefault="001E0F1B" w:rsidP="00AA51D2">
            <w:pPr>
              <w:jc w:val="center"/>
              <w:rPr>
                <w:sz w:val="14"/>
                <w:szCs w:val="14"/>
              </w:rPr>
            </w:pPr>
            <w:r>
              <w:rPr>
                <w:sz w:val="14"/>
                <w:szCs w:val="14"/>
              </w:rPr>
              <w:t>NA</w:t>
            </w:r>
          </w:p>
        </w:tc>
        <w:tc>
          <w:tcPr>
            <w:tcW w:w="0" w:type="auto"/>
            <w:vAlign w:val="center"/>
          </w:tcPr>
          <w:p w14:paraId="5AFF7524" w14:textId="77777777" w:rsidR="001E0F1B" w:rsidRPr="00567138" w:rsidRDefault="001E0F1B" w:rsidP="00AA51D2">
            <w:pPr>
              <w:jc w:val="center"/>
              <w:rPr>
                <w:sz w:val="14"/>
                <w:szCs w:val="14"/>
              </w:rPr>
            </w:pPr>
            <w:r>
              <w:rPr>
                <w:sz w:val="14"/>
                <w:szCs w:val="14"/>
              </w:rPr>
              <w:t>NA</w:t>
            </w:r>
          </w:p>
        </w:tc>
        <w:tc>
          <w:tcPr>
            <w:tcW w:w="0" w:type="auto"/>
            <w:vAlign w:val="center"/>
          </w:tcPr>
          <w:p w14:paraId="153DD0B4" w14:textId="77777777" w:rsidR="001E0F1B" w:rsidRPr="00567138" w:rsidRDefault="001E0F1B" w:rsidP="00AA51D2">
            <w:pPr>
              <w:jc w:val="center"/>
              <w:rPr>
                <w:sz w:val="14"/>
                <w:szCs w:val="14"/>
              </w:rPr>
            </w:pPr>
            <w:r>
              <w:rPr>
                <w:sz w:val="14"/>
                <w:szCs w:val="14"/>
              </w:rPr>
              <w:t>NA</w:t>
            </w:r>
          </w:p>
        </w:tc>
        <w:tc>
          <w:tcPr>
            <w:tcW w:w="0" w:type="auto"/>
            <w:vAlign w:val="center"/>
          </w:tcPr>
          <w:p w14:paraId="7F7C4F12" w14:textId="77777777" w:rsidR="001E0F1B" w:rsidRPr="00567138" w:rsidRDefault="001E0F1B" w:rsidP="00AA51D2">
            <w:pPr>
              <w:jc w:val="center"/>
              <w:rPr>
                <w:sz w:val="14"/>
                <w:szCs w:val="14"/>
              </w:rPr>
            </w:pPr>
            <w:r>
              <w:rPr>
                <w:sz w:val="14"/>
                <w:szCs w:val="14"/>
              </w:rPr>
              <w:t>NA</w:t>
            </w:r>
          </w:p>
        </w:tc>
        <w:tc>
          <w:tcPr>
            <w:tcW w:w="0" w:type="auto"/>
            <w:vAlign w:val="center"/>
          </w:tcPr>
          <w:p w14:paraId="5EF262E4" w14:textId="77777777" w:rsidR="001E0F1B" w:rsidRPr="00567138" w:rsidRDefault="001E0F1B" w:rsidP="00AA51D2">
            <w:pPr>
              <w:jc w:val="center"/>
              <w:rPr>
                <w:sz w:val="14"/>
                <w:szCs w:val="14"/>
              </w:rPr>
            </w:pPr>
            <w:r>
              <w:rPr>
                <w:sz w:val="14"/>
                <w:szCs w:val="14"/>
              </w:rPr>
              <w:t>NA</w:t>
            </w:r>
          </w:p>
        </w:tc>
      </w:tr>
      <w:tr w:rsidR="001E0F1B" w:rsidRPr="00A627F2" w14:paraId="0C32A23B" w14:textId="77777777" w:rsidTr="00AA51D2">
        <w:tc>
          <w:tcPr>
            <w:tcW w:w="0" w:type="auto"/>
            <w:vAlign w:val="center"/>
          </w:tcPr>
          <w:p w14:paraId="1794DD15" w14:textId="77777777" w:rsidR="001E0F1B" w:rsidRPr="00A627F2" w:rsidRDefault="001E0F1B" w:rsidP="00AA51D2">
            <w:pPr>
              <w:jc w:val="center"/>
              <w:rPr>
                <w:i/>
                <w:iCs/>
                <w:sz w:val="14"/>
                <w:szCs w:val="14"/>
                <w:lang w:val="de-DE"/>
              </w:rPr>
            </w:pPr>
            <w:r w:rsidRPr="00A627F2">
              <w:rPr>
                <w:sz w:val="14"/>
                <w:szCs w:val="14"/>
                <w:lang w:val="de-DE"/>
              </w:rPr>
              <w:t xml:space="preserve">Britt N. S. </w:t>
            </w:r>
            <w:r w:rsidRPr="00A627F2">
              <w:rPr>
                <w:i/>
                <w:iCs/>
                <w:sz w:val="14"/>
                <w:szCs w:val="14"/>
                <w:lang w:val="de-DE"/>
              </w:rPr>
              <w:t>et al</w:t>
            </w:r>
            <w:r>
              <w:rPr>
                <w:i/>
                <w:iCs/>
                <w:sz w:val="14"/>
                <w:szCs w:val="14"/>
                <w:lang w:val="de-DE"/>
              </w:rPr>
              <w:t xml:space="preserve"> </w:t>
            </w:r>
            <w:r w:rsidRPr="00A627F2">
              <w:rPr>
                <w:sz w:val="14"/>
                <w:szCs w:val="14"/>
                <w:lang w:val="de-DE"/>
              </w:rPr>
              <w:t>(2016)</w:t>
            </w:r>
          </w:p>
        </w:tc>
        <w:tc>
          <w:tcPr>
            <w:tcW w:w="0" w:type="auto"/>
            <w:vAlign w:val="center"/>
          </w:tcPr>
          <w:p w14:paraId="44F22A7F" w14:textId="77777777" w:rsidR="001E0F1B" w:rsidRPr="00A627F2" w:rsidRDefault="001E0F1B" w:rsidP="00AA51D2">
            <w:pPr>
              <w:jc w:val="center"/>
              <w:rPr>
                <w:sz w:val="14"/>
                <w:szCs w:val="14"/>
                <w:lang w:val="de-DE"/>
              </w:rPr>
            </w:pPr>
            <w:proofErr w:type="spellStart"/>
            <w:r>
              <w:rPr>
                <w:sz w:val="14"/>
                <w:szCs w:val="14"/>
                <w:lang w:val="de-DE"/>
              </w:rPr>
              <w:t>Retrospective</w:t>
            </w:r>
            <w:proofErr w:type="spellEnd"/>
            <w:r>
              <w:rPr>
                <w:sz w:val="14"/>
                <w:szCs w:val="14"/>
                <w:lang w:val="de-DE"/>
              </w:rPr>
              <w:t xml:space="preserve"> </w:t>
            </w:r>
            <w:proofErr w:type="spellStart"/>
            <w:r>
              <w:rPr>
                <w:sz w:val="14"/>
                <w:szCs w:val="14"/>
                <w:lang w:val="de-DE"/>
              </w:rPr>
              <w:t>observational</w:t>
            </w:r>
            <w:proofErr w:type="spellEnd"/>
          </w:p>
        </w:tc>
        <w:tc>
          <w:tcPr>
            <w:tcW w:w="0" w:type="auto"/>
            <w:vAlign w:val="center"/>
          </w:tcPr>
          <w:p w14:paraId="19552900" w14:textId="77777777" w:rsidR="001E0F1B" w:rsidRPr="00A627F2" w:rsidRDefault="001E0F1B" w:rsidP="00AA51D2">
            <w:pPr>
              <w:jc w:val="center"/>
              <w:rPr>
                <w:sz w:val="14"/>
                <w:szCs w:val="14"/>
                <w:lang w:val="de-DE"/>
              </w:rPr>
            </w:pPr>
            <w:r>
              <w:rPr>
                <w:sz w:val="14"/>
                <w:szCs w:val="14"/>
                <w:lang w:val="de-DE"/>
              </w:rPr>
              <w:t>USA</w:t>
            </w:r>
          </w:p>
        </w:tc>
        <w:tc>
          <w:tcPr>
            <w:tcW w:w="0" w:type="auto"/>
            <w:vAlign w:val="center"/>
          </w:tcPr>
          <w:p w14:paraId="731296D3" w14:textId="77777777" w:rsidR="001E0F1B" w:rsidRPr="00567138" w:rsidRDefault="001E0F1B" w:rsidP="00AA51D2">
            <w:pPr>
              <w:jc w:val="center"/>
              <w:rPr>
                <w:rFonts w:eastAsia="Calibri"/>
                <w:sz w:val="14"/>
                <w:szCs w:val="14"/>
                <w:lang w:val="de-DE"/>
              </w:rPr>
            </w:pPr>
            <w:r w:rsidRPr="00567138">
              <w:rPr>
                <w:rFonts w:eastAsia="Calibri"/>
                <w:sz w:val="14"/>
                <w:szCs w:val="14"/>
                <w:lang w:val="de-DE"/>
              </w:rPr>
              <w:t>Jan 20</w:t>
            </w:r>
            <w:r>
              <w:rPr>
                <w:rFonts w:eastAsia="Calibri"/>
                <w:sz w:val="14"/>
                <w:szCs w:val="14"/>
                <w:lang w:val="de-DE"/>
              </w:rPr>
              <w:t>04</w:t>
            </w:r>
          </w:p>
          <w:p w14:paraId="2B3114D7" w14:textId="77777777" w:rsidR="001E0F1B" w:rsidRPr="00567138" w:rsidRDefault="001E0F1B" w:rsidP="00AA51D2">
            <w:pPr>
              <w:jc w:val="center"/>
              <w:rPr>
                <w:sz w:val="14"/>
                <w:szCs w:val="14"/>
              </w:rPr>
            </w:pPr>
            <w:r w:rsidRPr="00567138">
              <w:rPr>
                <w:sz w:val="14"/>
                <w:szCs w:val="14"/>
              </w:rPr>
              <w:t>–</w:t>
            </w:r>
          </w:p>
          <w:p w14:paraId="14F93D12" w14:textId="77777777" w:rsidR="001E0F1B" w:rsidRPr="00A627F2" w:rsidRDefault="001E0F1B" w:rsidP="00AA51D2">
            <w:pPr>
              <w:jc w:val="center"/>
              <w:rPr>
                <w:sz w:val="14"/>
                <w:szCs w:val="14"/>
                <w:lang w:val="de-DE"/>
              </w:rPr>
            </w:pPr>
            <w:proofErr w:type="spellStart"/>
            <w:r>
              <w:rPr>
                <w:rFonts w:eastAsia="Calibri"/>
                <w:sz w:val="14"/>
                <w:szCs w:val="14"/>
                <w:lang w:val="de-DE"/>
              </w:rPr>
              <w:t>Dec</w:t>
            </w:r>
            <w:proofErr w:type="spellEnd"/>
            <w:r w:rsidRPr="00567138">
              <w:rPr>
                <w:rFonts w:eastAsia="Calibri"/>
                <w:sz w:val="14"/>
                <w:szCs w:val="14"/>
                <w:lang w:val="de-DE"/>
              </w:rPr>
              <w:t xml:space="preserve"> 20</w:t>
            </w:r>
            <w:r>
              <w:rPr>
                <w:rFonts w:eastAsia="Calibri"/>
                <w:sz w:val="14"/>
                <w:szCs w:val="14"/>
                <w:lang w:val="de-DE"/>
              </w:rPr>
              <w:t>14</w:t>
            </w:r>
          </w:p>
        </w:tc>
        <w:tc>
          <w:tcPr>
            <w:tcW w:w="0" w:type="auto"/>
            <w:vAlign w:val="center"/>
          </w:tcPr>
          <w:p w14:paraId="38A8A186" w14:textId="77777777" w:rsidR="001E0F1B" w:rsidRDefault="001E0F1B" w:rsidP="00AA51D2">
            <w:pPr>
              <w:jc w:val="center"/>
              <w:rPr>
                <w:rFonts w:eastAsia="Calibri"/>
                <w:sz w:val="14"/>
                <w:szCs w:val="14"/>
                <w:lang w:val="de-DE"/>
              </w:rPr>
            </w:pPr>
            <w:r>
              <w:rPr>
                <w:rFonts w:eastAsia="Calibri"/>
                <w:sz w:val="14"/>
                <w:szCs w:val="14"/>
                <w:lang w:val="de-DE"/>
              </w:rPr>
              <w:t>HD DAP</w:t>
            </w:r>
          </w:p>
          <w:p w14:paraId="38495E2F" w14:textId="77777777" w:rsidR="001E0F1B" w:rsidRPr="00A627F2" w:rsidRDefault="001E0F1B" w:rsidP="00AA51D2">
            <w:pPr>
              <w:jc w:val="center"/>
              <w:rPr>
                <w:rFonts w:eastAsia="Calibri"/>
                <w:sz w:val="14"/>
                <w:szCs w:val="14"/>
                <w:lang w:val="de-DE"/>
              </w:rPr>
            </w:pPr>
            <w:r>
              <w:rPr>
                <w:rFonts w:eastAsia="Calibri"/>
                <w:sz w:val="14"/>
                <w:szCs w:val="14"/>
                <w:lang w:val="de-DE"/>
              </w:rPr>
              <w:t>(≥ 10 mg/kg)</w:t>
            </w:r>
          </w:p>
        </w:tc>
        <w:tc>
          <w:tcPr>
            <w:tcW w:w="0" w:type="auto"/>
            <w:vAlign w:val="center"/>
          </w:tcPr>
          <w:p w14:paraId="71AEF601" w14:textId="77777777" w:rsidR="001E0F1B" w:rsidRDefault="001E0F1B" w:rsidP="00AA51D2">
            <w:pPr>
              <w:jc w:val="center"/>
              <w:rPr>
                <w:rFonts w:eastAsia="Calibri"/>
                <w:sz w:val="14"/>
                <w:szCs w:val="14"/>
                <w:lang w:val="de-DE"/>
              </w:rPr>
            </w:pPr>
            <w:r>
              <w:rPr>
                <w:rFonts w:eastAsia="Calibri"/>
                <w:sz w:val="14"/>
                <w:szCs w:val="14"/>
                <w:lang w:val="de-DE"/>
              </w:rPr>
              <w:t xml:space="preserve">[1] SD DAP </w:t>
            </w:r>
          </w:p>
          <w:p w14:paraId="602088C3" w14:textId="77777777" w:rsidR="001E0F1B" w:rsidRDefault="001E0F1B" w:rsidP="00AA51D2">
            <w:pPr>
              <w:jc w:val="center"/>
              <w:rPr>
                <w:rFonts w:eastAsia="Calibri"/>
                <w:sz w:val="14"/>
                <w:szCs w:val="14"/>
                <w:lang w:val="de-DE"/>
              </w:rPr>
            </w:pPr>
            <w:r>
              <w:rPr>
                <w:rFonts w:eastAsia="Calibri"/>
                <w:sz w:val="14"/>
                <w:szCs w:val="14"/>
                <w:lang w:val="de-DE"/>
              </w:rPr>
              <w:t>(6 mg/kg)</w:t>
            </w:r>
          </w:p>
          <w:p w14:paraId="5B2B792E" w14:textId="77777777" w:rsidR="001E0F1B" w:rsidRDefault="001E0F1B" w:rsidP="00AA51D2">
            <w:pPr>
              <w:jc w:val="center"/>
              <w:rPr>
                <w:rFonts w:eastAsia="Calibri"/>
                <w:sz w:val="14"/>
                <w:szCs w:val="14"/>
                <w:lang w:val="de-DE"/>
              </w:rPr>
            </w:pPr>
            <w:r>
              <w:rPr>
                <w:rFonts w:eastAsia="Calibri"/>
                <w:sz w:val="14"/>
                <w:szCs w:val="14"/>
                <w:lang w:val="de-DE"/>
              </w:rPr>
              <w:t xml:space="preserve">[2] MD DAP </w:t>
            </w:r>
          </w:p>
          <w:p w14:paraId="2DD4B979" w14:textId="77777777" w:rsidR="001E0F1B" w:rsidRPr="00A627F2" w:rsidRDefault="001E0F1B" w:rsidP="00AA51D2">
            <w:pPr>
              <w:jc w:val="center"/>
              <w:rPr>
                <w:rFonts w:eastAsia="Calibri"/>
                <w:sz w:val="14"/>
                <w:szCs w:val="14"/>
                <w:lang w:val="de-DE"/>
              </w:rPr>
            </w:pPr>
            <w:r>
              <w:rPr>
                <w:rFonts w:eastAsia="Calibri"/>
                <w:sz w:val="14"/>
                <w:szCs w:val="14"/>
                <w:lang w:val="de-DE"/>
              </w:rPr>
              <w:t>(8 mg/kg)</w:t>
            </w:r>
          </w:p>
        </w:tc>
        <w:tc>
          <w:tcPr>
            <w:tcW w:w="0" w:type="auto"/>
            <w:vAlign w:val="center"/>
          </w:tcPr>
          <w:p w14:paraId="54DC0FAD" w14:textId="77777777" w:rsidR="001E0F1B" w:rsidRPr="00A627F2" w:rsidRDefault="001E0F1B" w:rsidP="00AA51D2">
            <w:pPr>
              <w:jc w:val="center"/>
              <w:rPr>
                <w:rFonts w:eastAsia="Calibri"/>
                <w:sz w:val="14"/>
                <w:szCs w:val="14"/>
                <w:lang w:val="de-DE"/>
              </w:rPr>
            </w:pPr>
            <w:r>
              <w:rPr>
                <w:rFonts w:eastAsia="Calibri"/>
                <w:sz w:val="14"/>
                <w:szCs w:val="14"/>
                <w:lang w:val="de-DE"/>
              </w:rPr>
              <w:t>60 vs. [1] 709; [2] 142</w:t>
            </w:r>
          </w:p>
        </w:tc>
        <w:tc>
          <w:tcPr>
            <w:tcW w:w="0" w:type="auto"/>
            <w:vAlign w:val="center"/>
          </w:tcPr>
          <w:p w14:paraId="19524CF2" w14:textId="77777777" w:rsidR="001E0F1B" w:rsidRPr="00A627F2" w:rsidRDefault="001E0F1B" w:rsidP="00AA51D2">
            <w:pPr>
              <w:jc w:val="center"/>
              <w:rPr>
                <w:rFonts w:eastAsia="Calibri"/>
                <w:sz w:val="14"/>
                <w:szCs w:val="14"/>
                <w:lang w:val="de-DE"/>
              </w:rPr>
            </w:pPr>
            <w:r>
              <w:rPr>
                <w:rFonts w:eastAsia="Calibri"/>
                <w:sz w:val="14"/>
                <w:szCs w:val="14"/>
                <w:lang w:val="de-DE"/>
              </w:rPr>
              <w:t>NA</w:t>
            </w:r>
          </w:p>
        </w:tc>
        <w:tc>
          <w:tcPr>
            <w:tcW w:w="0" w:type="auto"/>
            <w:vAlign w:val="center"/>
          </w:tcPr>
          <w:p w14:paraId="055EA560" w14:textId="77777777" w:rsidR="001E0F1B" w:rsidRDefault="001E0F1B" w:rsidP="00AA51D2">
            <w:pPr>
              <w:jc w:val="center"/>
              <w:rPr>
                <w:rFonts w:eastAsia="Calibri"/>
                <w:sz w:val="14"/>
                <w:szCs w:val="14"/>
                <w:lang w:val="de-DE"/>
              </w:rPr>
            </w:pPr>
            <w:r>
              <w:rPr>
                <w:rFonts w:eastAsia="Calibri"/>
                <w:sz w:val="14"/>
                <w:szCs w:val="14"/>
                <w:lang w:val="de-DE"/>
              </w:rPr>
              <w:t xml:space="preserve">98% vs. </w:t>
            </w:r>
          </w:p>
          <w:p w14:paraId="1AFB15F7" w14:textId="77777777" w:rsidR="001E0F1B" w:rsidRPr="00A627F2" w:rsidRDefault="001E0F1B" w:rsidP="00AA51D2">
            <w:pPr>
              <w:jc w:val="center"/>
              <w:rPr>
                <w:rFonts w:eastAsia="Calibri"/>
                <w:sz w:val="14"/>
                <w:szCs w:val="14"/>
                <w:lang w:val="de-DE"/>
              </w:rPr>
            </w:pPr>
            <w:r>
              <w:rPr>
                <w:rFonts w:eastAsia="Calibri"/>
                <w:sz w:val="14"/>
                <w:szCs w:val="14"/>
                <w:lang w:val="de-DE"/>
              </w:rPr>
              <w:t>[1] 97%; [2] 96%</w:t>
            </w:r>
          </w:p>
        </w:tc>
        <w:tc>
          <w:tcPr>
            <w:tcW w:w="0" w:type="auto"/>
            <w:vAlign w:val="center"/>
          </w:tcPr>
          <w:p w14:paraId="2D866026" w14:textId="77777777" w:rsidR="001E0F1B" w:rsidRDefault="001E0F1B" w:rsidP="00AA51D2">
            <w:pPr>
              <w:jc w:val="center"/>
              <w:rPr>
                <w:sz w:val="14"/>
                <w:szCs w:val="14"/>
                <w:lang w:val="de-DE"/>
              </w:rPr>
            </w:pPr>
            <w:r>
              <w:rPr>
                <w:sz w:val="14"/>
                <w:szCs w:val="14"/>
                <w:lang w:val="de-DE"/>
              </w:rPr>
              <w:t xml:space="preserve">33% vs. </w:t>
            </w:r>
          </w:p>
          <w:p w14:paraId="17236D38" w14:textId="77777777" w:rsidR="001E0F1B" w:rsidRDefault="001E0F1B" w:rsidP="00AA51D2">
            <w:pPr>
              <w:jc w:val="center"/>
              <w:rPr>
                <w:sz w:val="14"/>
                <w:szCs w:val="14"/>
                <w:lang w:val="de-DE"/>
              </w:rPr>
            </w:pPr>
            <w:r>
              <w:rPr>
                <w:sz w:val="14"/>
                <w:szCs w:val="14"/>
                <w:lang w:val="de-DE"/>
              </w:rPr>
              <w:t xml:space="preserve">[1] 28%; </w:t>
            </w:r>
          </w:p>
          <w:p w14:paraId="4521C7E6" w14:textId="77777777" w:rsidR="001E0F1B" w:rsidRPr="00A627F2" w:rsidRDefault="001E0F1B" w:rsidP="00AA51D2">
            <w:pPr>
              <w:jc w:val="center"/>
              <w:rPr>
                <w:sz w:val="14"/>
                <w:szCs w:val="14"/>
                <w:lang w:val="de-DE"/>
              </w:rPr>
            </w:pPr>
            <w:r>
              <w:rPr>
                <w:sz w:val="14"/>
                <w:szCs w:val="14"/>
                <w:lang w:val="de-DE"/>
              </w:rPr>
              <w:t>[2] 26%</w:t>
            </w:r>
          </w:p>
        </w:tc>
        <w:tc>
          <w:tcPr>
            <w:tcW w:w="0" w:type="auto"/>
            <w:vAlign w:val="center"/>
          </w:tcPr>
          <w:p w14:paraId="3BFE9221" w14:textId="77777777" w:rsidR="001E0F1B" w:rsidRPr="00A627F2" w:rsidRDefault="001E0F1B" w:rsidP="00AA51D2">
            <w:pPr>
              <w:jc w:val="center"/>
              <w:rPr>
                <w:sz w:val="14"/>
                <w:szCs w:val="14"/>
                <w:lang w:val="de-DE"/>
              </w:rPr>
            </w:pPr>
            <w:r>
              <w:rPr>
                <w:sz w:val="14"/>
                <w:szCs w:val="14"/>
                <w:lang w:val="de-DE"/>
              </w:rPr>
              <w:t>13</w:t>
            </w:r>
          </w:p>
        </w:tc>
        <w:tc>
          <w:tcPr>
            <w:tcW w:w="0" w:type="auto"/>
            <w:vAlign w:val="center"/>
          </w:tcPr>
          <w:p w14:paraId="3038D215" w14:textId="77777777" w:rsidR="001E0F1B" w:rsidRPr="00A627F2" w:rsidRDefault="001E0F1B" w:rsidP="00AA51D2">
            <w:pPr>
              <w:jc w:val="center"/>
              <w:rPr>
                <w:sz w:val="14"/>
                <w:szCs w:val="14"/>
                <w:lang w:val="de-DE"/>
              </w:rPr>
            </w:pPr>
            <w:r>
              <w:rPr>
                <w:sz w:val="14"/>
                <w:szCs w:val="14"/>
                <w:lang w:val="de-DE"/>
              </w:rPr>
              <w:t>12</w:t>
            </w:r>
          </w:p>
        </w:tc>
        <w:tc>
          <w:tcPr>
            <w:tcW w:w="0" w:type="auto"/>
            <w:vAlign w:val="center"/>
          </w:tcPr>
          <w:p w14:paraId="0EE03E28" w14:textId="77777777" w:rsidR="001E0F1B" w:rsidRPr="00A627F2" w:rsidRDefault="001E0F1B" w:rsidP="00AA51D2">
            <w:pPr>
              <w:jc w:val="center"/>
              <w:rPr>
                <w:sz w:val="14"/>
                <w:szCs w:val="14"/>
                <w:lang w:val="de-DE"/>
              </w:rPr>
            </w:pPr>
            <w:r>
              <w:rPr>
                <w:sz w:val="14"/>
                <w:szCs w:val="14"/>
                <w:lang w:val="de-DE"/>
              </w:rPr>
              <w:t>47</w:t>
            </w:r>
          </w:p>
        </w:tc>
        <w:tc>
          <w:tcPr>
            <w:tcW w:w="0" w:type="auto"/>
            <w:vAlign w:val="center"/>
          </w:tcPr>
          <w:p w14:paraId="4BBD45CB" w14:textId="77777777" w:rsidR="001E0F1B" w:rsidRPr="00A627F2" w:rsidRDefault="001E0F1B" w:rsidP="00AA51D2">
            <w:pPr>
              <w:jc w:val="center"/>
              <w:rPr>
                <w:sz w:val="14"/>
                <w:szCs w:val="14"/>
                <w:lang w:val="de-DE"/>
              </w:rPr>
            </w:pPr>
            <w:r>
              <w:rPr>
                <w:sz w:val="14"/>
                <w:szCs w:val="14"/>
                <w:lang w:val="de-DE"/>
              </w:rPr>
              <w:t>[1] 194; [2] 38</w:t>
            </w:r>
          </w:p>
        </w:tc>
        <w:tc>
          <w:tcPr>
            <w:tcW w:w="0" w:type="auto"/>
            <w:vAlign w:val="center"/>
          </w:tcPr>
          <w:p w14:paraId="372B5E9A" w14:textId="77777777" w:rsidR="001E0F1B" w:rsidRPr="00A627F2" w:rsidRDefault="001E0F1B" w:rsidP="00AA51D2">
            <w:pPr>
              <w:jc w:val="center"/>
              <w:rPr>
                <w:sz w:val="14"/>
                <w:szCs w:val="14"/>
                <w:lang w:val="de-DE"/>
              </w:rPr>
            </w:pPr>
            <w:r>
              <w:rPr>
                <w:sz w:val="14"/>
                <w:szCs w:val="14"/>
                <w:lang w:val="de-DE"/>
              </w:rPr>
              <w:t>[1] 175; [2] 32</w:t>
            </w:r>
          </w:p>
        </w:tc>
        <w:tc>
          <w:tcPr>
            <w:tcW w:w="0" w:type="auto"/>
            <w:vAlign w:val="center"/>
          </w:tcPr>
          <w:p w14:paraId="15D91C54" w14:textId="77777777" w:rsidR="001E0F1B" w:rsidRPr="00A627F2" w:rsidRDefault="001E0F1B" w:rsidP="00AA51D2">
            <w:pPr>
              <w:jc w:val="center"/>
              <w:rPr>
                <w:sz w:val="14"/>
                <w:szCs w:val="14"/>
                <w:lang w:val="de-DE"/>
              </w:rPr>
            </w:pPr>
            <w:r>
              <w:rPr>
                <w:sz w:val="14"/>
                <w:szCs w:val="14"/>
                <w:lang w:val="de-DE"/>
              </w:rPr>
              <w:t>[1] 515; [2] 104</w:t>
            </w:r>
          </w:p>
        </w:tc>
        <w:tc>
          <w:tcPr>
            <w:tcW w:w="0" w:type="auto"/>
            <w:vAlign w:val="center"/>
          </w:tcPr>
          <w:p w14:paraId="452088F3" w14:textId="77777777" w:rsidR="001E0F1B" w:rsidRPr="00A627F2" w:rsidRDefault="001E0F1B" w:rsidP="00AA51D2">
            <w:pPr>
              <w:jc w:val="center"/>
              <w:rPr>
                <w:sz w:val="14"/>
                <w:szCs w:val="14"/>
                <w:lang w:val="de-DE"/>
              </w:rPr>
            </w:pPr>
            <w:r>
              <w:rPr>
                <w:sz w:val="14"/>
                <w:szCs w:val="14"/>
                <w:lang w:val="de-DE"/>
              </w:rPr>
              <w:t>NA</w:t>
            </w:r>
          </w:p>
        </w:tc>
      </w:tr>
      <w:tr w:rsidR="001E0F1B" w:rsidRPr="00A627F2" w14:paraId="6EABE7CD" w14:textId="77777777" w:rsidTr="00AA51D2">
        <w:tc>
          <w:tcPr>
            <w:tcW w:w="0" w:type="auto"/>
            <w:vAlign w:val="center"/>
          </w:tcPr>
          <w:p w14:paraId="0D865DA5" w14:textId="77777777" w:rsidR="001E0F1B" w:rsidRPr="00A627F2" w:rsidRDefault="001E0F1B" w:rsidP="00AA51D2">
            <w:pPr>
              <w:jc w:val="center"/>
              <w:rPr>
                <w:rFonts w:eastAsia="Calibri"/>
                <w:sz w:val="14"/>
                <w:szCs w:val="14"/>
                <w:lang w:val="de-DE"/>
              </w:rPr>
            </w:pPr>
            <w:r>
              <w:rPr>
                <w:rFonts w:eastAsia="Calibri"/>
                <w:sz w:val="14"/>
                <w:szCs w:val="14"/>
                <w:lang w:val="de-DE"/>
              </w:rPr>
              <w:t xml:space="preserve">Chuang Y. </w:t>
            </w:r>
            <w:r w:rsidRPr="000F6098">
              <w:rPr>
                <w:rFonts w:eastAsia="Calibri"/>
                <w:i/>
                <w:iCs/>
                <w:sz w:val="14"/>
                <w:szCs w:val="14"/>
                <w:lang w:val="de-DE"/>
              </w:rPr>
              <w:t>et al</w:t>
            </w:r>
            <w:r>
              <w:rPr>
                <w:rFonts w:eastAsia="Calibri"/>
                <w:sz w:val="14"/>
                <w:szCs w:val="14"/>
                <w:lang w:val="de-DE"/>
              </w:rPr>
              <w:t xml:space="preserve"> (2017)</w:t>
            </w:r>
          </w:p>
        </w:tc>
        <w:tc>
          <w:tcPr>
            <w:tcW w:w="0" w:type="auto"/>
            <w:vAlign w:val="center"/>
          </w:tcPr>
          <w:p w14:paraId="76C33CDC" w14:textId="77777777" w:rsidR="001E0F1B" w:rsidRPr="00A627F2" w:rsidRDefault="001E0F1B" w:rsidP="00AA51D2">
            <w:pPr>
              <w:jc w:val="center"/>
              <w:rPr>
                <w:rFonts w:eastAsia="Calibri"/>
                <w:sz w:val="14"/>
                <w:szCs w:val="14"/>
                <w:lang w:val="de-DE"/>
              </w:rPr>
            </w:pPr>
            <w:proofErr w:type="spellStart"/>
            <w:r>
              <w:rPr>
                <w:rFonts w:eastAsia="Calibri"/>
                <w:sz w:val="14"/>
                <w:szCs w:val="14"/>
                <w:lang w:val="de-DE"/>
              </w:rPr>
              <w:t>Prospective</w:t>
            </w:r>
            <w:proofErr w:type="spellEnd"/>
            <w:r>
              <w:rPr>
                <w:rFonts w:eastAsia="Calibri"/>
                <w:sz w:val="14"/>
                <w:szCs w:val="14"/>
                <w:lang w:val="de-DE"/>
              </w:rPr>
              <w:t xml:space="preserve"> </w:t>
            </w:r>
            <w:proofErr w:type="spellStart"/>
            <w:r>
              <w:rPr>
                <w:rFonts w:eastAsia="Calibri"/>
                <w:sz w:val="14"/>
                <w:szCs w:val="14"/>
                <w:lang w:val="de-DE"/>
              </w:rPr>
              <w:t>observational</w:t>
            </w:r>
            <w:proofErr w:type="spellEnd"/>
          </w:p>
        </w:tc>
        <w:tc>
          <w:tcPr>
            <w:tcW w:w="0" w:type="auto"/>
            <w:vAlign w:val="center"/>
          </w:tcPr>
          <w:p w14:paraId="3B02AD6C" w14:textId="77777777" w:rsidR="001E0F1B" w:rsidRPr="00A627F2" w:rsidRDefault="001E0F1B" w:rsidP="00AA51D2">
            <w:pPr>
              <w:jc w:val="center"/>
              <w:rPr>
                <w:rFonts w:eastAsia="Calibri"/>
                <w:sz w:val="14"/>
                <w:szCs w:val="14"/>
                <w:lang w:val="de-DE"/>
              </w:rPr>
            </w:pPr>
            <w:r>
              <w:rPr>
                <w:rFonts w:eastAsia="Calibri"/>
                <w:sz w:val="14"/>
                <w:szCs w:val="14"/>
                <w:lang w:val="de-DE"/>
              </w:rPr>
              <w:t>Taiwan</w:t>
            </w:r>
          </w:p>
        </w:tc>
        <w:tc>
          <w:tcPr>
            <w:tcW w:w="0" w:type="auto"/>
            <w:vAlign w:val="center"/>
          </w:tcPr>
          <w:p w14:paraId="70C3D87B" w14:textId="77777777" w:rsidR="001E0F1B" w:rsidRPr="00567138" w:rsidRDefault="001E0F1B" w:rsidP="00AA51D2">
            <w:pPr>
              <w:jc w:val="center"/>
              <w:rPr>
                <w:rFonts w:eastAsia="Calibri"/>
                <w:sz w:val="14"/>
                <w:szCs w:val="14"/>
                <w:lang w:val="de-DE"/>
              </w:rPr>
            </w:pPr>
            <w:r w:rsidRPr="00567138">
              <w:rPr>
                <w:rFonts w:eastAsia="Calibri"/>
                <w:sz w:val="14"/>
                <w:szCs w:val="14"/>
                <w:lang w:val="de-DE"/>
              </w:rPr>
              <w:t>Jan 2010</w:t>
            </w:r>
          </w:p>
          <w:p w14:paraId="2454D521" w14:textId="77777777" w:rsidR="001E0F1B" w:rsidRPr="00567138" w:rsidRDefault="001E0F1B" w:rsidP="00AA51D2">
            <w:pPr>
              <w:jc w:val="center"/>
              <w:rPr>
                <w:sz w:val="14"/>
                <w:szCs w:val="14"/>
              </w:rPr>
            </w:pPr>
            <w:r w:rsidRPr="00567138">
              <w:rPr>
                <w:sz w:val="14"/>
                <w:szCs w:val="14"/>
              </w:rPr>
              <w:t>–</w:t>
            </w:r>
          </w:p>
          <w:p w14:paraId="658122EF" w14:textId="77777777" w:rsidR="001E0F1B" w:rsidRPr="00A627F2" w:rsidRDefault="001E0F1B" w:rsidP="00AA51D2">
            <w:pPr>
              <w:jc w:val="center"/>
              <w:rPr>
                <w:rFonts w:eastAsia="Calibri"/>
                <w:sz w:val="14"/>
                <w:szCs w:val="14"/>
                <w:lang w:val="de-DE"/>
              </w:rPr>
            </w:pPr>
            <w:r w:rsidRPr="00567138">
              <w:rPr>
                <w:sz w:val="14"/>
                <w:szCs w:val="14"/>
              </w:rPr>
              <w:t>Jul 2015</w:t>
            </w:r>
          </w:p>
        </w:tc>
        <w:tc>
          <w:tcPr>
            <w:tcW w:w="0" w:type="auto"/>
            <w:vAlign w:val="center"/>
          </w:tcPr>
          <w:p w14:paraId="262623C3" w14:textId="77777777" w:rsidR="001E0F1B" w:rsidRDefault="001E0F1B" w:rsidP="00AA51D2">
            <w:pPr>
              <w:jc w:val="center"/>
              <w:rPr>
                <w:rFonts w:eastAsia="Calibri"/>
                <w:sz w:val="14"/>
                <w:szCs w:val="14"/>
                <w:lang w:val="de-DE"/>
              </w:rPr>
            </w:pPr>
            <w:r>
              <w:rPr>
                <w:rFonts w:eastAsia="Calibri"/>
                <w:sz w:val="14"/>
                <w:szCs w:val="14"/>
                <w:lang w:val="de-DE"/>
              </w:rPr>
              <w:t>HD DAP</w:t>
            </w:r>
          </w:p>
          <w:p w14:paraId="2036A9C3" w14:textId="77777777" w:rsidR="001E0F1B" w:rsidRPr="00A627F2" w:rsidRDefault="001E0F1B" w:rsidP="00AA51D2">
            <w:pPr>
              <w:jc w:val="center"/>
              <w:rPr>
                <w:rFonts w:eastAsia="Calibri"/>
                <w:sz w:val="14"/>
                <w:szCs w:val="14"/>
                <w:lang w:val="de-DE"/>
              </w:rPr>
            </w:pPr>
            <w:r>
              <w:rPr>
                <w:rFonts w:eastAsia="Calibri"/>
                <w:sz w:val="14"/>
                <w:szCs w:val="14"/>
                <w:lang w:val="de-DE"/>
              </w:rPr>
              <w:t>(≥ 9 mg/kg)</w:t>
            </w:r>
          </w:p>
        </w:tc>
        <w:tc>
          <w:tcPr>
            <w:tcW w:w="0" w:type="auto"/>
            <w:vAlign w:val="center"/>
          </w:tcPr>
          <w:p w14:paraId="6C1B60F9" w14:textId="77777777" w:rsidR="001E0F1B" w:rsidRDefault="001E0F1B" w:rsidP="00AA51D2">
            <w:pPr>
              <w:jc w:val="center"/>
              <w:rPr>
                <w:rFonts w:eastAsia="Calibri"/>
                <w:sz w:val="14"/>
                <w:szCs w:val="14"/>
                <w:lang w:val="de-DE"/>
              </w:rPr>
            </w:pPr>
            <w:r>
              <w:rPr>
                <w:rFonts w:eastAsia="Calibri"/>
                <w:sz w:val="14"/>
                <w:szCs w:val="14"/>
                <w:lang w:val="de-DE"/>
              </w:rPr>
              <w:t>[1] SD DAP (&lt;7 mg/kg)</w:t>
            </w:r>
          </w:p>
          <w:p w14:paraId="71642711" w14:textId="77777777" w:rsidR="001E0F1B" w:rsidRPr="00A627F2" w:rsidRDefault="001E0F1B" w:rsidP="00AA51D2">
            <w:pPr>
              <w:jc w:val="center"/>
              <w:rPr>
                <w:rFonts w:eastAsia="Calibri"/>
                <w:sz w:val="14"/>
                <w:szCs w:val="14"/>
                <w:lang w:val="de-DE"/>
              </w:rPr>
            </w:pPr>
            <w:r>
              <w:rPr>
                <w:rFonts w:eastAsia="Calibri"/>
                <w:sz w:val="14"/>
                <w:szCs w:val="14"/>
                <w:lang w:val="de-DE"/>
              </w:rPr>
              <w:t>[2] MD DAP (7-9 mg/kg)</w:t>
            </w:r>
          </w:p>
        </w:tc>
        <w:tc>
          <w:tcPr>
            <w:tcW w:w="0" w:type="auto"/>
            <w:vAlign w:val="center"/>
          </w:tcPr>
          <w:p w14:paraId="2A3BA5B2" w14:textId="77777777" w:rsidR="001E0F1B" w:rsidRPr="00A627F2" w:rsidRDefault="001E0F1B" w:rsidP="00AA51D2">
            <w:pPr>
              <w:jc w:val="center"/>
              <w:rPr>
                <w:rFonts w:eastAsia="Calibri"/>
                <w:sz w:val="14"/>
                <w:szCs w:val="14"/>
                <w:lang w:val="de-DE"/>
              </w:rPr>
            </w:pPr>
            <w:r>
              <w:rPr>
                <w:rFonts w:eastAsia="Calibri"/>
                <w:sz w:val="14"/>
                <w:szCs w:val="14"/>
                <w:lang w:val="de-DE"/>
              </w:rPr>
              <w:t xml:space="preserve">25 vs. [1] </w:t>
            </w:r>
            <w:r w:rsidRPr="000F6098">
              <w:rPr>
                <w:rFonts w:eastAsia="Calibri"/>
                <w:sz w:val="14"/>
                <w:szCs w:val="14"/>
                <w:lang w:val="de-DE"/>
              </w:rPr>
              <w:t>3</w:t>
            </w:r>
            <w:r>
              <w:rPr>
                <w:rFonts w:eastAsia="Calibri"/>
                <w:sz w:val="14"/>
                <w:szCs w:val="14"/>
                <w:lang w:val="de-DE"/>
              </w:rPr>
              <w:t>6</w:t>
            </w:r>
            <w:r w:rsidRPr="000F6098">
              <w:rPr>
                <w:rFonts w:eastAsia="Calibri"/>
                <w:sz w:val="14"/>
                <w:szCs w:val="14"/>
                <w:lang w:val="de-DE"/>
              </w:rPr>
              <w:t xml:space="preserve">; </w:t>
            </w:r>
            <w:r>
              <w:rPr>
                <w:rFonts w:eastAsia="Calibri"/>
                <w:sz w:val="14"/>
                <w:szCs w:val="14"/>
                <w:lang w:val="de-DE"/>
              </w:rPr>
              <w:t xml:space="preserve">[2] </w:t>
            </w:r>
            <w:r w:rsidRPr="000F6098">
              <w:rPr>
                <w:rFonts w:eastAsia="Calibri"/>
                <w:sz w:val="14"/>
                <w:szCs w:val="14"/>
                <w:lang w:val="de-DE"/>
              </w:rPr>
              <w:t>51</w:t>
            </w:r>
          </w:p>
        </w:tc>
        <w:tc>
          <w:tcPr>
            <w:tcW w:w="0" w:type="auto"/>
            <w:vAlign w:val="center"/>
          </w:tcPr>
          <w:p w14:paraId="4D507481" w14:textId="77777777" w:rsidR="001E0F1B" w:rsidRDefault="001E0F1B" w:rsidP="00AA51D2">
            <w:pPr>
              <w:jc w:val="center"/>
              <w:rPr>
                <w:rFonts w:eastAsia="Calibri"/>
                <w:sz w:val="14"/>
                <w:szCs w:val="14"/>
                <w:lang w:val="de-DE"/>
              </w:rPr>
            </w:pPr>
            <w:r>
              <w:rPr>
                <w:rFonts w:eastAsia="Calibri"/>
                <w:sz w:val="14"/>
                <w:szCs w:val="14"/>
                <w:lang w:val="de-DE"/>
              </w:rPr>
              <w:t>61 vs. [1] 65.9</w:t>
            </w:r>
          </w:p>
          <w:p w14:paraId="229266B6" w14:textId="77777777" w:rsidR="001E0F1B" w:rsidRPr="00A627F2" w:rsidRDefault="001E0F1B" w:rsidP="00AA51D2">
            <w:pPr>
              <w:jc w:val="center"/>
              <w:rPr>
                <w:rFonts w:eastAsia="Calibri"/>
                <w:sz w:val="14"/>
                <w:szCs w:val="14"/>
                <w:lang w:val="de-DE"/>
              </w:rPr>
            </w:pPr>
            <w:r>
              <w:rPr>
                <w:rFonts w:eastAsia="Calibri"/>
                <w:sz w:val="14"/>
                <w:szCs w:val="14"/>
                <w:lang w:val="de-DE"/>
              </w:rPr>
              <w:t>[2] 68.2</w:t>
            </w:r>
          </w:p>
        </w:tc>
        <w:tc>
          <w:tcPr>
            <w:tcW w:w="0" w:type="auto"/>
            <w:vAlign w:val="center"/>
          </w:tcPr>
          <w:p w14:paraId="657B1288" w14:textId="77777777" w:rsidR="001E0F1B" w:rsidRDefault="001E0F1B" w:rsidP="00AA51D2">
            <w:pPr>
              <w:jc w:val="center"/>
              <w:rPr>
                <w:rFonts w:eastAsia="Calibri"/>
                <w:sz w:val="14"/>
                <w:szCs w:val="14"/>
                <w:lang w:val="de-DE"/>
              </w:rPr>
            </w:pPr>
            <w:r>
              <w:rPr>
                <w:rFonts w:eastAsia="Calibri"/>
                <w:sz w:val="14"/>
                <w:szCs w:val="14"/>
                <w:lang w:val="de-DE"/>
              </w:rPr>
              <w:t xml:space="preserve">32% vs. </w:t>
            </w:r>
          </w:p>
          <w:p w14:paraId="3D82D102" w14:textId="77777777" w:rsidR="001E0F1B" w:rsidRPr="00A627F2" w:rsidRDefault="001E0F1B" w:rsidP="00AA51D2">
            <w:pPr>
              <w:jc w:val="center"/>
              <w:rPr>
                <w:rFonts w:eastAsia="Calibri"/>
                <w:sz w:val="14"/>
                <w:szCs w:val="14"/>
                <w:lang w:val="de-DE"/>
              </w:rPr>
            </w:pPr>
            <w:r>
              <w:rPr>
                <w:rFonts w:eastAsia="Calibri"/>
                <w:sz w:val="14"/>
                <w:szCs w:val="14"/>
                <w:lang w:val="de-DE"/>
              </w:rPr>
              <w:t>[1] 61%; [2] 61%</w:t>
            </w:r>
          </w:p>
        </w:tc>
        <w:tc>
          <w:tcPr>
            <w:tcW w:w="0" w:type="auto"/>
            <w:vAlign w:val="center"/>
          </w:tcPr>
          <w:p w14:paraId="5E991F41"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3350DF2D" w14:textId="77777777" w:rsidR="001E0F1B" w:rsidRPr="00A627F2" w:rsidRDefault="001E0F1B" w:rsidP="00AA51D2">
            <w:pPr>
              <w:jc w:val="center"/>
              <w:rPr>
                <w:sz w:val="14"/>
                <w:szCs w:val="14"/>
                <w:lang w:val="de-DE"/>
              </w:rPr>
            </w:pPr>
            <w:r>
              <w:rPr>
                <w:sz w:val="14"/>
                <w:szCs w:val="14"/>
                <w:lang w:val="de-DE"/>
              </w:rPr>
              <w:t>6</w:t>
            </w:r>
          </w:p>
        </w:tc>
        <w:tc>
          <w:tcPr>
            <w:tcW w:w="0" w:type="auto"/>
            <w:vAlign w:val="center"/>
          </w:tcPr>
          <w:p w14:paraId="408E7DAA" w14:textId="77777777" w:rsidR="001E0F1B" w:rsidRPr="00A627F2" w:rsidRDefault="001E0F1B" w:rsidP="00AA51D2">
            <w:pPr>
              <w:jc w:val="center"/>
              <w:rPr>
                <w:sz w:val="14"/>
                <w:szCs w:val="14"/>
                <w:lang w:val="de-DE"/>
              </w:rPr>
            </w:pPr>
            <w:r>
              <w:rPr>
                <w:sz w:val="14"/>
                <w:szCs w:val="14"/>
                <w:lang w:val="de-DE"/>
              </w:rPr>
              <w:t>10</w:t>
            </w:r>
          </w:p>
        </w:tc>
        <w:tc>
          <w:tcPr>
            <w:tcW w:w="0" w:type="auto"/>
            <w:vAlign w:val="center"/>
          </w:tcPr>
          <w:p w14:paraId="3577C511" w14:textId="77777777" w:rsidR="001E0F1B" w:rsidRPr="00A627F2" w:rsidRDefault="001E0F1B" w:rsidP="00AA51D2">
            <w:pPr>
              <w:jc w:val="center"/>
              <w:rPr>
                <w:sz w:val="14"/>
                <w:szCs w:val="14"/>
                <w:lang w:val="de-DE"/>
              </w:rPr>
            </w:pPr>
            <w:r>
              <w:rPr>
                <w:sz w:val="14"/>
                <w:szCs w:val="14"/>
                <w:lang w:val="de-DE"/>
              </w:rPr>
              <w:t>9</w:t>
            </w:r>
          </w:p>
        </w:tc>
        <w:tc>
          <w:tcPr>
            <w:tcW w:w="0" w:type="auto"/>
            <w:vAlign w:val="center"/>
          </w:tcPr>
          <w:p w14:paraId="4ECFDCA4" w14:textId="77777777" w:rsidR="001E0F1B" w:rsidRDefault="001E0F1B" w:rsidP="00AA51D2">
            <w:pPr>
              <w:jc w:val="center"/>
              <w:rPr>
                <w:sz w:val="14"/>
                <w:szCs w:val="14"/>
                <w:lang w:val="de-DE"/>
              </w:rPr>
            </w:pPr>
            <w:r>
              <w:rPr>
                <w:sz w:val="14"/>
                <w:szCs w:val="14"/>
                <w:lang w:val="de-DE"/>
              </w:rPr>
              <w:t>[1] 6;</w:t>
            </w:r>
          </w:p>
          <w:p w14:paraId="175053A7" w14:textId="77777777" w:rsidR="001E0F1B" w:rsidRPr="00A627F2" w:rsidRDefault="001E0F1B" w:rsidP="00AA51D2">
            <w:pPr>
              <w:jc w:val="center"/>
              <w:rPr>
                <w:sz w:val="14"/>
                <w:szCs w:val="14"/>
                <w:lang w:val="de-DE"/>
              </w:rPr>
            </w:pPr>
            <w:r>
              <w:rPr>
                <w:sz w:val="14"/>
                <w:szCs w:val="14"/>
                <w:lang w:val="de-DE"/>
              </w:rPr>
              <w:t>[2] 12</w:t>
            </w:r>
          </w:p>
        </w:tc>
        <w:tc>
          <w:tcPr>
            <w:tcW w:w="0" w:type="auto"/>
            <w:vAlign w:val="center"/>
          </w:tcPr>
          <w:p w14:paraId="7FA5D97F" w14:textId="77777777" w:rsidR="001E0F1B" w:rsidRDefault="001E0F1B" w:rsidP="00AA51D2">
            <w:pPr>
              <w:jc w:val="center"/>
              <w:rPr>
                <w:sz w:val="14"/>
                <w:szCs w:val="14"/>
                <w:lang w:val="de-DE"/>
              </w:rPr>
            </w:pPr>
            <w:r>
              <w:rPr>
                <w:sz w:val="14"/>
                <w:szCs w:val="14"/>
                <w:lang w:val="de-DE"/>
              </w:rPr>
              <w:t>[1] 20;</w:t>
            </w:r>
          </w:p>
          <w:p w14:paraId="1895E74F" w14:textId="77777777" w:rsidR="001E0F1B" w:rsidRPr="00A627F2" w:rsidRDefault="001E0F1B" w:rsidP="00AA51D2">
            <w:pPr>
              <w:jc w:val="center"/>
              <w:rPr>
                <w:sz w:val="14"/>
                <w:szCs w:val="14"/>
                <w:lang w:val="de-DE"/>
              </w:rPr>
            </w:pPr>
            <w:r>
              <w:rPr>
                <w:sz w:val="14"/>
                <w:szCs w:val="14"/>
                <w:lang w:val="de-DE"/>
              </w:rPr>
              <w:t xml:space="preserve"> [2] 26</w:t>
            </w:r>
          </w:p>
        </w:tc>
        <w:tc>
          <w:tcPr>
            <w:tcW w:w="0" w:type="auto"/>
            <w:vAlign w:val="center"/>
          </w:tcPr>
          <w:p w14:paraId="49D77314" w14:textId="77777777" w:rsidR="001E0F1B" w:rsidRDefault="001E0F1B" w:rsidP="00AA51D2">
            <w:pPr>
              <w:jc w:val="center"/>
              <w:rPr>
                <w:sz w:val="14"/>
                <w:szCs w:val="14"/>
                <w:lang w:val="de-DE"/>
              </w:rPr>
            </w:pPr>
            <w:r>
              <w:rPr>
                <w:sz w:val="14"/>
                <w:szCs w:val="14"/>
                <w:lang w:val="de-DE"/>
              </w:rPr>
              <w:t>[1] 11;</w:t>
            </w:r>
          </w:p>
          <w:p w14:paraId="696694A3" w14:textId="77777777" w:rsidR="001E0F1B" w:rsidRPr="00A627F2" w:rsidRDefault="001E0F1B" w:rsidP="00AA51D2">
            <w:pPr>
              <w:jc w:val="center"/>
              <w:rPr>
                <w:sz w:val="14"/>
                <w:szCs w:val="14"/>
                <w:lang w:val="de-DE"/>
              </w:rPr>
            </w:pPr>
            <w:r>
              <w:rPr>
                <w:sz w:val="14"/>
                <w:szCs w:val="14"/>
                <w:lang w:val="de-DE"/>
              </w:rPr>
              <w:t>[2] 16</w:t>
            </w:r>
          </w:p>
        </w:tc>
        <w:tc>
          <w:tcPr>
            <w:tcW w:w="0" w:type="auto"/>
            <w:vAlign w:val="center"/>
          </w:tcPr>
          <w:p w14:paraId="1F613145" w14:textId="77777777" w:rsidR="001E0F1B" w:rsidRPr="00A627F2" w:rsidRDefault="001E0F1B" w:rsidP="00AA51D2">
            <w:pPr>
              <w:jc w:val="center"/>
              <w:rPr>
                <w:sz w:val="14"/>
                <w:szCs w:val="14"/>
                <w:lang w:val="de-DE"/>
              </w:rPr>
            </w:pPr>
            <w:r>
              <w:rPr>
                <w:sz w:val="14"/>
                <w:szCs w:val="14"/>
                <w:lang w:val="de-DE"/>
              </w:rPr>
              <w:t>NA</w:t>
            </w:r>
          </w:p>
        </w:tc>
      </w:tr>
      <w:tr w:rsidR="001E0F1B" w:rsidRPr="00A627F2" w14:paraId="3A79A271" w14:textId="77777777" w:rsidTr="00AA51D2">
        <w:tc>
          <w:tcPr>
            <w:tcW w:w="0" w:type="auto"/>
            <w:vAlign w:val="center"/>
          </w:tcPr>
          <w:p w14:paraId="53E8851A" w14:textId="77777777" w:rsidR="001E0F1B" w:rsidRPr="00A627F2" w:rsidRDefault="001E0F1B" w:rsidP="00AA51D2">
            <w:pPr>
              <w:jc w:val="center"/>
              <w:rPr>
                <w:sz w:val="14"/>
                <w:szCs w:val="14"/>
                <w:lang w:val="de-DE"/>
              </w:rPr>
            </w:pPr>
            <w:r>
              <w:rPr>
                <w:rFonts w:eastAsia="Calibri"/>
                <w:sz w:val="14"/>
                <w:szCs w:val="14"/>
                <w:lang w:val="de-DE"/>
              </w:rPr>
              <w:t xml:space="preserve">Chuang Y. </w:t>
            </w:r>
            <w:r w:rsidRPr="000F6098">
              <w:rPr>
                <w:rFonts w:eastAsia="Calibri"/>
                <w:i/>
                <w:iCs/>
                <w:sz w:val="14"/>
                <w:szCs w:val="14"/>
                <w:lang w:val="de-DE"/>
              </w:rPr>
              <w:t>et al</w:t>
            </w:r>
            <w:r>
              <w:rPr>
                <w:rFonts w:eastAsia="Calibri"/>
                <w:sz w:val="14"/>
                <w:szCs w:val="14"/>
                <w:lang w:val="de-DE"/>
              </w:rPr>
              <w:t xml:space="preserve"> (2018)</w:t>
            </w:r>
          </w:p>
        </w:tc>
        <w:tc>
          <w:tcPr>
            <w:tcW w:w="0" w:type="auto"/>
            <w:vAlign w:val="center"/>
          </w:tcPr>
          <w:p w14:paraId="1A472A5D" w14:textId="77777777" w:rsidR="001E0F1B" w:rsidRPr="00A627F2" w:rsidRDefault="001E0F1B" w:rsidP="00AA51D2">
            <w:pPr>
              <w:jc w:val="center"/>
              <w:rPr>
                <w:sz w:val="14"/>
                <w:szCs w:val="14"/>
                <w:lang w:val="de-DE"/>
              </w:rPr>
            </w:pPr>
            <w:proofErr w:type="spellStart"/>
            <w:r>
              <w:rPr>
                <w:sz w:val="14"/>
                <w:szCs w:val="14"/>
                <w:lang w:val="de-DE"/>
              </w:rPr>
              <w:t>Retrospective</w:t>
            </w:r>
            <w:proofErr w:type="spellEnd"/>
            <w:r>
              <w:rPr>
                <w:sz w:val="14"/>
                <w:szCs w:val="14"/>
                <w:lang w:val="de-DE"/>
              </w:rPr>
              <w:t xml:space="preserve"> </w:t>
            </w:r>
            <w:proofErr w:type="spellStart"/>
            <w:r>
              <w:rPr>
                <w:sz w:val="14"/>
                <w:szCs w:val="14"/>
                <w:lang w:val="de-DE"/>
              </w:rPr>
              <w:t>observational</w:t>
            </w:r>
            <w:proofErr w:type="spellEnd"/>
          </w:p>
        </w:tc>
        <w:tc>
          <w:tcPr>
            <w:tcW w:w="0" w:type="auto"/>
            <w:vAlign w:val="center"/>
          </w:tcPr>
          <w:p w14:paraId="3730E530" w14:textId="77777777" w:rsidR="001E0F1B" w:rsidRPr="00A627F2" w:rsidRDefault="001E0F1B" w:rsidP="00AA51D2">
            <w:pPr>
              <w:jc w:val="center"/>
              <w:rPr>
                <w:sz w:val="14"/>
                <w:szCs w:val="14"/>
                <w:lang w:val="de-DE"/>
              </w:rPr>
            </w:pPr>
            <w:r>
              <w:rPr>
                <w:sz w:val="14"/>
                <w:szCs w:val="14"/>
                <w:lang w:val="de-DE"/>
              </w:rPr>
              <w:t>Taiwan</w:t>
            </w:r>
          </w:p>
        </w:tc>
        <w:tc>
          <w:tcPr>
            <w:tcW w:w="0" w:type="auto"/>
            <w:vAlign w:val="center"/>
          </w:tcPr>
          <w:p w14:paraId="69D52D24" w14:textId="77777777" w:rsidR="001E0F1B" w:rsidRPr="00567138" w:rsidRDefault="001E0F1B" w:rsidP="00AA51D2">
            <w:pPr>
              <w:jc w:val="center"/>
              <w:rPr>
                <w:rFonts w:eastAsia="Calibri"/>
                <w:sz w:val="14"/>
                <w:szCs w:val="14"/>
                <w:lang w:val="de-DE"/>
              </w:rPr>
            </w:pPr>
            <w:r w:rsidRPr="00567138">
              <w:rPr>
                <w:rFonts w:eastAsia="Calibri"/>
                <w:sz w:val="14"/>
                <w:szCs w:val="14"/>
                <w:lang w:val="de-DE"/>
              </w:rPr>
              <w:t>Jan 2010</w:t>
            </w:r>
          </w:p>
          <w:p w14:paraId="32319B97" w14:textId="77777777" w:rsidR="001E0F1B" w:rsidRPr="00567138" w:rsidRDefault="001E0F1B" w:rsidP="00AA51D2">
            <w:pPr>
              <w:jc w:val="center"/>
              <w:rPr>
                <w:sz w:val="14"/>
                <w:szCs w:val="14"/>
              </w:rPr>
            </w:pPr>
            <w:r w:rsidRPr="00567138">
              <w:rPr>
                <w:sz w:val="14"/>
                <w:szCs w:val="14"/>
              </w:rPr>
              <w:t>–</w:t>
            </w:r>
          </w:p>
          <w:p w14:paraId="342ABDB5" w14:textId="77777777" w:rsidR="001E0F1B" w:rsidRPr="00A627F2" w:rsidRDefault="001E0F1B" w:rsidP="00AA51D2">
            <w:pPr>
              <w:jc w:val="center"/>
              <w:rPr>
                <w:rFonts w:eastAsia="Calibri"/>
                <w:sz w:val="14"/>
                <w:szCs w:val="14"/>
                <w:lang w:val="de-DE"/>
              </w:rPr>
            </w:pPr>
            <w:r w:rsidRPr="00567138">
              <w:rPr>
                <w:sz w:val="14"/>
                <w:szCs w:val="14"/>
              </w:rPr>
              <w:t>Jul 2015</w:t>
            </w:r>
          </w:p>
        </w:tc>
        <w:tc>
          <w:tcPr>
            <w:tcW w:w="0" w:type="auto"/>
            <w:vAlign w:val="center"/>
          </w:tcPr>
          <w:p w14:paraId="66BC9807" w14:textId="77777777" w:rsidR="001E0F1B" w:rsidRPr="00A627F2" w:rsidRDefault="001E0F1B" w:rsidP="00AA51D2">
            <w:pPr>
              <w:jc w:val="center"/>
              <w:rPr>
                <w:rFonts w:eastAsia="Calibri"/>
                <w:sz w:val="14"/>
                <w:szCs w:val="14"/>
                <w:lang w:val="de-DE"/>
              </w:rPr>
            </w:pPr>
            <w:r>
              <w:rPr>
                <w:rFonts w:eastAsia="Calibri"/>
                <w:sz w:val="14"/>
                <w:szCs w:val="14"/>
                <w:lang w:val="de-DE"/>
              </w:rPr>
              <w:t>DAP+BL</w:t>
            </w:r>
          </w:p>
        </w:tc>
        <w:tc>
          <w:tcPr>
            <w:tcW w:w="0" w:type="auto"/>
            <w:vAlign w:val="center"/>
          </w:tcPr>
          <w:p w14:paraId="6C212520" w14:textId="77777777" w:rsidR="001E0F1B" w:rsidRPr="00A627F2" w:rsidRDefault="001E0F1B" w:rsidP="00AA51D2">
            <w:pPr>
              <w:jc w:val="center"/>
              <w:rPr>
                <w:rFonts w:eastAsia="Calibri"/>
                <w:sz w:val="14"/>
                <w:szCs w:val="14"/>
                <w:lang w:val="de-DE"/>
              </w:rPr>
            </w:pPr>
            <w:r>
              <w:rPr>
                <w:rFonts w:eastAsia="Calibri"/>
                <w:sz w:val="14"/>
                <w:szCs w:val="14"/>
                <w:lang w:val="de-DE"/>
              </w:rPr>
              <w:t>DAP</w:t>
            </w:r>
          </w:p>
        </w:tc>
        <w:tc>
          <w:tcPr>
            <w:tcW w:w="0" w:type="auto"/>
            <w:vAlign w:val="center"/>
          </w:tcPr>
          <w:p w14:paraId="4E9A1BA2" w14:textId="77777777" w:rsidR="001E0F1B" w:rsidRPr="00A627F2" w:rsidRDefault="001E0F1B" w:rsidP="00AA51D2">
            <w:pPr>
              <w:jc w:val="center"/>
              <w:rPr>
                <w:rFonts w:eastAsia="Calibri"/>
                <w:sz w:val="14"/>
                <w:szCs w:val="14"/>
                <w:lang w:val="de-DE"/>
              </w:rPr>
            </w:pPr>
            <w:r>
              <w:rPr>
                <w:rFonts w:eastAsia="Calibri"/>
                <w:sz w:val="14"/>
                <w:szCs w:val="14"/>
                <w:lang w:val="de-DE"/>
              </w:rPr>
              <w:t xml:space="preserve">87 vs. 27 </w:t>
            </w:r>
          </w:p>
        </w:tc>
        <w:tc>
          <w:tcPr>
            <w:tcW w:w="0" w:type="auto"/>
            <w:vAlign w:val="center"/>
          </w:tcPr>
          <w:p w14:paraId="0922FBFC" w14:textId="77777777" w:rsidR="001E0F1B" w:rsidRPr="00A627F2" w:rsidRDefault="001E0F1B" w:rsidP="00AA51D2">
            <w:pPr>
              <w:jc w:val="center"/>
              <w:rPr>
                <w:rFonts w:eastAsia="Calibri"/>
                <w:sz w:val="14"/>
                <w:szCs w:val="14"/>
                <w:lang w:val="de-DE"/>
              </w:rPr>
            </w:pPr>
            <w:r>
              <w:rPr>
                <w:rFonts w:eastAsia="Calibri"/>
                <w:sz w:val="14"/>
                <w:szCs w:val="14"/>
                <w:lang w:val="de-DE"/>
              </w:rPr>
              <w:t>67.8 vs. 62.6</w:t>
            </w:r>
          </w:p>
        </w:tc>
        <w:tc>
          <w:tcPr>
            <w:tcW w:w="0" w:type="auto"/>
            <w:vAlign w:val="center"/>
          </w:tcPr>
          <w:p w14:paraId="1E2995C4" w14:textId="77777777" w:rsidR="001E0F1B" w:rsidRPr="00A627F2" w:rsidRDefault="001E0F1B" w:rsidP="00AA51D2">
            <w:pPr>
              <w:jc w:val="center"/>
              <w:rPr>
                <w:rFonts w:eastAsia="Calibri"/>
                <w:sz w:val="14"/>
                <w:szCs w:val="14"/>
                <w:lang w:val="de-DE"/>
              </w:rPr>
            </w:pPr>
            <w:r>
              <w:rPr>
                <w:rFonts w:eastAsia="Calibri"/>
                <w:sz w:val="14"/>
                <w:szCs w:val="14"/>
                <w:lang w:val="de-DE"/>
              </w:rPr>
              <w:t>49% vs. 67%</w:t>
            </w:r>
          </w:p>
        </w:tc>
        <w:tc>
          <w:tcPr>
            <w:tcW w:w="0" w:type="auto"/>
            <w:vAlign w:val="center"/>
          </w:tcPr>
          <w:p w14:paraId="3C6341EA"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46E49350" w14:textId="77777777" w:rsidR="001E0F1B" w:rsidRPr="00A627F2" w:rsidRDefault="001E0F1B" w:rsidP="00AA51D2">
            <w:pPr>
              <w:jc w:val="center"/>
              <w:rPr>
                <w:sz w:val="14"/>
                <w:szCs w:val="14"/>
                <w:lang w:val="de-DE"/>
              </w:rPr>
            </w:pPr>
            <w:r>
              <w:rPr>
                <w:sz w:val="14"/>
                <w:szCs w:val="14"/>
                <w:lang w:val="de-DE"/>
              </w:rPr>
              <w:t>20</w:t>
            </w:r>
          </w:p>
        </w:tc>
        <w:tc>
          <w:tcPr>
            <w:tcW w:w="0" w:type="auto"/>
            <w:vAlign w:val="center"/>
          </w:tcPr>
          <w:p w14:paraId="49F42DB7" w14:textId="77777777" w:rsidR="001E0F1B" w:rsidRPr="00A627F2" w:rsidRDefault="001E0F1B" w:rsidP="00AA51D2">
            <w:pPr>
              <w:jc w:val="center"/>
              <w:rPr>
                <w:sz w:val="14"/>
                <w:szCs w:val="14"/>
                <w:lang w:val="de-DE"/>
              </w:rPr>
            </w:pPr>
            <w:r>
              <w:rPr>
                <w:sz w:val="14"/>
                <w:szCs w:val="14"/>
                <w:lang w:val="de-DE"/>
              </w:rPr>
              <w:t>42</w:t>
            </w:r>
          </w:p>
        </w:tc>
        <w:tc>
          <w:tcPr>
            <w:tcW w:w="0" w:type="auto"/>
            <w:vAlign w:val="center"/>
          </w:tcPr>
          <w:p w14:paraId="378AB486"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5F3C59DC" w14:textId="77777777" w:rsidR="001E0F1B" w:rsidRPr="00A627F2" w:rsidRDefault="001E0F1B" w:rsidP="00AA51D2">
            <w:pPr>
              <w:jc w:val="center"/>
              <w:rPr>
                <w:sz w:val="14"/>
                <w:szCs w:val="14"/>
                <w:lang w:val="de-DE"/>
              </w:rPr>
            </w:pPr>
            <w:r>
              <w:rPr>
                <w:sz w:val="14"/>
                <w:szCs w:val="14"/>
                <w:lang w:val="de-DE"/>
              </w:rPr>
              <w:t>25</w:t>
            </w:r>
          </w:p>
        </w:tc>
        <w:tc>
          <w:tcPr>
            <w:tcW w:w="0" w:type="auto"/>
            <w:vAlign w:val="center"/>
          </w:tcPr>
          <w:p w14:paraId="29503D51" w14:textId="77777777" w:rsidR="001E0F1B" w:rsidRPr="00A627F2" w:rsidRDefault="001E0F1B" w:rsidP="00AA51D2">
            <w:pPr>
              <w:jc w:val="center"/>
              <w:rPr>
                <w:sz w:val="14"/>
                <w:szCs w:val="14"/>
                <w:lang w:val="de-DE"/>
              </w:rPr>
            </w:pPr>
            <w:r>
              <w:rPr>
                <w:sz w:val="14"/>
                <w:szCs w:val="14"/>
                <w:lang w:val="de-DE"/>
              </w:rPr>
              <w:t>15</w:t>
            </w:r>
          </w:p>
        </w:tc>
        <w:tc>
          <w:tcPr>
            <w:tcW w:w="0" w:type="auto"/>
            <w:vAlign w:val="center"/>
          </w:tcPr>
          <w:p w14:paraId="064D1197"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55A87411" w14:textId="77777777" w:rsidR="001E0F1B" w:rsidRPr="00A627F2" w:rsidRDefault="001E0F1B" w:rsidP="00AA51D2">
            <w:pPr>
              <w:jc w:val="center"/>
              <w:rPr>
                <w:sz w:val="14"/>
                <w:szCs w:val="14"/>
                <w:lang w:val="de-DE"/>
              </w:rPr>
            </w:pPr>
            <w:r>
              <w:rPr>
                <w:sz w:val="14"/>
                <w:szCs w:val="14"/>
                <w:lang w:val="de-DE"/>
              </w:rPr>
              <w:t xml:space="preserve">9 vs. NA </w:t>
            </w:r>
          </w:p>
        </w:tc>
      </w:tr>
      <w:tr w:rsidR="001E0F1B" w:rsidRPr="00A627F2" w14:paraId="7C6F752D" w14:textId="77777777" w:rsidTr="00AA51D2">
        <w:tc>
          <w:tcPr>
            <w:tcW w:w="0" w:type="auto"/>
            <w:vAlign w:val="center"/>
          </w:tcPr>
          <w:p w14:paraId="6759A2F6" w14:textId="77777777" w:rsidR="001E0F1B" w:rsidRPr="00A627F2" w:rsidRDefault="001E0F1B" w:rsidP="00AA51D2">
            <w:pPr>
              <w:jc w:val="center"/>
              <w:rPr>
                <w:sz w:val="14"/>
                <w:szCs w:val="14"/>
                <w:lang w:val="de-DE"/>
              </w:rPr>
            </w:pPr>
            <w:r>
              <w:rPr>
                <w:sz w:val="14"/>
                <w:szCs w:val="14"/>
                <w:lang w:val="de-DE"/>
              </w:rPr>
              <w:t xml:space="preserve">Chuang Y </w:t>
            </w:r>
            <w:r w:rsidRPr="009B3772">
              <w:rPr>
                <w:i/>
                <w:iCs/>
                <w:sz w:val="14"/>
                <w:szCs w:val="14"/>
                <w:lang w:val="de-DE"/>
              </w:rPr>
              <w:t xml:space="preserve">et al </w:t>
            </w:r>
            <w:r>
              <w:rPr>
                <w:sz w:val="14"/>
                <w:szCs w:val="14"/>
                <w:lang w:val="de-DE"/>
              </w:rPr>
              <w:t>(2022)</w:t>
            </w:r>
          </w:p>
        </w:tc>
        <w:tc>
          <w:tcPr>
            <w:tcW w:w="0" w:type="auto"/>
            <w:vAlign w:val="center"/>
          </w:tcPr>
          <w:p w14:paraId="74CDB65E" w14:textId="77777777" w:rsidR="001E0F1B" w:rsidRPr="00A627F2" w:rsidRDefault="001E0F1B" w:rsidP="00AA51D2">
            <w:pPr>
              <w:jc w:val="center"/>
              <w:rPr>
                <w:sz w:val="14"/>
                <w:szCs w:val="14"/>
                <w:lang w:val="de-DE"/>
              </w:rPr>
            </w:pPr>
            <w:proofErr w:type="spellStart"/>
            <w:r>
              <w:rPr>
                <w:sz w:val="14"/>
                <w:szCs w:val="14"/>
                <w:lang w:val="de-DE"/>
              </w:rPr>
              <w:t>Retrospective</w:t>
            </w:r>
            <w:proofErr w:type="spellEnd"/>
            <w:r>
              <w:rPr>
                <w:sz w:val="14"/>
                <w:szCs w:val="14"/>
                <w:lang w:val="de-DE"/>
              </w:rPr>
              <w:t xml:space="preserve"> </w:t>
            </w:r>
            <w:proofErr w:type="spellStart"/>
            <w:r>
              <w:rPr>
                <w:sz w:val="14"/>
                <w:szCs w:val="14"/>
                <w:lang w:val="de-DE"/>
              </w:rPr>
              <w:t>observational</w:t>
            </w:r>
            <w:proofErr w:type="spellEnd"/>
          </w:p>
        </w:tc>
        <w:tc>
          <w:tcPr>
            <w:tcW w:w="0" w:type="auto"/>
            <w:vAlign w:val="center"/>
          </w:tcPr>
          <w:p w14:paraId="12DA2FC9" w14:textId="77777777" w:rsidR="001E0F1B" w:rsidRPr="00A627F2" w:rsidRDefault="001E0F1B" w:rsidP="00AA51D2">
            <w:pPr>
              <w:jc w:val="center"/>
              <w:rPr>
                <w:sz w:val="14"/>
                <w:szCs w:val="14"/>
                <w:lang w:val="de-DE"/>
              </w:rPr>
            </w:pPr>
            <w:r>
              <w:rPr>
                <w:sz w:val="14"/>
                <w:szCs w:val="14"/>
                <w:lang w:val="de-DE"/>
              </w:rPr>
              <w:t>Taiwan</w:t>
            </w:r>
          </w:p>
        </w:tc>
        <w:tc>
          <w:tcPr>
            <w:tcW w:w="0" w:type="auto"/>
            <w:vAlign w:val="center"/>
          </w:tcPr>
          <w:p w14:paraId="5767DA68" w14:textId="77777777" w:rsidR="001E0F1B" w:rsidRPr="00567138" w:rsidRDefault="001E0F1B" w:rsidP="00AA51D2">
            <w:pPr>
              <w:jc w:val="center"/>
              <w:rPr>
                <w:rFonts w:eastAsia="Calibri"/>
                <w:sz w:val="14"/>
                <w:szCs w:val="14"/>
                <w:lang w:val="de-DE"/>
              </w:rPr>
            </w:pPr>
            <w:r w:rsidRPr="00567138">
              <w:rPr>
                <w:rFonts w:eastAsia="Calibri"/>
                <w:sz w:val="14"/>
                <w:szCs w:val="14"/>
                <w:lang w:val="de-DE"/>
              </w:rPr>
              <w:t>Jan 2010</w:t>
            </w:r>
          </w:p>
          <w:p w14:paraId="46329DF3" w14:textId="77777777" w:rsidR="001E0F1B" w:rsidRPr="00567138" w:rsidRDefault="001E0F1B" w:rsidP="00AA51D2">
            <w:pPr>
              <w:jc w:val="center"/>
              <w:rPr>
                <w:sz w:val="14"/>
                <w:szCs w:val="14"/>
              </w:rPr>
            </w:pPr>
            <w:r w:rsidRPr="00567138">
              <w:rPr>
                <w:sz w:val="14"/>
                <w:szCs w:val="14"/>
              </w:rPr>
              <w:t>–</w:t>
            </w:r>
          </w:p>
          <w:p w14:paraId="1EE248C6" w14:textId="77777777" w:rsidR="001E0F1B" w:rsidRPr="00A627F2" w:rsidRDefault="001E0F1B" w:rsidP="00AA51D2">
            <w:pPr>
              <w:jc w:val="center"/>
              <w:rPr>
                <w:sz w:val="14"/>
                <w:szCs w:val="14"/>
                <w:lang w:val="de-DE"/>
              </w:rPr>
            </w:pPr>
            <w:proofErr w:type="spellStart"/>
            <w:r>
              <w:rPr>
                <w:sz w:val="14"/>
                <w:szCs w:val="14"/>
                <w:lang w:val="de-DE"/>
              </w:rPr>
              <w:t>Dec</w:t>
            </w:r>
            <w:proofErr w:type="spellEnd"/>
            <w:r>
              <w:rPr>
                <w:sz w:val="14"/>
                <w:szCs w:val="14"/>
                <w:lang w:val="de-DE"/>
              </w:rPr>
              <w:t xml:space="preserve"> 2021</w:t>
            </w:r>
          </w:p>
        </w:tc>
        <w:tc>
          <w:tcPr>
            <w:tcW w:w="0" w:type="auto"/>
            <w:vAlign w:val="center"/>
          </w:tcPr>
          <w:p w14:paraId="6A0E9112" w14:textId="77777777" w:rsidR="001E0F1B" w:rsidRPr="00A627F2" w:rsidRDefault="001E0F1B" w:rsidP="00AA51D2">
            <w:pPr>
              <w:jc w:val="center"/>
              <w:rPr>
                <w:rFonts w:eastAsia="Calibri"/>
                <w:sz w:val="14"/>
                <w:szCs w:val="14"/>
                <w:lang w:val="de-DE"/>
              </w:rPr>
            </w:pPr>
            <w:r>
              <w:rPr>
                <w:rFonts w:eastAsia="Calibri"/>
                <w:sz w:val="14"/>
                <w:szCs w:val="14"/>
                <w:lang w:val="de-DE"/>
              </w:rPr>
              <w:t>DAP+BL</w:t>
            </w:r>
          </w:p>
        </w:tc>
        <w:tc>
          <w:tcPr>
            <w:tcW w:w="0" w:type="auto"/>
            <w:vAlign w:val="center"/>
          </w:tcPr>
          <w:p w14:paraId="4BE041C5" w14:textId="77777777" w:rsidR="001E0F1B" w:rsidRPr="00A627F2" w:rsidRDefault="001E0F1B" w:rsidP="00AA51D2">
            <w:pPr>
              <w:jc w:val="center"/>
              <w:rPr>
                <w:rFonts w:eastAsia="Calibri"/>
                <w:sz w:val="14"/>
                <w:szCs w:val="14"/>
                <w:lang w:val="de-DE"/>
              </w:rPr>
            </w:pPr>
            <w:r>
              <w:rPr>
                <w:rFonts w:eastAsia="Calibri"/>
                <w:sz w:val="14"/>
                <w:szCs w:val="14"/>
                <w:lang w:val="de-DE"/>
              </w:rPr>
              <w:t>DAP</w:t>
            </w:r>
          </w:p>
        </w:tc>
        <w:tc>
          <w:tcPr>
            <w:tcW w:w="0" w:type="auto"/>
            <w:vAlign w:val="center"/>
          </w:tcPr>
          <w:p w14:paraId="7548016C" w14:textId="77777777" w:rsidR="001E0F1B" w:rsidRPr="00A627F2" w:rsidRDefault="001E0F1B" w:rsidP="00AA51D2">
            <w:pPr>
              <w:jc w:val="center"/>
              <w:rPr>
                <w:rFonts w:eastAsia="Calibri"/>
                <w:sz w:val="14"/>
                <w:szCs w:val="14"/>
                <w:lang w:val="de-DE"/>
              </w:rPr>
            </w:pPr>
            <w:r>
              <w:rPr>
                <w:rFonts w:eastAsia="Calibri"/>
                <w:sz w:val="14"/>
                <w:szCs w:val="14"/>
                <w:lang w:val="de-DE"/>
              </w:rPr>
              <w:t xml:space="preserve">385 vs. 45 </w:t>
            </w:r>
          </w:p>
        </w:tc>
        <w:tc>
          <w:tcPr>
            <w:tcW w:w="0" w:type="auto"/>
            <w:vAlign w:val="center"/>
          </w:tcPr>
          <w:p w14:paraId="666B8AC9" w14:textId="77777777" w:rsidR="001E0F1B" w:rsidRPr="00A627F2" w:rsidRDefault="001E0F1B" w:rsidP="00AA51D2">
            <w:pPr>
              <w:jc w:val="center"/>
              <w:rPr>
                <w:rFonts w:eastAsia="Calibri"/>
                <w:sz w:val="14"/>
                <w:szCs w:val="14"/>
                <w:lang w:val="de-DE"/>
              </w:rPr>
            </w:pPr>
            <w:r>
              <w:rPr>
                <w:rFonts w:eastAsia="Calibri"/>
                <w:sz w:val="14"/>
                <w:szCs w:val="14"/>
                <w:lang w:val="de-DE"/>
              </w:rPr>
              <w:t>66.5 vs. 68.1</w:t>
            </w:r>
          </w:p>
        </w:tc>
        <w:tc>
          <w:tcPr>
            <w:tcW w:w="0" w:type="auto"/>
            <w:vAlign w:val="center"/>
          </w:tcPr>
          <w:p w14:paraId="46B83948" w14:textId="77777777" w:rsidR="001E0F1B" w:rsidRPr="00A627F2" w:rsidRDefault="001E0F1B" w:rsidP="00AA51D2">
            <w:pPr>
              <w:jc w:val="center"/>
              <w:rPr>
                <w:rFonts w:eastAsia="Calibri"/>
                <w:sz w:val="14"/>
                <w:szCs w:val="14"/>
                <w:lang w:val="de-DE"/>
              </w:rPr>
            </w:pPr>
            <w:r>
              <w:rPr>
                <w:rFonts w:eastAsia="Calibri"/>
                <w:sz w:val="14"/>
                <w:szCs w:val="14"/>
                <w:lang w:val="de-DE"/>
              </w:rPr>
              <w:t>53% vs. 56%</w:t>
            </w:r>
          </w:p>
        </w:tc>
        <w:tc>
          <w:tcPr>
            <w:tcW w:w="0" w:type="auto"/>
            <w:vAlign w:val="center"/>
          </w:tcPr>
          <w:p w14:paraId="247A4717"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0205FF39" w14:textId="77777777" w:rsidR="001E0F1B" w:rsidRPr="00A627F2" w:rsidRDefault="001E0F1B" w:rsidP="00AA51D2">
            <w:pPr>
              <w:jc w:val="center"/>
              <w:rPr>
                <w:sz w:val="14"/>
                <w:szCs w:val="14"/>
                <w:lang w:val="de-DE"/>
              </w:rPr>
            </w:pPr>
            <w:r>
              <w:rPr>
                <w:sz w:val="14"/>
                <w:szCs w:val="14"/>
                <w:lang w:val="de-DE"/>
              </w:rPr>
              <w:t>210</w:t>
            </w:r>
          </w:p>
        </w:tc>
        <w:tc>
          <w:tcPr>
            <w:tcW w:w="0" w:type="auto"/>
            <w:vAlign w:val="center"/>
          </w:tcPr>
          <w:p w14:paraId="3B1CD439" w14:textId="77777777" w:rsidR="001E0F1B" w:rsidRPr="00A627F2" w:rsidRDefault="001E0F1B" w:rsidP="00AA51D2">
            <w:pPr>
              <w:jc w:val="center"/>
              <w:rPr>
                <w:sz w:val="14"/>
                <w:szCs w:val="14"/>
                <w:lang w:val="de-DE"/>
              </w:rPr>
            </w:pPr>
            <w:r>
              <w:rPr>
                <w:sz w:val="14"/>
                <w:szCs w:val="14"/>
                <w:lang w:val="de-DE"/>
              </w:rPr>
              <w:t>16</w:t>
            </w:r>
          </w:p>
        </w:tc>
        <w:tc>
          <w:tcPr>
            <w:tcW w:w="0" w:type="auto"/>
            <w:vAlign w:val="center"/>
          </w:tcPr>
          <w:p w14:paraId="5C06501F" w14:textId="77777777" w:rsidR="001E0F1B" w:rsidRPr="00A627F2" w:rsidRDefault="001E0F1B" w:rsidP="00AA51D2">
            <w:pPr>
              <w:jc w:val="center"/>
              <w:rPr>
                <w:sz w:val="14"/>
                <w:szCs w:val="14"/>
                <w:lang w:val="de-DE"/>
              </w:rPr>
            </w:pPr>
            <w:r>
              <w:rPr>
                <w:sz w:val="14"/>
                <w:szCs w:val="14"/>
                <w:lang w:val="de-DE"/>
              </w:rPr>
              <w:t>175</w:t>
            </w:r>
          </w:p>
        </w:tc>
        <w:tc>
          <w:tcPr>
            <w:tcW w:w="0" w:type="auto"/>
            <w:vAlign w:val="center"/>
          </w:tcPr>
          <w:p w14:paraId="793C95B1" w14:textId="77777777" w:rsidR="001E0F1B" w:rsidRPr="00A627F2" w:rsidRDefault="001E0F1B" w:rsidP="00AA51D2">
            <w:pPr>
              <w:jc w:val="center"/>
              <w:rPr>
                <w:sz w:val="14"/>
                <w:szCs w:val="14"/>
                <w:lang w:val="de-DE"/>
              </w:rPr>
            </w:pPr>
            <w:r>
              <w:rPr>
                <w:sz w:val="14"/>
                <w:szCs w:val="14"/>
                <w:lang w:val="de-DE"/>
              </w:rPr>
              <w:t>29</w:t>
            </w:r>
          </w:p>
        </w:tc>
        <w:tc>
          <w:tcPr>
            <w:tcW w:w="0" w:type="auto"/>
            <w:vAlign w:val="center"/>
          </w:tcPr>
          <w:p w14:paraId="24479EBD" w14:textId="77777777" w:rsidR="001E0F1B" w:rsidRPr="00A627F2" w:rsidRDefault="001E0F1B" w:rsidP="00AA51D2">
            <w:pPr>
              <w:jc w:val="center"/>
              <w:rPr>
                <w:sz w:val="14"/>
                <w:szCs w:val="14"/>
                <w:lang w:val="de-DE"/>
              </w:rPr>
            </w:pPr>
            <w:r>
              <w:rPr>
                <w:sz w:val="14"/>
                <w:szCs w:val="14"/>
                <w:lang w:val="de-DE"/>
              </w:rPr>
              <w:t>0</w:t>
            </w:r>
          </w:p>
        </w:tc>
        <w:tc>
          <w:tcPr>
            <w:tcW w:w="0" w:type="auto"/>
            <w:vAlign w:val="center"/>
          </w:tcPr>
          <w:p w14:paraId="6AA180D0" w14:textId="77777777" w:rsidR="001E0F1B" w:rsidRPr="00A627F2" w:rsidRDefault="001E0F1B" w:rsidP="00AA51D2">
            <w:pPr>
              <w:jc w:val="center"/>
              <w:rPr>
                <w:sz w:val="14"/>
                <w:szCs w:val="14"/>
                <w:lang w:val="de-DE"/>
              </w:rPr>
            </w:pPr>
            <w:r>
              <w:rPr>
                <w:sz w:val="14"/>
                <w:szCs w:val="14"/>
                <w:lang w:val="de-DE"/>
              </w:rPr>
              <w:t>16</w:t>
            </w:r>
          </w:p>
        </w:tc>
        <w:tc>
          <w:tcPr>
            <w:tcW w:w="0" w:type="auto"/>
            <w:vAlign w:val="center"/>
          </w:tcPr>
          <w:p w14:paraId="50D7A8B1" w14:textId="77777777" w:rsidR="001E0F1B" w:rsidRPr="00A627F2" w:rsidRDefault="001E0F1B" w:rsidP="00AA51D2">
            <w:pPr>
              <w:jc w:val="center"/>
              <w:rPr>
                <w:sz w:val="14"/>
                <w:szCs w:val="14"/>
                <w:lang w:val="de-DE"/>
              </w:rPr>
            </w:pPr>
            <w:r>
              <w:rPr>
                <w:sz w:val="14"/>
                <w:szCs w:val="14"/>
                <w:lang w:val="de-DE"/>
              </w:rPr>
              <w:t>NA</w:t>
            </w:r>
          </w:p>
        </w:tc>
      </w:tr>
      <w:tr w:rsidR="001E0F1B" w:rsidRPr="00A627F2" w14:paraId="25B4928B" w14:textId="77777777" w:rsidTr="00AA51D2">
        <w:tc>
          <w:tcPr>
            <w:tcW w:w="0" w:type="auto"/>
            <w:vAlign w:val="center"/>
          </w:tcPr>
          <w:p w14:paraId="5AEF283F" w14:textId="77777777" w:rsidR="001E0F1B" w:rsidRPr="00A627F2" w:rsidRDefault="001E0F1B" w:rsidP="00AA51D2">
            <w:pPr>
              <w:jc w:val="center"/>
              <w:rPr>
                <w:sz w:val="14"/>
                <w:szCs w:val="14"/>
                <w:lang w:val="de-DE"/>
              </w:rPr>
            </w:pPr>
            <w:r>
              <w:rPr>
                <w:sz w:val="14"/>
                <w:szCs w:val="14"/>
                <w:lang w:val="de-DE"/>
              </w:rPr>
              <w:t xml:space="preserve">Chuang Y </w:t>
            </w:r>
            <w:r w:rsidRPr="009B3772">
              <w:rPr>
                <w:i/>
                <w:iCs/>
                <w:sz w:val="14"/>
                <w:szCs w:val="14"/>
                <w:lang w:val="de-DE"/>
              </w:rPr>
              <w:t xml:space="preserve">et al </w:t>
            </w:r>
            <w:r>
              <w:rPr>
                <w:sz w:val="14"/>
                <w:szCs w:val="14"/>
                <w:lang w:val="de-DE"/>
              </w:rPr>
              <w:t>(2022)</w:t>
            </w:r>
          </w:p>
        </w:tc>
        <w:tc>
          <w:tcPr>
            <w:tcW w:w="0" w:type="auto"/>
            <w:vAlign w:val="center"/>
          </w:tcPr>
          <w:p w14:paraId="23E7DE1E" w14:textId="77777777" w:rsidR="001E0F1B" w:rsidRPr="00A627F2" w:rsidRDefault="001E0F1B" w:rsidP="00AA51D2">
            <w:pPr>
              <w:jc w:val="center"/>
              <w:rPr>
                <w:sz w:val="14"/>
                <w:szCs w:val="14"/>
                <w:lang w:val="de-DE"/>
              </w:rPr>
            </w:pPr>
            <w:proofErr w:type="spellStart"/>
            <w:r>
              <w:rPr>
                <w:sz w:val="14"/>
                <w:szCs w:val="14"/>
                <w:lang w:val="de-DE"/>
              </w:rPr>
              <w:t>Prospective</w:t>
            </w:r>
            <w:proofErr w:type="spellEnd"/>
            <w:r>
              <w:rPr>
                <w:sz w:val="14"/>
                <w:szCs w:val="14"/>
                <w:lang w:val="de-DE"/>
              </w:rPr>
              <w:t xml:space="preserve"> </w:t>
            </w:r>
            <w:proofErr w:type="spellStart"/>
            <w:r>
              <w:rPr>
                <w:sz w:val="14"/>
                <w:szCs w:val="14"/>
                <w:lang w:val="de-DE"/>
              </w:rPr>
              <w:t>observational</w:t>
            </w:r>
            <w:proofErr w:type="spellEnd"/>
          </w:p>
        </w:tc>
        <w:tc>
          <w:tcPr>
            <w:tcW w:w="0" w:type="auto"/>
            <w:vAlign w:val="center"/>
          </w:tcPr>
          <w:p w14:paraId="1140E796" w14:textId="77777777" w:rsidR="001E0F1B" w:rsidRPr="00A627F2" w:rsidRDefault="001E0F1B" w:rsidP="00AA51D2">
            <w:pPr>
              <w:jc w:val="center"/>
              <w:rPr>
                <w:sz w:val="14"/>
                <w:szCs w:val="14"/>
                <w:lang w:val="de-DE"/>
              </w:rPr>
            </w:pPr>
            <w:r>
              <w:rPr>
                <w:sz w:val="14"/>
                <w:szCs w:val="14"/>
                <w:lang w:val="de-DE"/>
              </w:rPr>
              <w:t>Taiwan</w:t>
            </w:r>
          </w:p>
        </w:tc>
        <w:tc>
          <w:tcPr>
            <w:tcW w:w="0" w:type="auto"/>
            <w:vAlign w:val="center"/>
          </w:tcPr>
          <w:p w14:paraId="0201324C" w14:textId="77777777" w:rsidR="001E0F1B" w:rsidRPr="00567138" w:rsidRDefault="001E0F1B" w:rsidP="00AA51D2">
            <w:pPr>
              <w:jc w:val="center"/>
              <w:rPr>
                <w:rFonts w:eastAsia="Calibri"/>
                <w:sz w:val="14"/>
                <w:szCs w:val="14"/>
                <w:lang w:val="de-DE"/>
              </w:rPr>
            </w:pPr>
            <w:r w:rsidRPr="00567138">
              <w:rPr>
                <w:rFonts w:eastAsia="Calibri"/>
                <w:sz w:val="14"/>
                <w:szCs w:val="14"/>
                <w:lang w:val="de-DE"/>
              </w:rPr>
              <w:t>Jan 2010</w:t>
            </w:r>
          </w:p>
          <w:p w14:paraId="02F3480F" w14:textId="77777777" w:rsidR="001E0F1B" w:rsidRPr="00567138" w:rsidRDefault="001E0F1B" w:rsidP="00AA51D2">
            <w:pPr>
              <w:jc w:val="center"/>
              <w:rPr>
                <w:sz w:val="14"/>
                <w:szCs w:val="14"/>
              </w:rPr>
            </w:pPr>
            <w:r w:rsidRPr="00567138">
              <w:rPr>
                <w:sz w:val="14"/>
                <w:szCs w:val="14"/>
              </w:rPr>
              <w:t>–</w:t>
            </w:r>
          </w:p>
          <w:p w14:paraId="4A200EA4" w14:textId="77777777" w:rsidR="001E0F1B" w:rsidRPr="00A627F2" w:rsidRDefault="001E0F1B" w:rsidP="00AA51D2">
            <w:pPr>
              <w:jc w:val="center"/>
              <w:rPr>
                <w:sz w:val="14"/>
                <w:szCs w:val="14"/>
                <w:lang w:val="de-DE"/>
              </w:rPr>
            </w:pPr>
            <w:proofErr w:type="spellStart"/>
            <w:r>
              <w:rPr>
                <w:sz w:val="14"/>
                <w:szCs w:val="14"/>
                <w:lang w:val="de-DE"/>
              </w:rPr>
              <w:t>Dec</w:t>
            </w:r>
            <w:proofErr w:type="spellEnd"/>
            <w:r>
              <w:rPr>
                <w:sz w:val="14"/>
                <w:szCs w:val="14"/>
                <w:lang w:val="de-DE"/>
              </w:rPr>
              <w:t xml:space="preserve"> 2021</w:t>
            </w:r>
          </w:p>
        </w:tc>
        <w:tc>
          <w:tcPr>
            <w:tcW w:w="0" w:type="auto"/>
            <w:vAlign w:val="center"/>
          </w:tcPr>
          <w:p w14:paraId="4ADE73FA" w14:textId="77777777" w:rsidR="001E0F1B" w:rsidRDefault="001E0F1B" w:rsidP="00AA51D2">
            <w:pPr>
              <w:jc w:val="center"/>
              <w:rPr>
                <w:rFonts w:eastAsia="Calibri"/>
                <w:sz w:val="14"/>
                <w:szCs w:val="14"/>
                <w:lang w:val="de-DE"/>
              </w:rPr>
            </w:pPr>
            <w:r>
              <w:rPr>
                <w:rFonts w:eastAsia="Calibri"/>
                <w:sz w:val="14"/>
                <w:szCs w:val="14"/>
                <w:lang w:val="de-DE"/>
              </w:rPr>
              <w:t xml:space="preserve">HD DAP </w:t>
            </w:r>
          </w:p>
          <w:p w14:paraId="53141E2D" w14:textId="77777777" w:rsidR="001E0F1B" w:rsidRPr="00A627F2" w:rsidRDefault="001E0F1B" w:rsidP="00AA51D2">
            <w:pPr>
              <w:jc w:val="center"/>
              <w:rPr>
                <w:rFonts w:eastAsia="Calibri"/>
                <w:sz w:val="14"/>
                <w:szCs w:val="14"/>
                <w:lang w:val="de-DE"/>
              </w:rPr>
            </w:pPr>
            <w:r>
              <w:rPr>
                <w:rFonts w:eastAsia="Calibri"/>
                <w:sz w:val="14"/>
                <w:szCs w:val="14"/>
                <w:lang w:val="de-DE"/>
              </w:rPr>
              <w:t>(≥ 11 mg/kg)</w:t>
            </w:r>
          </w:p>
        </w:tc>
        <w:tc>
          <w:tcPr>
            <w:tcW w:w="0" w:type="auto"/>
            <w:vAlign w:val="center"/>
          </w:tcPr>
          <w:p w14:paraId="45D694D1" w14:textId="77777777" w:rsidR="001E0F1B" w:rsidRPr="00A627F2" w:rsidRDefault="001E0F1B" w:rsidP="00AA51D2">
            <w:pPr>
              <w:jc w:val="center"/>
              <w:rPr>
                <w:rFonts w:eastAsia="Calibri"/>
                <w:sz w:val="14"/>
                <w:szCs w:val="14"/>
                <w:lang w:val="de-DE"/>
              </w:rPr>
            </w:pPr>
            <w:r>
              <w:rPr>
                <w:rFonts w:eastAsia="Calibri"/>
                <w:sz w:val="14"/>
                <w:szCs w:val="14"/>
                <w:lang w:val="de-DE"/>
              </w:rPr>
              <w:t>SD DAP (8-11 mg/kg)</w:t>
            </w:r>
          </w:p>
        </w:tc>
        <w:tc>
          <w:tcPr>
            <w:tcW w:w="0" w:type="auto"/>
            <w:vAlign w:val="center"/>
          </w:tcPr>
          <w:p w14:paraId="5417E20D" w14:textId="77777777" w:rsidR="001E0F1B" w:rsidRPr="00A627F2" w:rsidRDefault="001E0F1B" w:rsidP="00AA51D2">
            <w:pPr>
              <w:jc w:val="center"/>
              <w:rPr>
                <w:rFonts w:eastAsia="Calibri"/>
                <w:sz w:val="14"/>
                <w:szCs w:val="14"/>
                <w:lang w:val="de-DE"/>
              </w:rPr>
            </w:pPr>
            <w:r>
              <w:rPr>
                <w:rFonts w:eastAsia="Calibri"/>
                <w:sz w:val="14"/>
                <w:szCs w:val="14"/>
                <w:lang w:val="de-DE"/>
              </w:rPr>
              <w:t>129 vs. 532</w:t>
            </w:r>
          </w:p>
        </w:tc>
        <w:tc>
          <w:tcPr>
            <w:tcW w:w="0" w:type="auto"/>
            <w:vAlign w:val="center"/>
          </w:tcPr>
          <w:p w14:paraId="3347FB8B" w14:textId="77777777" w:rsidR="001E0F1B" w:rsidRPr="00A627F2" w:rsidRDefault="001E0F1B" w:rsidP="00AA51D2">
            <w:pPr>
              <w:jc w:val="center"/>
              <w:rPr>
                <w:rFonts w:eastAsia="Calibri"/>
                <w:sz w:val="14"/>
                <w:szCs w:val="14"/>
                <w:lang w:val="de-DE"/>
              </w:rPr>
            </w:pPr>
            <w:r>
              <w:rPr>
                <w:rFonts w:eastAsia="Calibri"/>
                <w:sz w:val="14"/>
                <w:szCs w:val="14"/>
                <w:lang w:val="de-DE"/>
              </w:rPr>
              <w:t>67</w:t>
            </w:r>
          </w:p>
        </w:tc>
        <w:tc>
          <w:tcPr>
            <w:tcW w:w="0" w:type="auto"/>
            <w:vAlign w:val="center"/>
          </w:tcPr>
          <w:p w14:paraId="6B89CFC5" w14:textId="77777777" w:rsidR="001E0F1B" w:rsidRPr="00A627F2" w:rsidRDefault="001E0F1B" w:rsidP="00AA51D2">
            <w:pPr>
              <w:jc w:val="center"/>
              <w:rPr>
                <w:rFonts w:eastAsia="Calibri"/>
                <w:sz w:val="14"/>
                <w:szCs w:val="14"/>
                <w:lang w:val="de-DE"/>
              </w:rPr>
            </w:pPr>
            <w:r>
              <w:rPr>
                <w:rFonts w:eastAsia="Calibri"/>
                <w:sz w:val="14"/>
                <w:szCs w:val="14"/>
                <w:lang w:val="de-DE"/>
              </w:rPr>
              <w:t>56%</w:t>
            </w:r>
          </w:p>
        </w:tc>
        <w:tc>
          <w:tcPr>
            <w:tcW w:w="0" w:type="auto"/>
            <w:vAlign w:val="center"/>
          </w:tcPr>
          <w:p w14:paraId="20F4B553"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66DCF543"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45B9E973"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083DC004"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43FC07C2"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36C2810F"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5EDDDF49"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00CBCE43" w14:textId="77777777" w:rsidR="001E0F1B" w:rsidRPr="00A627F2" w:rsidRDefault="001E0F1B" w:rsidP="00AA51D2">
            <w:pPr>
              <w:jc w:val="center"/>
              <w:rPr>
                <w:sz w:val="14"/>
                <w:szCs w:val="14"/>
                <w:lang w:val="de-DE"/>
              </w:rPr>
            </w:pPr>
            <w:r>
              <w:rPr>
                <w:sz w:val="14"/>
                <w:szCs w:val="14"/>
                <w:lang w:val="de-DE"/>
              </w:rPr>
              <w:t>NA</w:t>
            </w:r>
          </w:p>
        </w:tc>
      </w:tr>
      <w:tr w:rsidR="001E0F1B" w:rsidRPr="00A627F2" w14:paraId="0D34C662" w14:textId="77777777" w:rsidTr="00AA51D2">
        <w:tc>
          <w:tcPr>
            <w:tcW w:w="0" w:type="auto"/>
            <w:vAlign w:val="center"/>
          </w:tcPr>
          <w:p w14:paraId="1B66ACCD" w14:textId="77777777" w:rsidR="001E0F1B" w:rsidRPr="00A627F2" w:rsidRDefault="001E0F1B" w:rsidP="00AA51D2">
            <w:pPr>
              <w:jc w:val="center"/>
              <w:rPr>
                <w:sz w:val="14"/>
                <w:szCs w:val="14"/>
                <w:lang w:val="de-DE"/>
              </w:rPr>
            </w:pPr>
            <w:r>
              <w:rPr>
                <w:sz w:val="14"/>
                <w:szCs w:val="14"/>
                <w:lang w:val="de-DE"/>
              </w:rPr>
              <w:t xml:space="preserve">Chuang Y </w:t>
            </w:r>
            <w:r w:rsidRPr="007E27EE">
              <w:rPr>
                <w:i/>
                <w:iCs/>
                <w:sz w:val="14"/>
                <w:szCs w:val="14"/>
                <w:lang w:val="de-DE"/>
              </w:rPr>
              <w:t xml:space="preserve">et al </w:t>
            </w:r>
            <w:r>
              <w:rPr>
                <w:sz w:val="14"/>
                <w:szCs w:val="14"/>
                <w:lang w:val="de-DE"/>
              </w:rPr>
              <w:t>(2022)</w:t>
            </w:r>
          </w:p>
        </w:tc>
        <w:tc>
          <w:tcPr>
            <w:tcW w:w="0" w:type="auto"/>
            <w:vAlign w:val="center"/>
          </w:tcPr>
          <w:p w14:paraId="4CFFEC55" w14:textId="77777777" w:rsidR="001E0F1B" w:rsidRPr="00A627F2" w:rsidRDefault="001E0F1B" w:rsidP="00AA51D2">
            <w:pPr>
              <w:jc w:val="center"/>
              <w:rPr>
                <w:sz w:val="14"/>
                <w:szCs w:val="14"/>
                <w:lang w:val="de-DE"/>
              </w:rPr>
            </w:pPr>
            <w:proofErr w:type="spellStart"/>
            <w:r>
              <w:rPr>
                <w:sz w:val="14"/>
                <w:szCs w:val="14"/>
                <w:lang w:val="de-DE"/>
              </w:rPr>
              <w:t>Prospective</w:t>
            </w:r>
            <w:proofErr w:type="spellEnd"/>
            <w:r>
              <w:rPr>
                <w:sz w:val="14"/>
                <w:szCs w:val="14"/>
                <w:lang w:val="de-DE"/>
              </w:rPr>
              <w:t xml:space="preserve"> </w:t>
            </w:r>
            <w:proofErr w:type="spellStart"/>
            <w:r>
              <w:rPr>
                <w:sz w:val="14"/>
                <w:szCs w:val="14"/>
                <w:lang w:val="de-DE"/>
              </w:rPr>
              <w:t>observational</w:t>
            </w:r>
            <w:proofErr w:type="spellEnd"/>
          </w:p>
        </w:tc>
        <w:tc>
          <w:tcPr>
            <w:tcW w:w="0" w:type="auto"/>
            <w:vAlign w:val="center"/>
          </w:tcPr>
          <w:p w14:paraId="111A4F63" w14:textId="77777777" w:rsidR="001E0F1B" w:rsidRPr="00A627F2" w:rsidRDefault="001E0F1B" w:rsidP="00AA51D2">
            <w:pPr>
              <w:jc w:val="center"/>
              <w:rPr>
                <w:sz w:val="14"/>
                <w:szCs w:val="14"/>
                <w:lang w:val="de-DE"/>
              </w:rPr>
            </w:pPr>
            <w:r>
              <w:rPr>
                <w:sz w:val="14"/>
                <w:szCs w:val="14"/>
                <w:lang w:val="de-DE"/>
              </w:rPr>
              <w:t>Taiwan</w:t>
            </w:r>
          </w:p>
        </w:tc>
        <w:tc>
          <w:tcPr>
            <w:tcW w:w="0" w:type="auto"/>
            <w:vAlign w:val="center"/>
          </w:tcPr>
          <w:p w14:paraId="3964444F" w14:textId="77777777" w:rsidR="001E0F1B" w:rsidRPr="00567138" w:rsidRDefault="001E0F1B" w:rsidP="00AA51D2">
            <w:pPr>
              <w:rPr>
                <w:rFonts w:eastAsia="Calibri"/>
                <w:sz w:val="14"/>
                <w:szCs w:val="14"/>
                <w:lang w:val="de-DE"/>
              </w:rPr>
            </w:pPr>
            <w:r>
              <w:rPr>
                <w:rFonts w:eastAsia="Calibri"/>
                <w:sz w:val="14"/>
                <w:szCs w:val="14"/>
                <w:lang w:val="de-DE"/>
              </w:rPr>
              <w:t>Aug</w:t>
            </w:r>
            <w:r w:rsidRPr="00567138">
              <w:rPr>
                <w:rFonts w:eastAsia="Calibri"/>
                <w:sz w:val="14"/>
                <w:szCs w:val="14"/>
                <w:lang w:val="de-DE"/>
              </w:rPr>
              <w:t xml:space="preserve"> 201</w:t>
            </w:r>
            <w:r>
              <w:rPr>
                <w:rFonts w:eastAsia="Calibri"/>
                <w:sz w:val="14"/>
                <w:szCs w:val="14"/>
                <w:lang w:val="de-DE"/>
              </w:rPr>
              <w:t>6</w:t>
            </w:r>
          </w:p>
          <w:p w14:paraId="569D5F24" w14:textId="77777777" w:rsidR="001E0F1B" w:rsidRPr="00567138" w:rsidRDefault="001E0F1B" w:rsidP="00AA51D2">
            <w:pPr>
              <w:jc w:val="center"/>
              <w:rPr>
                <w:sz w:val="14"/>
                <w:szCs w:val="14"/>
              </w:rPr>
            </w:pPr>
            <w:r w:rsidRPr="00567138">
              <w:rPr>
                <w:sz w:val="14"/>
                <w:szCs w:val="14"/>
              </w:rPr>
              <w:t>–</w:t>
            </w:r>
          </w:p>
          <w:p w14:paraId="6E57DD1D" w14:textId="77777777" w:rsidR="001E0F1B" w:rsidRPr="00A627F2" w:rsidRDefault="001E0F1B" w:rsidP="00AA51D2">
            <w:pPr>
              <w:jc w:val="center"/>
              <w:rPr>
                <w:rFonts w:eastAsia="Calibri"/>
                <w:sz w:val="14"/>
                <w:szCs w:val="14"/>
                <w:lang w:val="de-DE"/>
              </w:rPr>
            </w:pPr>
            <w:r>
              <w:rPr>
                <w:sz w:val="14"/>
                <w:szCs w:val="14"/>
                <w:lang w:val="de-DE"/>
              </w:rPr>
              <w:t>Jul 2020</w:t>
            </w:r>
          </w:p>
        </w:tc>
        <w:tc>
          <w:tcPr>
            <w:tcW w:w="0" w:type="auto"/>
            <w:vAlign w:val="center"/>
          </w:tcPr>
          <w:p w14:paraId="3BCA9719" w14:textId="77777777" w:rsidR="001E0F1B" w:rsidRPr="00A627F2" w:rsidRDefault="001E0F1B" w:rsidP="00AA51D2">
            <w:pPr>
              <w:jc w:val="center"/>
              <w:rPr>
                <w:rFonts w:eastAsia="Calibri"/>
                <w:sz w:val="14"/>
                <w:szCs w:val="14"/>
                <w:lang w:val="de-DE"/>
              </w:rPr>
            </w:pPr>
            <w:r>
              <w:rPr>
                <w:rFonts w:eastAsia="Calibri"/>
                <w:sz w:val="14"/>
                <w:szCs w:val="14"/>
                <w:lang w:val="de-DE"/>
              </w:rPr>
              <w:t xml:space="preserve">DAP (different </w:t>
            </w:r>
            <w:proofErr w:type="spellStart"/>
            <w:r>
              <w:rPr>
                <w:rFonts w:eastAsia="Calibri"/>
                <w:sz w:val="14"/>
                <w:szCs w:val="14"/>
                <w:lang w:val="de-DE"/>
              </w:rPr>
              <w:t>dosage</w:t>
            </w:r>
            <w:proofErr w:type="spellEnd"/>
            <w:r>
              <w:rPr>
                <w:rFonts w:eastAsia="Calibri"/>
                <w:sz w:val="14"/>
                <w:szCs w:val="14"/>
                <w:lang w:val="de-DE"/>
              </w:rPr>
              <w:t xml:space="preserve"> and/</w:t>
            </w:r>
            <w:proofErr w:type="spellStart"/>
            <w:r>
              <w:rPr>
                <w:rFonts w:eastAsia="Calibri"/>
                <w:sz w:val="14"/>
                <w:szCs w:val="14"/>
                <w:lang w:val="de-DE"/>
              </w:rPr>
              <w:t>or</w:t>
            </w:r>
            <w:proofErr w:type="spellEnd"/>
            <w:r>
              <w:rPr>
                <w:rFonts w:eastAsia="Calibri"/>
                <w:sz w:val="14"/>
                <w:szCs w:val="14"/>
                <w:lang w:val="de-DE"/>
              </w:rPr>
              <w:t xml:space="preserve"> FOS </w:t>
            </w:r>
            <w:proofErr w:type="spellStart"/>
            <w:r>
              <w:rPr>
                <w:rFonts w:eastAsia="Calibri"/>
                <w:sz w:val="14"/>
                <w:szCs w:val="14"/>
                <w:lang w:val="de-DE"/>
              </w:rPr>
              <w:t>combination</w:t>
            </w:r>
            <w:proofErr w:type="spellEnd"/>
            <w:r>
              <w:rPr>
                <w:rFonts w:eastAsia="Calibri"/>
                <w:sz w:val="14"/>
                <w:szCs w:val="14"/>
                <w:lang w:val="de-DE"/>
              </w:rPr>
              <w:t>)</w:t>
            </w:r>
          </w:p>
        </w:tc>
        <w:tc>
          <w:tcPr>
            <w:tcW w:w="0" w:type="auto"/>
            <w:vAlign w:val="center"/>
          </w:tcPr>
          <w:p w14:paraId="661373C5" w14:textId="77777777" w:rsidR="001E0F1B" w:rsidRPr="00A627F2" w:rsidRDefault="001E0F1B" w:rsidP="00AA51D2">
            <w:pPr>
              <w:jc w:val="center"/>
              <w:rPr>
                <w:rFonts w:eastAsia="Calibri"/>
                <w:sz w:val="14"/>
                <w:szCs w:val="14"/>
                <w:lang w:val="de-DE"/>
              </w:rPr>
            </w:pPr>
            <w:r>
              <w:rPr>
                <w:rFonts w:eastAsia="Calibri"/>
                <w:sz w:val="14"/>
                <w:szCs w:val="14"/>
                <w:lang w:val="de-DE"/>
              </w:rPr>
              <w:t xml:space="preserve">DAP (different </w:t>
            </w:r>
            <w:proofErr w:type="spellStart"/>
            <w:r>
              <w:rPr>
                <w:rFonts w:eastAsia="Calibri"/>
                <w:sz w:val="14"/>
                <w:szCs w:val="14"/>
                <w:lang w:val="de-DE"/>
              </w:rPr>
              <w:t>dosage</w:t>
            </w:r>
            <w:proofErr w:type="spellEnd"/>
            <w:r>
              <w:rPr>
                <w:rFonts w:eastAsia="Calibri"/>
                <w:sz w:val="14"/>
                <w:szCs w:val="14"/>
                <w:lang w:val="de-DE"/>
              </w:rPr>
              <w:t xml:space="preserve"> and/</w:t>
            </w:r>
            <w:proofErr w:type="spellStart"/>
            <w:r>
              <w:rPr>
                <w:rFonts w:eastAsia="Calibri"/>
                <w:sz w:val="14"/>
                <w:szCs w:val="14"/>
                <w:lang w:val="de-DE"/>
              </w:rPr>
              <w:t>or</w:t>
            </w:r>
            <w:proofErr w:type="spellEnd"/>
            <w:r>
              <w:rPr>
                <w:rFonts w:eastAsia="Calibri"/>
                <w:sz w:val="14"/>
                <w:szCs w:val="14"/>
                <w:lang w:val="de-DE"/>
              </w:rPr>
              <w:t xml:space="preserve"> FOS </w:t>
            </w:r>
            <w:proofErr w:type="spellStart"/>
            <w:r>
              <w:rPr>
                <w:rFonts w:eastAsia="Calibri"/>
                <w:sz w:val="14"/>
                <w:szCs w:val="14"/>
                <w:lang w:val="de-DE"/>
              </w:rPr>
              <w:t>combination</w:t>
            </w:r>
            <w:proofErr w:type="spellEnd"/>
            <w:r>
              <w:rPr>
                <w:rFonts w:eastAsia="Calibri"/>
                <w:sz w:val="14"/>
                <w:szCs w:val="14"/>
                <w:lang w:val="de-DE"/>
              </w:rPr>
              <w:t>)</w:t>
            </w:r>
          </w:p>
        </w:tc>
        <w:tc>
          <w:tcPr>
            <w:tcW w:w="0" w:type="auto"/>
            <w:vAlign w:val="center"/>
          </w:tcPr>
          <w:p w14:paraId="134D36AB" w14:textId="77777777" w:rsidR="001E0F1B" w:rsidRPr="007E27EE" w:rsidRDefault="001E0F1B" w:rsidP="00AA51D2">
            <w:pPr>
              <w:jc w:val="center"/>
              <w:rPr>
                <w:rFonts w:eastAsia="Calibri"/>
                <w:sz w:val="14"/>
                <w:szCs w:val="14"/>
              </w:rPr>
            </w:pPr>
            <w:r w:rsidRPr="007E27EE">
              <w:rPr>
                <w:rFonts w:eastAsia="Calibri"/>
                <w:sz w:val="14"/>
                <w:szCs w:val="14"/>
              </w:rPr>
              <w:t>106 (</w:t>
            </w:r>
            <w:proofErr w:type="spellStart"/>
            <w:r w:rsidRPr="007E27EE">
              <w:rPr>
                <w:rFonts w:eastAsia="Calibri"/>
                <w:sz w:val="14"/>
                <w:szCs w:val="14"/>
              </w:rPr>
              <w:t>total</w:t>
            </w:r>
            <w:proofErr w:type="spellEnd"/>
            <w:r w:rsidRPr="007E27EE">
              <w:rPr>
                <w:rFonts w:eastAsia="Calibri"/>
                <w:sz w:val="14"/>
                <w:szCs w:val="14"/>
              </w:rPr>
              <w:t xml:space="preserve"> n. of </w:t>
            </w:r>
            <w:proofErr w:type="spellStart"/>
            <w:r w:rsidRPr="007E27EE">
              <w:rPr>
                <w:rFonts w:eastAsia="Calibri"/>
                <w:sz w:val="14"/>
                <w:szCs w:val="14"/>
              </w:rPr>
              <w:t>enrolled</w:t>
            </w:r>
            <w:proofErr w:type="spellEnd"/>
            <w:r w:rsidRPr="007E27EE">
              <w:rPr>
                <w:rFonts w:eastAsia="Calibri"/>
                <w:sz w:val="14"/>
                <w:szCs w:val="14"/>
              </w:rPr>
              <w:t xml:space="preserve"> patients)</w:t>
            </w:r>
          </w:p>
        </w:tc>
        <w:tc>
          <w:tcPr>
            <w:tcW w:w="0" w:type="auto"/>
            <w:vAlign w:val="center"/>
          </w:tcPr>
          <w:p w14:paraId="1436F964" w14:textId="77777777" w:rsidR="001E0F1B" w:rsidRPr="00A627F2" w:rsidRDefault="001E0F1B" w:rsidP="00AA51D2">
            <w:pPr>
              <w:jc w:val="center"/>
              <w:rPr>
                <w:rFonts w:eastAsia="Calibri"/>
                <w:sz w:val="14"/>
                <w:szCs w:val="14"/>
                <w:lang w:val="de-DE"/>
              </w:rPr>
            </w:pPr>
            <w:r>
              <w:rPr>
                <w:rFonts w:eastAsia="Calibri"/>
                <w:sz w:val="14"/>
                <w:szCs w:val="14"/>
                <w:lang w:val="de-DE"/>
              </w:rPr>
              <w:t>67.8</w:t>
            </w:r>
          </w:p>
        </w:tc>
        <w:tc>
          <w:tcPr>
            <w:tcW w:w="0" w:type="auto"/>
            <w:vAlign w:val="center"/>
          </w:tcPr>
          <w:p w14:paraId="1C0A3ECE" w14:textId="77777777" w:rsidR="001E0F1B" w:rsidRPr="00A627F2" w:rsidRDefault="001E0F1B" w:rsidP="00AA51D2">
            <w:pPr>
              <w:jc w:val="center"/>
              <w:rPr>
                <w:rFonts w:eastAsia="Calibri"/>
                <w:sz w:val="14"/>
                <w:szCs w:val="14"/>
                <w:lang w:val="de-DE"/>
              </w:rPr>
            </w:pPr>
            <w:r>
              <w:rPr>
                <w:rFonts w:eastAsia="Calibri"/>
                <w:sz w:val="14"/>
                <w:szCs w:val="14"/>
                <w:lang w:val="de-DE"/>
              </w:rPr>
              <w:t>62%</w:t>
            </w:r>
          </w:p>
        </w:tc>
        <w:tc>
          <w:tcPr>
            <w:tcW w:w="0" w:type="auto"/>
            <w:vAlign w:val="center"/>
          </w:tcPr>
          <w:p w14:paraId="501837A2"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4C1B10AD"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455B99FC"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662F29EB"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3A680040"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42DE75F6"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6B60289E" w14:textId="77777777" w:rsidR="001E0F1B" w:rsidRPr="00A627F2" w:rsidRDefault="001E0F1B" w:rsidP="00AA51D2">
            <w:pPr>
              <w:jc w:val="center"/>
              <w:rPr>
                <w:sz w:val="14"/>
                <w:szCs w:val="14"/>
                <w:lang w:val="de-DE"/>
              </w:rPr>
            </w:pPr>
            <w:r>
              <w:rPr>
                <w:sz w:val="14"/>
                <w:szCs w:val="14"/>
                <w:lang w:val="de-DE"/>
              </w:rPr>
              <w:t>NA</w:t>
            </w:r>
          </w:p>
        </w:tc>
        <w:tc>
          <w:tcPr>
            <w:tcW w:w="0" w:type="auto"/>
            <w:vAlign w:val="center"/>
          </w:tcPr>
          <w:p w14:paraId="630335D3" w14:textId="77777777" w:rsidR="001E0F1B" w:rsidRPr="00A627F2" w:rsidRDefault="001E0F1B" w:rsidP="00AA51D2">
            <w:pPr>
              <w:jc w:val="center"/>
              <w:rPr>
                <w:sz w:val="14"/>
                <w:szCs w:val="14"/>
                <w:lang w:val="de-DE"/>
              </w:rPr>
            </w:pPr>
            <w:r>
              <w:rPr>
                <w:sz w:val="14"/>
                <w:szCs w:val="14"/>
                <w:lang w:val="de-DE"/>
              </w:rPr>
              <w:t>NA</w:t>
            </w:r>
          </w:p>
        </w:tc>
      </w:tr>
      <w:tr w:rsidR="001E0F1B" w:rsidRPr="00A627F2" w14:paraId="09F16F85" w14:textId="77777777" w:rsidTr="00AA51D2">
        <w:tc>
          <w:tcPr>
            <w:tcW w:w="0" w:type="auto"/>
            <w:vAlign w:val="center"/>
          </w:tcPr>
          <w:p w14:paraId="3CAB5234" w14:textId="77777777" w:rsidR="001E0F1B" w:rsidRDefault="001E0F1B" w:rsidP="00AA51D2">
            <w:pPr>
              <w:jc w:val="center"/>
              <w:rPr>
                <w:sz w:val="14"/>
                <w:szCs w:val="14"/>
                <w:lang w:val="de-DE"/>
              </w:rPr>
            </w:pPr>
            <w:r>
              <w:rPr>
                <w:sz w:val="14"/>
                <w:szCs w:val="14"/>
                <w:lang w:val="de-DE"/>
              </w:rPr>
              <w:t xml:space="preserve">Tseng T. </w:t>
            </w:r>
            <w:r w:rsidRPr="00545C40">
              <w:rPr>
                <w:i/>
                <w:iCs/>
                <w:sz w:val="14"/>
                <w:szCs w:val="14"/>
                <w:lang w:val="de-DE"/>
              </w:rPr>
              <w:t xml:space="preserve">et al </w:t>
            </w:r>
            <w:r>
              <w:rPr>
                <w:sz w:val="14"/>
                <w:szCs w:val="14"/>
                <w:lang w:val="de-DE"/>
              </w:rPr>
              <w:t>(2023)</w:t>
            </w:r>
          </w:p>
        </w:tc>
        <w:tc>
          <w:tcPr>
            <w:tcW w:w="0" w:type="auto"/>
            <w:vAlign w:val="center"/>
          </w:tcPr>
          <w:p w14:paraId="137D5C00" w14:textId="77777777" w:rsidR="001E0F1B" w:rsidRDefault="001E0F1B" w:rsidP="00AA51D2">
            <w:pPr>
              <w:jc w:val="center"/>
              <w:rPr>
                <w:sz w:val="14"/>
                <w:szCs w:val="14"/>
                <w:lang w:val="de-DE"/>
              </w:rPr>
            </w:pPr>
            <w:proofErr w:type="spellStart"/>
            <w:r>
              <w:rPr>
                <w:sz w:val="14"/>
                <w:szCs w:val="14"/>
                <w:lang w:val="de-DE"/>
              </w:rPr>
              <w:t>Retrospective</w:t>
            </w:r>
            <w:proofErr w:type="spellEnd"/>
            <w:r>
              <w:rPr>
                <w:sz w:val="14"/>
                <w:szCs w:val="14"/>
                <w:lang w:val="de-DE"/>
              </w:rPr>
              <w:t xml:space="preserve"> </w:t>
            </w:r>
            <w:proofErr w:type="spellStart"/>
            <w:r>
              <w:rPr>
                <w:sz w:val="14"/>
                <w:szCs w:val="14"/>
                <w:lang w:val="de-DE"/>
              </w:rPr>
              <w:t>observational</w:t>
            </w:r>
            <w:proofErr w:type="spellEnd"/>
          </w:p>
        </w:tc>
        <w:tc>
          <w:tcPr>
            <w:tcW w:w="0" w:type="auto"/>
            <w:vAlign w:val="center"/>
          </w:tcPr>
          <w:p w14:paraId="4B3F2DF0" w14:textId="77777777" w:rsidR="001E0F1B" w:rsidRDefault="001E0F1B" w:rsidP="00AA51D2">
            <w:pPr>
              <w:jc w:val="center"/>
              <w:rPr>
                <w:sz w:val="14"/>
                <w:szCs w:val="14"/>
                <w:lang w:val="de-DE"/>
              </w:rPr>
            </w:pPr>
            <w:r>
              <w:rPr>
                <w:sz w:val="14"/>
                <w:szCs w:val="14"/>
                <w:lang w:val="de-DE"/>
              </w:rPr>
              <w:t>Taiwan</w:t>
            </w:r>
          </w:p>
        </w:tc>
        <w:tc>
          <w:tcPr>
            <w:tcW w:w="0" w:type="auto"/>
            <w:vAlign w:val="center"/>
          </w:tcPr>
          <w:p w14:paraId="51D22408" w14:textId="77777777" w:rsidR="001E0F1B" w:rsidRPr="00567138" w:rsidRDefault="001E0F1B" w:rsidP="00AA51D2">
            <w:pPr>
              <w:jc w:val="center"/>
              <w:rPr>
                <w:rFonts w:eastAsia="Calibri"/>
                <w:sz w:val="14"/>
                <w:szCs w:val="14"/>
                <w:lang w:val="de-DE"/>
              </w:rPr>
            </w:pPr>
            <w:r w:rsidRPr="00567138">
              <w:rPr>
                <w:rFonts w:eastAsia="Calibri"/>
                <w:sz w:val="14"/>
                <w:szCs w:val="14"/>
                <w:lang w:val="de-DE"/>
              </w:rPr>
              <w:t>Jan 2010</w:t>
            </w:r>
          </w:p>
          <w:p w14:paraId="05BD2A91" w14:textId="77777777" w:rsidR="001E0F1B" w:rsidRPr="00567138" w:rsidRDefault="001E0F1B" w:rsidP="00AA51D2">
            <w:pPr>
              <w:jc w:val="center"/>
              <w:rPr>
                <w:sz w:val="14"/>
                <w:szCs w:val="14"/>
              </w:rPr>
            </w:pPr>
            <w:r w:rsidRPr="00567138">
              <w:rPr>
                <w:sz w:val="14"/>
                <w:szCs w:val="14"/>
              </w:rPr>
              <w:t>–</w:t>
            </w:r>
          </w:p>
          <w:p w14:paraId="4516A01E" w14:textId="77777777" w:rsidR="001E0F1B" w:rsidRDefault="001E0F1B" w:rsidP="00AA51D2">
            <w:pPr>
              <w:rPr>
                <w:rFonts w:eastAsia="Calibri"/>
                <w:sz w:val="14"/>
                <w:szCs w:val="14"/>
                <w:lang w:val="de-DE"/>
              </w:rPr>
            </w:pPr>
            <w:r>
              <w:rPr>
                <w:sz w:val="14"/>
                <w:szCs w:val="14"/>
                <w:lang w:val="de-DE"/>
              </w:rPr>
              <w:t xml:space="preserve">  </w:t>
            </w:r>
            <w:proofErr w:type="spellStart"/>
            <w:r>
              <w:rPr>
                <w:sz w:val="14"/>
                <w:szCs w:val="14"/>
                <w:lang w:val="de-DE"/>
              </w:rPr>
              <w:t>Dec</w:t>
            </w:r>
            <w:proofErr w:type="spellEnd"/>
            <w:r>
              <w:rPr>
                <w:sz w:val="14"/>
                <w:szCs w:val="14"/>
                <w:lang w:val="de-DE"/>
              </w:rPr>
              <w:t xml:space="preserve">   2021</w:t>
            </w:r>
          </w:p>
        </w:tc>
        <w:tc>
          <w:tcPr>
            <w:tcW w:w="0" w:type="auto"/>
            <w:vAlign w:val="center"/>
          </w:tcPr>
          <w:p w14:paraId="10097585" w14:textId="77777777" w:rsidR="001E0F1B" w:rsidRDefault="001E0F1B" w:rsidP="00AA51D2">
            <w:pPr>
              <w:jc w:val="center"/>
              <w:rPr>
                <w:rFonts w:eastAsia="Calibri"/>
                <w:sz w:val="14"/>
                <w:szCs w:val="14"/>
                <w:lang w:val="de-DE"/>
              </w:rPr>
            </w:pPr>
            <w:r>
              <w:rPr>
                <w:rFonts w:eastAsia="Calibri"/>
                <w:sz w:val="14"/>
                <w:szCs w:val="14"/>
                <w:lang w:val="de-DE"/>
              </w:rPr>
              <w:t>DAP+FOS</w:t>
            </w:r>
          </w:p>
        </w:tc>
        <w:tc>
          <w:tcPr>
            <w:tcW w:w="0" w:type="auto"/>
            <w:vAlign w:val="center"/>
          </w:tcPr>
          <w:p w14:paraId="55EE21E4" w14:textId="77777777" w:rsidR="001E0F1B" w:rsidRDefault="001E0F1B" w:rsidP="00AA51D2">
            <w:pPr>
              <w:jc w:val="center"/>
              <w:rPr>
                <w:rFonts w:eastAsia="Calibri"/>
                <w:sz w:val="14"/>
                <w:szCs w:val="14"/>
                <w:lang w:val="de-DE"/>
              </w:rPr>
            </w:pPr>
            <w:r>
              <w:rPr>
                <w:rFonts w:eastAsia="Calibri"/>
                <w:sz w:val="14"/>
                <w:szCs w:val="14"/>
                <w:lang w:val="de-DE"/>
              </w:rPr>
              <w:t>DAP</w:t>
            </w:r>
          </w:p>
        </w:tc>
        <w:tc>
          <w:tcPr>
            <w:tcW w:w="0" w:type="auto"/>
            <w:vAlign w:val="center"/>
          </w:tcPr>
          <w:p w14:paraId="2B9718F9" w14:textId="77777777" w:rsidR="001E0F1B" w:rsidRPr="007E27EE" w:rsidRDefault="001E0F1B" w:rsidP="00AA51D2">
            <w:pPr>
              <w:jc w:val="center"/>
              <w:rPr>
                <w:rFonts w:eastAsia="Calibri"/>
                <w:sz w:val="14"/>
                <w:szCs w:val="14"/>
              </w:rPr>
            </w:pPr>
            <w:r>
              <w:rPr>
                <w:rFonts w:eastAsia="Calibri"/>
                <w:sz w:val="14"/>
                <w:szCs w:val="14"/>
                <w:lang w:val="de-DE"/>
              </w:rPr>
              <w:t>48 vs. 176</w:t>
            </w:r>
          </w:p>
        </w:tc>
        <w:tc>
          <w:tcPr>
            <w:tcW w:w="0" w:type="auto"/>
            <w:vAlign w:val="center"/>
          </w:tcPr>
          <w:p w14:paraId="5EA5C692" w14:textId="77777777" w:rsidR="001E0F1B" w:rsidRDefault="001E0F1B" w:rsidP="00AA51D2">
            <w:pPr>
              <w:jc w:val="center"/>
              <w:rPr>
                <w:rFonts w:eastAsia="Calibri"/>
                <w:sz w:val="14"/>
                <w:szCs w:val="14"/>
                <w:lang w:val="de-DE"/>
              </w:rPr>
            </w:pPr>
            <w:r>
              <w:rPr>
                <w:rFonts w:eastAsia="Calibri"/>
                <w:sz w:val="14"/>
                <w:szCs w:val="14"/>
                <w:lang w:val="de-DE"/>
              </w:rPr>
              <w:t>71.5 vs. 66.3</w:t>
            </w:r>
          </w:p>
        </w:tc>
        <w:tc>
          <w:tcPr>
            <w:tcW w:w="0" w:type="auto"/>
            <w:vAlign w:val="center"/>
          </w:tcPr>
          <w:p w14:paraId="18BFBF22" w14:textId="77777777" w:rsidR="001E0F1B" w:rsidRDefault="001E0F1B" w:rsidP="00AA51D2">
            <w:pPr>
              <w:jc w:val="center"/>
              <w:rPr>
                <w:rFonts w:eastAsia="Calibri"/>
                <w:sz w:val="14"/>
                <w:szCs w:val="14"/>
                <w:lang w:val="de-DE"/>
              </w:rPr>
            </w:pPr>
            <w:r>
              <w:rPr>
                <w:rFonts w:eastAsia="Calibri"/>
                <w:sz w:val="14"/>
                <w:szCs w:val="14"/>
                <w:lang w:val="de-DE"/>
              </w:rPr>
              <w:t>69% vs. 56%</w:t>
            </w:r>
          </w:p>
        </w:tc>
        <w:tc>
          <w:tcPr>
            <w:tcW w:w="0" w:type="auto"/>
            <w:vAlign w:val="center"/>
          </w:tcPr>
          <w:p w14:paraId="0F144B01" w14:textId="77777777" w:rsidR="001E0F1B" w:rsidRDefault="001E0F1B" w:rsidP="00AA51D2">
            <w:pPr>
              <w:jc w:val="center"/>
              <w:rPr>
                <w:sz w:val="14"/>
                <w:szCs w:val="14"/>
                <w:lang w:val="de-DE"/>
              </w:rPr>
            </w:pPr>
            <w:r>
              <w:rPr>
                <w:sz w:val="14"/>
                <w:szCs w:val="14"/>
                <w:lang w:val="de-DE"/>
              </w:rPr>
              <w:t>NA</w:t>
            </w:r>
          </w:p>
        </w:tc>
        <w:tc>
          <w:tcPr>
            <w:tcW w:w="0" w:type="auto"/>
            <w:vAlign w:val="center"/>
          </w:tcPr>
          <w:p w14:paraId="188E1C10" w14:textId="77777777" w:rsidR="001E0F1B" w:rsidRDefault="001E0F1B" w:rsidP="00AA51D2">
            <w:pPr>
              <w:jc w:val="center"/>
              <w:rPr>
                <w:sz w:val="14"/>
                <w:szCs w:val="14"/>
                <w:lang w:val="de-DE"/>
              </w:rPr>
            </w:pPr>
            <w:r>
              <w:rPr>
                <w:sz w:val="14"/>
                <w:szCs w:val="14"/>
                <w:lang w:val="de-DE"/>
              </w:rPr>
              <w:t>31</w:t>
            </w:r>
          </w:p>
        </w:tc>
        <w:tc>
          <w:tcPr>
            <w:tcW w:w="0" w:type="auto"/>
            <w:vAlign w:val="center"/>
          </w:tcPr>
          <w:p w14:paraId="1ED75C38" w14:textId="77777777" w:rsidR="001E0F1B" w:rsidRDefault="001E0F1B" w:rsidP="00AA51D2">
            <w:pPr>
              <w:jc w:val="center"/>
              <w:rPr>
                <w:sz w:val="14"/>
                <w:szCs w:val="14"/>
                <w:lang w:val="de-DE"/>
              </w:rPr>
            </w:pPr>
            <w:r>
              <w:rPr>
                <w:sz w:val="14"/>
                <w:szCs w:val="14"/>
                <w:lang w:val="de-DE"/>
              </w:rPr>
              <w:t>2</w:t>
            </w:r>
          </w:p>
        </w:tc>
        <w:tc>
          <w:tcPr>
            <w:tcW w:w="0" w:type="auto"/>
            <w:vAlign w:val="center"/>
          </w:tcPr>
          <w:p w14:paraId="46F991FB" w14:textId="77777777" w:rsidR="001E0F1B" w:rsidRDefault="001E0F1B" w:rsidP="00AA51D2">
            <w:pPr>
              <w:jc w:val="center"/>
              <w:rPr>
                <w:sz w:val="14"/>
                <w:szCs w:val="14"/>
                <w:lang w:val="de-DE"/>
              </w:rPr>
            </w:pPr>
            <w:r>
              <w:rPr>
                <w:sz w:val="14"/>
                <w:szCs w:val="14"/>
                <w:lang w:val="de-DE"/>
              </w:rPr>
              <w:t>17</w:t>
            </w:r>
          </w:p>
        </w:tc>
        <w:tc>
          <w:tcPr>
            <w:tcW w:w="0" w:type="auto"/>
            <w:vAlign w:val="center"/>
          </w:tcPr>
          <w:p w14:paraId="6F622884" w14:textId="77777777" w:rsidR="001E0F1B" w:rsidRDefault="001E0F1B" w:rsidP="00AA51D2">
            <w:pPr>
              <w:jc w:val="center"/>
              <w:rPr>
                <w:sz w:val="14"/>
                <w:szCs w:val="14"/>
                <w:lang w:val="de-DE"/>
              </w:rPr>
            </w:pPr>
            <w:r>
              <w:rPr>
                <w:sz w:val="14"/>
                <w:szCs w:val="14"/>
                <w:lang w:val="de-DE"/>
              </w:rPr>
              <w:t>101</w:t>
            </w:r>
          </w:p>
        </w:tc>
        <w:tc>
          <w:tcPr>
            <w:tcW w:w="0" w:type="auto"/>
            <w:vAlign w:val="center"/>
          </w:tcPr>
          <w:p w14:paraId="23B94418" w14:textId="77777777" w:rsidR="001E0F1B" w:rsidRDefault="001E0F1B" w:rsidP="00AA51D2">
            <w:pPr>
              <w:jc w:val="center"/>
              <w:rPr>
                <w:sz w:val="14"/>
                <w:szCs w:val="14"/>
                <w:lang w:val="de-DE"/>
              </w:rPr>
            </w:pPr>
            <w:r>
              <w:rPr>
                <w:sz w:val="14"/>
                <w:szCs w:val="14"/>
                <w:lang w:val="de-DE"/>
              </w:rPr>
              <w:t>7</w:t>
            </w:r>
          </w:p>
        </w:tc>
        <w:tc>
          <w:tcPr>
            <w:tcW w:w="0" w:type="auto"/>
            <w:vAlign w:val="center"/>
          </w:tcPr>
          <w:p w14:paraId="1576152D" w14:textId="77777777" w:rsidR="001E0F1B" w:rsidRDefault="001E0F1B" w:rsidP="00AA51D2">
            <w:pPr>
              <w:jc w:val="center"/>
              <w:rPr>
                <w:sz w:val="14"/>
                <w:szCs w:val="14"/>
                <w:lang w:val="de-DE"/>
              </w:rPr>
            </w:pPr>
            <w:r>
              <w:rPr>
                <w:sz w:val="14"/>
                <w:szCs w:val="14"/>
                <w:lang w:val="de-DE"/>
              </w:rPr>
              <w:t>75</w:t>
            </w:r>
          </w:p>
        </w:tc>
        <w:tc>
          <w:tcPr>
            <w:tcW w:w="0" w:type="auto"/>
            <w:vAlign w:val="center"/>
          </w:tcPr>
          <w:p w14:paraId="6E172B9F" w14:textId="77777777" w:rsidR="001E0F1B" w:rsidRDefault="001E0F1B" w:rsidP="00AA51D2">
            <w:pPr>
              <w:jc w:val="center"/>
              <w:rPr>
                <w:sz w:val="14"/>
                <w:szCs w:val="14"/>
                <w:lang w:val="de-DE"/>
              </w:rPr>
            </w:pPr>
            <w:r>
              <w:rPr>
                <w:sz w:val="14"/>
                <w:szCs w:val="14"/>
                <w:lang w:val="de-DE"/>
              </w:rPr>
              <w:t>7.5 vs. 8.5</w:t>
            </w:r>
          </w:p>
        </w:tc>
      </w:tr>
      <w:tr w:rsidR="001E0F1B" w:rsidRPr="00A627F2" w14:paraId="58DA9E3D" w14:textId="77777777" w:rsidTr="00AA51D2">
        <w:tc>
          <w:tcPr>
            <w:tcW w:w="0" w:type="auto"/>
            <w:vAlign w:val="center"/>
          </w:tcPr>
          <w:p w14:paraId="0E50056E" w14:textId="77777777" w:rsidR="001E0F1B" w:rsidRPr="006421A2" w:rsidRDefault="001E0F1B" w:rsidP="00AA51D2">
            <w:pPr>
              <w:jc w:val="center"/>
              <w:rPr>
                <w:sz w:val="14"/>
                <w:szCs w:val="14"/>
                <w:lang w:val="de-DE"/>
              </w:rPr>
            </w:pPr>
            <w:r>
              <w:rPr>
                <w:sz w:val="14"/>
                <w:szCs w:val="14"/>
                <w:lang w:val="de-DE"/>
              </w:rPr>
              <w:lastRenderedPageBreak/>
              <w:t xml:space="preserve">Chong PP </w:t>
            </w:r>
            <w:r>
              <w:rPr>
                <w:i/>
                <w:iCs/>
                <w:sz w:val="14"/>
                <w:szCs w:val="14"/>
                <w:lang w:val="de-DE"/>
              </w:rPr>
              <w:t>et al</w:t>
            </w:r>
            <w:r>
              <w:rPr>
                <w:sz w:val="14"/>
                <w:szCs w:val="14"/>
                <w:lang w:val="de-DE"/>
              </w:rPr>
              <w:t xml:space="preserve"> (2016)</w:t>
            </w:r>
          </w:p>
        </w:tc>
        <w:tc>
          <w:tcPr>
            <w:tcW w:w="0" w:type="auto"/>
            <w:vAlign w:val="center"/>
          </w:tcPr>
          <w:p w14:paraId="2EED04B5" w14:textId="77777777" w:rsidR="001E0F1B" w:rsidRDefault="001E0F1B" w:rsidP="00AA51D2">
            <w:pPr>
              <w:jc w:val="center"/>
              <w:rPr>
                <w:sz w:val="14"/>
                <w:szCs w:val="14"/>
                <w:lang w:val="de-DE"/>
              </w:rPr>
            </w:pPr>
            <w:proofErr w:type="spellStart"/>
            <w:r>
              <w:rPr>
                <w:sz w:val="14"/>
                <w:szCs w:val="14"/>
                <w:lang w:val="de-DE"/>
              </w:rPr>
              <w:t>Retrospective</w:t>
            </w:r>
            <w:proofErr w:type="spellEnd"/>
            <w:r>
              <w:rPr>
                <w:sz w:val="14"/>
                <w:szCs w:val="14"/>
                <w:lang w:val="de-DE"/>
              </w:rPr>
              <w:t xml:space="preserve"> </w:t>
            </w:r>
            <w:proofErr w:type="spellStart"/>
            <w:r>
              <w:rPr>
                <w:sz w:val="14"/>
                <w:szCs w:val="14"/>
                <w:lang w:val="de-DE"/>
              </w:rPr>
              <w:t>observational</w:t>
            </w:r>
            <w:proofErr w:type="spellEnd"/>
          </w:p>
        </w:tc>
        <w:tc>
          <w:tcPr>
            <w:tcW w:w="0" w:type="auto"/>
            <w:vAlign w:val="center"/>
          </w:tcPr>
          <w:p w14:paraId="55DA72FD" w14:textId="77777777" w:rsidR="001E0F1B" w:rsidRDefault="001E0F1B" w:rsidP="00AA51D2">
            <w:pPr>
              <w:jc w:val="center"/>
              <w:rPr>
                <w:sz w:val="14"/>
                <w:szCs w:val="14"/>
                <w:lang w:val="de-DE"/>
              </w:rPr>
            </w:pPr>
            <w:r>
              <w:rPr>
                <w:sz w:val="14"/>
                <w:szCs w:val="14"/>
                <w:lang w:val="de-DE"/>
              </w:rPr>
              <w:t>USA</w:t>
            </w:r>
          </w:p>
        </w:tc>
        <w:tc>
          <w:tcPr>
            <w:tcW w:w="0" w:type="auto"/>
            <w:vAlign w:val="center"/>
          </w:tcPr>
          <w:p w14:paraId="387A2894" w14:textId="77777777" w:rsidR="001E0F1B" w:rsidRDefault="001E0F1B" w:rsidP="00AA51D2">
            <w:pPr>
              <w:jc w:val="center"/>
              <w:rPr>
                <w:rFonts w:eastAsia="Calibri"/>
                <w:sz w:val="14"/>
                <w:szCs w:val="14"/>
                <w:lang w:val="de-DE"/>
              </w:rPr>
            </w:pPr>
            <w:r>
              <w:rPr>
                <w:rFonts w:eastAsia="Calibri"/>
                <w:sz w:val="14"/>
                <w:szCs w:val="14"/>
                <w:lang w:val="de-DE"/>
              </w:rPr>
              <w:t xml:space="preserve">Sep 2006 </w:t>
            </w:r>
          </w:p>
          <w:p w14:paraId="41739958" w14:textId="77777777" w:rsidR="001E0F1B" w:rsidRDefault="001E0F1B" w:rsidP="00AA51D2">
            <w:pPr>
              <w:jc w:val="center"/>
              <w:rPr>
                <w:rFonts w:eastAsia="Calibri"/>
                <w:sz w:val="14"/>
                <w:szCs w:val="14"/>
                <w:lang w:val="de-DE"/>
              </w:rPr>
            </w:pPr>
            <w:r>
              <w:rPr>
                <w:rFonts w:eastAsia="Calibri"/>
                <w:sz w:val="14"/>
                <w:szCs w:val="14"/>
                <w:lang w:val="de-DE"/>
              </w:rPr>
              <w:t>-</w:t>
            </w:r>
          </w:p>
          <w:p w14:paraId="0ACEAE2C" w14:textId="77777777" w:rsidR="001E0F1B" w:rsidRPr="00567138" w:rsidRDefault="001E0F1B" w:rsidP="00AA51D2">
            <w:pPr>
              <w:jc w:val="center"/>
              <w:rPr>
                <w:rFonts w:eastAsia="Calibri"/>
                <w:sz w:val="14"/>
                <w:szCs w:val="14"/>
                <w:lang w:val="de-DE"/>
              </w:rPr>
            </w:pPr>
            <w:r>
              <w:rPr>
                <w:rFonts w:eastAsia="Calibri"/>
                <w:sz w:val="14"/>
                <w:szCs w:val="14"/>
                <w:lang w:val="de-DE"/>
              </w:rPr>
              <w:t>Sep 2014</w:t>
            </w:r>
          </w:p>
        </w:tc>
        <w:tc>
          <w:tcPr>
            <w:tcW w:w="0" w:type="auto"/>
            <w:vAlign w:val="center"/>
          </w:tcPr>
          <w:p w14:paraId="35FC825C" w14:textId="77777777" w:rsidR="001E0F1B" w:rsidRDefault="001E0F1B" w:rsidP="00AA51D2">
            <w:pPr>
              <w:jc w:val="center"/>
              <w:rPr>
                <w:rFonts w:eastAsia="Calibri"/>
                <w:sz w:val="14"/>
                <w:szCs w:val="14"/>
                <w:lang w:val="de-DE"/>
              </w:rPr>
            </w:pPr>
            <w:r>
              <w:rPr>
                <w:rFonts w:eastAsia="Calibri"/>
                <w:sz w:val="14"/>
                <w:szCs w:val="14"/>
                <w:lang w:val="de-DE"/>
              </w:rPr>
              <w:t>DAP MIC ≤2</w:t>
            </w:r>
          </w:p>
        </w:tc>
        <w:tc>
          <w:tcPr>
            <w:tcW w:w="0" w:type="auto"/>
            <w:vAlign w:val="center"/>
          </w:tcPr>
          <w:p w14:paraId="3321DBFD" w14:textId="77777777" w:rsidR="001E0F1B" w:rsidRDefault="001E0F1B" w:rsidP="00AA51D2">
            <w:pPr>
              <w:jc w:val="center"/>
              <w:rPr>
                <w:rFonts w:eastAsia="Calibri"/>
                <w:sz w:val="14"/>
                <w:szCs w:val="14"/>
                <w:lang w:val="de-DE"/>
              </w:rPr>
            </w:pPr>
            <w:r>
              <w:rPr>
                <w:rFonts w:eastAsia="Calibri"/>
                <w:sz w:val="14"/>
                <w:szCs w:val="14"/>
                <w:lang w:val="de-DE"/>
              </w:rPr>
              <w:t>DAP MIC &gt;2</w:t>
            </w:r>
          </w:p>
        </w:tc>
        <w:tc>
          <w:tcPr>
            <w:tcW w:w="0" w:type="auto"/>
            <w:vAlign w:val="center"/>
          </w:tcPr>
          <w:p w14:paraId="35014736" w14:textId="77777777" w:rsidR="001E0F1B" w:rsidRDefault="001E0F1B" w:rsidP="00AA51D2">
            <w:pPr>
              <w:jc w:val="center"/>
              <w:rPr>
                <w:rFonts w:eastAsia="Calibri"/>
                <w:sz w:val="14"/>
                <w:szCs w:val="14"/>
                <w:lang w:val="de-DE"/>
              </w:rPr>
            </w:pPr>
            <w:r>
              <w:rPr>
                <w:rFonts w:eastAsia="Calibri"/>
                <w:sz w:val="14"/>
                <w:szCs w:val="14"/>
                <w:lang w:val="de-DE"/>
              </w:rPr>
              <w:t>23 vs. 19</w:t>
            </w:r>
          </w:p>
        </w:tc>
        <w:tc>
          <w:tcPr>
            <w:tcW w:w="0" w:type="auto"/>
            <w:vAlign w:val="center"/>
          </w:tcPr>
          <w:p w14:paraId="0D15B557" w14:textId="77777777" w:rsidR="001E0F1B" w:rsidRDefault="001E0F1B" w:rsidP="00AA51D2">
            <w:pPr>
              <w:jc w:val="center"/>
              <w:rPr>
                <w:rFonts w:eastAsia="Calibri"/>
                <w:sz w:val="14"/>
                <w:szCs w:val="14"/>
                <w:lang w:val="de-DE"/>
              </w:rPr>
            </w:pPr>
            <w:r>
              <w:rPr>
                <w:rFonts w:eastAsia="Calibri"/>
                <w:sz w:val="14"/>
                <w:szCs w:val="14"/>
                <w:lang w:val="de-DE"/>
              </w:rPr>
              <w:t>52 vs. 54</w:t>
            </w:r>
          </w:p>
        </w:tc>
        <w:tc>
          <w:tcPr>
            <w:tcW w:w="0" w:type="auto"/>
            <w:vAlign w:val="center"/>
          </w:tcPr>
          <w:p w14:paraId="14DA9277" w14:textId="77777777" w:rsidR="001E0F1B" w:rsidRDefault="001E0F1B" w:rsidP="00AA51D2">
            <w:pPr>
              <w:jc w:val="center"/>
              <w:rPr>
                <w:rFonts w:eastAsia="Calibri"/>
                <w:sz w:val="14"/>
                <w:szCs w:val="14"/>
                <w:lang w:val="de-DE"/>
              </w:rPr>
            </w:pPr>
            <w:r>
              <w:rPr>
                <w:rFonts w:eastAsia="Calibri"/>
                <w:sz w:val="14"/>
                <w:szCs w:val="14"/>
                <w:lang w:val="de-DE"/>
              </w:rPr>
              <w:t>43.5% vs. 73.7%</w:t>
            </w:r>
          </w:p>
        </w:tc>
        <w:tc>
          <w:tcPr>
            <w:tcW w:w="0" w:type="auto"/>
            <w:vAlign w:val="center"/>
          </w:tcPr>
          <w:p w14:paraId="20319A20" w14:textId="77777777" w:rsidR="001E0F1B" w:rsidRDefault="001E0F1B" w:rsidP="00AA51D2">
            <w:pPr>
              <w:jc w:val="center"/>
              <w:rPr>
                <w:sz w:val="14"/>
                <w:szCs w:val="14"/>
                <w:lang w:val="de-DE"/>
              </w:rPr>
            </w:pPr>
            <w:r>
              <w:rPr>
                <w:sz w:val="14"/>
                <w:szCs w:val="14"/>
                <w:lang w:val="de-DE"/>
              </w:rPr>
              <w:t>31.6% vs. 34.8%</w:t>
            </w:r>
          </w:p>
        </w:tc>
        <w:tc>
          <w:tcPr>
            <w:tcW w:w="0" w:type="auto"/>
            <w:vAlign w:val="center"/>
          </w:tcPr>
          <w:p w14:paraId="29F28EA0" w14:textId="77777777" w:rsidR="001E0F1B" w:rsidRDefault="001E0F1B" w:rsidP="00AA51D2">
            <w:pPr>
              <w:jc w:val="center"/>
              <w:rPr>
                <w:sz w:val="14"/>
                <w:szCs w:val="14"/>
                <w:lang w:val="de-DE"/>
              </w:rPr>
            </w:pPr>
            <w:r>
              <w:rPr>
                <w:sz w:val="14"/>
                <w:szCs w:val="14"/>
                <w:lang w:val="de-DE"/>
              </w:rPr>
              <w:t>4</w:t>
            </w:r>
          </w:p>
        </w:tc>
        <w:tc>
          <w:tcPr>
            <w:tcW w:w="0" w:type="auto"/>
            <w:vAlign w:val="center"/>
          </w:tcPr>
          <w:p w14:paraId="59565129" w14:textId="77777777" w:rsidR="001E0F1B" w:rsidRDefault="001E0F1B" w:rsidP="00AA51D2">
            <w:pPr>
              <w:jc w:val="center"/>
              <w:rPr>
                <w:sz w:val="14"/>
                <w:szCs w:val="14"/>
                <w:lang w:val="de-DE"/>
              </w:rPr>
            </w:pPr>
            <w:r>
              <w:rPr>
                <w:sz w:val="14"/>
                <w:szCs w:val="14"/>
                <w:lang w:val="de-DE"/>
              </w:rPr>
              <w:t>14</w:t>
            </w:r>
          </w:p>
        </w:tc>
        <w:tc>
          <w:tcPr>
            <w:tcW w:w="0" w:type="auto"/>
            <w:vAlign w:val="center"/>
          </w:tcPr>
          <w:p w14:paraId="5F748535" w14:textId="77777777" w:rsidR="001E0F1B" w:rsidRDefault="001E0F1B" w:rsidP="00AA51D2">
            <w:pPr>
              <w:jc w:val="center"/>
              <w:rPr>
                <w:sz w:val="14"/>
                <w:szCs w:val="14"/>
                <w:lang w:val="de-DE"/>
              </w:rPr>
            </w:pPr>
            <w:r>
              <w:rPr>
                <w:sz w:val="14"/>
                <w:szCs w:val="14"/>
                <w:lang w:val="de-DE"/>
              </w:rPr>
              <w:t>5</w:t>
            </w:r>
          </w:p>
        </w:tc>
        <w:tc>
          <w:tcPr>
            <w:tcW w:w="0" w:type="auto"/>
            <w:vAlign w:val="center"/>
          </w:tcPr>
          <w:p w14:paraId="14273100" w14:textId="77777777" w:rsidR="001E0F1B" w:rsidRDefault="001E0F1B" w:rsidP="00AA51D2">
            <w:pPr>
              <w:jc w:val="center"/>
              <w:rPr>
                <w:sz w:val="14"/>
                <w:szCs w:val="14"/>
                <w:lang w:val="de-DE"/>
              </w:rPr>
            </w:pPr>
            <w:r>
              <w:rPr>
                <w:sz w:val="14"/>
                <w:szCs w:val="14"/>
                <w:lang w:val="de-DE"/>
              </w:rPr>
              <w:t>8</w:t>
            </w:r>
          </w:p>
        </w:tc>
        <w:tc>
          <w:tcPr>
            <w:tcW w:w="0" w:type="auto"/>
            <w:vAlign w:val="center"/>
          </w:tcPr>
          <w:p w14:paraId="3E8F924F" w14:textId="77777777" w:rsidR="001E0F1B" w:rsidRDefault="001E0F1B" w:rsidP="00AA51D2">
            <w:pPr>
              <w:jc w:val="center"/>
              <w:rPr>
                <w:sz w:val="14"/>
                <w:szCs w:val="14"/>
                <w:lang w:val="de-DE"/>
              </w:rPr>
            </w:pPr>
            <w:r>
              <w:rPr>
                <w:sz w:val="14"/>
                <w:szCs w:val="14"/>
                <w:lang w:val="de-DE"/>
              </w:rPr>
              <w:t>8</w:t>
            </w:r>
          </w:p>
        </w:tc>
        <w:tc>
          <w:tcPr>
            <w:tcW w:w="0" w:type="auto"/>
            <w:vAlign w:val="center"/>
          </w:tcPr>
          <w:p w14:paraId="24ECBB37" w14:textId="77777777" w:rsidR="001E0F1B" w:rsidRDefault="001E0F1B" w:rsidP="00AA51D2">
            <w:pPr>
              <w:jc w:val="center"/>
              <w:rPr>
                <w:sz w:val="14"/>
                <w:szCs w:val="14"/>
                <w:lang w:val="de-DE"/>
              </w:rPr>
            </w:pPr>
            <w:r>
              <w:rPr>
                <w:sz w:val="14"/>
                <w:szCs w:val="14"/>
                <w:lang w:val="de-DE"/>
              </w:rPr>
              <w:t>3</w:t>
            </w:r>
          </w:p>
        </w:tc>
        <w:tc>
          <w:tcPr>
            <w:tcW w:w="0" w:type="auto"/>
            <w:vAlign w:val="center"/>
          </w:tcPr>
          <w:p w14:paraId="28D6F0A4" w14:textId="77777777" w:rsidR="001E0F1B" w:rsidRDefault="001E0F1B" w:rsidP="00AA51D2">
            <w:pPr>
              <w:jc w:val="center"/>
              <w:rPr>
                <w:sz w:val="14"/>
                <w:szCs w:val="14"/>
                <w:lang w:val="de-DE"/>
              </w:rPr>
            </w:pPr>
            <w:r>
              <w:rPr>
                <w:sz w:val="14"/>
                <w:szCs w:val="14"/>
                <w:lang w:val="de-DE"/>
              </w:rPr>
              <w:t>14 vs. 15</w:t>
            </w:r>
          </w:p>
        </w:tc>
      </w:tr>
    </w:tbl>
    <w:p w14:paraId="55F5821F" w14:textId="77777777" w:rsidR="001E0F1B" w:rsidRDefault="001E0F1B" w:rsidP="001E0F1B">
      <w:pPr>
        <w:rPr>
          <w:b/>
          <w:bCs/>
        </w:rPr>
      </w:pPr>
      <w:r w:rsidRPr="00BE0E28">
        <w:rPr>
          <w:sz w:val="18"/>
          <w:szCs w:val="18"/>
          <w:lang w:val="de-DE"/>
        </w:rPr>
        <w:t xml:space="preserve">HD= high dose; DAP = </w:t>
      </w:r>
      <w:proofErr w:type="spellStart"/>
      <w:r w:rsidRPr="00BE0E28">
        <w:rPr>
          <w:sz w:val="18"/>
          <w:szCs w:val="18"/>
          <w:lang w:val="de-DE"/>
        </w:rPr>
        <w:t>daptomycin</w:t>
      </w:r>
      <w:proofErr w:type="spellEnd"/>
      <w:r w:rsidRPr="00BE0E28">
        <w:rPr>
          <w:sz w:val="18"/>
          <w:szCs w:val="18"/>
          <w:lang w:val="de-DE"/>
        </w:rPr>
        <w:t xml:space="preserve">; SD= </w:t>
      </w:r>
      <w:proofErr w:type="spellStart"/>
      <w:r w:rsidRPr="00BE0E28">
        <w:rPr>
          <w:sz w:val="18"/>
          <w:szCs w:val="18"/>
          <w:lang w:val="de-DE"/>
        </w:rPr>
        <w:t>standard</w:t>
      </w:r>
      <w:proofErr w:type="spellEnd"/>
      <w:r w:rsidRPr="00BE0E28">
        <w:rPr>
          <w:sz w:val="18"/>
          <w:szCs w:val="18"/>
          <w:lang w:val="de-DE"/>
        </w:rPr>
        <w:t xml:space="preserve"> dose; ICU= Intensive Care Unit; BSI= </w:t>
      </w:r>
      <w:proofErr w:type="spellStart"/>
      <w:r w:rsidRPr="00BE0E28">
        <w:rPr>
          <w:sz w:val="18"/>
          <w:szCs w:val="18"/>
          <w:lang w:val="de-DE"/>
        </w:rPr>
        <w:t>bloodstream</w:t>
      </w:r>
      <w:proofErr w:type="spellEnd"/>
      <w:r w:rsidRPr="00BE0E28">
        <w:rPr>
          <w:sz w:val="18"/>
          <w:szCs w:val="18"/>
          <w:lang w:val="de-DE"/>
        </w:rPr>
        <w:t xml:space="preserve"> infection; BL = beta-lactam; NA = not </w:t>
      </w:r>
      <w:proofErr w:type="spellStart"/>
      <w:r w:rsidRPr="00BE0E28">
        <w:rPr>
          <w:sz w:val="18"/>
          <w:szCs w:val="18"/>
          <w:lang w:val="de-DE"/>
        </w:rPr>
        <w:t>available</w:t>
      </w:r>
      <w:proofErr w:type="spellEnd"/>
      <w:r w:rsidRPr="00BE0E28">
        <w:rPr>
          <w:sz w:val="18"/>
          <w:szCs w:val="18"/>
          <w:lang w:val="de-DE"/>
        </w:rPr>
        <w:t>; MD=medium dose; FOS= fosfomycin</w:t>
      </w:r>
      <w:r>
        <w:rPr>
          <w:b/>
          <w:bCs/>
        </w:rPr>
        <w:br w:type="page"/>
      </w:r>
    </w:p>
    <w:p w14:paraId="468DB1AF" w14:textId="146E6F9A" w:rsidR="001E0F1B" w:rsidRPr="004C7DE8" w:rsidRDefault="001E0F1B" w:rsidP="001E0F1B">
      <w:pPr>
        <w:spacing w:line="360" w:lineRule="auto"/>
        <w:jc w:val="both"/>
        <w:rPr>
          <w:lang w:val="en-US"/>
        </w:rPr>
      </w:pPr>
      <w:r>
        <w:rPr>
          <w:b/>
          <w:bCs/>
          <w:lang w:val="en-US"/>
        </w:rPr>
        <w:lastRenderedPageBreak/>
        <w:t xml:space="preserve">Suppl. </w:t>
      </w:r>
      <w:r w:rsidRPr="006D0D3B">
        <w:rPr>
          <w:b/>
          <w:bCs/>
          <w:lang w:val="en-US"/>
        </w:rPr>
        <w:t xml:space="preserve">Table </w:t>
      </w:r>
      <w:r w:rsidR="00123844">
        <w:rPr>
          <w:b/>
          <w:bCs/>
          <w:lang w:val="en-US"/>
        </w:rPr>
        <w:t>6</w:t>
      </w:r>
      <w:r w:rsidRPr="006D0D3B">
        <w:rPr>
          <w:b/>
          <w:bCs/>
          <w:lang w:val="en-US"/>
        </w:rPr>
        <w:t xml:space="preserve"> – </w:t>
      </w:r>
      <w:r w:rsidRPr="006D0D3B">
        <w:rPr>
          <w:lang w:val="en-US"/>
        </w:rPr>
        <w:t xml:space="preserve">Results of meta-analysis for </w:t>
      </w:r>
      <w:r>
        <w:rPr>
          <w:lang w:val="en-US"/>
        </w:rPr>
        <w:t xml:space="preserve">daptomycin dosage, regimen and MIC. </w:t>
      </w:r>
    </w:p>
    <w:tbl>
      <w:tblPr>
        <w:tblStyle w:val="Grigliatabella"/>
        <w:tblW w:w="13434" w:type="dxa"/>
        <w:jc w:val="center"/>
        <w:tblLook w:val="04A0" w:firstRow="1" w:lastRow="0" w:firstColumn="1" w:lastColumn="0" w:noHBand="0" w:noVBand="1"/>
      </w:tblPr>
      <w:tblGrid>
        <w:gridCol w:w="2581"/>
        <w:gridCol w:w="777"/>
        <w:gridCol w:w="1173"/>
        <w:gridCol w:w="2093"/>
        <w:gridCol w:w="1633"/>
        <w:gridCol w:w="1633"/>
        <w:gridCol w:w="1701"/>
        <w:gridCol w:w="1843"/>
      </w:tblGrid>
      <w:tr w:rsidR="001E0F1B" w:rsidRPr="006A2C22" w14:paraId="454E8B29" w14:textId="77777777" w:rsidTr="00AA51D2">
        <w:trPr>
          <w:jc w:val="center"/>
        </w:trPr>
        <w:tc>
          <w:tcPr>
            <w:tcW w:w="2581" w:type="dxa"/>
          </w:tcPr>
          <w:p w14:paraId="44E658EC" w14:textId="77777777" w:rsidR="001E0F1B" w:rsidRPr="009F259D" w:rsidRDefault="001E0F1B" w:rsidP="00AA51D2">
            <w:pPr>
              <w:spacing w:line="288" w:lineRule="auto"/>
              <w:jc w:val="center"/>
              <w:rPr>
                <w:b/>
                <w:bCs/>
                <w:sz w:val="18"/>
                <w:szCs w:val="18"/>
                <w:lang w:val="en-US"/>
              </w:rPr>
            </w:pPr>
            <w:r w:rsidRPr="009F259D">
              <w:rPr>
                <w:b/>
                <w:bCs/>
                <w:sz w:val="18"/>
                <w:szCs w:val="18"/>
                <w:lang w:val="en-US"/>
              </w:rPr>
              <w:t>Subgroup analysis</w:t>
            </w:r>
          </w:p>
          <w:p w14:paraId="53EE211D" w14:textId="77777777" w:rsidR="001E0F1B" w:rsidRPr="009F259D" w:rsidRDefault="001E0F1B" w:rsidP="00AA51D2">
            <w:pPr>
              <w:spacing w:line="288" w:lineRule="auto"/>
              <w:jc w:val="center"/>
              <w:rPr>
                <w:b/>
                <w:bCs/>
                <w:sz w:val="18"/>
                <w:szCs w:val="18"/>
                <w:lang w:val="en-US"/>
              </w:rPr>
            </w:pPr>
          </w:p>
        </w:tc>
        <w:tc>
          <w:tcPr>
            <w:tcW w:w="777" w:type="dxa"/>
          </w:tcPr>
          <w:p w14:paraId="71792508" w14:textId="77777777" w:rsidR="001E0F1B" w:rsidRPr="00A448E0" w:rsidRDefault="001E0F1B" w:rsidP="00AA51D2">
            <w:pPr>
              <w:spacing w:line="288" w:lineRule="auto"/>
              <w:jc w:val="center"/>
              <w:rPr>
                <w:b/>
                <w:bCs/>
                <w:sz w:val="18"/>
                <w:szCs w:val="18"/>
              </w:rPr>
            </w:pPr>
            <w:r w:rsidRPr="00A448E0">
              <w:rPr>
                <w:b/>
                <w:bCs/>
                <w:sz w:val="18"/>
                <w:szCs w:val="18"/>
              </w:rPr>
              <w:t>Studies</w:t>
            </w:r>
          </w:p>
        </w:tc>
        <w:tc>
          <w:tcPr>
            <w:tcW w:w="1173" w:type="dxa"/>
          </w:tcPr>
          <w:p w14:paraId="4F8E9965" w14:textId="77777777" w:rsidR="001E0F1B" w:rsidRPr="00A448E0" w:rsidRDefault="001E0F1B" w:rsidP="00AA51D2">
            <w:pPr>
              <w:spacing w:line="288" w:lineRule="auto"/>
              <w:jc w:val="center"/>
              <w:rPr>
                <w:b/>
                <w:bCs/>
                <w:sz w:val="18"/>
                <w:szCs w:val="18"/>
              </w:rPr>
            </w:pPr>
            <w:r>
              <w:rPr>
                <w:b/>
                <w:bCs/>
                <w:sz w:val="18"/>
                <w:szCs w:val="18"/>
              </w:rPr>
              <w:t xml:space="preserve">No. of VRE </w:t>
            </w:r>
            <w:proofErr w:type="spellStart"/>
            <w:r>
              <w:rPr>
                <w:b/>
                <w:bCs/>
                <w:sz w:val="18"/>
                <w:szCs w:val="18"/>
              </w:rPr>
              <w:t>BSIs</w:t>
            </w:r>
            <w:proofErr w:type="spellEnd"/>
          </w:p>
        </w:tc>
        <w:tc>
          <w:tcPr>
            <w:tcW w:w="2093" w:type="dxa"/>
            <w:vAlign w:val="center"/>
          </w:tcPr>
          <w:p w14:paraId="2C9F8A57" w14:textId="77777777" w:rsidR="001E0F1B" w:rsidRPr="009F259D" w:rsidRDefault="001E0F1B" w:rsidP="00AA51D2">
            <w:pPr>
              <w:spacing w:line="288" w:lineRule="auto"/>
              <w:jc w:val="center"/>
              <w:rPr>
                <w:b/>
                <w:bCs/>
                <w:sz w:val="18"/>
                <w:szCs w:val="18"/>
                <w:lang w:val="en-US"/>
              </w:rPr>
            </w:pPr>
            <w:r w:rsidRPr="006D0D3B">
              <w:rPr>
                <w:b/>
                <w:bCs/>
                <w:sz w:val="18"/>
                <w:szCs w:val="18"/>
                <w:lang w:val="en-US"/>
              </w:rPr>
              <w:t xml:space="preserve">No. of </w:t>
            </w:r>
            <w:r>
              <w:rPr>
                <w:b/>
                <w:bCs/>
                <w:sz w:val="18"/>
                <w:szCs w:val="18"/>
                <w:lang w:val="en-US"/>
              </w:rPr>
              <w:t>patients</w:t>
            </w:r>
            <w:r w:rsidRPr="006D0D3B">
              <w:rPr>
                <w:b/>
                <w:bCs/>
                <w:sz w:val="18"/>
                <w:szCs w:val="18"/>
                <w:lang w:val="en-US"/>
              </w:rPr>
              <w:t xml:space="preserve"> in intervention group</w:t>
            </w:r>
          </w:p>
        </w:tc>
        <w:tc>
          <w:tcPr>
            <w:tcW w:w="1633" w:type="dxa"/>
            <w:vAlign w:val="center"/>
          </w:tcPr>
          <w:p w14:paraId="7F8AEC7D" w14:textId="77777777" w:rsidR="001E0F1B" w:rsidRPr="009F259D" w:rsidRDefault="001E0F1B" w:rsidP="00AA51D2">
            <w:pPr>
              <w:spacing w:line="288" w:lineRule="auto"/>
              <w:jc w:val="center"/>
              <w:rPr>
                <w:b/>
                <w:bCs/>
                <w:sz w:val="18"/>
                <w:szCs w:val="18"/>
                <w:lang w:val="en-US"/>
              </w:rPr>
            </w:pPr>
            <w:r w:rsidRPr="006D0D3B">
              <w:rPr>
                <w:b/>
                <w:bCs/>
                <w:sz w:val="18"/>
                <w:szCs w:val="18"/>
                <w:lang w:val="en-US"/>
              </w:rPr>
              <w:t xml:space="preserve">No. of </w:t>
            </w:r>
            <w:r>
              <w:rPr>
                <w:b/>
                <w:bCs/>
                <w:sz w:val="18"/>
                <w:szCs w:val="18"/>
                <w:lang w:val="en-US"/>
              </w:rPr>
              <w:t>patients</w:t>
            </w:r>
            <w:r w:rsidRPr="006D0D3B">
              <w:rPr>
                <w:b/>
                <w:bCs/>
                <w:sz w:val="18"/>
                <w:szCs w:val="18"/>
                <w:lang w:val="en-US"/>
              </w:rPr>
              <w:t xml:space="preserve"> in comparator group</w:t>
            </w:r>
          </w:p>
        </w:tc>
        <w:tc>
          <w:tcPr>
            <w:tcW w:w="1633" w:type="dxa"/>
          </w:tcPr>
          <w:p w14:paraId="0F9F8328" w14:textId="77777777" w:rsidR="001E0F1B" w:rsidRPr="00A448E0" w:rsidRDefault="001E0F1B" w:rsidP="00AA51D2">
            <w:pPr>
              <w:spacing w:line="288" w:lineRule="auto"/>
              <w:jc w:val="center"/>
              <w:rPr>
                <w:b/>
                <w:bCs/>
                <w:sz w:val="18"/>
                <w:szCs w:val="18"/>
              </w:rPr>
            </w:pPr>
            <w:r w:rsidRPr="00A448E0">
              <w:rPr>
                <w:b/>
                <w:bCs/>
                <w:sz w:val="18"/>
                <w:szCs w:val="18"/>
              </w:rPr>
              <w:t>Odds ratio</w:t>
            </w:r>
          </w:p>
          <w:p w14:paraId="75773FDD" w14:textId="77777777" w:rsidR="001E0F1B" w:rsidRPr="00A448E0" w:rsidRDefault="001E0F1B" w:rsidP="00AA51D2">
            <w:pPr>
              <w:spacing w:line="288" w:lineRule="auto"/>
              <w:jc w:val="center"/>
              <w:rPr>
                <w:b/>
                <w:bCs/>
                <w:sz w:val="18"/>
                <w:szCs w:val="18"/>
              </w:rPr>
            </w:pPr>
            <w:r w:rsidRPr="00A448E0">
              <w:rPr>
                <w:b/>
                <w:bCs/>
                <w:sz w:val="18"/>
                <w:szCs w:val="18"/>
              </w:rPr>
              <w:t>(95% CI)</w:t>
            </w:r>
          </w:p>
        </w:tc>
        <w:tc>
          <w:tcPr>
            <w:tcW w:w="1701" w:type="dxa"/>
          </w:tcPr>
          <w:p w14:paraId="7AD9F32C" w14:textId="77777777" w:rsidR="001E0F1B" w:rsidRPr="00A448E0" w:rsidRDefault="001E0F1B" w:rsidP="00AA51D2">
            <w:pPr>
              <w:spacing w:line="288" w:lineRule="auto"/>
              <w:jc w:val="center"/>
              <w:rPr>
                <w:b/>
                <w:bCs/>
                <w:sz w:val="18"/>
                <w:szCs w:val="18"/>
              </w:rPr>
            </w:pPr>
            <w:r w:rsidRPr="00A448E0">
              <w:rPr>
                <w:b/>
                <w:bCs/>
                <w:sz w:val="18"/>
                <w:szCs w:val="18"/>
              </w:rPr>
              <w:t xml:space="preserve">Heterogeneity </w:t>
            </w:r>
          </w:p>
          <w:p w14:paraId="1652E2C9" w14:textId="77777777" w:rsidR="001E0F1B" w:rsidRPr="00A448E0" w:rsidRDefault="001E0F1B" w:rsidP="00AA51D2">
            <w:pPr>
              <w:spacing w:line="288" w:lineRule="auto"/>
              <w:jc w:val="center"/>
              <w:rPr>
                <w:b/>
                <w:bCs/>
                <w:sz w:val="18"/>
                <w:szCs w:val="18"/>
              </w:rPr>
            </w:pPr>
            <w:r w:rsidRPr="00A448E0">
              <w:rPr>
                <w:b/>
                <w:bCs/>
                <w:sz w:val="18"/>
                <w:szCs w:val="18"/>
              </w:rPr>
              <w:t>(</w:t>
            </w:r>
            <w:r w:rsidRPr="00A448E0">
              <w:rPr>
                <w:b/>
                <w:bCs/>
                <w:i/>
                <w:iCs/>
                <w:sz w:val="18"/>
                <w:szCs w:val="18"/>
              </w:rPr>
              <w:t>I</w:t>
            </w:r>
            <w:r w:rsidRPr="00A448E0">
              <w:rPr>
                <w:b/>
                <w:bCs/>
                <w:sz w:val="18"/>
                <w:szCs w:val="18"/>
                <w:vertAlign w:val="superscript"/>
              </w:rPr>
              <w:t>2</w:t>
            </w:r>
            <w:r w:rsidRPr="00A448E0">
              <w:rPr>
                <w:b/>
                <w:bCs/>
                <w:sz w:val="18"/>
                <w:szCs w:val="18"/>
              </w:rPr>
              <w:t>; p value)</w:t>
            </w:r>
          </w:p>
        </w:tc>
        <w:tc>
          <w:tcPr>
            <w:tcW w:w="1843" w:type="dxa"/>
          </w:tcPr>
          <w:p w14:paraId="04D2FFFB" w14:textId="77777777" w:rsidR="001E0F1B" w:rsidRPr="009F259D" w:rsidRDefault="001E0F1B" w:rsidP="00AA51D2">
            <w:pPr>
              <w:spacing w:line="288" w:lineRule="auto"/>
              <w:jc w:val="center"/>
              <w:rPr>
                <w:b/>
                <w:bCs/>
                <w:sz w:val="18"/>
                <w:szCs w:val="18"/>
                <w:lang w:val="en-US"/>
              </w:rPr>
            </w:pPr>
            <w:r w:rsidRPr="009F259D">
              <w:rPr>
                <w:b/>
                <w:bCs/>
                <w:sz w:val="18"/>
                <w:szCs w:val="18"/>
                <w:lang w:val="en-US"/>
              </w:rPr>
              <w:t>Publication bias</w:t>
            </w:r>
          </w:p>
          <w:p w14:paraId="2DB2F42F" w14:textId="77777777" w:rsidR="001E0F1B" w:rsidRPr="009F259D" w:rsidRDefault="001E0F1B" w:rsidP="00AA51D2">
            <w:pPr>
              <w:spacing w:line="288" w:lineRule="auto"/>
              <w:jc w:val="center"/>
              <w:rPr>
                <w:b/>
                <w:bCs/>
                <w:sz w:val="18"/>
                <w:szCs w:val="18"/>
                <w:lang w:val="en-US"/>
              </w:rPr>
            </w:pPr>
            <w:r w:rsidRPr="009F259D">
              <w:rPr>
                <w:b/>
                <w:bCs/>
                <w:sz w:val="18"/>
                <w:szCs w:val="18"/>
                <w:lang w:val="en-US"/>
              </w:rPr>
              <w:t>(p value Egger’s test)</w:t>
            </w:r>
          </w:p>
        </w:tc>
      </w:tr>
      <w:tr w:rsidR="001E0F1B" w:rsidRPr="006A2C22" w14:paraId="60693752" w14:textId="77777777" w:rsidTr="00AA51D2">
        <w:trPr>
          <w:jc w:val="center"/>
        </w:trPr>
        <w:tc>
          <w:tcPr>
            <w:tcW w:w="13434" w:type="dxa"/>
            <w:gridSpan w:val="8"/>
          </w:tcPr>
          <w:p w14:paraId="713D86CC" w14:textId="77777777" w:rsidR="001E0F1B" w:rsidRPr="008404B4" w:rsidRDefault="001E0F1B" w:rsidP="00AA51D2">
            <w:pPr>
              <w:spacing w:line="288" w:lineRule="auto"/>
              <w:jc w:val="both"/>
              <w:rPr>
                <w:i/>
                <w:iCs/>
                <w:sz w:val="18"/>
                <w:szCs w:val="18"/>
                <w:lang w:val="en-US"/>
              </w:rPr>
            </w:pPr>
            <w:r w:rsidRPr="008404B4">
              <w:rPr>
                <w:i/>
                <w:iCs/>
                <w:sz w:val="18"/>
                <w:szCs w:val="18"/>
                <w:lang w:val="en-US"/>
              </w:rPr>
              <w:t>PICO 4B: Daptomycin HD or</w:t>
            </w:r>
            <w:r>
              <w:rPr>
                <w:i/>
                <w:iCs/>
                <w:sz w:val="18"/>
                <w:szCs w:val="18"/>
                <w:lang w:val="en-US"/>
              </w:rPr>
              <w:t xml:space="preserve"> combination therapy vs. daptomycin standard dose</w:t>
            </w:r>
          </w:p>
        </w:tc>
      </w:tr>
      <w:tr w:rsidR="001E0F1B" w:rsidRPr="00A448E0" w14:paraId="075827C7" w14:textId="77777777" w:rsidTr="00AA51D2">
        <w:trPr>
          <w:jc w:val="center"/>
        </w:trPr>
        <w:tc>
          <w:tcPr>
            <w:tcW w:w="2581" w:type="dxa"/>
          </w:tcPr>
          <w:p w14:paraId="3F7C1E54" w14:textId="77777777" w:rsidR="001E0F1B" w:rsidRPr="009F259D" w:rsidRDefault="001E0F1B" w:rsidP="00AA51D2">
            <w:pPr>
              <w:spacing w:line="288" w:lineRule="auto"/>
              <w:jc w:val="center"/>
              <w:rPr>
                <w:sz w:val="18"/>
                <w:szCs w:val="18"/>
                <w:lang w:val="en-US"/>
              </w:rPr>
            </w:pPr>
            <w:proofErr w:type="spellStart"/>
            <w:r w:rsidRPr="009F259D">
              <w:rPr>
                <w:sz w:val="18"/>
                <w:szCs w:val="18"/>
                <w:lang w:val="en-US"/>
              </w:rPr>
              <w:t>Dapto</w:t>
            </w:r>
            <w:proofErr w:type="spellEnd"/>
            <w:r w:rsidRPr="009F259D">
              <w:rPr>
                <w:sz w:val="18"/>
                <w:szCs w:val="18"/>
                <w:lang w:val="en-US"/>
              </w:rPr>
              <w:t xml:space="preserve"> HD vs. standard dosing</w:t>
            </w:r>
          </w:p>
        </w:tc>
        <w:tc>
          <w:tcPr>
            <w:tcW w:w="777" w:type="dxa"/>
          </w:tcPr>
          <w:p w14:paraId="17A458AE" w14:textId="77777777" w:rsidR="001E0F1B" w:rsidRPr="00A448E0" w:rsidRDefault="001E0F1B" w:rsidP="00AA51D2">
            <w:pPr>
              <w:spacing w:line="288" w:lineRule="auto"/>
              <w:jc w:val="center"/>
              <w:rPr>
                <w:sz w:val="18"/>
                <w:szCs w:val="18"/>
              </w:rPr>
            </w:pPr>
            <w:r>
              <w:rPr>
                <w:sz w:val="18"/>
                <w:szCs w:val="18"/>
              </w:rPr>
              <w:t>6</w:t>
            </w:r>
          </w:p>
        </w:tc>
        <w:tc>
          <w:tcPr>
            <w:tcW w:w="1173" w:type="dxa"/>
          </w:tcPr>
          <w:p w14:paraId="16EACEB9" w14:textId="77777777" w:rsidR="001E0F1B" w:rsidRDefault="001E0F1B" w:rsidP="00AA51D2">
            <w:pPr>
              <w:spacing w:line="288" w:lineRule="auto"/>
              <w:jc w:val="center"/>
              <w:rPr>
                <w:sz w:val="18"/>
                <w:szCs w:val="18"/>
              </w:rPr>
            </w:pPr>
            <w:r>
              <w:rPr>
                <w:sz w:val="18"/>
                <w:szCs w:val="18"/>
              </w:rPr>
              <w:t>2,116</w:t>
            </w:r>
          </w:p>
        </w:tc>
        <w:tc>
          <w:tcPr>
            <w:tcW w:w="2093" w:type="dxa"/>
          </w:tcPr>
          <w:p w14:paraId="49095BEF" w14:textId="77777777" w:rsidR="001E0F1B" w:rsidRDefault="001E0F1B" w:rsidP="00AA51D2">
            <w:pPr>
              <w:spacing w:line="288" w:lineRule="auto"/>
              <w:jc w:val="center"/>
              <w:rPr>
                <w:sz w:val="18"/>
                <w:szCs w:val="18"/>
              </w:rPr>
            </w:pPr>
            <w:r>
              <w:rPr>
                <w:sz w:val="18"/>
                <w:szCs w:val="18"/>
              </w:rPr>
              <w:t>847</w:t>
            </w:r>
          </w:p>
        </w:tc>
        <w:tc>
          <w:tcPr>
            <w:tcW w:w="1633" w:type="dxa"/>
          </w:tcPr>
          <w:p w14:paraId="0718B9AB" w14:textId="77777777" w:rsidR="001E0F1B" w:rsidRDefault="001E0F1B" w:rsidP="00AA51D2">
            <w:pPr>
              <w:spacing w:line="288" w:lineRule="auto"/>
              <w:jc w:val="center"/>
              <w:rPr>
                <w:sz w:val="18"/>
                <w:szCs w:val="18"/>
              </w:rPr>
            </w:pPr>
            <w:r>
              <w:rPr>
                <w:sz w:val="18"/>
                <w:szCs w:val="18"/>
              </w:rPr>
              <w:t>1,269</w:t>
            </w:r>
          </w:p>
        </w:tc>
        <w:tc>
          <w:tcPr>
            <w:tcW w:w="1633" w:type="dxa"/>
          </w:tcPr>
          <w:p w14:paraId="5A97806E" w14:textId="77777777" w:rsidR="001E0F1B" w:rsidRPr="00A448E0" w:rsidRDefault="001E0F1B" w:rsidP="00AA51D2">
            <w:pPr>
              <w:spacing w:line="288" w:lineRule="auto"/>
              <w:jc w:val="center"/>
              <w:rPr>
                <w:sz w:val="18"/>
                <w:szCs w:val="18"/>
              </w:rPr>
            </w:pPr>
            <w:r>
              <w:rPr>
                <w:sz w:val="18"/>
                <w:szCs w:val="18"/>
              </w:rPr>
              <w:t>0.67</w:t>
            </w:r>
          </w:p>
          <w:p w14:paraId="0126D55B" w14:textId="77777777" w:rsidR="001E0F1B" w:rsidRPr="00A448E0" w:rsidRDefault="001E0F1B" w:rsidP="00AA51D2">
            <w:pPr>
              <w:spacing w:line="288" w:lineRule="auto"/>
              <w:jc w:val="center"/>
              <w:rPr>
                <w:sz w:val="18"/>
                <w:szCs w:val="18"/>
              </w:rPr>
            </w:pPr>
            <w:r w:rsidRPr="00A448E0">
              <w:rPr>
                <w:sz w:val="18"/>
                <w:szCs w:val="18"/>
              </w:rPr>
              <w:t>(</w:t>
            </w:r>
            <w:r>
              <w:rPr>
                <w:sz w:val="18"/>
                <w:szCs w:val="18"/>
              </w:rPr>
              <w:t>0</w:t>
            </w:r>
            <w:r w:rsidRPr="00A448E0">
              <w:rPr>
                <w:sz w:val="18"/>
                <w:szCs w:val="18"/>
              </w:rPr>
              <w:t>.</w:t>
            </w:r>
            <w:r>
              <w:rPr>
                <w:sz w:val="18"/>
                <w:szCs w:val="18"/>
              </w:rPr>
              <w:t>52</w:t>
            </w:r>
            <w:r w:rsidRPr="00A448E0">
              <w:rPr>
                <w:sz w:val="18"/>
                <w:szCs w:val="18"/>
              </w:rPr>
              <w:t>-</w:t>
            </w:r>
            <w:r>
              <w:rPr>
                <w:sz w:val="18"/>
                <w:szCs w:val="18"/>
              </w:rPr>
              <w:t>0</w:t>
            </w:r>
            <w:r w:rsidRPr="00A448E0">
              <w:rPr>
                <w:sz w:val="18"/>
                <w:szCs w:val="18"/>
              </w:rPr>
              <w:t>.</w:t>
            </w:r>
            <w:r>
              <w:rPr>
                <w:sz w:val="18"/>
                <w:szCs w:val="18"/>
              </w:rPr>
              <w:t>86</w:t>
            </w:r>
            <w:r w:rsidRPr="00A448E0">
              <w:rPr>
                <w:sz w:val="18"/>
                <w:szCs w:val="18"/>
              </w:rPr>
              <w:t>)</w:t>
            </w:r>
          </w:p>
          <w:p w14:paraId="49D3ABEC" w14:textId="77777777" w:rsidR="001E0F1B" w:rsidRPr="00480A14" w:rsidRDefault="001E0F1B" w:rsidP="00AA51D2">
            <w:pPr>
              <w:spacing w:line="288" w:lineRule="auto"/>
              <w:jc w:val="center"/>
              <w:rPr>
                <w:b/>
                <w:bCs/>
                <w:sz w:val="18"/>
                <w:szCs w:val="18"/>
              </w:rPr>
            </w:pPr>
            <w:r w:rsidRPr="00480A14">
              <w:rPr>
                <w:b/>
                <w:bCs/>
                <w:sz w:val="18"/>
                <w:szCs w:val="18"/>
              </w:rPr>
              <w:t>p=0.001</w:t>
            </w:r>
          </w:p>
        </w:tc>
        <w:tc>
          <w:tcPr>
            <w:tcW w:w="1701" w:type="dxa"/>
          </w:tcPr>
          <w:p w14:paraId="5877487D" w14:textId="77777777" w:rsidR="001E0F1B" w:rsidRPr="00A448E0" w:rsidRDefault="001E0F1B" w:rsidP="00AA51D2">
            <w:pPr>
              <w:spacing w:line="288" w:lineRule="auto"/>
              <w:jc w:val="center"/>
              <w:rPr>
                <w:sz w:val="18"/>
                <w:szCs w:val="18"/>
              </w:rPr>
            </w:pPr>
            <w:r>
              <w:rPr>
                <w:sz w:val="18"/>
                <w:szCs w:val="18"/>
              </w:rPr>
              <w:t>61</w:t>
            </w:r>
            <w:r w:rsidRPr="00A448E0">
              <w:rPr>
                <w:sz w:val="18"/>
                <w:szCs w:val="18"/>
              </w:rPr>
              <w:t>.</w:t>
            </w:r>
            <w:r>
              <w:rPr>
                <w:sz w:val="18"/>
                <w:szCs w:val="18"/>
              </w:rPr>
              <w:t>7</w:t>
            </w:r>
            <w:r w:rsidRPr="00A448E0">
              <w:rPr>
                <w:sz w:val="18"/>
                <w:szCs w:val="18"/>
              </w:rPr>
              <w:t>%</w:t>
            </w:r>
          </w:p>
          <w:p w14:paraId="7324BAD9" w14:textId="77777777" w:rsidR="001E0F1B" w:rsidRPr="00A448E0" w:rsidRDefault="001E0F1B" w:rsidP="00AA51D2">
            <w:pPr>
              <w:spacing w:line="288" w:lineRule="auto"/>
              <w:jc w:val="center"/>
              <w:rPr>
                <w:sz w:val="18"/>
                <w:szCs w:val="18"/>
              </w:rPr>
            </w:pPr>
            <w:r w:rsidRPr="00A448E0">
              <w:rPr>
                <w:sz w:val="18"/>
                <w:szCs w:val="18"/>
              </w:rPr>
              <w:t>p=0.</w:t>
            </w:r>
            <w:r>
              <w:rPr>
                <w:sz w:val="18"/>
                <w:szCs w:val="18"/>
              </w:rPr>
              <w:t>02</w:t>
            </w:r>
          </w:p>
        </w:tc>
        <w:tc>
          <w:tcPr>
            <w:tcW w:w="1843" w:type="dxa"/>
          </w:tcPr>
          <w:p w14:paraId="6321160F" w14:textId="77777777" w:rsidR="001E0F1B" w:rsidRPr="00A448E0" w:rsidRDefault="001E0F1B" w:rsidP="00AA51D2">
            <w:pPr>
              <w:spacing w:line="288" w:lineRule="auto"/>
              <w:jc w:val="center"/>
              <w:rPr>
                <w:sz w:val="18"/>
                <w:szCs w:val="18"/>
              </w:rPr>
            </w:pPr>
            <w:r>
              <w:rPr>
                <w:sz w:val="18"/>
                <w:szCs w:val="18"/>
              </w:rPr>
              <w:t>0.20</w:t>
            </w:r>
          </w:p>
        </w:tc>
      </w:tr>
      <w:tr w:rsidR="001E0F1B" w:rsidRPr="00A448E0" w14:paraId="561C74E5" w14:textId="77777777" w:rsidTr="00AA51D2">
        <w:trPr>
          <w:jc w:val="center"/>
        </w:trPr>
        <w:tc>
          <w:tcPr>
            <w:tcW w:w="2581" w:type="dxa"/>
          </w:tcPr>
          <w:p w14:paraId="5BFAA71A" w14:textId="77777777" w:rsidR="001E0F1B" w:rsidRPr="008404B4" w:rsidRDefault="001E0F1B" w:rsidP="00AA51D2">
            <w:pPr>
              <w:spacing w:line="288" w:lineRule="auto"/>
              <w:jc w:val="center"/>
              <w:rPr>
                <w:sz w:val="18"/>
                <w:szCs w:val="18"/>
                <w:lang w:val="en-US"/>
              </w:rPr>
            </w:pPr>
            <w:proofErr w:type="spellStart"/>
            <w:r w:rsidRPr="008404B4">
              <w:rPr>
                <w:sz w:val="18"/>
                <w:szCs w:val="18"/>
                <w:lang w:val="en-US"/>
              </w:rPr>
              <w:t>Dapto</w:t>
            </w:r>
            <w:proofErr w:type="spellEnd"/>
            <w:r w:rsidRPr="008404B4">
              <w:rPr>
                <w:sz w:val="18"/>
                <w:szCs w:val="18"/>
                <w:lang w:val="en-US"/>
              </w:rPr>
              <w:t xml:space="preserve"> combination therapy vs. mono</w:t>
            </w:r>
            <w:r>
              <w:rPr>
                <w:sz w:val="18"/>
                <w:szCs w:val="18"/>
                <w:lang w:val="en-US"/>
              </w:rPr>
              <w:t>therapy</w:t>
            </w:r>
          </w:p>
        </w:tc>
        <w:tc>
          <w:tcPr>
            <w:tcW w:w="777" w:type="dxa"/>
          </w:tcPr>
          <w:p w14:paraId="39E977EC" w14:textId="77777777" w:rsidR="001E0F1B" w:rsidRPr="00A448E0" w:rsidRDefault="001E0F1B" w:rsidP="00AA51D2">
            <w:pPr>
              <w:spacing w:line="288" w:lineRule="auto"/>
              <w:jc w:val="center"/>
              <w:rPr>
                <w:sz w:val="18"/>
                <w:szCs w:val="18"/>
              </w:rPr>
            </w:pPr>
            <w:r>
              <w:rPr>
                <w:sz w:val="18"/>
                <w:szCs w:val="18"/>
              </w:rPr>
              <w:t>3</w:t>
            </w:r>
          </w:p>
        </w:tc>
        <w:tc>
          <w:tcPr>
            <w:tcW w:w="1173" w:type="dxa"/>
          </w:tcPr>
          <w:p w14:paraId="4CAA6CA7" w14:textId="77777777" w:rsidR="001E0F1B" w:rsidRDefault="001E0F1B" w:rsidP="00AA51D2">
            <w:pPr>
              <w:spacing w:line="288" w:lineRule="auto"/>
              <w:jc w:val="center"/>
              <w:rPr>
                <w:sz w:val="18"/>
                <w:szCs w:val="18"/>
              </w:rPr>
            </w:pPr>
            <w:r>
              <w:rPr>
                <w:sz w:val="18"/>
                <w:szCs w:val="18"/>
              </w:rPr>
              <w:t>999</w:t>
            </w:r>
          </w:p>
        </w:tc>
        <w:tc>
          <w:tcPr>
            <w:tcW w:w="2093" w:type="dxa"/>
          </w:tcPr>
          <w:p w14:paraId="41172D4B" w14:textId="77777777" w:rsidR="001E0F1B" w:rsidRDefault="001E0F1B" w:rsidP="00AA51D2">
            <w:pPr>
              <w:spacing w:line="288" w:lineRule="auto"/>
              <w:jc w:val="center"/>
              <w:rPr>
                <w:sz w:val="18"/>
                <w:szCs w:val="18"/>
              </w:rPr>
            </w:pPr>
            <w:r>
              <w:rPr>
                <w:sz w:val="18"/>
                <w:szCs w:val="18"/>
              </w:rPr>
              <w:t>303</w:t>
            </w:r>
          </w:p>
        </w:tc>
        <w:tc>
          <w:tcPr>
            <w:tcW w:w="1633" w:type="dxa"/>
          </w:tcPr>
          <w:p w14:paraId="31315BEE" w14:textId="77777777" w:rsidR="001E0F1B" w:rsidRDefault="001E0F1B" w:rsidP="00AA51D2">
            <w:pPr>
              <w:spacing w:line="288" w:lineRule="auto"/>
              <w:jc w:val="center"/>
              <w:rPr>
                <w:sz w:val="18"/>
                <w:szCs w:val="18"/>
              </w:rPr>
            </w:pPr>
            <w:r>
              <w:rPr>
                <w:sz w:val="18"/>
                <w:szCs w:val="18"/>
              </w:rPr>
              <w:t>696</w:t>
            </w:r>
          </w:p>
        </w:tc>
        <w:tc>
          <w:tcPr>
            <w:tcW w:w="1633" w:type="dxa"/>
          </w:tcPr>
          <w:p w14:paraId="4DA09074" w14:textId="77777777" w:rsidR="001E0F1B" w:rsidRPr="00A448E0" w:rsidRDefault="001E0F1B" w:rsidP="00AA51D2">
            <w:pPr>
              <w:spacing w:line="288" w:lineRule="auto"/>
              <w:jc w:val="center"/>
              <w:rPr>
                <w:sz w:val="18"/>
                <w:szCs w:val="18"/>
              </w:rPr>
            </w:pPr>
            <w:r>
              <w:rPr>
                <w:sz w:val="18"/>
                <w:szCs w:val="18"/>
              </w:rPr>
              <w:t>0</w:t>
            </w:r>
            <w:r w:rsidRPr="00A448E0">
              <w:rPr>
                <w:sz w:val="18"/>
                <w:szCs w:val="18"/>
              </w:rPr>
              <w:t>.</w:t>
            </w:r>
            <w:r>
              <w:rPr>
                <w:sz w:val="18"/>
                <w:szCs w:val="18"/>
              </w:rPr>
              <w:t>56</w:t>
            </w:r>
          </w:p>
          <w:p w14:paraId="23D28790" w14:textId="77777777" w:rsidR="001E0F1B" w:rsidRPr="00A448E0" w:rsidRDefault="001E0F1B" w:rsidP="00AA51D2">
            <w:pPr>
              <w:spacing w:line="288" w:lineRule="auto"/>
              <w:jc w:val="center"/>
              <w:rPr>
                <w:sz w:val="18"/>
                <w:szCs w:val="18"/>
              </w:rPr>
            </w:pPr>
            <w:r w:rsidRPr="00A448E0">
              <w:rPr>
                <w:sz w:val="18"/>
                <w:szCs w:val="18"/>
              </w:rPr>
              <w:t>(</w:t>
            </w:r>
            <w:r>
              <w:rPr>
                <w:sz w:val="18"/>
                <w:szCs w:val="18"/>
              </w:rPr>
              <w:t>0</w:t>
            </w:r>
            <w:r w:rsidRPr="00A448E0">
              <w:rPr>
                <w:sz w:val="18"/>
                <w:szCs w:val="18"/>
              </w:rPr>
              <w:t>.</w:t>
            </w:r>
            <w:r>
              <w:rPr>
                <w:sz w:val="18"/>
                <w:szCs w:val="18"/>
              </w:rPr>
              <w:t>36</w:t>
            </w:r>
            <w:r w:rsidRPr="00A448E0">
              <w:rPr>
                <w:sz w:val="18"/>
                <w:szCs w:val="18"/>
              </w:rPr>
              <w:t>-</w:t>
            </w:r>
            <w:r>
              <w:rPr>
                <w:sz w:val="18"/>
                <w:szCs w:val="18"/>
              </w:rPr>
              <w:t>0</w:t>
            </w:r>
            <w:r w:rsidRPr="00A448E0">
              <w:rPr>
                <w:sz w:val="18"/>
                <w:szCs w:val="18"/>
              </w:rPr>
              <w:t>.8</w:t>
            </w:r>
            <w:r>
              <w:rPr>
                <w:sz w:val="18"/>
                <w:szCs w:val="18"/>
              </w:rPr>
              <w:t>9</w:t>
            </w:r>
            <w:r w:rsidRPr="00A448E0">
              <w:rPr>
                <w:sz w:val="18"/>
                <w:szCs w:val="18"/>
              </w:rPr>
              <w:t>)</w:t>
            </w:r>
          </w:p>
          <w:p w14:paraId="5EA7557C" w14:textId="77777777" w:rsidR="001E0F1B" w:rsidRPr="00480A14" w:rsidRDefault="001E0F1B" w:rsidP="00AA51D2">
            <w:pPr>
              <w:spacing w:line="288" w:lineRule="auto"/>
              <w:jc w:val="center"/>
              <w:rPr>
                <w:b/>
                <w:bCs/>
                <w:sz w:val="18"/>
                <w:szCs w:val="18"/>
              </w:rPr>
            </w:pPr>
            <w:r w:rsidRPr="00480A14">
              <w:rPr>
                <w:b/>
                <w:bCs/>
                <w:sz w:val="18"/>
                <w:szCs w:val="18"/>
              </w:rPr>
              <w:t>p=0.01</w:t>
            </w:r>
          </w:p>
        </w:tc>
        <w:tc>
          <w:tcPr>
            <w:tcW w:w="1701" w:type="dxa"/>
          </w:tcPr>
          <w:p w14:paraId="54875C66" w14:textId="77777777" w:rsidR="001E0F1B" w:rsidRPr="00A448E0" w:rsidRDefault="001E0F1B" w:rsidP="00AA51D2">
            <w:pPr>
              <w:spacing w:line="288" w:lineRule="auto"/>
              <w:jc w:val="center"/>
              <w:rPr>
                <w:sz w:val="18"/>
                <w:szCs w:val="18"/>
              </w:rPr>
            </w:pPr>
            <w:r>
              <w:rPr>
                <w:sz w:val="18"/>
                <w:szCs w:val="18"/>
              </w:rPr>
              <w:t>33</w:t>
            </w:r>
            <w:r w:rsidRPr="00A448E0">
              <w:rPr>
                <w:sz w:val="18"/>
                <w:szCs w:val="18"/>
              </w:rPr>
              <w:t>.</w:t>
            </w:r>
            <w:r>
              <w:rPr>
                <w:sz w:val="18"/>
                <w:szCs w:val="18"/>
              </w:rPr>
              <w:t>8</w:t>
            </w:r>
            <w:r w:rsidRPr="00A448E0">
              <w:rPr>
                <w:sz w:val="18"/>
                <w:szCs w:val="18"/>
              </w:rPr>
              <w:t>%</w:t>
            </w:r>
          </w:p>
          <w:p w14:paraId="67F0938A" w14:textId="77777777" w:rsidR="001E0F1B" w:rsidRPr="00A448E0" w:rsidRDefault="001E0F1B" w:rsidP="00AA51D2">
            <w:pPr>
              <w:spacing w:line="288" w:lineRule="auto"/>
              <w:jc w:val="center"/>
              <w:rPr>
                <w:sz w:val="18"/>
                <w:szCs w:val="18"/>
              </w:rPr>
            </w:pPr>
            <w:r w:rsidRPr="00A448E0">
              <w:rPr>
                <w:sz w:val="18"/>
                <w:szCs w:val="18"/>
              </w:rPr>
              <w:t>p</w:t>
            </w:r>
            <w:r>
              <w:rPr>
                <w:sz w:val="18"/>
                <w:szCs w:val="18"/>
              </w:rPr>
              <w:t>=</w:t>
            </w:r>
            <w:r w:rsidRPr="00A448E0">
              <w:rPr>
                <w:sz w:val="18"/>
                <w:szCs w:val="18"/>
              </w:rPr>
              <w:t>0.</w:t>
            </w:r>
            <w:r>
              <w:rPr>
                <w:sz w:val="18"/>
                <w:szCs w:val="18"/>
              </w:rPr>
              <w:t>22</w:t>
            </w:r>
          </w:p>
        </w:tc>
        <w:tc>
          <w:tcPr>
            <w:tcW w:w="1843" w:type="dxa"/>
          </w:tcPr>
          <w:p w14:paraId="1358F0D9" w14:textId="77777777" w:rsidR="001E0F1B" w:rsidRPr="00A448E0" w:rsidRDefault="001E0F1B" w:rsidP="00AA51D2">
            <w:pPr>
              <w:spacing w:line="288" w:lineRule="auto"/>
              <w:jc w:val="center"/>
              <w:rPr>
                <w:sz w:val="18"/>
                <w:szCs w:val="18"/>
              </w:rPr>
            </w:pPr>
            <w:r>
              <w:rPr>
                <w:sz w:val="18"/>
                <w:szCs w:val="18"/>
              </w:rPr>
              <w:t>0.99</w:t>
            </w:r>
          </w:p>
        </w:tc>
      </w:tr>
      <w:tr w:rsidR="001E0F1B" w:rsidRPr="00A448E0" w14:paraId="3C7E338E" w14:textId="77777777" w:rsidTr="00AA51D2">
        <w:trPr>
          <w:jc w:val="center"/>
        </w:trPr>
        <w:tc>
          <w:tcPr>
            <w:tcW w:w="2581" w:type="dxa"/>
          </w:tcPr>
          <w:p w14:paraId="1CBD5AA6" w14:textId="77777777" w:rsidR="001E0F1B" w:rsidRDefault="001E0F1B" w:rsidP="00AA51D2">
            <w:pPr>
              <w:spacing w:line="288" w:lineRule="auto"/>
              <w:jc w:val="center"/>
              <w:rPr>
                <w:sz w:val="18"/>
                <w:szCs w:val="18"/>
              </w:rPr>
            </w:pPr>
            <w:proofErr w:type="spellStart"/>
            <w:r>
              <w:rPr>
                <w:sz w:val="18"/>
                <w:szCs w:val="18"/>
              </w:rPr>
              <w:t>Dapto</w:t>
            </w:r>
            <w:proofErr w:type="spellEnd"/>
            <w:r>
              <w:rPr>
                <w:sz w:val="18"/>
                <w:szCs w:val="18"/>
              </w:rPr>
              <w:t xml:space="preserve"> MIC &gt; 2 vs. &lt;=2</w:t>
            </w:r>
          </w:p>
        </w:tc>
        <w:tc>
          <w:tcPr>
            <w:tcW w:w="777" w:type="dxa"/>
          </w:tcPr>
          <w:p w14:paraId="274B4389" w14:textId="77777777" w:rsidR="001E0F1B" w:rsidRDefault="001E0F1B" w:rsidP="00AA51D2">
            <w:pPr>
              <w:spacing w:line="288" w:lineRule="auto"/>
              <w:jc w:val="center"/>
              <w:rPr>
                <w:sz w:val="18"/>
                <w:szCs w:val="18"/>
              </w:rPr>
            </w:pPr>
            <w:r>
              <w:rPr>
                <w:sz w:val="18"/>
                <w:szCs w:val="18"/>
              </w:rPr>
              <w:t>3</w:t>
            </w:r>
          </w:p>
        </w:tc>
        <w:tc>
          <w:tcPr>
            <w:tcW w:w="1173" w:type="dxa"/>
          </w:tcPr>
          <w:p w14:paraId="0D6A9F36" w14:textId="77777777" w:rsidR="001E0F1B" w:rsidRDefault="001E0F1B" w:rsidP="00AA51D2">
            <w:pPr>
              <w:spacing w:line="288" w:lineRule="auto"/>
              <w:jc w:val="center"/>
              <w:rPr>
                <w:sz w:val="18"/>
                <w:szCs w:val="18"/>
              </w:rPr>
            </w:pPr>
            <w:r>
              <w:rPr>
                <w:sz w:val="18"/>
                <w:szCs w:val="18"/>
              </w:rPr>
              <w:t>250</w:t>
            </w:r>
          </w:p>
        </w:tc>
        <w:tc>
          <w:tcPr>
            <w:tcW w:w="2093" w:type="dxa"/>
          </w:tcPr>
          <w:p w14:paraId="4E6A962F" w14:textId="77777777" w:rsidR="001E0F1B" w:rsidRDefault="001E0F1B" w:rsidP="00AA51D2">
            <w:pPr>
              <w:spacing w:line="288" w:lineRule="auto"/>
              <w:jc w:val="center"/>
              <w:rPr>
                <w:sz w:val="18"/>
                <w:szCs w:val="18"/>
              </w:rPr>
            </w:pPr>
            <w:r>
              <w:rPr>
                <w:sz w:val="18"/>
                <w:szCs w:val="18"/>
              </w:rPr>
              <w:t>128</w:t>
            </w:r>
          </w:p>
        </w:tc>
        <w:tc>
          <w:tcPr>
            <w:tcW w:w="1633" w:type="dxa"/>
          </w:tcPr>
          <w:p w14:paraId="6A10726C" w14:textId="77777777" w:rsidR="001E0F1B" w:rsidRDefault="001E0F1B" w:rsidP="00AA51D2">
            <w:pPr>
              <w:spacing w:line="288" w:lineRule="auto"/>
              <w:jc w:val="center"/>
              <w:rPr>
                <w:sz w:val="18"/>
                <w:szCs w:val="18"/>
              </w:rPr>
            </w:pPr>
            <w:r>
              <w:rPr>
                <w:sz w:val="18"/>
                <w:szCs w:val="18"/>
              </w:rPr>
              <w:t>122</w:t>
            </w:r>
          </w:p>
        </w:tc>
        <w:tc>
          <w:tcPr>
            <w:tcW w:w="1633" w:type="dxa"/>
          </w:tcPr>
          <w:p w14:paraId="140281EA" w14:textId="77777777" w:rsidR="001E0F1B" w:rsidRDefault="001E0F1B" w:rsidP="00AA51D2">
            <w:pPr>
              <w:spacing w:line="288" w:lineRule="auto"/>
              <w:jc w:val="center"/>
              <w:rPr>
                <w:sz w:val="18"/>
                <w:szCs w:val="18"/>
              </w:rPr>
            </w:pPr>
            <w:r>
              <w:rPr>
                <w:sz w:val="18"/>
                <w:szCs w:val="18"/>
              </w:rPr>
              <w:t>0.55</w:t>
            </w:r>
          </w:p>
          <w:p w14:paraId="3F3E97F8" w14:textId="77777777" w:rsidR="001E0F1B" w:rsidRDefault="001E0F1B" w:rsidP="00AA51D2">
            <w:pPr>
              <w:spacing w:line="288" w:lineRule="auto"/>
              <w:jc w:val="center"/>
              <w:rPr>
                <w:sz w:val="18"/>
                <w:szCs w:val="18"/>
              </w:rPr>
            </w:pPr>
            <w:r>
              <w:rPr>
                <w:sz w:val="18"/>
                <w:szCs w:val="18"/>
              </w:rPr>
              <w:t>(0.23-1.32)</w:t>
            </w:r>
          </w:p>
          <w:p w14:paraId="5F58D424" w14:textId="77777777" w:rsidR="001E0F1B" w:rsidRDefault="001E0F1B" w:rsidP="00AA51D2">
            <w:pPr>
              <w:spacing w:line="288" w:lineRule="auto"/>
              <w:jc w:val="center"/>
              <w:rPr>
                <w:sz w:val="18"/>
                <w:szCs w:val="18"/>
              </w:rPr>
            </w:pPr>
            <w:r>
              <w:rPr>
                <w:sz w:val="18"/>
                <w:szCs w:val="18"/>
              </w:rPr>
              <w:t>p=0.18</w:t>
            </w:r>
          </w:p>
        </w:tc>
        <w:tc>
          <w:tcPr>
            <w:tcW w:w="1701" w:type="dxa"/>
          </w:tcPr>
          <w:p w14:paraId="6DCF5B1E" w14:textId="77777777" w:rsidR="001E0F1B" w:rsidRDefault="001E0F1B" w:rsidP="00AA51D2">
            <w:pPr>
              <w:spacing w:line="288" w:lineRule="auto"/>
              <w:jc w:val="center"/>
              <w:rPr>
                <w:sz w:val="18"/>
                <w:szCs w:val="18"/>
              </w:rPr>
            </w:pPr>
            <w:r>
              <w:rPr>
                <w:sz w:val="18"/>
                <w:szCs w:val="18"/>
              </w:rPr>
              <w:t>0.0%</w:t>
            </w:r>
          </w:p>
          <w:p w14:paraId="46E77945" w14:textId="77777777" w:rsidR="001E0F1B" w:rsidRDefault="001E0F1B" w:rsidP="00AA51D2">
            <w:pPr>
              <w:spacing w:line="288" w:lineRule="auto"/>
              <w:jc w:val="center"/>
              <w:rPr>
                <w:sz w:val="18"/>
                <w:szCs w:val="18"/>
              </w:rPr>
            </w:pPr>
            <w:r>
              <w:rPr>
                <w:sz w:val="18"/>
                <w:szCs w:val="18"/>
              </w:rPr>
              <w:t>p=0.47</w:t>
            </w:r>
          </w:p>
        </w:tc>
        <w:tc>
          <w:tcPr>
            <w:tcW w:w="1843" w:type="dxa"/>
          </w:tcPr>
          <w:p w14:paraId="39243125" w14:textId="77777777" w:rsidR="001E0F1B" w:rsidRPr="00A448E0" w:rsidRDefault="001E0F1B" w:rsidP="00AA51D2">
            <w:pPr>
              <w:spacing w:line="288" w:lineRule="auto"/>
              <w:jc w:val="center"/>
              <w:rPr>
                <w:sz w:val="18"/>
                <w:szCs w:val="18"/>
              </w:rPr>
            </w:pPr>
            <w:r>
              <w:rPr>
                <w:sz w:val="18"/>
                <w:szCs w:val="18"/>
              </w:rPr>
              <w:t>0.87</w:t>
            </w:r>
          </w:p>
        </w:tc>
      </w:tr>
    </w:tbl>
    <w:p w14:paraId="508CA3A1" w14:textId="77777777" w:rsidR="001E0F1B" w:rsidRDefault="001E0F1B" w:rsidP="001E0F1B">
      <w:pPr>
        <w:rPr>
          <w:i/>
          <w:iCs/>
          <w:sz w:val="18"/>
          <w:szCs w:val="18"/>
          <w:lang w:val="en-US"/>
        </w:rPr>
      </w:pPr>
      <w:r>
        <w:rPr>
          <w:sz w:val="18"/>
          <w:szCs w:val="18"/>
          <w:lang w:val="en-US"/>
        </w:rPr>
        <w:t xml:space="preserve">BSIs: bloodstream infections; CI: confidence interval; HD high-dose; MIC minimum inhibitory concentration; VRE: vancomycin-resistant </w:t>
      </w:r>
      <w:r>
        <w:rPr>
          <w:i/>
          <w:iCs/>
          <w:sz w:val="18"/>
          <w:szCs w:val="18"/>
          <w:lang w:val="en-US"/>
        </w:rPr>
        <w:t>Enterococci</w:t>
      </w:r>
    </w:p>
    <w:p w14:paraId="3E6E378C" w14:textId="77777777" w:rsidR="001E0F1B" w:rsidRDefault="001E0F1B" w:rsidP="001E0F1B">
      <w:pPr>
        <w:rPr>
          <w:b/>
          <w:bCs/>
        </w:rPr>
      </w:pPr>
      <w:r>
        <w:rPr>
          <w:b/>
          <w:bCs/>
        </w:rPr>
        <w:br w:type="page"/>
      </w:r>
    </w:p>
    <w:p w14:paraId="2555CA75" w14:textId="2D900D67" w:rsidR="001E0F1B" w:rsidRDefault="001E0F1B" w:rsidP="001E0F1B">
      <w:pPr>
        <w:spacing w:line="360" w:lineRule="auto"/>
        <w:jc w:val="both"/>
      </w:pPr>
      <w:proofErr w:type="spellStart"/>
      <w:r>
        <w:rPr>
          <w:b/>
          <w:bCs/>
        </w:rPr>
        <w:lastRenderedPageBreak/>
        <w:t>Supplementary</w:t>
      </w:r>
      <w:proofErr w:type="spellEnd"/>
      <w:r>
        <w:rPr>
          <w:b/>
          <w:bCs/>
        </w:rPr>
        <w:t xml:space="preserve"> Table </w:t>
      </w:r>
      <w:r w:rsidR="00123844">
        <w:rPr>
          <w:b/>
          <w:bCs/>
        </w:rPr>
        <w:t>7</w:t>
      </w:r>
      <w:r>
        <w:rPr>
          <w:b/>
          <w:bCs/>
        </w:rPr>
        <w:t xml:space="preserve"> – </w:t>
      </w:r>
      <w:r w:rsidRPr="009F594B">
        <w:t xml:space="preserve">Risk of </w:t>
      </w:r>
      <w:proofErr w:type="spellStart"/>
      <w:r w:rsidRPr="009F594B">
        <w:t>bias</w:t>
      </w:r>
      <w:proofErr w:type="spellEnd"/>
      <w:r w:rsidRPr="009F594B">
        <w:t xml:space="preserve"> </w:t>
      </w:r>
      <w:proofErr w:type="spellStart"/>
      <w:r w:rsidRPr="009F594B">
        <w:t>assessment</w:t>
      </w:r>
      <w:proofErr w:type="spellEnd"/>
      <w:r w:rsidRPr="009F594B">
        <w:t xml:space="preserve"> for </w:t>
      </w:r>
      <w:proofErr w:type="spellStart"/>
      <w:r w:rsidRPr="009F594B">
        <w:t>observational</w:t>
      </w:r>
      <w:proofErr w:type="spellEnd"/>
      <w:r w:rsidRPr="009F594B">
        <w:t xml:space="preserve"> studies </w:t>
      </w:r>
      <w:proofErr w:type="spellStart"/>
      <w:r w:rsidRPr="009F594B">
        <w:t>according</w:t>
      </w:r>
      <w:proofErr w:type="spellEnd"/>
      <w:r w:rsidRPr="009F594B">
        <w:t xml:space="preserve"> to ROBINS-I</w:t>
      </w:r>
      <w:r>
        <w:t xml:space="preserve"> (PECO 2)</w:t>
      </w:r>
    </w:p>
    <w:tbl>
      <w:tblPr>
        <w:tblStyle w:val="Grigliatabella"/>
        <w:tblW w:w="16297" w:type="dxa"/>
        <w:jc w:val="center"/>
        <w:tblLook w:val="04A0" w:firstRow="1" w:lastRow="0" w:firstColumn="1" w:lastColumn="0" w:noHBand="0" w:noVBand="1"/>
      </w:tblPr>
      <w:tblGrid>
        <w:gridCol w:w="1725"/>
        <w:gridCol w:w="1351"/>
        <w:gridCol w:w="1710"/>
        <w:gridCol w:w="1980"/>
        <w:gridCol w:w="2340"/>
        <w:gridCol w:w="1620"/>
        <w:gridCol w:w="1980"/>
        <w:gridCol w:w="1890"/>
        <w:gridCol w:w="1701"/>
      </w:tblGrid>
      <w:tr w:rsidR="001E0F1B" w:rsidRPr="00904E2D" w14:paraId="69D90101" w14:textId="77777777" w:rsidTr="00AA51D2">
        <w:trPr>
          <w:jc w:val="center"/>
        </w:trPr>
        <w:tc>
          <w:tcPr>
            <w:tcW w:w="1725" w:type="dxa"/>
          </w:tcPr>
          <w:p w14:paraId="6744A0C0" w14:textId="77777777" w:rsidR="001E0F1B" w:rsidRPr="00904E2D" w:rsidRDefault="001E0F1B" w:rsidP="00AA51D2">
            <w:pPr>
              <w:spacing w:line="360" w:lineRule="auto"/>
              <w:jc w:val="center"/>
              <w:rPr>
                <w:b/>
                <w:bCs/>
                <w:sz w:val="18"/>
                <w:szCs w:val="18"/>
              </w:rPr>
            </w:pPr>
            <w:r w:rsidRPr="00904E2D">
              <w:rPr>
                <w:b/>
                <w:bCs/>
                <w:sz w:val="18"/>
                <w:szCs w:val="18"/>
              </w:rPr>
              <w:t>Study</w:t>
            </w:r>
          </w:p>
        </w:tc>
        <w:tc>
          <w:tcPr>
            <w:tcW w:w="12871" w:type="dxa"/>
            <w:gridSpan w:val="7"/>
          </w:tcPr>
          <w:p w14:paraId="4ED7D312" w14:textId="77777777" w:rsidR="001E0F1B" w:rsidRPr="00904E2D" w:rsidRDefault="001E0F1B" w:rsidP="00AA51D2">
            <w:pPr>
              <w:spacing w:line="360" w:lineRule="auto"/>
              <w:jc w:val="center"/>
              <w:rPr>
                <w:b/>
                <w:bCs/>
                <w:sz w:val="18"/>
                <w:szCs w:val="18"/>
              </w:rPr>
            </w:pPr>
            <w:r w:rsidRPr="00904E2D">
              <w:rPr>
                <w:b/>
                <w:bCs/>
                <w:sz w:val="18"/>
                <w:szCs w:val="18"/>
              </w:rPr>
              <w:t>Bias domains</w:t>
            </w:r>
          </w:p>
        </w:tc>
        <w:tc>
          <w:tcPr>
            <w:tcW w:w="1701" w:type="dxa"/>
          </w:tcPr>
          <w:p w14:paraId="48C933E7" w14:textId="77777777" w:rsidR="001E0F1B" w:rsidRPr="00904E2D" w:rsidRDefault="001E0F1B" w:rsidP="00AA51D2">
            <w:pPr>
              <w:spacing w:line="360" w:lineRule="auto"/>
              <w:jc w:val="center"/>
              <w:rPr>
                <w:b/>
                <w:bCs/>
                <w:sz w:val="18"/>
                <w:szCs w:val="18"/>
              </w:rPr>
            </w:pPr>
            <w:r w:rsidRPr="00904E2D">
              <w:rPr>
                <w:b/>
                <w:bCs/>
                <w:sz w:val="18"/>
                <w:szCs w:val="18"/>
              </w:rPr>
              <w:t xml:space="preserve">Overall </w:t>
            </w:r>
            <w:proofErr w:type="spellStart"/>
            <w:r w:rsidRPr="00904E2D">
              <w:rPr>
                <w:b/>
                <w:bCs/>
                <w:sz w:val="18"/>
                <w:szCs w:val="18"/>
              </w:rPr>
              <w:t>judgment</w:t>
            </w:r>
            <w:proofErr w:type="spellEnd"/>
          </w:p>
        </w:tc>
      </w:tr>
      <w:tr w:rsidR="001E0F1B" w:rsidRPr="00904E2D" w14:paraId="3FD3DCE6" w14:textId="77777777" w:rsidTr="00AA51D2">
        <w:trPr>
          <w:jc w:val="center"/>
        </w:trPr>
        <w:tc>
          <w:tcPr>
            <w:tcW w:w="1725" w:type="dxa"/>
          </w:tcPr>
          <w:p w14:paraId="45086645" w14:textId="77777777" w:rsidR="001E0F1B" w:rsidRPr="00904E2D" w:rsidRDefault="001E0F1B" w:rsidP="00AA51D2">
            <w:pPr>
              <w:spacing w:line="360" w:lineRule="auto"/>
              <w:jc w:val="both"/>
              <w:rPr>
                <w:b/>
                <w:bCs/>
                <w:sz w:val="18"/>
                <w:szCs w:val="18"/>
              </w:rPr>
            </w:pPr>
          </w:p>
        </w:tc>
        <w:tc>
          <w:tcPr>
            <w:tcW w:w="1351" w:type="dxa"/>
          </w:tcPr>
          <w:p w14:paraId="6E4835E9" w14:textId="77777777" w:rsidR="001E0F1B" w:rsidRPr="00904E2D" w:rsidRDefault="001E0F1B" w:rsidP="00AA51D2">
            <w:pPr>
              <w:spacing w:line="360" w:lineRule="auto"/>
              <w:jc w:val="center"/>
              <w:rPr>
                <w:b/>
                <w:bCs/>
                <w:sz w:val="18"/>
                <w:szCs w:val="18"/>
              </w:rPr>
            </w:pPr>
            <w:r w:rsidRPr="00904E2D">
              <w:rPr>
                <w:b/>
                <w:bCs/>
                <w:sz w:val="18"/>
                <w:szCs w:val="18"/>
              </w:rPr>
              <w:t xml:space="preserve">Bias due to </w:t>
            </w:r>
            <w:proofErr w:type="spellStart"/>
            <w:r w:rsidRPr="00904E2D">
              <w:rPr>
                <w:b/>
                <w:bCs/>
                <w:sz w:val="18"/>
                <w:szCs w:val="18"/>
              </w:rPr>
              <w:t>confounding</w:t>
            </w:r>
            <w:proofErr w:type="spellEnd"/>
          </w:p>
        </w:tc>
        <w:tc>
          <w:tcPr>
            <w:tcW w:w="1710" w:type="dxa"/>
          </w:tcPr>
          <w:p w14:paraId="63492B78" w14:textId="77777777" w:rsidR="001E0F1B" w:rsidRPr="00904E2D" w:rsidRDefault="001E0F1B" w:rsidP="00AA51D2">
            <w:pPr>
              <w:spacing w:line="360" w:lineRule="auto"/>
              <w:jc w:val="center"/>
              <w:rPr>
                <w:b/>
                <w:bCs/>
                <w:sz w:val="18"/>
                <w:szCs w:val="18"/>
              </w:rPr>
            </w:pPr>
            <w:r w:rsidRPr="00904E2D">
              <w:rPr>
                <w:b/>
                <w:bCs/>
                <w:sz w:val="18"/>
                <w:szCs w:val="18"/>
              </w:rPr>
              <w:t xml:space="preserve">Bias in </w:t>
            </w:r>
            <w:proofErr w:type="spellStart"/>
            <w:r w:rsidRPr="00904E2D">
              <w:rPr>
                <w:b/>
                <w:bCs/>
                <w:sz w:val="18"/>
                <w:szCs w:val="18"/>
              </w:rPr>
              <w:t>selection</w:t>
            </w:r>
            <w:proofErr w:type="spellEnd"/>
            <w:r w:rsidRPr="00904E2D">
              <w:rPr>
                <w:b/>
                <w:bCs/>
                <w:sz w:val="18"/>
                <w:szCs w:val="18"/>
              </w:rPr>
              <w:t xml:space="preserve"> of participants</w:t>
            </w:r>
          </w:p>
        </w:tc>
        <w:tc>
          <w:tcPr>
            <w:tcW w:w="1980" w:type="dxa"/>
          </w:tcPr>
          <w:p w14:paraId="0915964E" w14:textId="77777777" w:rsidR="001E0F1B" w:rsidRPr="00904E2D" w:rsidRDefault="001E0F1B" w:rsidP="00AA51D2">
            <w:pPr>
              <w:spacing w:line="360" w:lineRule="auto"/>
              <w:jc w:val="center"/>
              <w:rPr>
                <w:b/>
                <w:bCs/>
                <w:sz w:val="18"/>
                <w:szCs w:val="18"/>
              </w:rPr>
            </w:pPr>
            <w:r w:rsidRPr="00904E2D">
              <w:rPr>
                <w:b/>
                <w:bCs/>
                <w:sz w:val="18"/>
                <w:szCs w:val="18"/>
              </w:rPr>
              <w:t xml:space="preserve">Bias in </w:t>
            </w:r>
            <w:proofErr w:type="spellStart"/>
            <w:r w:rsidRPr="00904E2D">
              <w:rPr>
                <w:b/>
                <w:bCs/>
                <w:sz w:val="18"/>
                <w:szCs w:val="18"/>
              </w:rPr>
              <w:t>classification</w:t>
            </w:r>
            <w:proofErr w:type="spellEnd"/>
            <w:r w:rsidRPr="00904E2D">
              <w:rPr>
                <w:b/>
                <w:bCs/>
                <w:sz w:val="18"/>
                <w:szCs w:val="18"/>
              </w:rPr>
              <w:t xml:space="preserve"> of </w:t>
            </w:r>
            <w:proofErr w:type="spellStart"/>
            <w:r w:rsidRPr="00904E2D">
              <w:rPr>
                <w:b/>
                <w:bCs/>
                <w:sz w:val="18"/>
                <w:szCs w:val="18"/>
              </w:rPr>
              <w:t>exposure</w:t>
            </w:r>
            <w:proofErr w:type="spellEnd"/>
          </w:p>
        </w:tc>
        <w:tc>
          <w:tcPr>
            <w:tcW w:w="2340" w:type="dxa"/>
          </w:tcPr>
          <w:p w14:paraId="1C33DD8B" w14:textId="77777777" w:rsidR="001E0F1B" w:rsidRPr="00904E2D" w:rsidRDefault="001E0F1B" w:rsidP="00AA51D2">
            <w:pPr>
              <w:spacing w:line="360" w:lineRule="auto"/>
              <w:jc w:val="center"/>
              <w:rPr>
                <w:b/>
                <w:bCs/>
                <w:sz w:val="18"/>
                <w:szCs w:val="18"/>
              </w:rPr>
            </w:pPr>
            <w:r w:rsidRPr="00904E2D">
              <w:rPr>
                <w:b/>
                <w:bCs/>
                <w:sz w:val="18"/>
                <w:szCs w:val="18"/>
              </w:rPr>
              <w:t xml:space="preserve">Bias </w:t>
            </w:r>
            <w:bookmarkStart w:id="6" w:name="_Hlk114638209"/>
            <w:r w:rsidRPr="00904E2D">
              <w:rPr>
                <w:b/>
                <w:bCs/>
                <w:sz w:val="18"/>
                <w:szCs w:val="18"/>
              </w:rPr>
              <w:t xml:space="preserve">due to </w:t>
            </w:r>
            <w:proofErr w:type="spellStart"/>
            <w:r w:rsidRPr="00904E2D">
              <w:rPr>
                <w:b/>
                <w:bCs/>
                <w:sz w:val="18"/>
                <w:szCs w:val="18"/>
              </w:rPr>
              <w:t>deviations</w:t>
            </w:r>
            <w:proofErr w:type="spellEnd"/>
            <w:r w:rsidRPr="00904E2D">
              <w:rPr>
                <w:b/>
                <w:bCs/>
                <w:sz w:val="18"/>
                <w:szCs w:val="18"/>
              </w:rPr>
              <w:t xml:space="preserve"> from </w:t>
            </w:r>
            <w:proofErr w:type="spellStart"/>
            <w:r w:rsidRPr="00904E2D">
              <w:rPr>
                <w:b/>
                <w:bCs/>
                <w:sz w:val="18"/>
                <w:szCs w:val="18"/>
              </w:rPr>
              <w:t>intended</w:t>
            </w:r>
            <w:proofErr w:type="spellEnd"/>
            <w:r w:rsidRPr="00904E2D">
              <w:rPr>
                <w:b/>
                <w:bCs/>
                <w:sz w:val="18"/>
                <w:szCs w:val="18"/>
              </w:rPr>
              <w:t xml:space="preserve"> </w:t>
            </w:r>
            <w:proofErr w:type="spellStart"/>
            <w:r w:rsidRPr="00904E2D">
              <w:rPr>
                <w:b/>
                <w:bCs/>
                <w:sz w:val="18"/>
                <w:szCs w:val="18"/>
              </w:rPr>
              <w:t>exposure</w:t>
            </w:r>
            <w:bookmarkEnd w:id="6"/>
            <w:proofErr w:type="spellEnd"/>
          </w:p>
        </w:tc>
        <w:tc>
          <w:tcPr>
            <w:tcW w:w="1620" w:type="dxa"/>
          </w:tcPr>
          <w:p w14:paraId="0CC6E19C" w14:textId="77777777" w:rsidR="001E0F1B" w:rsidRPr="00904E2D" w:rsidRDefault="001E0F1B" w:rsidP="00AA51D2">
            <w:pPr>
              <w:spacing w:line="360" w:lineRule="auto"/>
              <w:jc w:val="center"/>
              <w:rPr>
                <w:b/>
                <w:bCs/>
                <w:sz w:val="18"/>
                <w:szCs w:val="18"/>
              </w:rPr>
            </w:pPr>
            <w:r w:rsidRPr="00904E2D">
              <w:rPr>
                <w:b/>
                <w:bCs/>
                <w:sz w:val="18"/>
                <w:szCs w:val="18"/>
              </w:rPr>
              <w:t xml:space="preserve">Bias due to </w:t>
            </w:r>
            <w:proofErr w:type="spellStart"/>
            <w:r w:rsidRPr="00904E2D">
              <w:rPr>
                <w:b/>
                <w:bCs/>
                <w:sz w:val="18"/>
                <w:szCs w:val="18"/>
              </w:rPr>
              <w:t>missing</w:t>
            </w:r>
            <w:proofErr w:type="spellEnd"/>
            <w:r w:rsidRPr="00904E2D">
              <w:rPr>
                <w:b/>
                <w:bCs/>
                <w:sz w:val="18"/>
                <w:szCs w:val="18"/>
              </w:rPr>
              <w:t xml:space="preserve"> data</w:t>
            </w:r>
          </w:p>
        </w:tc>
        <w:tc>
          <w:tcPr>
            <w:tcW w:w="1980" w:type="dxa"/>
          </w:tcPr>
          <w:p w14:paraId="44C9D56B" w14:textId="77777777" w:rsidR="001E0F1B" w:rsidRPr="00904E2D" w:rsidRDefault="001E0F1B" w:rsidP="00AA51D2">
            <w:pPr>
              <w:spacing w:line="360" w:lineRule="auto"/>
              <w:jc w:val="center"/>
              <w:rPr>
                <w:b/>
                <w:bCs/>
                <w:sz w:val="18"/>
                <w:szCs w:val="18"/>
              </w:rPr>
            </w:pPr>
            <w:r w:rsidRPr="00904E2D">
              <w:rPr>
                <w:b/>
                <w:bCs/>
                <w:sz w:val="18"/>
                <w:szCs w:val="18"/>
              </w:rPr>
              <w:t xml:space="preserve">Bias in </w:t>
            </w:r>
            <w:proofErr w:type="spellStart"/>
            <w:r w:rsidRPr="00904E2D">
              <w:rPr>
                <w:b/>
                <w:bCs/>
                <w:sz w:val="18"/>
                <w:szCs w:val="18"/>
              </w:rPr>
              <w:t>measurement</w:t>
            </w:r>
            <w:proofErr w:type="spellEnd"/>
            <w:r w:rsidRPr="00904E2D">
              <w:rPr>
                <w:b/>
                <w:bCs/>
                <w:sz w:val="18"/>
                <w:szCs w:val="18"/>
              </w:rPr>
              <w:t xml:space="preserve"> of </w:t>
            </w:r>
            <w:proofErr w:type="spellStart"/>
            <w:r w:rsidRPr="00904E2D">
              <w:rPr>
                <w:b/>
                <w:bCs/>
                <w:sz w:val="18"/>
                <w:szCs w:val="18"/>
              </w:rPr>
              <w:t>outcome</w:t>
            </w:r>
            <w:proofErr w:type="spellEnd"/>
          </w:p>
        </w:tc>
        <w:tc>
          <w:tcPr>
            <w:tcW w:w="1890" w:type="dxa"/>
          </w:tcPr>
          <w:p w14:paraId="0E0D491C" w14:textId="77777777" w:rsidR="001E0F1B" w:rsidRPr="00904E2D" w:rsidRDefault="001E0F1B" w:rsidP="00AA51D2">
            <w:pPr>
              <w:spacing w:line="360" w:lineRule="auto"/>
              <w:jc w:val="center"/>
              <w:rPr>
                <w:b/>
                <w:bCs/>
                <w:sz w:val="18"/>
                <w:szCs w:val="18"/>
              </w:rPr>
            </w:pPr>
            <w:r w:rsidRPr="00904E2D">
              <w:rPr>
                <w:b/>
                <w:bCs/>
                <w:sz w:val="18"/>
                <w:szCs w:val="18"/>
              </w:rPr>
              <w:t xml:space="preserve">Bias in </w:t>
            </w:r>
            <w:proofErr w:type="spellStart"/>
            <w:r w:rsidRPr="00904E2D">
              <w:rPr>
                <w:b/>
                <w:bCs/>
                <w:sz w:val="18"/>
                <w:szCs w:val="18"/>
              </w:rPr>
              <w:t>selection</w:t>
            </w:r>
            <w:proofErr w:type="spellEnd"/>
            <w:r w:rsidRPr="00904E2D">
              <w:rPr>
                <w:b/>
                <w:bCs/>
                <w:sz w:val="18"/>
                <w:szCs w:val="18"/>
              </w:rPr>
              <w:t xml:space="preserve"> of </w:t>
            </w:r>
            <w:proofErr w:type="spellStart"/>
            <w:r w:rsidRPr="00904E2D">
              <w:rPr>
                <w:b/>
                <w:bCs/>
                <w:sz w:val="18"/>
                <w:szCs w:val="18"/>
              </w:rPr>
              <w:t>reported</w:t>
            </w:r>
            <w:proofErr w:type="spellEnd"/>
            <w:r w:rsidRPr="00904E2D">
              <w:rPr>
                <w:b/>
                <w:bCs/>
                <w:sz w:val="18"/>
                <w:szCs w:val="18"/>
              </w:rPr>
              <w:t xml:space="preserve"> </w:t>
            </w:r>
            <w:proofErr w:type="spellStart"/>
            <w:r w:rsidRPr="00904E2D">
              <w:rPr>
                <w:b/>
                <w:bCs/>
                <w:sz w:val="18"/>
                <w:szCs w:val="18"/>
              </w:rPr>
              <w:t>result</w:t>
            </w:r>
            <w:proofErr w:type="spellEnd"/>
          </w:p>
        </w:tc>
        <w:tc>
          <w:tcPr>
            <w:tcW w:w="1701" w:type="dxa"/>
          </w:tcPr>
          <w:p w14:paraId="2EBA657B" w14:textId="77777777" w:rsidR="001E0F1B" w:rsidRPr="00904E2D" w:rsidRDefault="001E0F1B" w:rsidP="00AA51D2">
            <w:pPr>
              <w:spacing w:line="360" w:lineRule="auto"/>
              <w:jc w:val="both"/>
              <w:rPr>
                <w:b/>
                <w:bCs/>
                <w:sz w:val="18"/>
                <w:szCs w:val="18"/>
              </w:rPr>
            </w:pPr>
          </w:p>
        </w:tc>
      </w:tr>
      <w:tr w:rsidR="001E0F1B" w:rsidRPr="00904E2D" w14:paraId="33600474" w14:textId="77777777" w:rsidTr="00AA51D2">
        <w:trPr>
          <w:jc w:val="center"/>
        </w:trPr>
        <w:tc>
          <w:tcPr>
            <w:tcW w:w="1725" w:type="dxa"/>
            <w:vAlign w:val="center"/>
          </w:tcPr>
          <w:p w14:paraId="3DCE4CC1" w14:textId="77777777" w:rsidR="001E0F1B" w:rsidRPr="00904E2D" w:rsidRDefault="001E0F1B" w:rsidP="00AA51D2">
            <w:pPr>
              <w:spacing w:line="360" w:lineRule="auto"/>
              <w:rPr>
                <w:sz w:val="18"/>
                <w:szCs w:val="18"/>
              </w:rPr>
            </w:pPr>
            <w:r>
              <w:rPr>
                <w:sz w:val="16"/>
                <w:szCs w:val="16"/>
              </w:rPr>
              <w:t>Rao C</w:t>
            </w:r>
            <w:r w:rsidRPr="00467111">
              <w:rPr>
                <w:sz w:val="16"/>
                <w:szCs w:val="16"/>
              </w:rPr>
              <w:t xml:space="preserve">. </w:t>
            </w:r>
            <w:r w:rsidRPr="00467111">
              <w:rPr>
                <w:i/>
                <w:sz w:val="16"/>
                <w:szCs w:val="16"/>
              </w:rPr>
              <w:t>et al</w:t>
            </w:r>
          </w:p>
        </w:tc>
        <w:tc>
          <w:tcPr>
            <w:tcW w:w="1351" w:type="dxa"/>
          </w:tcPr>
          <w:p w14:paraId="2E6362DA"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10" w:type="dxa"/>
          </w:tcPr>
          <w:p w14:paraId="35D41DC3" w14:textId="77777777" w:rsidR="001E0F1B" w:rsidRPr="00904E2D" w:rsidRDefault="001E0F1B" w:rsidP="00AA51D2">
            <w:pPr>
              <w:spacing w:line="360" w:lineRule="auto"/>
              <w:jc w:val="center"/>
              <w:rPr>
                <w:sz w:val="18"/>
                <w:szCs w:val="18"/>
              </w:rPr>
            </w:pPr>
            <w:r>
              <w:rPr>
                <w:sz w:val="18"/>
                <w:szCs w:val="18"/>
              </w:rPr>
              <w:t>Low</w:t>
            </w:r>
            <w:r w:rsidRPr="00904E2D">
              <w:rPr>
                <w:sz w:val="18"/>
                <w:szCs w:val="18"/>
              </w:rPr>
              <w:t xml:space="preserve"> risk</w:t>
            </w:r>
          </w:p>
        </w:tc>
        <w:tc>
          <w:tcPr>
            <w:tcW w:w="1980" w:type="dxa"/>
          </w:tcPr>
          <w:p w14:paraId="25869024" w14:textId="77777777" w:rsidR="001E0F1B" w:rsidRPr="00904E2D" w:rsidRDefault="001E0F1B" w:rsidP="00AA51D2">
            <w:pPr>
              <w:spacing w:line="360" w:lineRule="auto"/>
              <w:jc w:val="center"/>
              <w:rPr>
                <w:sz w:val="18"/>
                <w:szCs w:val="18"/>
              </w:rPr>
            </w:pPr>
            <w:r w:rsidRPr="00904E2D">
              <w:rPr>
                <w:sz w:val="18"/>
                <w:szCs w:val="18"/>
              </w:rPr>
              <w:t>Low risk</w:t>
            </w:r>
          </w:p>
        </w:tc>
        <w:tc>
          <w:tcPr>
            <w:tcW w:w="2340" w:type="dxa"/>
          </w:tcPr>
          <w:p w14:paraId="365487CD" w14:textId="77777777" w:rsidR="001E0F1B" w:rsidRPr="00904E2D" w:rsidRDefault="001E0F1B" w:rsidP="00AA51D2">
            <w:pPr>
              <w:spacing w:line="360" w:lineRule="auto"/>
              <w:jc w:val="center"/>
              <w:rPr>
                <w:sz w:val="18"/>
                <w:szCs w:val="18"/>
              </w:rPr>
            </w:pPr>
            <w:r w:rsidRPr="00904E2D">
              <w:rPr>
                <w:sz w:val="18"/>
                <w:szCs w:val="18"/>
              </w:rPr>
              <w:t>Low risk</w:t>
            </w:r>
          </w:p>
        </w:tc>
        <w:tc>
          <w:tcPr>
            <w:tcW w:w="1620" w:type="dxa"/>
          </w:tcPr>
          <w:p w14:paraId="63EA8B54" w14:textId="77777777" w:rsidR="001E0F1B" w:rsidRPr="00904E2D" w:rsidRDefault="001E0F1B" w:rsidP="00AA51D2">
            <w:pPr>
              <w:spacing w:line="360" w:lineRule="auto"/>
              <w:jc w:val="center"/>
              <w:rPr>
                <w:sz w:val="18"/>
                <w:szCs w:val="18"/>
              </w:rPr>
            </w:pPr>
            <w:r w:rsidRPr="00904E2D">
              <w:rPr>
                <w:sz w:val="18"/>
                <w:szCs w:val="18"/>
              </w:rPr>
              <w:t>Low risk</w:t>
            </w:r>
          </w:p>
        </w:tc>
        <w:tc>
          <w:tcPr>
            <w:tcW w:w="1980" w:type="dxa"/>
          </w:tcPr>
          <w:p w14:paraId="37EFF6C6" w14:textId="77777777" w:rsidR="001E0F1B" w:rsidRPr="00904E2D" w:rsidRDefault="001E0F1B" w:rsidP="00AA51D2">
            <w:pPr>
              <w:spacing w:line="360" w:lineRule="auto"/>
              <w:jc w:val="center"/>
              <w:rPr>
                <w:sz w:val="18"/>
                <w:szCs w:val="18"/>
              </w:rPr>
            </w:pPr>
            <w:r w:rsidRPr="00904E2D">
              <w:rPr>
                <w:sz w:val="18"/>
                <w:szCs w:val="18"/>
              </w:rPr>
              <w:t>Low risk</w:t>
            </w:r>
          </w:p>
        </w:tc>
        <w:tc>
          <w:tcPr>
            <w:tcW w:w="1890" w:type="dxa"/>
          </w:tcPr>
          <w:p w14:paraId="0BDADAEE" w14:textId="77777777" w:rsidR="001E0F1B" w:rsidRPr="00904E2D" w:rsidRDefault="001E0F1B" w:rsidP="00AA51D2">
            <w:pPr>
              <w:spacing w:line="360" w:lineRule="auto"/>
              <w:jc w:val="center"/>
              <w:rPr>
                <w:sz w:val="18"/>
                <w:szCs w:val="18"/>
              </w:rPr>
            </w:pPr>
            <w:r w:rsidRPr="00904E2D">
              <w:rPr>
                <w:sz w:val="18"/>
                <w:szCs w:val="18"/>
              </w:rPr>
              <w:t>Low risk</w:t>
            </w:r>
          </w:p>
        </w:tc>
        <w:tc>
          <w:tcPr>
            <w:tcW w:w="1701" w:type="dxa"/>
          </w:tcPr>
          <w:p w14:paraId="660D9D7F" w14:textId="77777777" w:rsidR="001E0F1B" w:rsidRPr="00904E2D" w:rsidRDefault="001E0F1B" w:rsidP="00AA51D2">
            <w:pPr>
              <w:spacing w:line="360" w:lineRule="auto"/>
              <w:jc w:val="center"/>
              <w:rPr>
                <w:sz w:val="18"/>
                <w:szCs w:val="18"/>
              </w:rPr>
            </w:pPr>
            <w:r w:rsidRPr="00904E2D">
              <w:rPr>
                <w:sz w:val="18"/>
                <w:szCs w:val="18"/>
              </w:rPr>
              <w:t>Moderate risk</w:t>
            </w:r>
          </w:p>
        </w:tc>
      </w:tr>
      <w:tr w:rsidR="001E0F1B" w:rsidRPr="00904E2D" w14:paraId="45A82F9D" w14:textId="77777777" w:rsidTr="00AA51D2">
        <w:trPr>
          <w:jc w:val="center"/>
        </w:trPr>
        <w:tc>
          <w:tcPr>
            <w:tcW w:w="1725" w:type="dxa"/>
            <w:vAlign w:val="center"/>
          </w:tcPr>
          <w:p w14:paraId="05979E86" w14:textId="77777777" w:rsidR="001E0F1B" w:rsidRPr="00904E2D" w:rsidRDefault="001E0F1B" w:rsidP="00AA51D2">
            <w:pPr>
              <w:spacing w:line="360" w:lineRule="auto"/>
              <w:jc w:val="both"/>
              <w:rPr>
                <w:sz w:val="18"/>
                <w:szCs w:val="18"/>
              </w:rPr>
            </w:pPr>
            <w:r>
              <w:rPr>
                <w:sz w:val="16"/>
                <w:szCs w:val="16"/>
              </w:rPr>
              <w:t>Bager P</w:t>
            </w:r>
            <w:r w:rsidRPr="00467111">
              <w:rPr>
                <w:sz w:val="16"/>
                <w:szCs w:val="16"/>
              </w:rPr>
              <w:t xml:space="preserve">. </w:t>
            </w:r>
            <w:r w:rsidRPr="00467111">
              <w:rPr>
                <w:i/>
                <w:sz w:val="16"/>
                <w:szCs w:val="16"/>
              </w:rPr>
              <w:t>et al</w:t>
            </w:r>
          </w:p>
        </w:tc>
        <w:tc>
          <w:tcPr>
            <w:tcW w:w="1351" w:type="dxa"/>
          </w:tcPr>
          <w:p w14:paraId="24A93FFE"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10" w:type="dxa"/>
          </w:tcPr>
          <w:p w14:paraId="0C08A76D" w14:textId="77777777" w:rsidR="001E0F1B" w:rsidRPr="00904E2D" w:rsidRDefault="001E0F1B" w:rsidP="00AA51D2">
            <w:pPr>
              <w:spacing w:line="360" w:lineRule="auto"/>
              <w:jc w:val="center"/>
              <w:rPr>
                <w:sz w:val="18"/>
                <w:szCs w:val="18"/>
              </w:rPr>
            </w:pPr>
            <w:r>
              <w:rPr>
                <w:sz w:val="18"/>
                <w:szCs w:val="18"/>
              </w:rPr>
              <w:t>Moderate</w:t>
            </w:r>
            <w:r w:rsidRPr="00904E2D">
              <w:rPr>
                <w:sz w:val="18"/>
                <w:szCs w:val="18"/>
              </w:rPr>
              <w:t xml:space="preserve"> risk</w:t>
            </w:r>
          </w:p>
        </w:tc>
        <w:tc>
          <w:tcPr>
            <w:tcW w:w="1980" w:type="dxa"/>
          </w:tcPr>
          <w:p w14:paraId="430BC442" w14:textId="77777777" w:rsidR="001E0F1B" w:rsidRPr="00904E2D" w:rsidRDefault="001E0F1B" w:rsidP="00AA51D2">
            <w:pPr>
              <w:spacing w:line="360" w:lineRule="auto"/>
              <w:jc w:val="center"/>
              <w:rPr>
                <w:sz w:val="18"/>
                <w:szCs w:val="18"/>
              </w:rPr>
            </w:pPr>
            <w:r w:rsidRPr="00904E2D">
              <w:rPr>
                <w:sz w:val="18"/>
                <w:szCs w:val="18"/>
              </w:rPr>
              <w:t>Low risk</w:t>
            </w:r>
          </w:p>
        </w:tc>
        <w:tc>
          <w:tcPr>
            <w:tcW w:w="2340" w:type="dxa"/>
          </w:tcPr>
          <w:p w14:paraId="3574F2A4" w14:textId="77777777" w:rsidR="001E0F1B" w:rsidRPr="00904E2D" w:rsidRDefault="001E0F1B" w:rsidP="00AA51D2">
            <w:pPr>
              <w:spacing w:line="360" w:lineRule="auto"/>
              <w:jc w:val="center"/>
              <w:rPr>
                <w:sz w:val="18"/>
                <w:szCs w:val="18"/>
              </w:rPr>
            </w:pPr>
            <w:r w:rsidRPr="00904E2D">
              <w:rPr>
                <w:sz w:val="18"/>
                <w:szCs w:val="18"/>
              </w:rPr>
              <w:t>Low risk</w:t>
            </w:r>
          </w:p>
        </w:tc>
        <w:tc>
          <w:tcPr>
            <w:tcW w:w="1620" w:type="dxa"/>
          </w:tcPr>
          <w:p w14:paraId="628D4F2C" w14:textId="77777777" w:rsidR="001E0F1B" w:rsidRPr="00904E2D" w:rsidRDefault="001E0F1B" w:rsidP="00AA51D2">
            <w:pPr>
              <w:spacing w:line="360" w:lineRule="auto"/>
              <w:jc w:val="center"/>
              <w:rPr>
                <w:sz w:val="18"/>
                <w:szCs w:val="18"/>
              </w:rPr>
            </w:pPr>
            <w:r w:rsidRPr="00904E2D">
              <w:rPr>
                <w:sz w:val="18"/>
                <w:szCs w:val="18"/>
              </w:rPr>
              <w:t>Low risk</w:t>
            </w:r>
          </w:p>
        </w:tc>
        <w:tc>
          <w:tcPr>
            <w:tcW w:w="1980" w:type="dxa"/>
          </w:tcPr>
          <w:p w14:paraId="622343C4" w14:textId="77777777" w:rsidR="001E0F1B" w:rsidRPr="00904E2D" w:rsidRDefault="001E0F1B" w:rsidP="00AA51D2">
            <w:pPr>
              <w:spacing w:line="360" w:lineRule="auto"/>
              <w:jc w:val="center"/>
              <w:rPr>
                <w:sz w:val="18"/>
                <w:szCs w:val="18"/>
              </w:rPr>
            </w:pPr>
            <w:r w:rsidRPr="00904E2D">
              <w:rPr>
                <w:sz w:val="18"/>
                <w:szCs w:val="18"/>
              </w:rPr>
              <w:t>Low risk</w:t>
            </w:r>
          </w:p>
        </w:tc>
        <w:tc>
          <w:tcPr>
            <w:tcW w:w="1890" w:type="dxa"/>
          </w:tcPr>
          <w:p w14:paraId="7DEBAEE9" w14:textId="77777777" w:rsidR="001E0F1B" w:rsidRPr="00904E2D" w:rsidRDefault="001E0F1B" w:rsidP="00AA51D2">
            <w:pPr>
              <w:spacing w:line="360" w:lineRule="auto"/>
              <w:jc w:val="center"/>
              <w:rPr>
                <w:sz w:val="18"/>
                <w:szCs w:val="18"/>
              </w:rPr>
            </w:pPr>
            <w:r w:rsidRPr="00904E2D">
              <w:rPr>
                <w:sz w:val="18"/>
                <w:szCs w:val="18"/>
              </w:rPr>
              <w:t>Low risk</w:t>
            </w:r>
          </w:p>
        </w:tc>
        <w:tc>
          <w:tcPr>
            <w:tcW w:w="1701" w:type="dxa"/>
          </w:tcPr>
          <w:p w14:paraId="55A21262" w14:textId="77777777" w:rsidR="001E0F1B" w:rsidRPr="00904E2D" w:rsidRDefault="001E0F1B" w:rsidP="00AA51D2">
            <w:pPr>
              <w:spacing w:line="360" w:lineRule="auto"/>
              <w:jc w:val="center"/>
              <w:rPr>
                <w:sz w:val="18"/>
                <w:szCs w:val="18"/>
              </w:rPr>
            </w:pPr>
            <w:r w:rsidRPr="00904E2D">
              <w:rPr>
                <w:sz w:val="18"/>
                <w:szCs w:val="18"/>
              </w:rPr>
              <w:t>Moderate risk</w:t>
            </w:r>
          </w:p>
        </w:tc>
      </w:tr>
      <w:tr w:rsidR="001E0F1B" w:rsidRPr="00904E2D" w14:paraId="5E8D215D" w14:textId="77777777" w:rsidTr="00AA51D2">
        <w:trPr>
          <w:jc w:val="center"/>
        </w:trPr>
        <w:tc>
          <w:tcPr>
            <w:tcW w:w="1725" w:type="dxa"/>
            <w:vAlign w:val="center"/>
          </w:tcPr>
          <w:p w14:paraId="60377718" w14:textId="77777777" w:rsidR="001E0F1B" w:rsidRPr="00904E2D" w:rsidRDefault="001E0F1B" w:rsidP="00AA51D2">
            <w:pPr>
              <w:spacing w:line="360" w:lineRule="auto"/>
              <w:jc w:val="both"/>
              <w:rPr>
                <w:sz w:val="18"/>
                <w:szCs w:val="18"/>
              </w:rPr>
            </w:pPr>
            <w:r>
              <w:rPr>
                <w:sz w:val="16"/>
                <w:szCs w:val="16"/>
              </w:rPr>
              <w:t>Cheah ALY</w:t>
            </w:r>
            <w:r w:rsidRPr="00467111">
              <w:rPr>
                <w:sz w:val="16"/>
                <w:szCs w:val="16"/>
              </w:rPr>
              <w:t xml:space="preserve">. </w:t>
            </w:r>
            <w:r w:rsidRPr="00467111">
              <w:rPr>
                <w:i/>
                <w:sz w:val="16"/>
                <w:szCs w:val="16"/>
              </w:rPr>
              <w:t>et al</w:t>
            </w:r>
          </w:p>
        </w:tc>
        <w:tc>
          <w:tcPr>
            <w:tcW w:w="1351" w:type="dxa"/>
          </w:tcPr>
          <w:p w14:paraId="4AE0C47C" w14:textId="77777777" w:rsidR="001E0F1B" w:rsidRPr="00904E2D" w:rsidRDefault="001E0F1B" w:rsidP="00AA51D2">
            <w:pPr>
              <w:spacing w:line="360" w:lineRule="auto"/>
              <w:jc w:val="center"/>
              <w:rPr>
                <w:sz w:val="18"/>
                <w:szCs w:val="18"/>
              </w:rPr>
            </w:pPr>
            <w:r>
              <w:rPr>
                <w:sz w:val="18"/>
                <w:szCs w:val="18"/>
              </w:rPr>
              <w:t xml:space="preserve">Moderate </w:t>
            </w:r>
            <w:r w:rsidRPr="00904E2D">
              <w:rPr>
                <w:sz w:val="18"/>
                <w:szCs w:val="18"/>
              </w:rPr>
              <w:t>risk</w:t>
            </w:r>
          </w:p>
        </w:tc>
        <w:tc>
          <w:tcPr>
            <w:tcW w:w="1710" w:type="dxa"/>
          </w:tcPr>
          <w:p w14:paraId="2BDEB10D" w14:textId="77777777" w:rsidR="001E0F1B" w:rsidRPr="00904E2D" w:rsidRDefault="001E0F1B" w:rsidP="00AA51D2">
            <w:pPr>
              <w:spacing w:line="360" w:lineRule="auto"/>
              <w:jc w:val="center"/>
              <w:rPr>
                <w:sz w:val="18"/>
                <w:szCs w:val="18"/>
              </w:rPr>
            </w:pPr>
            <w:r>
              <w:rPr>
                <w:sz w:val="18"/>
                <w:szCs w:val="18"/>
              </w:rPr>
              <w:t>Low</w:t>
            </w:r>
            <w:r w:rsidRPr="00904E2D">
              <w:rPr>
                <w:sz w:val="18"/>
                <w:szCs w:val="18"/>
              </w:rPr>
              <w:t xml:space="preserve"> risk</w:t>
            </w:r>
          </w:p>
        </w:tc>
        <w:tc>
          <w:tcPr>
            <w:tcW w:w="1980" w:type="dxa"/>
          </w:tcPr>
          <w:p w14:paraId="193AF7B2" w14:textId="77777777" w:rsidR="001E0F1B" w:rsidRPr="00904E2D" w:rsidRDefault="001E0F1B" w:rsidP="00AA51D2">
            <w:pPr>
              <w:spacing w:line="360" w:lineRule="auto"/>
              <w:jc w:val="center"/>
              <w:rPr>
                <w:sz w:val="18"/>
                <w:szCs w:val="18"/>
              </w:rPr>
            </w:pPr>
            <w:r w:rsidRPr="00904E2D">
              <w:rPr>
                <w:sz w:val="18"/>
                <w:szCs w:val="18"/>
              </w:rPr>
              <w:t>Low risk</w:t>
            </w:r>
          </w:p>
        </w:tc>
        <w:tc>
          <w:tcPr>
            <w:tcW w:w="2340" w:type="dxa"/>
          </w:tcPr>
          <w:p w14:paraId="063D3572" w14:textId="77777777" w:rsidR="001E0F1B" w:rsidRPr="00904E2D" w:rsidRDefault="001E0F1B" w:rsidP="00AA51D2">
            <w:pPr>
              <w:spacing w:line="360" w:lineRule="auto"/>
              <w:jc w:val="center"/>
              <w:rPr>
                <w:sz w:val="18"/>
                <w:szCs w:val="18"/>
              </w:rPr>
            </w:pPr>
            <w:r w:rsidRPr="00904E2D">
              <w:rPr>
                <w:sz w:val="18"/>
                <w:szCs w:val="18"/>
              </w:rPr>
              <w:t>Low risk</w:t>
            </w:r>
          </w:p>
        </w:tc>
        <w:tc>
          <w:tcPr>
            <w:tcW w:w="1620" w:type="dxa"/>
          </w:tcPr>
          <w:p w14:paraId="7537F85B" w14:textId="77777777" w:rsidR="001E0F1B" w:rsidRPr="00904E2D" w:rsidRDefault="001E0F1B" w:rsidP="00AA51D2">
            <w:pPr>
              <w:spacing w:line="360" w:lineRule="auto"/>
              <w:jc w:val="center"/>
              <w:rPr>
                <w:sz w:val="18"/>
                <w:szCs w:val="18"/>
              </w:rPr>
            </w:pPr>
            <w:r w:rsidRPr="00904E2D">
              <w:rPr>
                <w:sz w:val="18"/>
                <w:szCs w:val="18"/>
              </w:rPr>
              <w:t>Low risk</w:t>
            </w:r>
          </w:p>
        </w:tc>
        <w:tc>
          <w:tcPr>
            <w:tcW w:w="1980" w:type="dxa"/>
          </w:tcPr>
          <w:p w14:paraId="7F3F9FC2" w14:textId="77777777" w:rsidR="001E0F1B" w:rsidRPr="00904E2D" w:rsidRDefault="001E0F1B" w:rsidP="00AA51D2">
            <w:pPr>
              <w:spacing w:line="360" w:lineRule="auto"/>
              <w:jc w:val="center"/>
              <w:rPr>
                <w:sz w:val="18"/>
                <w:szCs w:val="18"/>
              </w:rPr>
            </w:pPr>
            <w:r w:rsidRPr="00904E2D">
              <w:rPr>
                <w:sz w:val="18"/>
                <w:szCs w:val="18"/>
              </w:rPr>
              <w:t>Low risk</w:t>
            </w:r>
          </w:p>
        </w:tc>
        <w:tc>
          <w:tcPr>
            <w:tcW w:w="1890" w:type="dxa"/>
          </w:tcPr>
          <w:p w14:paraId="46E0DA79"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01" w:type="dxa"/>
          </w:tcPr>
          <w:p w14:paraId="3B2A3DAE" w14:textId="77777777" w:rsidR="001E0F1B" w:rsidRPr="00904E2D" w:rsidRDefault="001E0F1B" w:rsidP="00AA51D2">
            <w:pPr>
              <w:spacing w:line="360" w:lineRule="auto"/>
              <w:jc w:val="center"/>
              <w:rPr>
                <w:sz w:val="18"/>
                <w:szCs w:val="18"/>
              </w:rPr>
            </w:pPr>
            <w:r>
              <w:rPr>
                <w:sz w:val="18"/>
                <w:szCs w:val="18"/>
              </w:rPr>
              <w:t>Moderate</w:t>
            </w:r>
            <w:r w:rsidRPr="00904E2D">
              <w:rPr>
                <w:sz w:val="18"/>
                <w:szCs w:val="18"/>
              </w:rPr>
              <w:t xml:space="preserve"> risk</w:t>
            </w:r>
          </w:p>
        </w:tc>
      </w:tr>
      <w:tr w:rsidR="001E0F1B" w:rsidRPr="00904E2D" w14:paraId="4F9706FF" w14:textId="77777777" w:rsidTr="00AA51D2">
        <w:trPr>
          <w:jc w:val="center"/>
        </w:trPr>
        <w:tc>
          <w:tcPr>
            <w:tcW w:w="1725" w:type="dxa"/>
            <w:vAlign w:val="center"/>
          </w:tcPr>
          <w:p w14:paraId="6745CEDD" w14:textId="77777777" w:rsidR="001E0F1B" w:rsidRPr="00904E2D" w:rsidRDefault="001E0F1B" w:rsidP="00AA51D2">
            <w:pPr>
              <w:spacing w:line="360" w:lineRule="auto"/>
              <w:jc w:val="both"/>
              <w:rPr>
                <w:sz w:val="18"/>
                <w:szCs w:val="18"/>
              </w:rPr>
            </w:pPr>
            <w:r>
              <w:rPr>
                <w:sz w:val="16"/>
                <w:szCs w:val="16"/>
                <w:lang w:val="en-US"/>
              </w:rPr>
              <w:t>Huh K.</w:t>
            </w:r>
            <w:r w:rsidRPr="00236AD5">
              <w:rPr>
                <w:sz w:val="16"/>
                <w:szCs w:val="16"/>
                <w:lang w:val="en-US"/>
              </w:rPr>
              <w:t xml:space="preserve"> </w:t>
            </w:r>
            <w:r w:rsidRPr="00236AD5">
              <w:rPr>
                <w:i/>
                <w:sz w:val="16"/>
                <w:szCs w:val="16"/>
                <w:lang w:val="en-US"/>
              </w:rPr>
              <w:t>et al.</w:t>
            </w:r>
          </w:p>
        </w:tc>
        <w:tc>
          <w:tcPr>
            <w:tcW w:w="1351" w:type="dxa"/>
          </w:tcPr>
          <w:p w14:paraId="7C1DEB91"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10" w:type="dxa"/>
          </w:tcPr>
          <w:p w14:paraId="22E32079" w14:textId="77777777" w:rsidR="001E0F1B" w:rsidRPr="00904E2D" w:rsidRDefault="001E0F1B" w:rsidP="00AA51D2">
            <w:pPr>
              <w:spacing w:line="360" w:lineRule="auto"/>
              <w:jc w:val="center"/>
              <w:rPr>
                <w:sz w:val="18"/>
                <w:szCs w:val="18"/>
              </w:rPr>
            </w:pPr>
            <w:r w:rsidRPr="00904E2D">
              <w:rPr>
                <w:sz w:val="18"/>
                <w:szCs w:val="18"/>
              </w:rPr>
              <w:t xml:space="preserve">Moderate risk </w:t>
            </w:r>
          </w:p>
        </w:tc>
        <w:tc>
          <w:tcPr>
            <w:tcW w:w="1980" w:type="dxa"/>
          </w:tcPr>
          <w:p w14:paraId="7E61931A" w14:textId="77777777" w:rsidR="001E0F1B" w:rsidRPr="00904E2D" w:rsidRDefault="001E0F1B" w:rsidP="00AA51D2">
            <w:pPr>
              <w:spacing w:line="360" w:lineRule="auto"/>
              <w:jc w:val="center"/>
              <w:rPr>
                <w:sz w:val="18"/>
                <w:szCs w:val="18"/>
              </w:rPr>
            </w:pPr>
            <w:r w:rsidRPr="00904E2D">
              <w:rPr>
                <w:sz w:val="18"/>
                <w:szCs w:val="18"/>
              </w:rPr>
              <w:t>Low risk</w:t>
            </w:r>
          </w:p>
        </w:tc>
        <w:tc>
          <w:tcPr>
            <w:tcW w:w="2340" w:type="dxa"/>
          </w:tcPr>
          <w:p w14:paraId="005541CA" w14:textId="77777777" w:rsidR="001E0F1B" w:rsidRPr="00904E2D" w:rsidRDefault="001E0F1B" w:rsidP="00AA51D2">
            <w:pPr>
              <w:spacing w:line="360" w:lineRule="auto"/>
              <w:jc w:val="center"/>
              <w:rPr>
                <w:sz w:val="18"/>
                <w:szCs w:val="18"/>
              </w:rPr>
            </w:pPr>
            <w:r w:rsidRPr="00904E2D">
              <w:rPr>
                <w:sz w:val="18"/>
                <w:szCs w:val="18"/>
              </w:rPr>
              <w:t>Low risk</w:t>
            </w:r>
          </w:p>
        </w:tc>
        <w:tc>
          <w:tcPr>
            <w:tcW w:w="1620" w:type="dxa"/>
          </w:tcPr>
          <w:p w14:paraId="61C980E0" w14:textId="77777777" w:rsidR="001E0F1B" w:rsidRPr="00904E2D" w:rsidRDefault="001E0F1B" w:rsidP="00AA51D2">
            <w:pPr>
              <w:spacing w:line="360" w:lineRule="auto"/>
              <w:jc w:val="center"/>
              <w:rPr>
                <w:sz w:val="18"/>
                <w:szCs w:val="18"/>
              </w:rPr>
            </w:pPr>
            <w:r w:rsidRPr="00904E2D">
              <w:rPr>
                <w:sz w:val="18"/>
                <w:szCs w:val="18"/>
              </w:rPr>
              <w:t>Low risk</w:t>
            </w:r>
          </w:p>
        </w:tc>
        <w:tc>
          <w:tcPr>
            <w:tcW w:w="1980" w:type="dxa"/>
          </w:tcPr>
          <w:p w14:paraId="0A620ECF" w14:textId="77777777" w:rsidR="001E0F1B" w:rsidRPr="00904E2D" w:rsidRDefault="001E0F1B" w:rsidP="00AA51D2">
            <w:pPr>
              <w:spacing w:line="360" w:lineRule="auto"/>
              <w:jc w:val="center"/>
              <w:rPr>
                <w:sz w:val="18"/>
                <w:szCs w:val="18"/>
              </w:rPr>
            </w:pPr>
            <w:r w:rsidRPr="00904E2D">
              <w:rPr>
                <w:sz w:val="18"/>
                <w:szCs w:val="18"/>
              </w:rPr>
              <w:t>Low risk</w:t>
            </w:r>
          </w:p>
        </w:tc>
        <w:tc>
          <w:tcPr>
            <w:tcW w:w="1890" w:type="dxa"/>
          </w:tcPr>
          <w:p w14:paraId="6EDEDF9B" w14:textId="77777777" w:rsidR="001E0F1B" w:rsidRPr="00904E2D" w:rsidRDefault="001E0F1B" w:rsidP="00AA51D2">
            <w:pPr>
              <w:spacing w:line="360" w:lineRule="auto"/>
              <w:jc w:val="center"/>
              <w:rPr>
                <w:sz w:val="18"/>
                <w:szCs w:val="18"/>
              </w:rPr>
            </w:pPr>
            <w:r w:rsidRPr="00904E2D">
              <w:rPr>
                <w:sz w:val="18"/>
                <w:szCs w:val="18"/>
              </w:rPr>
              <w:t>Low risk</w:t>
            </w:r>
          </w:p>
        </w:tc>
        <w:tc>
          <w:tcPr>
            <w:tcW w:w="1701" w:type="dxa"/>
          </w:tcPr>
          <w:p w14:paraId="7735374A" w14:textId="77777777" w:rsidR="001E0F1B" w:rsidRPr="00904E2D" w:rsidRDefault="001E0F1B" w:rsidP="00AA51D2">
            <w:pPr>
              <w:spacing w:line="360" w:lineRule="auto"/>
              <w:jc w:val="center"/>
              <w:rPr>
                <w:sz w:val="18"/>
                <w:szCs w:val="18"/>
              </w:rPr>
            </w:pPr>
            <w:r w:rsidRPr="00904E2D">
              <w:rPr>
                <w:sz w:val="18"/>
                <w:szCs w:val="18"/>
              </w:rPr>
              <w:t>Moderate risk</w:t>
            </w:r>
          </w:p>
        </w:tc>
      </w:tr>
      <w:tr w:rsidR="001E0F1B" w:rsidRPr="00904E2D" w14:paraId="75C120A3" w14:textId="77777777" w:rsidTr="00AA51D2">
        <w:trPr>
          <w:jc w:val="center"/>
        </w:trPr>
        <w:tc>
          <w:tcPr>
            <w:tcW w:w="1725" w:type="dxa"/>
            <w:vAlign w:val="center"/>
          </w:tcPr>
          <w:p w14:paraId="6FF43AE0" w14:textId="77777777" w:rsidR="001E0F1B" w:rsidRPr="00904E2D" w:rsidRDefault="001E0F1B" w:rsidP="00AA51D2">
            <w:pPr>
              <w:spacing w:line="360" w:lineRule="auto"/>
              <w:jc w:val="both"/>
              <w:rPr>
                <w:sz w:val="18"/>
                <w:szCs w:val="18"/>
              </w:rPr>
            </w:pPr>
            <w:r>
              <w:rPr>
                <w:sz w:val="16"/>
                <w:szCs w:val="16"/>
              </w:rPr>
              <w:t>Dubler S</w:t>
            </w:r>
            <w:r w:rsidRPr="00467111">
              <w:rPr>
                <w:sz w:val="16"/>
                <w:szCs w:val="16"/>
              </w:rPr>
              <w:t xml:space="preserve">. </w:t>
            </w:r>
            <w:r w:rsidRPr="00467111">
              <w:rPr>
                <w:i/>
                <w:sz w:val="16"/>
                <w:szCs w:val="16"/>
              </w:rPr>
              <w:t>et al</w:t>
            </w:r>
          </w:p>
        </w:tc>
        <w:tc>
          <w:tcPr>
            <w:tcW w:w="1351" w:type="dxa"/>
          </w:tcPr>
          <w:p w14:paraId="0783A634"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10" w:type="dxa"/>
          </w:tcPr>
          <w:p w14:paraId="608BD20F" w14:textId="77777777" w:rsidR="001E0F1B" w:rsidRPr="00904E2D" w:rsidRDefault="001E0F1B" w:rsidP="00AA51D2">
            <w:pPr>
              <w:spacing w:line="360" w:lineRule="auto"/>
              <w:jc w:val="center"/>
              <w:rPr>
                <w:sz w:val="18"/>
                <w:szCs w:val="18"/>
              </w:rPr>
            </w:pPr>
            <w:r w:rsidRPr="00904E2D">
              <w:rPr>
                <w:sz w:val="18"/>
                <w:szCs w:val="18"/>
              </w:rPr>
              <w:t>Moderate risk</w:t>
            </w:r>
          </w:p>
        </w:tc>
        <w:tc>
          <w:tcPr>
            <w:tcW w:w="1980" w:type="dxa"/>
          </w:tcPr>
          <w:p w14:paraId="6F0679FD" w14:textId="77777777" w:rsidR="001E0F1B" w:rsidRPr="00904E2D" w:rsidRDefault="001E0F1B" w:rsidP="00AA51D2">
            <w:pPr>
              <w:spacing w:line="360" w:lineRule="auto"/>
              <w:jc w:val="center"/>
              <w:rPr>
                <w:sz w:val="18"/>
                <w:szCs w:val="18"/>
              </w:rPr>
            </w:pPr>
            <w:r w:rsidRPr="00904E2D">
              <w:rPr>
                <w:sz w:val="18"/>
                <w:szCs w:val="18"/>
              </w:rPr>
              <w:t>Low risk</w:t>
            </w:r>
          </w:p>
        </w:tc>
        <w:tc>
          <w:tcPr>
            <w:tcW w:w="2340" w:type="dxa"/>
          </w:tcPr>
          <w:p w14:paraId="6682D85E" w14:textId="77777777" w:rsidR="001E0F1B" w:rsidRPr="00904E2D" w:rsidRDefault="001E0F1B" w:rsidP="00AA51D2">
            <w:pPr>
              <w:spacing w:line="360" w:lineRule="auto"/>
              <w:jc w:val="center"/>
              <w:rPr>
                <w:sz w:val="18"/>
                <w:szCs w:val="18"/>
              </w:rPr>
            </w:pPr>
            <w:r w:rsidRPr="00904E2D">
              <w:rPr>
                <w:sz w:val="18"/>
                <w:szCs w:val="18"/>
              </w:rPr>
              <w:t>Low risk</w:t>
            </w:r>
          </w:p>
        </w:tc>
        <w:tc>
          <w:tcPr>
            <w:tcW w:w="1620" w:type="dxa"/>
          </w:tcPr>
          <w:p w14:paraId="44B378EC" w14:textId="77777777" w:rsidR="001E0F1B" w:rsidRPr="00904E2D" w:rsidRDefault="001E0F1B" w:rsidP="00AA51D2">
            <w:pPr>
              <w:spacing w:line="360" w:lineRule="auto"/>
              <w:jc w:val="center"/>
              <w:rPr>
                <w:sz w:val="18"/>
                <w:szCs w:val="18"/>
              </w:rPr>
            </w:pPr>
            <w:r>
              <w:rPr>
                <w:sz w:val="18"/>
                <w:szCs w:val="18"/>
              </w:rPr>
              <w:t>Moderate</w:t>
            </w:r>
            <w:r w:rsidRPr="00904E2D">
              <w:rPr>
                <w:sz w:val="18"/>
                <w:szCs w:val="18"/>
              </w:rPr>
              <w:t xml:space="preserve"> risk</w:t>
            </w:r>
          </w:p>
        </w:tc>
        <w:tc>
          <w:tcPr>
            <w:tcW w:w="1980" w:type="dxa"/>
          </w:tcPr>
          <w:p w14:paraId="3432C95B" w14:textId="77777777" w:rsidR="001E0F1B" w:rsidRPr="00904E2D" w:rsidRDefault="001E0F1B" w:rsidP="00AA51D2">
            <w:pPr>
              <w:spacing w:line="360" w:lineRule="auto"/>
              <w:jc w:val="center"/>
              <w:rPr>
                <w:sz w:val="18"/>
                <w:szCs w:val="18"/>
              </w:rPr>
            </w:pPr>
            <w:r w:rsidRPr="00904E2D">
              <w:rPr>
                <w:sz w:val="18"/>
                <w:szCs w:val="18"/>
              </w:rPr>
              <w:t>Low risk</w:t>
            </w:r>
          </w:p>
        </w:tc>
        <w:tc>
          <w:tcPr>
            <w:tcW w:w="1890" w:type="dxa"/>
          </w:tcPr>
          <w:p w14:paraId="1B6376D0"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01" w:type="dxa"/>
          </w:tcPr>
          <w:p w14:paraId="51D1B95E" w14:textId="77777777" w:rsidR="001E0F1B" w:rsidRPr="00904E2D" w:rsidRDefault="001E0F1B" w:rsidP="00AA51D2">
            <w:pPr>
              <w:spacing w:line="360" w:lineRule="auto"/>
              <w:jc w:val="center"/>
              <w:rPr>
                <w:sz w:val="18"/>
                <w:szCs w:val="18"/>
              </w:rPr>
            </w:pPr>
            <w:r>
              <w:rPr>
                <w:sz w:val="18"/>
                <w:szCs w:val="18"/>
              </w:rPr>
              <w:t>Moderate</w:t>
            </w:r>
            <w:r w:rsidRPr="00904E2D">
              <w:rPr>
                <w:sz w:val="18"/>
                <w:szCs w:val="18"/>
              </w:rPr>
              <w:t xml:space="preserve"> risk</w:t>
            </w:r>
          </w:p>
        </w:tc>
      </w:tr>
      <w:tr w:rsidR="001E0F1B" w:rsidRPr="00904E2D" w14:paraId="64B6F3B5" w14:textId="77777777" w:rsidTr="00AA51D2">
        <w:trPr>
          <w:jc w:val="center"/>
        </w:trPr>
        <w:tc>
          <w:tcPr>
            <w:tcW w:w="1725" w:type="dxa"/>
            <w:vAlign w:val="center"/>
          </w:tcPr>
          <w:p w14:paraId="0D0E1716" w14:textId="77777777" w:rsidR="001E0F1B" w:rsidRPr="00904E2D" w:rsidRDefault="001E0F1B" w:rsidP="00AA51D2">
            <w:pPr>
              <w:spacing w:line="360" w:lineRule="auto"/>
              <w:jc w:val="both"/>
              <w:rPr>
                <w:sz w:val="18"/>
                <w:szCs w:val="18"/>
              </w:rPr>
            </w:pPr>
            <w:r>
              <w:rPr>
                <w:sz w:val="16"/>
                <w:szCs w:val="16"/>
              </w:rPr>
              <w:t>Kramer T</w:t>
            </w:r>
            <w:r w:rsidRPr="00467111">
              <w:rPr>
                <w:sz w:val="16"/>
                <w:szCs w:val="16"/>
              </w:rPr>
              <w:t xml:space="preserve">. </w:t>
            </w:r>
            <w:r w:rsidRPr="00467111">
              <w:rPr>
                <w:i/>
                <w:sz w:val="16"/>
                <w:szCs w:val="16"/>
              </w:rPr>
              <w:t>et al</w:t>
            </w:r>
          </w:p>
        </w:tc>
        <w:tc>
          <w:tcPr>
            <w:tcW w:w="1351" w:type="dxa"/>
          </w:tcPr>
          <w:p w14:paraId="709862DB"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10" w:type="dxa"/>
          </w:tcPr>
          <w:p w14:paraId="211570C9" w14:textId="77777777" w:rsidR="001E0F1B" w:rsidRPr="00904E2D" w:rsidRDefault="001E0F1B" w:rsidP="00AA51D2">
            <w:pPr>
              <w:spacing w:line="360" w:lineRule="auto"/>
              <w:jc w:val="center"/>
              <w:rPr>
                <w:sz w:val="18"/>
                <w:szCs w:val="18"/>
              </w:rPr>
            </w:pPr>
            <w:r w:rsidRPr="00904E2D">
              <w:rPr>
                <w:sz w:val="18"/>
                <w:szCs w:val="18"/>
              </w:rPr>
              <w:t>Moderate risk</w:t>
            </w:r>
          </w:p>
        </w:tc>
        <w:tc>
          <w:tcPr>
            <w:tcW w:w="1980" w:type="dxa"/>
          </w:tcPr>
          <w:p w14:paraId="4E9480FF" w14:textId="77777777" w:rsidR="001E0F1B" w:rsidRPr="00904E2D" w:rsidRDefault="001E0F1B" w:rsidP="00AA51D2">
            <w:pPr>
              <w:spacing w:line="360" w:lineRule="auto"/>
              <w:jc w:val="center"/>
              <w:rPr>
                <w:sz w:val="18"/>
                <w:szCs w:val="18"/>
              </w:rPr>
            </w:pPr>
            <w:r w:rsidRPr="00904E2D">
              <w:rPr>
                <w:sz w:val="18"/>
                <w:szCs w:val="18"/>
              </w:rPr>
              <w:t>Low risk</w:t>
            </w:r>
          </w:p>
        </w:tc>
        <w:tc>
          <w:tcPr>
            <w:tcW w:w="2340" w:type="dxa"/>
          </w:tcPr>
          <w:p w14:paraId="32259665" w14:textId="77777777" w:rsidR="001E0F1B" w:rsidRPr="00904E2D" w:rsidRDefault="001E0F1B" w:rsidP="00AA51D2">
            <w:pPr>
              <w:spacing w:line="360" w:lineRule="auto"/>
              <w:jc w:val="center"/>
              <w:rPr>
                <w:sz w:val="18"/>
                <w:szCs w:val="18"/>
              </w:rPr>
            </w:pPr>
            <w:r w:rsidRPr="00904E2D">
              <w:rPr>
                <w:sz w:val="18"/>
                <w:szCs w:val="18"/>
              </w:rPr>
              <w:t>Low risk</w:t>
            </w:r>
          </w:p>
        </w:tc>
        <w:tc>
          <w:tcPr>
            <w:tcW w:w="1620" w:type="dxa"/>
          </w:tcPr>
          <w:p w14:paraId="67077FC6" w14:textId="77777777" w:rsidR="001E0F1B" w:rsidRPr="00904E2D" w:rsidRDefault="001E0F1B" w:rsidP="00AA51D2">
            <w:pPr>
              <w:spacing w:line="360" w:lineRule="auto"/>
              <w:jc w:val="center"/>
              <w:rPr>
                <w:sz w:val="18"/>
                <w:szCs w:val="18"/>
              </w:rPr>
            </w:pPr>
            <w:r>
              <w:rPr>
                <w:sz w:val="18"/>
                <w:szCs w:val="18"/>
              </w:rPr>
              <w:t>Serious</w:t>
            </w:r>
            <w:r w:rsidRPr="00904E2D">
              <w:rPr>
                <w:sz w:val="18"/>
                <w:szCs w:val="18"/>
              </w:rPr>
              <w:t xml:space="preserve"> risk</w:t>
            </w:r>
          </w:p>
        </w:tc>
        <w:tc>
          <w:tcPr>
            <w:tcW w:w="1980" w:type="dxa"/>
          </w:tcPr>
          <w:p w14:paraId="25BDBC07" w14:textId="77777777" w:rsidR="001E0F1B" w:rsidRPr="00904E2D" w:rsidRDefault="001E0F1B" w:rsidP="00AA51D2">
            <w:pPr>
              <w:spacing w:line="360" w:lineRule="auto"/>
              <w:jc w:val="center"/>
              <w:rPr>
                <w:sz w:val="18"/>
                <w:szCs w:val="18"/>
              </w:rPr>
            </w:pPr>
            <w:r w:rsidRPr="00904E2D">
              <w:rPr>
                <w:sz w:val="18"/>
                <w:szCs w:val="18"/>
              </w:rPr>
              <w:t>Low risk</w:t>
            </w:r>
          </w:p>
        </w:tc>
        <w:tc>
          <w:tcPr>
            <w:tcW w:w="1890" w:type="dxa"/>
          </w:tcPr>
          <w:p w14:paraId="7AE31E00" w14:textId="77777777" w:rsidR="001E0F1B" w:rsidRPr="00904E2D" w:rsidRDefault="001E0F1B" w:rsidP="00AA51D2">
            <w:pPr>
              <w:spacing w:line="360" w:lineRule="auto"/>
              <w:jc w:val="center"/>
              <w:rPr>
                <w:sz w:val="18"/>
                <w:szCs w:val="18"/>
              </w:rPr>
            </w:pPr>
            <w:r w:rsidRPr="00904E2D">
              <w:rPr>
                <w:sz w:val="18"/>
                <w:szCs w:val="18"/>
              </w:rPr>
              <w:t>Moderate risk</w:t>
            </w:r>
          </w:p>
        </w:tc>
        <w:tc>
          <w:tcPr>
            <w:tcW w:w="1701" w:type="dxa"/>
          </w:tcPr>
          <w:p w14:paraId="7602CE72" w14:textId="77777777" w:rsidR="001E0F1B" w:rsidRPr="00904E2D" w:rsidRDefault="001E0F1B" w:rsidP="00AA51D2">
            <w:pPr>
              <w:spacing w:line="360" w:lineRule="auto"/>
              <w:jc w:val="center"/>
              <w:rPr>
                <w:sz w:val="18"/>
                <w:szCs w:val="18"/>
              </w:rPr>
            </w:pPr>
            <w:r>
              <w:rPr>
                <w:sz w:val="18"/>
                <w:szCs w:val="18"/>
              </w:rPr>
              <w:t>Serious</w:t>
            </w:r>
            <w:r w:rsidRPr="00904E2D">
              <w:rPr>
                <w:sz w:val="18"/>
                <w:szCs w:val="18"/>
              </w:rPr>
              <w:t xml:space="preserve"> risk</w:t>
            </w:r>
          </w:p>
        </w:tc>
      </w:tr>
    </w:tbl>
    <w:p w14:paraId="59B0502D" w14:textId="77777777" w:rsidR="001E0F1B" w:rsidRDefault="001E0F1B" w:rsidP="001E0F1B">
      <w:pPr>
        <w:spacing w:line="360" w:lineRule="auto"/>
        <w:jc w:val="both"/>
        <w:rPr>
          <w:sz w:val="18"/>
          <w:szCs w:val="18"/>
        </w:rPr>
      </w:pPr>
    </w:p>
    <w:p w14:paraId="5C00BDFD" w14:textId="77777777" w:rsidR="001E0F1B" w:rsidRDefault="001E0F1B" w:rsidP="001E0F1B">
      <w:pPr>
        <w:spacing w:line="360" w:lineRule="auto"/>
        <w:jc w:val="both"/>
      </w:pPr>
      <w:r>
        <w:br w:type="page"/>
      </w:r>
    </w:p>
    <w:p w14:paraId="2385857A" w14:textId="78F4FA82" w:rsidR="001E0F1B" w:rsidRDefault="001E0F1B" w:rsidP="001E0F1B">
      <w:pPr>
        <w:spacing w:line="360" w:lineRule="auto"/>
        <w:jc w:val="both"/>
      </w:pPr>
      <w:proofErr w:type="spellStart"/>
      <w:r>
        <w:rPr>
          <w:b/>
          <w:bCs/>
        </w:rPr>
        <w:lastRenderedPageBreak/>
        <w:t>Supplementary</w:t>
      </w:r>
      <w:proofErr w:type="spellEnd"/>
      <w:r>
        <w:rPr>
          <w:b/>
          <w:bCs/>
        </w:rPr>
        <w:t xml:space="preserve"> Table </w:t>
      </w:r>
      <w:r w:rsidR="00123844">
        <w:rPr>
          <w:b/>
          <w:bCs/>
        </w:rPr>
        <w:t>8</w:t>
      </w:r>
      <w:r>
        <w:rPr>
          <w:b/>
          <w:bCs/>
        </w:rPr>
        <w:t xml:space="preserve"> -</w:t>
      </w:r>
      <w:r>
        <w:t xml:space="preserve"> </w:t>
      </w:r>
      <w:r w:rsidRPr="009F594B">
        <w:t xml:space="preserve">Risk of </w:t>
      </w:r>
      <w:proofErr w:type="spellStart"/>
      <w:r w:rsidRPr="009F594B">
        <w:t>bias</w:t>
      </w:r>
      <w:proofErr w:type="spellEnd"/>
      <w:r w:rsidRPr="009F594B">
        <w:t xml:space="preserve"> </w:t>
      </w:r>
      <w:proofErr w:type="spellStart"/>
      <w:r w:rsidRPr="009F594B">
        <w:t>assessment</w:t>
      </w:r>
      <w:proofErr w:type="spellEnd"/>
      <w:r w:rsidRPr="009F594B">
        <w:t xml:space="preserve"> for </w:t>
      </w:r>
      <w:proofErr w:type="spellStart"/>
      <w:r w:rsidRPr="009F594B">
        <w:t>observational</w:t>
      </w:r>
      <w:proofErr w:type="spellEnd"/>
      <w:r w:rsidRPr="009F594B">
        <w:t xml:space="preserve"> studies </w:t>
      </w:r>
      <w:proofErr w:type="spellStart"/>
      <w:r w:rsidRPr="009F594B">
        <w:t>according</w:t>
      </w:r>
      <w:proofErr w:type="spellEnd"/>
      <w:r w:rsidRPr="009F594B">
        <w:t xml:space="preserve"> to ROBINS-I</w:t>
      </w:r>
      <w:r>
        <w:t xml:space="preserve"> (PICO 4)</w:t>
      </w:r>
    </w:p>
    <w:tbl>
      <w:tblPr>
        <w:tblStyle w:val="Grigliatabella"/>
        <w:tblW w:w="0" w:type="auto"/>
        <w:jc w:val="center"/>
        <w:tblLook w:val="04A0" w:firstRow="1" w:lastRow="0" w:firstColumn="1" w:lastColumn="0" w:noHBand="0" w:noVBand="1"/>
      </w:tblPr>
      <w:tblGrid>
        <w:gridCol w:w="1405"/>
        <w:gridCol w:w="1509"/>
        <w:gridCol w:w="1692"/>
        <w:gridCol w:w="1763"/>
        <w:gridCol w:w="2025"/>
        <w:gridCol w:w="1272"/>
        <w:gridCol w:w="1798"/>
        <w:gridCol w:w="1624"/>
        <w:gridCol w:w="1189"/>
      </w:tblGrid>
      <w:tr w:rsidR="001E0F1B" w:rsidRPr="00DC33CE" w14:paraId="5258F737" w14:textId="77777777" w:rsidTr="00AA51D2">
        <w:trPr>
          <w:trHeight w:val="644"/>
          <w:jc w:val="center"/>
        </w:trPr>
        <w:tc>
          <w:tcPr>
            <w:tcW w:w="0" w:type="auto"/>
            <w:vAlign w:val="center"/>
          </w:tcPr>
          <w:p w14:paraId="545E68BE" w14:textId="77777777" w:rsidR="001E0F1B" w:rsidRPr="00DC33CE" w:rsidRDefault="001E0F1B" w:rsidP="00AA51D2">
            <w:pPr>
              <w:jc w:val="center"/>
              <w:rPr>
                <w:b/>
                <w:bCs/>
                <w:sz w:val="18"/>
                <w:szCs w:val="18"/>
              </w:rPr>
            </w:pPr>
            <w:r w:rsidRPr="00DC33CE">
              <w:rPr>
                <w:b/>
                <w:bCs/>
                <w:sz w:val="18"/>
                <w:szCs w:val="18"/>
              </w:rPr>
              <w:t>Study</w:t>
            </w:r>
          </w:p>
        </w:tc>
        <w:tc>
          <w:tcPr>
            <w:tcW w:w="0" w:type="auto"/>
            <w:gridSpan w:val="7"/>
            <w:vAlign w:val="center"/>
          </w:tcPr>
          <w:p w14:paraId="44E52F8B" w14:textId="77777777" w:rsidR="001E0F1B" w:rsidRPr="00DC33CE" w:rsidRDefault="001E0F1B" w:rsidP="00AA51D2">
            <w:pPr>
              <w:jc w:val="center"/>
              <w:rPr>
                <w:b/>
                <w:bCs/>
                <w:sz w:val="18"/>
                <w:szCs w:val="18"/>
              </w:rPr>
            </w:pPr>
            <w:r w:rsidRPr="00DC33CE">
              <w:rPr>
                <w:b/>
                <w:bCs/>
                <w:sz w:val="18"/>
                <w:szCs w:val="18"/>
              </w:rPr>
              <w:t>Bias domains</w:t>
            </w:r>
          </w:p>
        </w:tc>
        <w:tc>
          <w:tcPr>
            <w:tcW w:w="0" w:type="auto"/>
            <w:vAlign w:val="center"/>
          </w:tcPr>
          <w:p w14:paraId="275DBE44" w14:textId="77777777" w:rsidR="001E0F1B" w:rsidRPr="00DC33CE" w:rsidRDefault="001E0F1B" w:rsidP="00AA51D2">
            <w:pPr>
              <w:jc w:val="center"/>
              <w:rPr>
                <w:b/>
                <w:bCs/>
                <w:sz w:val="18"/>
                <w:szCs w:val="18"/>
              </w:rPr>
            </w:pPr>
            <w:r w:rsidRPr="00DC33CE">
              <w:rPr>
                <w:b/>
                <w:bCs/>
                <w:sz w:val="18"/>
                <w:szCs w:val="18"/>
              </w:rPr>
              <w:t xml:space="preserve">Overall </w:t>
            </w:r>
            <w:proofErr w:type="spellStart"/>
            <w:r w:rsidRPr="00DC33CE">
              <w:rPr>
                <w:b/>
                <w:bCs/>
                <w:sz w:val="18"/>
                <w:szCs w:val="18"/>
              </w:rPr>
              <w:t>judgment</w:t>
            </w:r>
            <w:proofErr w:type="spellEnd"/>
          </w:p>
        </w:tc>
      </w:tr>
      <w:tr w:rsidR="001E0F1B" w:rsidRPr="00DC33CE" w14:paraId="0D2E3ADF" w14:textId="77777777" w:rsidTr="00AA51D2">
        <w:trPr>
          <w:trHeight w:val="644"/>
          <w:jc w:val="center"/>
        </w:trPr>
        <w:tc>
          <w:tcPr>
            <w:tcW w:w="0" w:type="auto"/>
            <w:vAlign w:val="center"/>
          </w:tcPr>
          <w:p w14:paraId="3A10E1E1" w14:textId="77777777" w:rsidR="001E0F1B" w:rsidRPr="00DC33CE" w:rsidRDefault="001E0F1B" w:rsidP="00AA51D2">
            <w:pPr>
              <w:jc w:val="center"/>
              <w:rPr>
                <w:b/>
                <w:bCs/>
                <w:sz w:val="18"/>
                <w:szCs w:val="18"/>
              </w:rPr>
            </w:pPr>
          </w:p>
        </w:tc>
        <w:tc>
          <w:tcPr>
            <w:tcW w:w="0" w:type="auto"/>
            <w:vAlign w:val="center"/>
          </w:tcPr>
          <w:p w14:paraId="34B659F8" w14:textId="77777777" w:rsidR="001E0F1B" w:rsidRPr="00DC33CE" w:rsidRDefault="001E0F1B" w:rsidP="00AA51D2">
            <w:pPr>
              <w:jc w:val="center"/>
              <w:rPr>
                <w:b/>
                <w:bCs/>
                <w:sz w:val="18"/>
                <w:szCs w:val="18"/>
              </w:rPr>
            </w:pPr>
            <w:r w:rsidRPr="00DC33CE">
              <w:rPr>
                <w:b/>
                <w:bCs/>
                <w:sz w:val="18"/>
                <w:szCs w:val="18"/>
              </w:rPr>
              <w:t xml:space="preserve">Bias due to </w:t>
            </w:r>
            <w:proofErr w:type="spellStart"/>
            <w:r w:rsidRPr="00DC33CE">
              <w:rPr>
                <w:b/>
                <w:bCs/>
                <w:sz w:val="18"/>
                <w:szCs w:val="18"/>
              </w:rPr>
              <w:t>confounding</w:t>
            </w:r>
            <w:proofErr w:type="spellEnd"/>
          </w:p>
        </w:tc>
        <w:tc>
          <w:tcPr>
            <w:tcW w:w="0" w:type="auto"/>
            <w:vAlign w:val="center"/>
          </w:tcPr>
          <w:p w14:paraId="52A641C7" w14:textId="77777777" w:rsidR="001E0F1B" w:rsidRPr="00DC33CE" w:rsidRDefault="001E0F1B" w:rsidP="00AA51D2">
            <w:pPr>
              <w:jc w:val="center"/>
              <w:rPr>
                <w:b/>
                <w:bCs/>
                <w:sz w:val="18"/>
                <w:szCs w:val="18"/>
              </w:rPr>
            </w:pPr>
            <w:r w:rsidRPr="00DC33CE">
              <w:rPr>
                <w:b/>
                <w:bCs/>
                <w:sz w:val="18"/>
                <w:szCs w:val="18"/>
              </w:rPr>
              <w:t xml:space="preserve">Bias in </w:t>
            </w:r>
            <w:proofErr w:type="spellStart"/>
            <w:r w:rsidRPr="00DC33CE">
              <w:rPr>
                <w:b/>
                <w:bCs/>
                <w:sz w:val="18"/>
                <w:szCs w:val="18"/>
              </w:rPr>
              <w:t>selection</w:t>
            </w:r>
            <w:proofErr w:type="spellEnd"/>
            <w:r w:rsidRPr="00DC33CE">
              <w:rPr>
                <w:b/>
                <w:bCs/>
                <w:sz w:val="18"/>
                <w:szCs w:val="18"/>
              </w:rPr>
              <w:t xml:space="preserve"> of participants</w:t>
            </w:r>
          </w:p>
        </w:tc>
        <w:tc>
          <w:tcPr>
            <w:tcW w:w="0" w:type="auto"/>
            <w:vAlign w:val="center"/>
          </w:tcPr>
          <w:p w14:paraId="4F366275" w14:textId="77777777" w:rsidR="001E0F1B" w:rsidRPr="00DC33CE" w:rsidRDefault="001E0F1B" w:rsidP="00AA51D2">
            <w:pPr>
              <w:jc w:val="center"/>
              <w:rPr>
                <w:b/>
                <w:bCs/>
                <w:sz w:val="18"/>
                <w:szCs w:val="18"/>
              </w:rPr>
            </w:pPr>
            <w:r w:rsidRPr="00DC33CE">
              <w:rPr>
                <w:b/>
                <w:bCs/>
                <w:sz w:val="18"/>
                <w:szCs w:val="18"/>
              </w:rPr>
              <w:t xml:space="preserve">Bias in </w:t>
            </w:r>
            <w:proofErr w:type="spellStart"/>
            <w:r w:rsidRPr="00DC33CE">
              <w:rPr>
                <w:b/>
                <w:bCs/>
                <w:sz w:val="18"/>
                <w:szCs w:val="18"/>
              </w:rPr>
              <w:t>classification</w:t>
            </w:r>
            <w:proofErr w:type="spellEnd"/>
            <w:r w:rsidRPr="00DC33CE">
              <w:rPr>
                <w:b/>
                <w:bCs/>
                <w:sz w:val="18"/>
                <w:szCs w:val="18"/>
              </w:rPr>
              <w:t xml:space="preserve"> of </w:t>
            </w:r>
            <w:proofErr w:type="spellStart"/>
            <w:r w:rsidRPr="00DC33CE">
              <w:rPr>
                <w:b/>
                <w:bCs/>
                <w:sz w:val="18"/>
                <w:szCs w:val="18"/>
              </w:rPr>
              <w:t>exposure</w:t>
            </w:r>
            <w:proofErr w:type="spellEnd"/>
          </w:p>
        </w:tc>
        <w:tc>
          <w:tcPr>
            <w:tcW w:w="0" w:type="auto"/>
            <w:vAlign w:val="center"/>
          </w:tcPr>
          <w:p w14:paraId="746C034F" w14:textId="77777777" w:rsidR="001E0F1B" w:rsidRPr="00DC33CE" w:rsidRDefault="001E0F1B" w:rsidP="00AA51D2">
            <w:pPr>
              <w:jc w:val="center"/>
              <w:rPr>
                <w:b/>
                <w:bCs/>
                <w:sz w:val="18"/>
                <w:szCs w:val="18"/>
              </w:rPr>
            </w:pPr>
            <w:r w:rsidRPr="00DC33CE">
              <w:rPr>
                <w:b/>
                <w:bCs/>
                <w:sz w:val="18"/>
                <w:szCs w:val="18"/>
              </w:rPr>
              <w:t xml:space="preserve">Bias due to </w:t>
            </w:r>
            <w:proofErr w:type="spellStart"/>
            <w:r w:rsidRPr="00DC33CE">
              <w:rPr>
                <w:b/>
                <w:bCs/>
                <w:sz w:val="18"/>
                <w:szCs w:val="18"/>
              </w:rPr>
              <w:t>deviations</w:t>
            </w:r>
            <w:proofErr w:type="spellEnd"/>
            <w:r w:rsidRPr="00DC33CE">
              <w:rPr>
                <w:b/>
                <w:bCs/>
                <w:sz w:val="18"/>
                <w:szCs w:val="18"/>
              </w:rPr>
              <w:t xml:space="preserve"> from </w:t>
            </w:r>
            <w:proofErr w:type="spellStart"/>
            <w:r w:rsidRPr="00DC33CE">
              <w:rPr>
                <w:b/>
                <w:bCs/>
                <w:sz w:val="18"/>
                <w:szCs w:val="18"/>
              </w:rPr>
              <w:t>intended</w:t>
            </w:r>
            <w:proofErr w:type="spellEnd"/>
            <w:r w:rsidRPr="00DC33CE">
              <w:rPr>
                <w:b/>
                <w:bCs/>
                <w:sz w:val="18"/>
                <w:szCs w:val="18"/>
              </w:rPr>
              <w:t xml:space="preserve"> </w:t>
            </w:r>
            <w:proofErr w:type="spellStart"/>
            <w:r w:rsidRPr="00DC33CE">
              <w:rPr>
                <w:b/>
                <w:bCs/>
                <w:sz w:val="18"/>
                <w:szCs w:val="18"/>
              </w:rPr>
              <w:t>exposure</w:t>
            </w:r>
            <w:proofErr w:type="spellEnd"/>
          </w:p>
        </w:tc>
        <w:tc>
          <w:tcPr>
            <w:tcW w:w="0" w:type="auto"/>
            <w:vAlign w:val="center"/>
          </w:tcPr>
          <w:p w14:paraId="6EC7E19C" w14:textId="77777777" w:rsidR="001E0F1B" w:rsidRPr="00DC33CE" w:rsidRDefault="001E0F1B" w:rsidP="00AA51D2">
            <w:pPr>
              <w:jc w:val="center"/>
              <w:rPr>
                <w:b/>
                <w:bCs/>
                <w:sz w:val="18"/>
                <w:szCs w:val="18"/>
              </w:rPr>
            </w:pPr>
            <w:r w:rsidRPr="00DC33CE">
              <w:rPr>
                <w:b/>
                <w:bCs/>
                <w:sz w:val="18"/>
                <w:szCs w:val="18"/>
              </w:rPr>
              <w:t xml:space="preserve">Bias due to </w:t>
            </w:r>
            <w:proofErr w:type="spellStart"/>
            <w:r w:rsidRPr="00DC33CE">
              <w:rPr>
                <w:b/>
                <w:bCs/>
                <w:sz w:val="18"/>
                <w:szCs w:val="18"/>
              </w:rPr>
              <w:t>missing</w:t>
            </w:r>
            <w:proofErr w:type="spellEnd"/>
            <w:r w:rsidRPr="00DC33CE">
              <w:rPr>
                <w:b/>
                <w:bCs/>
                <w:sz w:val="18"/>
                <w:szCs w:val="18"/>
              </w:rPr>
              <w:t xml:space="preserve"> data</w:t>
            </w:r>
          </w:p>
        </w:tc>
        <w:tc>
          <w:tcPr>
            <w:tcW w:w="0" w:type="auto"/>
            <w:vAlign w:val="center"/>
          </w:tcPr>
          <w:p w14:paraId="05271DE1" w14:textId="77777777" w:rsidR="001E0F1B" w:rsidRPr="00DC33CE" w:rsidRDefault="001E0F1B" w:rsidP="00AA51D2">
            <w:pPr>
              <w:jc w:val="center"/>
              <w:rPr>
                <w:b/>
                <w:bCs/>
                <w:sz w:val="18"/>
                <w:szCs w:val="18"/>
              </w:rPr>
            </w:pPr>
            <w:r w:rsidRPr="00DC33CE">
              <w:rPr>
                <w:b/>
                <w:bCs/>
                <w:sz w:val="18"/>
                <w:szCs w:val="18"/>
              </w:rPr>
              <w:t xml:space="preserve">Bias in </w:t>
            </w:r>
            <w:proofErr w:type="spellStart"/>
            <w:r w:rsidRPr="00DC33CE">
              <w:rPr>
                <w:b/>
                <w:bCs/>
                <w:sz w:val="18"/>
                <w:szCs w:val="18"/>
              </w:rPr>
              <w:t>measurement</w:t>
            </w:r>
            <w:proofErr w:type="spellEnd"/>
            <w:r w:rsidRPr="00DC33CE">
              <w:rPr>
                <w:b/>
                <w:bCs/>
                <w:sz w:val="18"/>
                <w:szCs w:val="18"/>
              </w:rPr>
              <w:t xml:space="preserve"> of </w:t>
            </w:r>
            <w:proofErr w:type="spellStart"/>
            <w:r w:rsidRPr="00DC33CE">
              <w:rPr>
                <w:b/>
                <w:bCs/>
                <w:sz w:val="18"/>
                <w:szCs w:val="18"/>
              </w:rPr>
              <w:t>outcome</w:t>
            </w:r>
            <w:proofErr w:type="spellEnd"/>
          </w:p>
        </w:tc>
        <w:tc>
          <w:tcPr>
            <w:tcW w:w="0" w:type="auto"/>
            <w:vAlign w:val="center"/>
          </w:tcPr>
          <w:p w14:paraId="48B1EC1F" w14:textId="77777777" w:rsidR="001E0F1B" w:rsidRPr="00DC33CE" w:rsidRDefault="001E0F1B" w:rsidP="00AA51D2">
            <w:pPr>
              <w:jc w:val="center"/>
              <w:rPr>
                <w:b/>
                <w:bCs/>
                <w:sz w:val="18"/>
                <w:szCs w:val="18"/>
              </w:rPr>
            </w:pPr>
            <w:r w:rsidRPr="00DC33CE">
              <w:rPr>
                <w:b/>
                <w:bCs/>
                <w:sz w:val="18"/>
                <w:szCs w:val="18"/>
              </w:rPr>
              <w:t xml:space="preserve">Bias in </w:t>
            </w:r>
            <w:proofErr w:type="spellStart"/>
            <w:r w:rsidRPr="00DC33CE">
              <w:rPr>
                <w:b/>
                <w:bCs/>
                <w:sz w:val="18"/>
                <w:szCs w:val="18"/>
              </w:rPr>
              <w:t>selection</w:t>
            </w:r>
            <w:proofErr w:type="spellEnd"/>
            <w:r w:rsidRPr="00DC33CE">
              <w:rPr>
                <w:b/>
                <w:bCs/>
                <w:sz w:val="18"/>
                <w:szCs w:val="18"/>
              </w:rPr>
              <w:t xml:space="preserve"> of </w:t>
            </w:r>
            <w:proofErr w:type="spellStart"/>
            <w:r w:rsidRPr="00DC33CE">
              <w:rPr>
                <w:b/>
                <w:bCs/>
                <w:sz w:val="18"/>
                <w:szCs w:val="18"/>
              </w:rPr>
              <w:t>reported</w:t>
            </w:r>
            <w:proofErr w:type="spellEnd"/>
            <w:r w:rsidRPr="00DC33CE">
              <w:rPr>
                <w:b/>
                <w:bCs/>
                <w:sz w:val="18"/>
                <w:szCs w:val="18"/>
              </w:rPr>
              <w:t xml:space="preserve"> </w:t>
            </w:r>
            <w:proofErr w:type="spellStart"/>
            <w:r w:rsidRPr="00DC33CE">
              <w:rPr>
                <w:b/>
                <w:bCs/>
                <w:sz w:val="18"/>
                <w:szCs w:val="18"/>
              </w:rPr>
              <w:t>result</w:t>
            </w:r>
            <w:proofErr w:type="spellEnd"/>
          </w:p>
        </w:tc>
        <w:tc>
          <w:tcPr>
            <w:tcW w:w="0" w:type="auto"/>
            <w:vAlign w:val="center"/>
          </w:tcPr>
          <w:p w14:paraId="6CBC419E" w14:textId="77777777" w:rsidR="001E0F1B" w:rsidRPr="00DC33CE" w:rsidRDefault="001E0F1B" w:rsidP="00AA51D2">
            <w:pPr>
              <w:jc w:val="center"/>
              <w:rPr>
                <w:b/>
                <w:bCs/>
                <w:sz w:val="18"/>
                <w:szCs w:val="18"/>
              </w:rPr>
            </w:pPr>
          </w:p>
        </w:tc>
      </w:tr>
      <w:tr w:rsidR="001E0F1B" w:rsidRPr="00DC33CE" w14:paraId="7AB22474" w14:textId="77777777" w:rsidTr="00AA51D2">
        <w:trPr>
          <w:trHeight w:val="644"/>
          <w:jc w:val="center"/>
        </w:trPr>
        <w:tc>
          <w:tcPr>
            <w:tcW w:w="0" w:type="auto"/>
            <w:vAlign w:val="center"/>
          </w:tcPr>
          <w:p w14:paraId="419522DA" w14:textId="77777777" w:rsidR="001E0F1B" w:rsidRPr="00DC33CE" w:rsidRDefault="001E0F1B" w:rsidP="00AA51D2">
            <w:pPr>
              <w:jc w:val="center"/>
              <w:rPr>
                <w:sz w:val="18"/>
                <w:szCs w:val="18"/>
                <w:lang w:val="de-DE"/>
              </w:rPr>
            </w:pPr>
            <w:r w:rsidRPr="00DC33CE">
              <w:rPr>
                <w:sz w:val="18"/>
                <w:szCs w:val="18"/>
                <w:lang w:val="de-DE"/>
              </w:rPr>
              <w:t xml:space="preserve">Hayakawa K. </w:t>
            </w:r>
            <w:r w:rsidRPr="00DC33CE">
              <w:rPr>
                <w:i/>
                <w:iCs/>
                <w:sz w:val="18"/>
                <w:szCs w:val="18"/>
                <w:lang w:val="de-DE"/>
              </w:rPr>
              <w:t xml:space="preserve">et al </w:t>
            </w:r>
            <w:r w:rsidRPr="00DC33CE">
              <w:rPr>
                <w:sz w:val="18"/>
                <w:szCs w:val="18"/>
                <w:lang w:val="de-DE"/>
              </w:rPr>
              <w:t>(2014)</w:t>
            </w:r>
          </w:p>
        </w:tc>
        <w:tc>
          <w:tcPr>
            <w:tcW w:w="0" w:type="auto"/>
            <w:vAlign w:val="center"/>
          </w:tcPr>
          <w:p w14:paraId="1166D49F" w14:textId="77777777" w:rsidR="001E0F1B" w:rsidRPr="00DC33CE" w:rsidRDefault="001E0F1B" w:rsidP="00AA51D2">
            <w:pPr>
              <w:jc w:val="center"/>
              <w:rPr>
                <w:sz w:val="18"/>
                <w:szCs w:val="18"/>
              </w:rPr>
            </w:pPr>
            <w:r w:rsidRPr="00DC33CE">
              <w:rPr>
                <w:sz w:val="18"/>
                <w:szCs w:val="18"/>
              </w:rPr>
              <w:t>Moderate risk</w:t>
            </w:r>
          </w:p>
        </w:tc>
        <w:tc>
          <w:tcPr>
            <w:tcW w:w="0" w:type="auto"/>
            <w:vAlign w:val="center"/>
          </w:tcPr>
          <w:p w14:paraId="30F79FEB" w14:textId="77777777" w:rsidR="001E0F1B" w:rsidRPr="00DC33CE" w:rsidRDefault="001E0F1B" w:rsidP="00AA51D2">
            <w:pPr>
              <w:jc w:val="center"/>
              <w:rPr>
                <w:sz w:val="18"/>
                <w:szCs w:val="18"/>
              </w:rPr>
            </w:pPr>
            <w:r w:rsidRPr="00DC33CE">
              <w:rPr>
                <w:sz w:val="18"/>
                <w:szCs w:val="18"/>
              </w:rPr>
              <w:t>Low risk</w:t>
            </w:r>
          </w:p>
        </w:tc>
        <w:tc>
          <w:tcPr>
            <w:tcW w:w="0" w:type="auto"/>
            <w:vAlign w:val="center"/>
          </w:tcPr>
          <w:p w14:paraId="26BED124" w14:textId="77777777" w:rsidR="001E0F1B" w:rsidRPr="00DC33CE" w:rsidRDefault="001E0F1B" w:rsidP="00AA51D2">
            <w:pPr>
              <w:jc w:val="center"/>
              <w:rPr>
                <w:sz w:val="18"/>
                <w:szCs w:val="18"/>
              </w:rPr>
            </w:pPr>
            <w:r w:rsidRPr="00DC33CE">
              <w:rPr>
                <w:sz w:val="18"/>
                <w:szCs w:val="18"/>
              </w:rPr>
              <w:t>Moderate risk</w:t>
            </w:r>
          </w:p>
        </w:tc>
        <w:tc>
          <w:tcPr>
            <w:tcW w:w="0" w:type="auto"/>
            <w:vAlign w:val="center"/>
          </w:tcPr>
          <w:p w14:paraId="016A1298" w14:textId="77777777" w:rsidR="001E0F1B" w:rsidRPr="00DC33CE" w:rsidRDefault="001E0F1B" w:rsidP="00AA51D2">
            <w:pPr>
              <w:jc w:val="center"/>
              <w:rPr>
                <w:sz w:val="18"/>
                <w:szCs w:val="18"/>
              </w:rPr>
            </w:pPr>
            <w:r w:rsidRPr="00DC33CE">
              <w:rPr>
                <w:sz w:val="18"/>
                <w:szCs w:val="18"/>
              </w:rPr>
              <w:t>Low risk</w:t>
            </w:r>
          </w:p>
        </w:tc>
        <w:tc>
          <w:tcPr>
            <w:tcW w:w="0" w:type="auto"/>
            <w:vAlign w:val="center"/>
          </w:tcPr>
          <w:p w14:paraId="5D5813C1" w14:textId="77777777" w:rsidR="001E0F1B" w:rsidRPr="00DC33CE" w:rsidRDefault="001E0F1B" w:rsidP="00AA51D2">
            <w:pPr>
              <w:jc w:val="center"/>
              <w:rPr>
                <w:sz w:val="18"/>
                <w:szCs w:val="18"/>
              </w:rPr>
            </w:pPr>
            <w:r w:rsidRPr="00DC33CE">
              <w:rPr>
                <w:sz w:val="18"/>
                <w:szCs w:val="18"/>
              </w:rPr>
              <w:t>Low risk</w:t>
            </w:r>
          </w:p>
        </w:tc>
        <w:tc>
          <w:tcPr>
            <w:tcW w:w="0" w:type="auto"/>
            <w:vAlign w:val="center"/>
          </w:tcPr>
          <w:p w14:paraId="16FAB858"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B7ED61F" w14:textId="77777777" w:rsidR="001E0F1B" w:rsidRPr="00DC33CE" w:rsidRDefault="001E0F1B" w:rsidP="00AA51D2">
            <w:pPr>
              <w:jc w:val="center"/>
              <w:rPr>
                <w:sz w:val="18"/>
                <w:szCs w:val="18"/>
              </w:rPr>
            </w:pPr>
            <w:r w:rsidRPr="00DC33CE">
              <w:rPr>
                <w:sz w:val="18"/>
                <w:szCs w:val="18"/>
              </w:rPr>
              <w:t>Moderate risk</w:t>
            </w:r>
          </w:p>
        </w:tc>
        <w:tc>
          <w:tcPr>
            <w:tcW w:w="0" w:type="auto"/>
            <w:vAlign w:val="center"/>
          </w:tcPr>
          <w:p w14:paraId="3BE9280C" w14:textId="77777777" w:rsidR="001E0F1B" w:rsidRPr="00DC33CE" w:rsidRDefault="001E0F1B" w:rsidP="00AA51D2">
            <w:pPr>
              <w:jc w:val="center"/>
              <w:rPr>
                <w:sz w:val="18"/>
                <w:szCs w:val="18"/>
              </w:rPr>
            </w:pPr>
            <w:r w:rsidRPr="00DC33CE">
              <w:rPr>
                <w:sz w:val="18"/>
                <w:szCs w:val="18"/>
              </w:rPr>
              <w:t>Moderate risk</w:t>
            </w:r>
          </w:p>
        </w:tc>
      </w:tr>
      <w:tr w:rsidR="001E0F1B" w:rsidRPr="00DC33CE" w14:paraId="1AB84E7B" w14:textId="77777777" w:rsidTr="00AA51D2">
        <w:trPr>
          <w:trHeight w:val="644"/>
          <w:jc w:val="center"/>
        </w:trPr>
        <w:tc>
          <w:tcPr>
            <w:tcW w:w="0" w:type="auto"/>
            <w:vAlign w:val="center"/>
          </w:tcPr>
          <w:p w14:paraId="1F2D7D04" w14:textId="77777777" w:rsidR="001E0F1B" w:rsidRPr="00DC33CE" w:rsidRDefault="001E0F1B" w:rsidP="00AA51D2">
            <w:pPr>
              <w:jc w:val="center"/>
              <w:rPr>
                <w:rFonts w:eastAsia="Calibri"/>
                <w:i/>
                <w:iCs/>
                <w:sz w:val="18"/>
                <w:szCs w:val="18"/>
                <w:lang w:val="de-DE"/>
              </w:rPr>
            </w:pPr>
            <w:r w:rsidRPr="00DC33CE">
              <w:rPr>
                <w:rFonts w:eastAsia="Calibri"/>
                <w:sz w:val="18"/>
                <w:szCs w:val="18"/>
                <w:lang w:val="de-DE"/>
              </w:rPr>
              <w:t xml:space="preserve">Britt N. S. </w:t>
            </w:r>
            <w:r w:rsidRPr="00DC33CE">
              <w:rPr>
                <w:rFonts w:eastAsia="Calibri"/>
                <w:i/>
                <w:iCs/>
                <w:sz w:val="18"/>
                <w:szCs w:val="18"/>
                <w:lang w:val="de-DE"/>
              </w:rPr>
              <w:t>et al</w:t>
            </w:r>
          </w:p>
          <w:p w14:paraId="2F21B422" w14:textId="77777777" w:rsidR="001E0F1B" w:rsidRPr="00DC33CE" w:rsidRDefault="001E0F1B" w:rsidP="00AA51D2">
            <w:pPr>
              <w:jc w:val="center"/>
              <w:rPr>
                <w:sz w:val="18"/>
                <w:szCs w:val="18"/>
              </w:rPr>
            </w:pPr>
            <w:r w:rsidRPr="00DC33CE">
              <w:rPr>
                <w:rFonts w:eastAsia="Calibri"/>
                <w:sz w:val="18"/>
                <w:szCs w:val="18"/>
                <w:lang w:val="de-DE"/>
              </w:rPr>
              <w:t>(2015)</w:t>
            </w:r>
          </w:p>
        </w:tc>
        <w:tc>
          <w:tcPr>
            <w:tcW w:w="0" w:type="auto"/>
            <w:vAlign w:val="center"/>
          </w:tcPr>
          <w:p w14:paraId="3B08403D"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46952D5D"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63FA3461"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10B86726"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0D59E497"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4CA328C8"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A6055C7"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4CC773F5" w14:textId="77777777" w:rsidR="001E0F1B" w:rsidRPr="00DC33CE" w:rsidRDefault="001E0F1B" w:rsidP="00AA51D2">
            <w:pPr>
              <w:jc w:val="center"/>
              <w:rPr>
                <w:sz w:val="18"/>
                <w:szCs w:val="18"/>
              </w:rPr>
            </w:pPr>
            <w:r w:rsidRPr="00DC33CE">
              <w:rPr>
                <w:sz w:val="18"/>
                <w:szCs w:val="18"/>
              </w:rPr>
              <w:t>Moderate risk</w:t>
            </w:r>
          </w:p>
        </w:tc>
      </w:tr>
      <w:tr w:rsidR="001E0F1B" w:rsidRPr="00DC33CE" w14:paraId="512718E9" w14:textId="77777777" w:rsidTr="00AA51D2">
        <w:trPr>
          <w:trHeight w:val="644"/>
          <w:jc w:val="center"/>
        </w:trPr>
        <w:tc>
          <w:tcPr>
            <w:tcW w:w="0" w:type="auto"/>
            <w:vAlign w:val="center"/>
          </w:tcPr>
          <w:p w14:paraId="2BA77B4F" w14:textId="77777777" w:rsidR="001E0F1B" w:rsidRPr="00DC33CE" w:rsidRDefault="001E0F1B" w:rsidP="00AA51D2">
            <w:pPr>
              <w:jc w:val="center"/>
              <w:rPr>
                <w:i/>
                <w:iCs/>
                <w:sz w:val="18"/>
                <w:szCs w:val="18"/>
                <w:lang w:val="en-US"/>
              </w:rPr>
            </w:pPr>
            <w:r w:rsidRPr="00DC33CE">
              <w:rPr>
                <w:sz w:val="18"/>
                <w:szCs w:val="18"/>
                <w:lang w:val="en-US"/>
              </w:rPr>
              <w:t xml:space="preserve">Chuang Y. </w:t>
            </w:r>
            <w:r w:rsidRPr="00DC33CE">
              <w:rPr>
                <w:i/>
                <w:iCs/>
                <w:sz w:val="18"/>
                <w:szCs w:val="18"/>
                <w:lang w:val="en-US"/>
              </w:rPr>
              <w:t>et al</w:t>
            </w:r>
          </w:p>
          <w:p w14:paraId="53324922" w14:textId="77777777" w:rsidR="001E0F1B" w:rsidRPr="00DC33CE" w:rsidRDefault="001E0F1B" w:rsidP="00AA51D2">
            <w:pPr>
              <w:jc w:val="center"/>
              <w:rPr>
                <w:sz w:val="18"/>
                <w:szCs w:val="18"/>
              </w:rPr>
            </w:pPr>
            <w:r w:rsidRPr="00DC33CE">
              <w:rPr>
                <w:sz w:val="18"/>
                <w:szCs w:val="18"/>
                <w:lang w:val="en-US"/>
              </w:rPr>
              <w:t>(2016)</w:t>
            </w:r>
          </w:p>
        </w:tc>
        <w:tc>
          <w:tcPr>
            <w:tcW w:w="0" w:type="auto"/>
            <w:vAlign w:val="center"/>
          </w:tcPr>
          <w:p w14:paraId="4B2C8979"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06A2C4EC"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D693CAB"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39494908"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4B839ABC"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12D40E8B"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C3EA1B7"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39CEE4AA" w14:textId="77777777" w:rsidR="001E0F1B" w:rsidRPr="00DC33CE" w:rsidRDefault="001E0F1B" w:rsidP="00AA51D2">
            <w:pPr>
              <w:jc w:val="center"/>
              <w:rPr>
                <w:sz w:val="18"/>
                <w:szCs w:val="18"/>
              </w:rPr>
            </w:pPr>
            <w:r w:rsidRPr="00DC33CE">
              <w:rPr>
                <w:sz w:val="18"/>
                <w:szCs w:val="18"/>
              </w:rPr>
              <w:t>Moderate risk</w:t>
            </w:r>
          </w:p>
        </w:tc>
      </w:tr>
      <w:tr w:rsidR="001E0F1B" w:rsidRPr="00DC33CE" w14:paraId="3BDE829E" w14:textId="77777777" w:rsidTr="00AA51D2">
        <w:trPr>
          <w:trHeight w:val="644"/>
          <w:jc w:val="center"/>
        </w:trPr>
        <w:tc>
          <w:tcPr>
            <w:tcW w:w="0" w:type="auto"/>
            <w:vAlign w:val="center"/>
          </w:tcPr>
          <w:p w14:paraId="63F3839A" w14:textId="77777777" w:rsidR="001E0F1B" w:rsidRPr="00DC33CE" w:rsidRDefault="001E0F1B" w:rsidP="00AA51D2">
            <w:pPr>
              <w:jc w:val="center"/>
              <w:rPr>
                <w:sz w:val="18"/>
                <w:szCs w:val="18"/>
                <w:lang w:val="de-DE"/>
              </w:rPr>
            </w:pPr>
            <w:r w:rsidRPr="00DC33CE">
              <w:rPr>
                <w:sz w:val="18"/>
                <w:szCs w:val="18"/>
                <w:lang w:val="de-DE"/>
              </w:rPr>
              <w:t>Britt N.S.</w:t>
            </w:r>
          </w:p>
          <w:p w14:paraId="100C8670" w14:textId="77777777" w:rsidR="001E0F1B" w:rsidRPr="00DC33CE" w:rsidRDefault="001E0F1B" w:rsidP="00AA51D2">
            <w:pPr>
              <w:jc w:val="center"/>
              <w:rPr>
                <w:i/>
                <w:iCs/>
                <w:sz w:val="18"/>
                <w:szCs w:val="18"/>
                <w:lang w:val="de-DE"/>
              </w:rPr>
            </w:pPr>
            <w:r w:rsidRPr="00DC33CE">
              <w:rPr>
                <w:i/>
                <w:iCs/>
                <w:sz w:val="18"/>
                <w:szCs w:val="18"/>
                <w:lang w:val="de-DE"/>
              </w:rPr>
              <w:t>et al</w:t>
            </w:r>
          </w:p>
          <w:p w14:paraId="4B8E21D9" w14:textId="77777777" w:rsidR="001E0F1B" w:rsidRPr="00DC33CE" w:rsidRDefault="001E0F1B" w:rsidP="00AA51D2">
            <w:pPr>
              <w:jc w:val="center"/>
              <w:rPr>
                <w:sz w:val="18"/>
                <w:szCs w:val="18"/>
              </w:rPr>
            </w:pPr>
            <w:r w:rsidRPr="00DC33CE">
              <w:rPr>
                <w:sz w:val="18"/>
                <w:szCs w:val="18"/>
                <w:lang w:val="de-DE"/>
              </w:rPr>
              <w:t>(2017)</w:t>
            </w:r>
          </w:p>
        </w:tc>
        <w:tc>
          <w:tcPr>
            <w:tcW w:w="0" w:type="auto"/>
            <w:vAlign w:val="center"/>
          </w:tcPr>
          <w:p w14:paraId="26B54D49"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1462BFFD"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B6C17EA"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CDE3F07"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524D346"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10C9F548"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ED37E42"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029F7F2D" w14:textId="77777777" w:rsidR="001E0F1B" w:rsidRPr="00DC33CE" w:rsidRDefault="001E0F1B" w:rsidP="00AA51D2">
            <w:pPr>
              <w:jc w:val="center"/>
              <w:rPr>
                <w:sz w:val="18"/>
                <w:szCs w:val="18"/>
              </w:rPr>
            </w:pPr>
            <w:r w:rsidRPr="00DC33CE">
              <w:rPr>
                <w:sz w:val="18"/>
                <w:szCs w:val="18"/>
              </w:rPr>
              <w:t>Moderate risk</w:t>
            </w:r>
          </w:p>
        </w:tc>
      </w:tr>
      <w:tr w:rsidR="001E0F1B" w:rsidRPr="00DC33CE" w14:paraId="6624B5D2" w14:textId="77777777" w:rsidTr="00AA51D2">
        <w:trPr>
          <w:trHeight w:val="644"/>
          <w:jc w:val="center"/>
        </w:trPr>
        <w:tc>
          <w:tcPr>
            <w:tcW w:w="0" w:type="auto"/>
            <w:vAlign w:val="center"/>
          </w:tcPr>
          <w:p w14:paraId="6245B3C0" w14:textId="77777777" w:rsidR="001E0F1B" w:rsidRPr="00DC33CE" w:rsidRDefault="001E0F1B" w:rsidP="00AA51D2">
            <w:pPr>
              <w:jc w:val="center"/>
              <w:rPr>
                <w:sz w:val="18"/>
                <w:szCs w:val="18"/>
              </w:rPr>
            </w:pPr>
            <w:r w:rsidRPr="00DC33CE">
              <w:rPr>
                <w:sz w:val="18"/>
                <w:szCs w:val="18"/>
                <w:lang w:val="de-DE"/>
              </w:rPr>
              <w:t xml:space="preserve">Suleyman G. </w:t>
            </w:r>
            <w:r w:rsidRPr="00DC33CE">
              <w:rPr>
                <w:i/>
                <w:iCs/>
                <w:sz w:val="18"/>
                <w:szCs w:val="18"/>
                <w:lang w:val="de-DE"/>
              </w:rPr>
              <w:t>et al</w:t>
            </w:r>
            <w:r w:rsidRPr="00DC33CE">
              <w:rPr>
                <w:sz w:val="18"/>
                <w:szCs w:val="18"/>
                <w:lang w:val="de-DE"/>
              </w:rPr>
              <w:t xml:space="preserve"> (2017)</w:t>
            </w:r>
          </w:p>
        </w:tc>
        <w:tc>
          <w:tcPr>
            <w:tcW w:w="0" w:type="auto"/>
            <w:vAlign w:val="center"/>
          </w:tcPr>
          <w:p w14:paraId="270DC11E"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55B652BF"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4E9141BA"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35935C54"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7149E199"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3A6097AE"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6A7B3AC"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0AA48F93" w14:textId="77777777" w:rsidR="001E0F1B" w:rsidRPr="00DC33CE" w:rsidRDefault="001E0F1B" w:rsidP="00AA51D2">
            <w:pPr>
              <w:jc w:val="center"/>
              <w:rPr>
                <w:sz w:val="18"/>
                <w:szCs w:val="18"/>
              </w:rPr>
            </w:pPr>
            <w:r w:rsidRPr="00DC33CE">
              <w:rPr>
                <w:sz w:val="18"/>
                <w:szCs w:val="18"/>
              </w:rPr>
              <w:t>Moderate risk</w:t>
            </w:r>
          </w:p>
        </w:tc>
      </w:tr>
      <w:tr w:rsidR="001E0F1B" w:rsidRPr="00DC33CE" w14:paraId="2BB5E5C9" w14:textId="77777777" w:rsidTr="00AA51D2">
        <w:trPr>
          <w:trHeight w:val="644"/>
          <w:jc w:val="center"/>
        </w:trPr>
        <w:tc>
          <w:tcPr>
            <w:tcW w:w="0" w:type="auto"/>
            <w:vAlign w:val="center"/>
          </w:tcPr>
          <w:p w14:paraId="296014B4" w14:textId="77777777" w:rsidR="001E0F1B" w:rsidRPr="00DC33CE" w:rsidRDefault="001E0F1B" w:rsidP="00AA51D2">
            <w:pPr>
              <w:jc w:val="center"/>
              <w:rPr>
                <w:sz w:val="18"/>
                <w:szCs w:val="18"/>
                <w:lang w:val="de-DE"/>
              </w:rPr>
            </w:pPr>
            <w:r w:rsidRPr="00DC33CE">
              <w:rPr>
                <w:sz w:val="18"/>
                <w:szCs w:val="18"/>
                <w:lang w:val="de-DE"/>
              </w:rPr>
              <w:t>Chuang Y.</w:t>
            </w:r>
          </w:p>
          <w:p w14:paraId="660707F1" w14:textId="77777777" w:rsidR="001E0F1B" w:rsidRPr="00DC33CE" w:rsidRDefault="001E0F1B" w:rsidP="00AA51D2">
            <w:pPr>
              <w:jc w:val="center"/>
              <w:rPr>
                <w:sz w:val="18"/>
                <w:szCs w:val="18"/>
                <w:lang w:val="de-DE"/>
              </w:rPr>
            </w:pPr>
            <w:r w:rsidRPr="00DC33CE">
              <w:rPr>
                <w:i/>
                <w:iCs/>
                <w:sz w:val="18"/>
                <w:szCs w:val="18"/>
                <w:lang w:val="de-DE"/>
              </w:rPr>
              <w:t>et al</w:t>
            </w:r>
          </w:p>
          <w:p w14:paraId="36C89E7D" w14:textId="77777777" w:rsidR="001E0F1B" w:rsidRPr="00DC33CE" w:rsidRDefault="001E0F1B" w:rsidP="00AA51D2">
            <w:pPr>
              <w:jc w:val="center"/>
              <w:rPr>
                <w:sz w:val="18"/>
                <w:szCs w:val="18"/>
              </w:rPr>
            </w:pPr>
            <w:r w:rsidRPr="00DC33CE">
              <w:rPr>
                <w:sz w:val="18"/>
                <w:szCs w:val="18"/>
                <w:lang w:val="de-DE"/>
              </w:rPr>
              <w:t>(2018)</w:t>
            </w:r>
          </w:p>
        </w:tc>
        <w:tc>
          <w:tcPr>
            <w:tcW w:w="0" w:type="auto"/>
            <w:vAlign w:val="center"/>
          </w:tcPr>
          <w:p w14:paraId="4974F781" w14:textId="77777777" w:rsidR="001E0F1B" w:rsidRPr="00DC33CE" w:rsidRDefault="001E0F1B" w:rsidP="00AA51D2">
            <w:pPr>
              <w:jc w:val="center"/>
              <w:rPr>
                <w:sz w:val="18"/>
                <w:szCs w:val="18"/>
              </w:rPr>
            </w:pPr>
            <w:r w:rsidRPr="00DC33CE">
              <w:rPr>
                <w:sz w:val="18"/>
                <w:szCs w:val="18"/>
                <w:lang w:val="de-DE"/>
              </w:rPr>
              <w:t xml:space="preserve">Serious </w:t>
            </w:r>
            <w:proofErr w:type="spellStart"/>
            <w:r w:rsidRPr="00DC33CE">
              <w:rPr>
                <w:sz w:val="18"/>
                <w:szCs w:val="18"/>
                <w:lang w:val="de-DE"/>
              </w:rPr>
              <w:t>risk</w:t>
            </w:r>
            <w:proofErr w:type="spellEnd"/>
          </w:p>
        </w:tc>
        <w:tc>
          <w:tcPr>
            <w:tcW w:w="0" w:type="auto"/>
            <w:vAlign w:val="center"/>
          </w:tcPr>
          <w:p w14:paraId="2747DE64"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0B2B6398"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1A9879B7"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6821D7F"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28B27DEF"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29609C5"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3101C380" w14:textId="77777777" w:rsidR="001E0F1B" w:rsidRPr="00DC33CE" w:rsidRDefault="001E0F1B" w:rsidP="00AA51D2">
            <w:pPr>
              <w:jc w:val="center"/>
              <w:rPr>
                <w:sz w:val="18"/>
                <w:szCs w:val="18"/>
              </w:rPr>
            </w:pPr>
            <w:r w:rsidRPr="00DC33CE">
              <w:rPr>
                <w:sz w:val="18"/>
                <w:szCs w:val="18"/>
                <w:lang w:val="de-DE"/>
              </w:rPr>
              <w:t xml:space="preserve">Serious </w:t>
            </w:r>
            <w:proofErr w:type="spellStart"/>
            <w:r w:rsidRPr="00DC33CE">
              <w:rPr>
                <w:sz w:val="18"/>
                <w:szCs w:val="18"/>
                <w:lang w:val="de-DE"/>
              </w:rPr>
              <w:t>risk</w:t>
            </w:r>
            <w:proofErr w:type="spellEnd"/>
          </w:p>
        </w:tc>
      </w:tr>
      <w:tr w:rsidR="001E0F1B" w:rsidRPr="00DC33CE" w14:paraId="36D3E57E" w14:textId="77777777" w:rsidTr="00AA51D2">
        <w:trPr>
          <w:trHeight w:val="644"/>
          <w:jc w:val="center"/>
        </w:trPr>
        <w:tc>
          <w:tcPr>
            <w:tcW w:w="0" w:type="auto"/>
            <w:vAlign w:val="center"/>
          </w:tcPr>
          <w:p w14:paraId="7C3D1327" w14:textId="77777777" w:rsidR="001E0F1B" w:rsidRPr="00DC33CE" w:rsidRDefault="001E0F1B" w:rsidP="00AA51D2">
            <w:pPr>
              <w:jc w:val="center"/>
              <w:rPr>
                <w:sz w:val="18"/>
                <w:szCs w:val="18"/>
              </w:rPr>
            </w:pPr>
            <w:proofErr w:type="spellStart"/>
            <w:r w:rsidRPr="00DC33CE">
              <w:rPr>
                <w:sz w:val="18"/>
                <w:szCs w:val="18"/>
              </w:rPr>
              <w:t>Ye</w:t>
            </w:r>
            <w:proofErr w:type="spellEnd"/>
            <w:r w:rsidRPr="00DC33CE">
              <w:rPr>
                <w:sz w:val="18"/>
                <w:szCs w:val="18"/>
              </w:rPr>
              <w:t xml:space="preserve"> J. </w:t>
            </w:r>
            <w:r w:rsidRPr="00DC33CE">
              <w:rPr>
                <w:i/>
                <w:iCs/>
                <w:sz w:val="18"/>
                <w:szCs w:val="18"/>
              </w:rPr>
              <w:t xml:space="preserve">et al </w:t>
            </w:r>
            <w:r w:rsidRPr="00DC33CE">
              <w:rPr>
                <w:sz w:val="18"/>
                <w:szCs w:val="18"/>
              </w:rPr>
              <w:t>(2018)</w:t>
            </w:r>
          </w:p>
        </w:tc>
        <w:tc>
          <w:tcPr>
            <w:tcW w:w="0" w:type="auto"/>
            <w:vAlign w:val="center"/>
          </w:tcPr>
          <w:p w14:paraId="4E14B5C7"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0B8E81D1"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7516DF54"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09828065"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E84654D"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82F272B"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73FE818C"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05BCCB67" w14:textId="77777777" w:rsidR="001E0F1B" w:rsidRPr="00DC33CE" w:rsidRDefault="001E0F1B" w:rsidP="00AA51D2">
            <w:pPr>
              <w:jc w:val="center"/>
              <w:rPr>
                <w:sz w:val="18"/>
                <w:szCs w:val="18"/>
              </w:rPr>
            </w:pPr>
            <w:r w:rsidRPr="00DC33CE">
              <w:rPr>
                <w:sz w:val="18"/>
                <w:szCs w:val="18"/>
              </w:rPr>
              <w:t>Moderate risk</w:t>
            </w:r>
          </w:p>
        </w:tc>
      </w:tr>
      <w:tr w:rsidR="001E0F1B" w:rsidRPr="00DC33CE" w14:paraId="0AEC4A95" w14:textId="77777777" w:rsidTr="00AA51D2">
        <w:trPr>
          <w:trHeight w:val="644"/>
          <w:jc w:val="center"/>
        </w:trPr>
        <w:tc>
          <w:tcPr>
            <w:tcW w:w="0" w:type="auto"/>
            <w:vAlign w:val="center"/>
          </w:tcPr>
          <w:p w14:paraId="7A17D9A7" w14:textId="77777777" w:rsidR="001E0F1B" w:rsidRPr="00DC33CE" w:rsidRDefault="001E0F1B" w:rsidP="00AA51D2">
            <w:pPr>
              <w:jc w:val="center"/>
              <w:rPr>
                <w:sz w:val="18"/>
                <w:szCs w:val="18"/>
              </w:rPr>
            </w:pPr>
            <w:r w:rsidRPr="00DC33CE">
              <w:rPr>
                <w:sz w:val="18"/>
                <w:szCs w:val="18"/>
              </w:rPr>
              <w:t xml:space="preserve">Narayanan N. </w:t>
            </w:r>
            <w:r w:rsidRPr="00DC33CE">
              <w:rPr>
                <w:i/>
                <w:iCs/>
                <w:sz w:val="18"/>
                <w:szCs w:val="18"/>
              </w:rPr>
              <w:t xml:space="preserve">et al </w:t>
            </w:r>
            <w:r w:rsidRPr="00DC33CE">
              <w:rPr>
                <w:sz w:val="18"/>
                <w:szCs w:val="18"/>
              </w:rPr>
              <w:t>(2019)</w:t>
            </w:r>
          </w:p>
        </w:tc>
        <w:tc>
          <w:tcPr>
            <w:tcW w:w="0" w:type="auto"/>
            <w:vAlign w:val="center"/>
          </w:tcPr>
          <w:p w14:paraId="0005D56E" w14:textId="77777777" w:rsidR="001E0F1B" w:rsidRPr="00DC33CE" w:rsidRDefault="001E0F1B" w:rsidP="00AA51D2">
            <w:pPr>
              <w:jc w:val="center"/>
              <w:rPr>
                <w:sz w:val="18"/>
                <w:szCs w:val="18"/>
              </w:rPr>
            </w:pPr>
            <w:r w:rsidRPr="00DC33CE">
              <w:rPr>
                <w:sz w:val="18"/>
                <w:szCs w:val="18"/>
                <w:lang w:val="de-DE"/>
              </w:rPr>
              <w:t xml:space="preserve">Moderate </w:t>
            </w:r>
            <w:proofErr w:type="spellStart"/>
            <w:r w:rsidRPr="00DC33CE">
              <w:rPr>
                <w:sz w:val="18"/>
                <w:szCs w:val="18"/>
                <w:lang w:val="de-DE"/>
              </w:rPr>
              <w:t>risk</w:t>
            </w:r>
            <w:proofErr w:type="spellEnd"/>
          </w:p>
        </w:tc>
        <w:tc>
          <w:tcPr>
            <w:tcW w:w="0" w:type="auto"/>
            <w:vAlign w:val="center"/>
          </w:tcPr>
          <w:p w14:paraId="7AD996E1"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087E1F3E"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9814558"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1F4E272C"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14419389"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32C5AC5D" w14:textId="77777777" w:rsidR="001E0F1B" w:rsidRPr="00DC33CE" w:rsidRDefault="001E0F1B" w:rsidP="00AA51D2">
            <w:pPr>
              <w:jc w:val="center"/>
              <w:rPr>
                <w:sz w:val="18"/>
                <w:szCs w:val="18"/>
              </w:rPr>
            </w:pPr>
            <w:r w:rsidRPr="00DC33CE">
              <w:rPr>
                <w:sz w:val="18"/>
                <w:szCs w:val="18"/>
                <w:lang w:val="de-DE"/>
              </w:rPr>
              <w:t xml:space="preserve">Low </w:t>
            </w:r>
            <w:proofErr w:type="spellStart"/>
            <w:r w:rsidRPr="00DC33CE">
              <w:rPr>
                <w:sz w:val="18"/>
                <w:szCs w:val="18"/>
                <w:lang w:val="de-DE"/>
              </w:rPr>
              <w:t>risk</w:t>
            </w:r>
            <w:proofErr w:type="spellEnd"/>
          </w:p>
        </w:tc>
        <w:tc>
          <w:tcPr>
            <w:tcW w:w="0" w:type="auto"/>
            <w:vAlign w:val="center"/>
          </w:tcPr>
          <w:p w14:paraId="64722B19" w14:textId="77777777" w:rsidR="001E0F1B" w:rsidRPr="00DC33CE" w:rsidRDefault="001E0F1B" w:rsidP="00AA51D2">
            <w:pPr>
              <w:jc w:val="center"/>
              <w:rPr>
                <w:sz w:val="18"/>
                <w:szCs w:val="18"/>
              </w:rPr>
            </w:pPr>
            <w:r w:rsidRPr="00DC33CE">
              <w:rPr>
                <w:sz w:val="18"/>
                <w:szCs w:val="18"/>
              </w:rPr>
              <w:t>Moderate risk</w:t>
            </w:r>
          </w:p>
        </w:tc>
      </w:tr>
    </w:tbl>
    <w:p w14:paraId="6BC47E75" w14:textId="77777777" w:rsidR="0028778F" w:rsidRDefault="0028778F" w:rsidP="00471AE3">
      <w:pPr>
        <w:spacing w:after="160" w:line="259" w:lineRule="auto"/>
        <w:rPr>
          <w:b/>
        </w:rPr>
      </w:pPr>
    </w:p>
    <w:p w14:paraId="029A1E18" w14:textId="77777777" w:rsidR="0028778F" w:rsidRDefault="0028778F" w:rsidP="00471AE3">
      <w:pPr>
        <w:spacing w:after="160" w:line="259" w:lineRule="auto"/>
        <w:rPr>
          <w:b/>
        </w:rPr>
      </w:pPr>
    </w:p>
    <w:p w14:paraId="490865AF" w14:textId="088A1580" w:rsidR="00E53D80" w:rsidRDefault="001E0F1B" w:rsidP="00471AE3">
      <w:pPr>
        <w:spacing w:after="160" w:line="259" w:lineRule="auto"/>
        <w:rPr>
          <w:b/>
        </w:rPr>
      </w:pPr>
      <w:r>
        <w:rPr>
          <w:b/>
        </w:rPr>
        <w:br w:type="page"/>
      </w:r>
    </w:p>
    <w:p w14:paraId="6CC6B992" w14:textId="442A6E1E" w:rsidR="007853D8" w:rsidRDefault="008C0B80">
      <w:pPr>
        <w:spacing w:after="160" w:line="259" w:lineRule="auto"/>
        <w:rPr>
          <w:b/>
        </w:rPr>
      </w:pPr>
      <w:proofErr w:type="spellStart"/>
      <w:r>
        <w:rPr>
          <w:b/>
        </w:rPr>
        <w:lastRenderedPageBreak/>
        <w:t>Supplementary</w:t>
      </w:r>
      <w:proofErr w:type="spellEnd"/>
      <w:r>
        <w:rPr>
          <w:b/>
        </w:rPr>
        <w:t xml:space="preserve"> </w:t>
      </w:r>
      <w:r w:rsidR="00F25082">
        <w:rPr>
          <w:b/>
        </w:rPr>
        <w:t xml:space="preserve">Figure </w:t>
      </w:r>
      <w:r>
        <w:rPr>
          <w:b/>
        </w:rPr>
        <w:t>1</w:t>
      </w:r>
      <w:r w:rsidR="00F25082">
        <w:rPr>
          <w:b/>
        </w:rPr>
        <w:t xml:space="preserve">. </w:t>
      </w:r>
      <w:r w:rsidR="00B26DC0" w:rsidRPr="00B26DC0">
        <w:rPr>
          <w:bCs/>
        </w:rPr>
        <w:t xml:space="preserve">PRISMA flow </w:t>
      </w:r>
      <w:proofErr w:type="spellStart"/>
      <w:r w:rsidR="00B26DC0" w:rsidRPr="00B26DC0">
        <w:rPr>
          <w:bCs/>
        </w:rPr>
        <w:t>diagram</w:t>
      </w:r>
      <w:proofErr w:type="spellEnd"/>
      <w:r w:rsidR="00B26DC0">
        <w:rPr>
          <w:bCs/>
        </w:rPr>
        <w:t xml:space="preserve"> for PECO 1.</w:t>
      </w:r>
    </w:p>
    <w:p w14:paraId="454C0DBE" w14:textId="77777777" w:rsidR="007853D8" w:rsidRDefault="007853D8">
      <w:pPr>
        <w:spacing w:after="160" w:line="259" w:lineRule="auto"/>
        <w:rPr>
          <w:b/>
        </w:rPr>
      </w:pPr>
    </w:p>
    <w:p w14:paraId="11489408" w14:textId="073BFED4" w:rsidR="00F25082" w:rsidRDefault="007853D8">
      <w:pPr>
        <w:spacing w:after="160" w:line="259" w:lineRule="auto"/>
        <w:rPr>
          <w:b/>
        </w:rPr>
      </w:pPr>
      <w:r>
        <w:rPr>
          <w:b/>
          <w:noProof/>
        </w:rPr>
        <w:drawing>
          <wp:anchor distT="0" distB="0" distL="114300" distR="114300" simplePos="0" relativeHeight="251659264" behindDoc="0" locked="0" layoutInCell="1" allowOverlap="1" wp14:anchorId="04E9DF78" wp14:editId="64E02D70">
            <wp:simplePos x="0" y="0"/>
            <wp:positionH relativeFrom="column">
              <wp:posOffset>0</wp:posOffset>
            </wp:positionH>
            <wp:positionV relativeFrom="paragraph">
              <wp:posOffset>0</wp:posOffset>
            </wp:positionV>
            <wp:extent cx="5212080" cy="2770505"/>
            <wp:effectExtent l="0" t="0" r="7620" b="0"/>
            <wp:wrapTopAndBottom/>
            <wp:docPr id="2060018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2080" cy="2770505"/>
                    </a:xfrm>
                    <a:prstGeom prst="rect">
                      <a:avLst/>
                    </a:prstGeom>
                    <a:noFill/>
                  </pic:spPr>
                </pic:pic>
              </a:graphicData>
            </a:graphic>
          </wp:anchor>
        </w:drawing>
      </w:r>
      <w:r w:rsidR="00F25082">
        <w:rPr>
          <w:b/>
        </w:rPr>
        <w:br w:type="page"/>
      </w:r>
    </w:p>
    <w:p w14:paraId="279043F9" w14:textId="6744F2EB" w:rsidR="008C0B80" w:rsidRDefault="008C0B80">
      <w:pPr>
        <w:spacing w:after="160" w:line="259" w:lineRule="auto"/>
        <w:rPr>
          <w:bCs/>
        </w:rPr>
      </w:pPr>
      <w:proofErr w:type="spellStart"/>
      <w:r>
        <w:rPr>
          <w:b/>
        </w:rPr>
        <w:lastRenderedPageBreak/>
        <w:t>Supplementary</w:t>
      </w:r>
      <w:proofErr w:type="spellEnd"/>
      <w:r>
        <w:rPr>
          <w:b/>
        </w:rPr>
        <w:t xml:space="preserve"> Figure 2.</w:t>
      </w:r>
      <w:r w:rsidR="00B26DC0" w:rsidRPr="00B26DC0">
        <w:rPr>
          <w:bCs/>
        </w:rPr>
        <w:t xml:space="preserve"> PRISMA flow </w:t>
      </w:r>
      <w:proofErr w:type="spellStart"/>
      <w:r w:rsidR="00B26DC0" w:rsidRPr="00B26DC0">
        <w:rPr>
          <w:bCs/>
        </w:rPr>
        <w:t>diagram</w:t>
      </w:r>
      <w:proofErr w:type="spellEnd"/>
      <w:r w:rsidR="00B26DC0">
        <w:rPr>
          <w:bCs/>
        </w:rPr>
        <w:t xml:space="preserve"> for PECO 2.</w:t>
      </w:r>
    </w:p>
    <w:p w14:paraId="2B10536F" w14:textId="77777777" w:rsidR="00B26DC0" w:rsidRDefault="00B26DC0">
      <w:pPr>
        <w:spacing w:after="160" w:line="259" w:lineRule="auto"/>
        <w:rPr>
          <w:b/>
        </w:rPr>
      </w:pPr>
    </w:p>
    <w:p w14:paraId="7ADD30F5" w14:textId="4CF8DFB6" w:rsidR="008C0B80" w:rsidRDefault="008C0B80">
      <w:pPr>
        <w:spacing w:after="160" w:line="259" w:lineRule="auto"/>
        <w:rPr>
          <w:b/>
        </w:rPr>
      </w:pPr>
      <w:r>
        <w:rPr>
          <w:b/>
          <w:noProof/>
        </w:rPr>
        <w:drawing>
          <wp:anchor distT="0" distB="0" distL="114300" distR="114300" simplePos="0" relativeHeight="251660288" behindDoc="0" locked="0" layoutInCell="1" allowOverlap="1" wp14:anchorId="3746A6A7" wp14:editId="14B4C76B">
            <wp:simplePos x="0" y="0"/>
            <wp:positionH relativeFrom="column">
              <wp:posOffset>346</wp:posOffset>
            </wp:positionH>
            <wp:positionV relativeFrom="paragraph">
              <wp:posOffset>462</wp:posOffset>
            </wp:positionV>
            <wp:extent cx="6404139" cy="3567033"/>
            <wp:effectExtent l="0" t="0" r="0" b="0"/>
            <wp:wrapTopAndBottom/>
            <wp:docPr id="125652364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4139" cy="3567033"/>
                    </a:xfrm>
                    <a:prstGeom prst="rect">
                      <a:avLst/>
                    </a:prstGeom>
                    <a:noFill/>
                  </pic:spPr>
                </pic:pic>
              </a:graphicData>
            </a:graphic>
          </wp:anchor>
        </w:drawing>
      </w:r>
    </w:p>
    <w:p w14:paraId="5617D3B1" w14:textId="77777777" w:rsidR="00740B37" w:rsidRDefault="00740B37">
      <w:pPr>
        <w:spacing w:after="160" w:line="259" w:lineRule="auto"/>
        <w:rPr>
          <w:b/>
        </w:rPr>
      </w:pPr>
    </w:p>
    <w:p w14:paraId="6A5372BE" w14:textId="77777777" w:rsidR="008C0B80" w:rsidRDefault="008C0B80">
      <w:pPr>
        <w:spacing w:after="160" w:line="259" w:lineRule="auto"/>
        <w:rPr>
          <w:b/>
        </w:rPr>
      </w:pPr>
    </w:p>
    <w:p w14:paraId="447D88BE" w14:textId="1EF3CC19" w:rsidR="008C0B80" w:rsidRDefault="008C0B80">
      <w:pPr>
        <w:spacing w:after="160" w:line="259" w:lineRule="auto"/>
        <w:rPr>
          <w:b/>
        </w:rPr>
      </w:pPr>
      <w:r>
        <w:rPr>
          <w:b/>
        </w:rPr>
        <w:br w:type="page"/>
      </w:r>
    </w:p>
    <w:p w14:paraId="09E9A437" w14:textId="7D5725C3" w:rsidR="008C0B80" w:rsidRDefault="008C0B80">
      <w:pPr>
        <w:spacing w:after="160" w:line="259" w:lineRule="auto"/>
        <w:rPr>
          <w:b/>
        </w:rPr>
      </w:pPr>
      <w:proofErr w:type="spellStart"/>
      <w:r>
        <w:rPr>
          <w:b/>
        </w:rPr>
        <w:lastRenderedPageBreak/>
        <w:t>Supplementary</w:t>
      </w:r>
      <w:proofErr w:type="spellEnd"/>
      <w:r>
        <w:rPr>
          <w:b/>
        </w:rPr>
        <w:t xml:space="preserve"> Figure 3. </w:t>
      </w:r>
      <w:r w:rsidR="00B26DC0" w:rsidRPr="00B26DC0">
        <w:rPr>
          <w:bCs/>
        </w:rPr>
        <w:t xml:space="preserve">PRISMA flow </w:t>
      </w:r>
      <w:proofErr w:type="spellStart"/>
      <w:r w:rsidR="00B26DC0" w:rsidRPr="00B26DC0">
        <w:rPr>
          <w:bCs/>
        </w:rPr>
        <w:t>diagram</w:t>
      </w:r>
      <w:proofErr w:type="spellEnd"/>
      <w:r w:rsidR="00B26DC0">
        <w:rPr>
          <w:bCs/>
        </w:rPr>
        <w:t xml:space="preserve"> for PICO 3.</w:t>
      </w:r>
    </w:p>
    <w:p w14:paraId="1BAE9D72" w14:textId="77777777" w:rsidR="00B26DC0" w:rsidRDefault="00B26DC0">
      <w:pPr>
        <w:spacing w:after="160" w:line="259" w:lineRule="auto"/>
        <w:rPr>
          <w:b/>
        </w:rPr>
      </w:pPr>
    </w:p>
    <w:p w14:paraId="5EF8070D" w14:textId="1C6E6044" w:rsidR="008C0B80" w:rsidRDefault="008C0B80">
      <w:pPr>
        <w:spacing w:after="160" w:line="259" w:lineRule="auto"/>
        <w:rPr>
          <w:b/>
        </w:rPr>
      </w:pPr>
      <w:r>
        <w:rPr>
          <w:b/>
          <w:noProof/>
        </w:rPr>
        <w:drawing>
          <wp:anchor distT="0" distB="0" distL="114300" distR="114300" simplePos="0" relativeHeight="251661312" behindDoc="0" locked="0" layoutInCell="1" allowOverlap="1" wp14:anchorId="32621792" wp14:editId="196763DA">
            <wp:simplePos x="0" y="0"/>
            <wp:positionH relativeFrom="column">
              <wp:posOffset>346</wp:posOffset>
            </wp:positionH>
            <wp:positionV relativeFrom="paragraph">
              <wp:posOffset>462</wp:posOffset>
            </wp:positionV>
            <wp:extent cx="7152458" cy="3983838"/>
            <wp:effectExtent l="0" t="0" r="0" b="0"/>
            <wp:wrapTopAndBottom/>
            <wp:docPr id="156672723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52458" cy="3983838"/>
                    </a:xfrm>
                    <a:prstGeom prst="rect">
                      <a:avLst/>
                    </a:prstGeom>
                    <a:noFill/>
                  </pic:spPr>
                </pic:pic>
              </a:graphicData>
            </a:graphic>
          </wp:anchor>
        </w:drawing>
      </w:r>
    </w:p>
    <w:p w14:paraId="0F6A4FBD" w14:textId="77777777" w:rsidR="008C0B80" w:rsidRDefault="008C0B80">
      <w:pPr>
        <w:spacing w:after="160" w:line="259" w:lineRule="auto"/>
        <w:rPr>
          <w:b/>
        </w:rPr>
      </w:pPr>
      <w:r>
        <w:rPr>
          <w:b/>
        </w:rPr>
        <w:br w:type="page"/>
      </w:r>
    </w:p>
    <w:p w14:paraId="5D09EB6E" w14:textId="02A2E438" w:rsidR="008C0B80" w:rsidRDefault="00E128B6">
      <w:pPr>
        <w:spacing w:after="160" w:line="259" w:lineRule="auto"/>
        <w:rPr>
          <w:b/>
        </w:rPr>
      </w:pPr>
      <w:r>
        <w:rPr>
          <w:b/>
          <w:noProof/>
        </w:rPr>
        <w:lastRenderedPageBreak/>
        <w:drawing>
          <wp:anchor distT="0" distB="0" distL="114300" distR="114300" simplePos="0" relativeHeight="251662336" behindDoc="0" locked="0" layoutInCell="1" allowOverlap="1" wp14:anchorId="2876740F" wp14:editId="5ACDF5D6">
            <wp:simplePos x="0" y="0"/>
            <wp:positionH relativeFrom="margin">
              <wp:align>left</wp:align>
            </wp:positionH>
            <wp:positionV relativeFrom="paragraph">
              <wp:posOffset>290830</wp:posOffset>
            </wp:positionV>
            <wp:extent cx="6653530" cy="3705860"/>
            <wp:effectExtent l="0" t="0" r="0" b="8890"/>
            <wp:wrapTopAndBottom/>
            <wp:docPr id="167902189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53530" cy="3705860"/>
                    </a:xfrm>
                    <a:prstGeom prst="rect">
                      <a:avLst/>
                    </a:prstGeom>
                    <a:noFill/>
                  </pic:spPr>
                </pic:pic>
              </a:graphicData>
            </a:graphic>
            <wp14:sizeRelH relativeFrom="margin">
              <wp14:pctWidth>0</wp14:pctWidth>
            </wp14:sizeRelH>
            <wp14:sizeRelV relativeFrom="margin">
              <wp14:pctHeight>0</wp14:pctHeight>
            </wp14:sizeRelV>
          </wp:anchor>
        </w:drawing>
      </w:r>
      <w:proofErr w:type="spellStart"/>
      <w:r w:rsidR="008C0B80">
        <w:rPr>
          <w:b/>
        </w:rPr>
        <w:t>Supplementary</w:t>
      </w:r>
      <w:proofErr w:type="spellEnd"/>
      <w:r w:rsidR="008C0B80">
        <w:rPr>
          <w:b/>
        </w:rPr>
        <w:t xml:space="preserve"> Figure 4.</w:t>
      </w:r>
      <w:r w:rsidR="00B26DC0">
        <w:rPr>
          <w:b/>
        </w:rPr>
        <w:t xml:space="preserve"> </w:t>
      </w:r>
      <w:r w:rsidR="00B26DC0" w:rsidRPr="00B26DC0">
        <w:rPr>
          <w:bCs/>
        </w:rPr>
        <w:t xml:space="preserve">PRISMA flow </w:t>
      </w:r>
      <w:proofErr w:type="spellStart"/>
      <w:r w:rsidR="00B26DC0" w:rsidRPr="00B26DC0">
        <w:rPr>
          <w:bCs/>
        </w:rPr>
        <w:t>diagram</w:t>
      </w:r>
      <w:proofErr w:type="spellEnd"/>
      <w:r w:rsidR="00B26DC0">
        <w:rPr>
          <w:bCs/>
        </w:rPr>
        <w:t xml:space="preserve"> for PICO 4.</w:t>
      </w:r>
    </w:p>
    <w:p w14:paraId="1EBFE3FC" w14:textId="77777777" w:rsidR="00B26DC0" w:rsidRDefault="00B26DC0">
      <w:pPr>
        <w:spacing w:after="160" w:line="259" w:lineRule="auto"/>
        <w:rPr>
          <w:b/>
        </w:rPr>
      </w:pPr>
    </w:p>
    <w:p w14:paraId="28F66F34" w14:textId="77777777" w:rsidR="00B26DC0" w:rsidRDefault="00B26DC0">
      <w:pPr>
        <w:spacing w:after="160" w:line="259" w:lineRule="auto"/>
        <w:rPr>
          <w:b/>
        </w:rPr>
      </w:pPr>
    </w:p>
    <w:p w14:paraId="19B7ACD0" w14:textId="77777777" w:rsidR="00B26DC0" w:rsidRDefault="00B26DC0">
      <w:pPr>
        <w:spacing w:after="160" w:line="259" w:lineRule="auto"/>
        <w:rPr>
          <w:b/>
        </w:rPr>
      </w:pPr>
    </w:p>
    <w:p w14:paraId="692D79F2" w14:textId="22E2F5B9" w:rsidR="008C0B80" w:rsidRDefault="008C0B80">
      <w:pPr>
        <w:spacing w:after="160" w:line="259" w:lineRule="auto"/>
        <w:rPr>
          <w:b/>
        </w:rPr>
      </w:pPr>
    </w:p>
    <w:p w14:paraId="36DF0AB0" w14:textId="77777777" w:rsidR="008C0B80" w:rsidRDefault="008C0B80">
      <w:pPr>
        <w:spacing w:after="160" w:line="259" w:lineRule="auto"/>
        <w:rPr>
          <w:b/>
        </w:rPr>
      </w:pPr>
      <w:r>
        <w:rPr>
          <w:b/>
        </w:rPr>
        <w:br w:type="page"/>
      </w:r>
    </w:p>
    <w:p w14:paraId="4353F540" w14:textId="569C8C15" w:rsidR="00E128B6" w:rsidRDefault="009F233F" w:rsidP="00E128B6">
      <w:pPr>
        <w:spacing w:after="160" w:line="259" w:lineRule="auto"/>
        <w:rPr>
          <w:b/>
        </w:rPr>
      </w:pPr>
      <w:proofErr w:type="spellStart"/>
      <w:r>
        <w:rPr>
          <w:b/>
        </w:rPr>
        <w:lastRenderedPageBreak/>
        <w:t>Supplementary</w:t>
      </w:r>
      <w:proofErr w:type="spellEnd"/>
      <w:r>
        <w:rPr>
          <w:b/>
        </w:rPr>
        <w:t xml:space="preserve"> Figure 5</w:t>
      </w:r>
      <w:r w:rsidR="00E128B6">
        <w:rPr>
          <w:b/>
        </w:rPr>
        <w:t xml:space="preserve">. </w:t>
      </w:r>
      <w:r w:rsidR="00F0408D" w:rsidRPr="00F0408D">
        <w:rPr>
          <w:bCs/>
        </w:rPr>
        <w:t xml:space="preserve">Forest plot </w:t>
      </w:r>
      <w:r w:rsidR="00F0408D">
        <w:rPr>
          <w:bCs/>
        </w:rPr>
        <w:t>for PECO 2</w:t>
      </w:r>
      <w:r w:rsidR="00F0408D" w:rsidRPr="00F0408D">
        <w:rPr>
          <w:bCs/>
        </w:rPr>
        <w:t>.</w:t>
      </w:r>
    </w:p>
    <w:p w14:paraId="06F46B6D" w14:textId="77777777" w:rsidR="00E128B6" w:rsidRDefault="00E128B6" w:rsidP="00E128B6">
      <w:pPr>
        <w:spacing w:after="160" w:line="259" w:lineRule="auto"/>
        <w:rPr>
          <w:b/>
        </w:rPr>
      </w:pPr>
    </w:p>
    <w:p w14:paraId="69C9D989" w14:textId="77777777" w:rsidR="00E128B6" w:rsidRDefault="00E128B6" w:rsidP="00E128B6">
      <w:pPr>
        <w:spacing w:after="160" w:line="259" w:lineRule="auto"/>
        <w:rPr>
          <w:b/>
        </w:rPr>
      </w:pPr>
      <w:r w:rsidRPr="00E53D80">
        <w:rPr>
          <w:b/>
          <w:noProof/>
        </w:rPr>
        <w:drawing>
          <wp:inline distT="0" distB="0" distL="0" distR="0" wp14:anchorId="7FAB4BA9" wp14:editId="4E6EA565">
            <wp:extent cx="6599683" cy="3616037"/>
            <wp:effectExtent l="0" t="0" r="0" b="3810"/>
            <wp:docPr id="210162816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6570" name=""/>
                    <pic:cNvPicPr/>
                  </pic:nvPicPr>
                  <pic:blipFill>
                    <a:blip r:embed="rId13"/>
                    <a:stretch>
                      <a:fillRect/>
                    </a:stretch>
                  </pic:blipFill>
                  <pic:spPr>
                    <a:xfrm>
                      <a:off x="0" y="0"/>
                      <a:ext cx="6617691" cy="3625904"/>
                    </a:xfrm>
                    <a:prstGeom prst="rect">
                      <a:avLst/>
                    </a:prstGeom>
                  </pic:spPr>
                </pic:pic>
              </a:graphicData>
            </a:graphic>
          </wp:inline>
        </w:drawing>
      </w:r>
    </w:p>
    <w:p w14:paraId="5046B328" w14:textId="77777777" w:rsidR="00E128B6" w:rsidRDefault="00E128B6">
      <w:pPr>
        <w:spacing w:after="160" w:line="259" w:lineRule="auto"/>
        <w:rPr>
          <w:b/>
        </w:rPr>
      </w:pPr>
      <w:r>
        <w:rPr>
          <w:b/>
        </w:rPr>
        <w:br w:type="page"/>
      </w:r>
    </w:p>
    <w:p w14:paraId="28CB21D3" w14:textId="31BE89B5" w:rsidR="00E128B6" w:rsidRPr="00F0408D" w:rsidRDefault="009F233F" w:rsidP="00E128B6">
      <w:pPr>
        <w:spacing w:after="160" w:line="259" w:lineRule="auto"/>
        <w:rPr>
          <w:bCs/>
        </w:rPr>
      </w:pPr>
      <w:r w:rsidRPr="009F233F">
        <w:rPr>
          <w:b/>
          <w:bCs/>
          <w:lang w:val="en-US"/>
        </w:rPr>
        <w:lastRenderedPageBreak/>
        <w:t xml:space="preserve">Supplementary </w:t>
      </w:r>
      <w:r w:rsidRPr="007E424D">
        <w:rPr>
          <w:b/>
          <w:bCs/>
          <w:lang w:val="en-US"/>
        </w:rPr>
        <w:t xml:space="preserve">Figure </w:t>
      </w:r>
      <w:r>
        <w:rPr>
          <w:b/>
          <w:bCs/>
          <w:lang w:val="en-US"/>
        </w:rPr>
        <w:t>6</w:t>
      </w:r>
      <w:r w:rsidR="00E128B6">
        <w:rPr>
          <w:b/>
        </w:rPr>
        <w:t>.</w:t>
      </w:r>
      <w:r w:rsidR="00F0408D">
        <w:rPr>
          <w:b/>
        </w:rPr>
        <w:t xml:space="preserve"> </w:t>
      </w:r>
      <w:r w:rsidR="00F0408D" w:rsidRPr="00F0408D">
        <w:rPr>
          <w:bCs/>
        </w:rPr>
        <w:t xml:space="preserve">Forest plot for PICO 4 </w:t>
      </w:r>
      <w:r w:rsidR="00F0408D">
        <w:rPr>
          <w:bCs/>
        </w:rPr>
        <w:t>–</w:t>
      </w:r>
      <w:r w:rsidR="00F0408D" w:rsidRPr="00F0408D">
        <w:rPr>
          <w:bCs/>
        </w:rPr>
        <w:t xml:space="preserve"> mortality</w:t>
      </w:r>
      <w:r w:rsidR="00F0408D">
        <w:rPr>
          <w:bCs/>
        </w:rPr>
        <w:t>.</w:t>
      </w:r>
    </w:p>
    <w:p w14:paraId="62A681B7" w14:textId="27A2D510" w:rsidR="00E128B6" w:rsidRDefault="00E128B6" w:rsidP="00E128B6">
      <w:pPr>
        <w:spacing w:after="160" w:line="259" w:lineRule="auto"/>
        <w:rPr>
          <w:b/>
        </w:rPr>
      </w:pPr>
      <w:r w:rsidRPr="00E53D80">
        <w:rPr>
          <w:b/>
          <w:noProof/>
        </w:rPr>
        <w:drawing>
          <wp:anchor distT="0" distB="0" distL="114300" distR="114300" simplePos="0" relativeHeight="251668480" behindDoc="0" locked="0" layoutInCell="1" allowOverlap="1" wp14:anchorId="2D148C72" wp14:editId="085CB826">
            <wp:simplePos x="0" y="0"/>
            <wp:positionH relativeFrom="column">
              <wp:posOffset>0</wp:posOffset>
            </wp:positionH>
            <wp:positionV relativeFrom="paragraph">
              <wp:posOffset>0</wp:posOffset>
            </wp:positionV>
            <wp:extent cx="6176010" cy="3920490"/>
            <wp:effectExtent l="0" t="0" r="0" b="3810"/>
            <wp:wrapTopAndBottom/>
            <wp:docPr id="165833813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338139" name=""/>
                    <pic:cNvPicPr/>
                  </pic:nvPicPr>
                  <pic:blipFill>
                    <a:blip r:embed="rId14">
                      <a:extLst>
                        <a:ext uri="{28A0092B-C50C-407E-A947-70E740481C1C}">
                          <a14:useLocalDpi xmlns:a14="http://schemas.microsoft.com/office/drawing/2010/main" val="0"/>
                        </a:ext>
                      </a:extLst>
                    </a:blip>
                    <a:stretch>
                      <a:fillRect/>
                    </a:stretch>
                  </pic:blipFill>
                  <pic:spPr>
                    <a:xfrm>
                      <a:off x="0" y="0"/>
                      <a:ext cx="6176010" cy="3920490"/>
                    </a:xfrm>
                    <a:prstGeom prst="rect">
                      <a:avLst/>
                    </a:prstGeom>
                  </pic:spPr>
                </pic:pic>
              </a:graphicData>
            </a:graphic>
          </wp:anchor>
        </w:drawing>
      </w:r>
      <w:r>
        <w:rPr>
          <w:b/>
        </w:rPr>
        <w:br w:type="page"/>
      </w:r>
    </w:p>
    <w:p w14:paraId="5A3A364A" w14:textId="7F887BC9" w:rsidR="008C0B80" w:rsidRDefault="008C0B80">
      <w:pPr>
        <w:spacing w:after="160" w:line="259" w:lineRule="auto"/>
        <w:rPr>
          <w:b/>
        </w:rPr>
      </w:pPr>
      <w:proofErr w:type="spellStart"/>
      <w:r>
        <w:rPr>
          <w:b/>
        </w:rPr>
        <w:lastRenderedPageBreak/>
        <w:t>Supplementary</w:t>
      </w:r>
      <w:proofErr w:type="spellEnd"/>
      <w:r>
        <w:rPr>
          <w:b/>
        </w:rPr>
        <w:t xml:space="preserve"> Figure </w:t>
      </w:r>
      <w:r w:rsidR="009F233F">
        <w:rPr>
          <w:b/>
        </w:rPr>
        <w:t>7</w:t>
      </w:r>
      <w:r>
        <w:rPr>
          <w:b/>
        </w:rPr>
        <w:t xml:space="preserve">. </w:t>
      </w:r>
      <w:r w:rsidR="00F0408D" w:rsidRPr="00F0408D">
        <w:rPr>
          <w:bCs/>
        </w:rPr>
        <w:t xml:space="preserve">Forest plot for PICO 4 </w:t>
      </w:r>
      <w:r w:rsidR="00F0408D">
        <w:rPr>
          <w:bCs/>
        </w:rPr>
        <w:t>–</w:t>
      </w:r>
      <w:r w:rsidR="00F0408D" w:rsidRPr="00F0408D">
        <w:rPr>
          <w:bCs/>
        </w:rPr>
        <w:t xml:space="preserve"> </w:t>
      </w:r>
      <w:proofErr w:type="spellStart"/>
      <w:r w:rsidR="00F0408D">
        <w:rPr>
          <w:bCs/>
        </w:rPr>
        <w:t>microbiological</w:t>
      </w:r>
      <w:proofErr w:type="spellEnd"/>
      <w:r w:rsidR="00F0408D">
        <w:rPr>
          <w:bCs/>
        </w:rPr>
        <w:t xml:space="preserve"> </w:t>
      </w:r>
      <w:proofErr w:type="spellStart"/>
      <w:r w:rsidR="00F0408D">
        <w:rPr>
          <w:bCs/>
        </w:rPr>
        <w:t>failure</w:t>
      </w:r>
      <w:proofErr w:type="spellEnd"/>
      <w:r w:rsidR="00F0408D">
        <w:rPr>
          <w:bCs/>
        </w:rPr>
        <w:t>.</w:t>
      </w:r>
    </w:p>
    <w:p w14:paraId="34CBCC34" w14:textId="74B819F3" w:rsidR="008C0B80" w:rsidRDefault="00A22C6C">
      <w:pPr>
        <w:spacing w:after="160" w:line="259" w:lineRule="auto"/>
        <w:rPr>
          <w:b/>
        </w:rPr>
      </w:pPr>
      <w:r w:rsidRPr="00A22C6C">
        <w:rPr>
          <w:b/>
          <w:noProof/>
        </w:rPr>
        <w:drawing>
          <wp:anchor distT="0" distB="0" distL="114300" distR="114300" simplePos="0" relativeHeight="251663360" behindDoc="0" locked="0" layoutInCell="1" allowOverlap="1" wp14:anchorId="55C88818" wp14:editId="0F06EB63">
            <wp:simplePos x="0" y="0"/>
            <wp:positionH relativeFrom="column">
              <wp:posOffset>346</wp:posOffset>
            </wp:positionH>
            <wp:positionV relativeFrom="paragraph">
              <wp:posOffset>462</wp:posOffset>
            </wp:positionV>
            <wp:extent cx="4821382" cy="3104950"/>
            <wp:effectExtent l="0" t="0" r="0" b="635"/>
            <wp:wrapTopAndBottom/>
            <wp:docPr id="101969379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693796" name=""/>
                    <pic:cNvPicPr/>
                  </pic:nvPicPr>
                  <pic:blipFill>
                    <a:blip r:embed="rId15">
                      <a:extLst>
                        <a:ext uri="{28A0092B-C50C-407E-A947-70E740481C1C}">
                          <a14:useLocalDpi xmlns:a14="http://schemas.microsoft.com/office/drawing/2010/main" val="0"/>
                        </a:ext>
                      </a:extLst>
                    </a:blip>
                    <a:stretch>
                      <a:fillRect/>
                    </a:stretch>
                  </pic:blipFill>
                  <pic:spPr>
                    <a:xfrm>
                      <a:off x="0" y="0"/>
                      <a:ext cx="4821382" cy="3104950"/>
                    </a:xfrm>
                    <a:prstGeom prst="rect">
                      <a:avLst/>
                    </a:prstGeom>
                  </pic:spPr>
                </pic:pic>
              </a:graphicData>
            </a:graphic>
          </wp:anchor>
        </w:drawing>
      </w:r>
    </w:p>
    <w:p w14:paraId="1C04E11F" w14:textId="77777777" w:rsidR="008C0B80" w:rsidRDefault="008C0B80">
      <w:pPr>
        <w:spacing w:after="160" w:line="259" w:lineRule="auto"/>
        <w:rPr>
          <w:b/>
        </w:rPr>
      </w:pPr>
      <w:r>
        <w:rPr>
          <w:b/>
        </w:rPr>
        <w:br w:type="page"/>
      </w:r>
    </w:p>
    <w:p w14:paraId="4A086A34" w14:textId="7276184F" w:rsidR="00A22C6C" w:rsidRDefault="00A22C6C">
      <w:pPr>
        <w:spacing w:after="160" w:line="259" w:lineRule="auto"/>
        <w:rPr>
          <w:b/>
        </w:rPr>
      </w:pPr>
      <w:proofErr w:type="spellStart"/>
      <w:r>
        <w:rPr>
          <w:b/>
        </w:rPr>
        <w:lastRenderedPageBreak/>
        <w:t>Supplementary</w:t>
      </w:r>
      <w:proofErr w:type="spellEnd"/>
      <w:r>
        <w:rPr>
          <w:b/>
        </w:rPr>
        <w:t xml:space="preserve"> Figure </w:t>
      </w:r>
      <w:r w:rsidR="009F233F">
        <w:rPr>
          <w:b/>
        </w:rPr>
        <w:t>8</w:t>
      </w:r>
      <w:r>
        <w:rPr>
          <w:b/>
        </w:rPr>
        <w:t>.</w:t>
      </w:r>
      <w:r w:rsidR="00EE25E4">
        <w:rPr>
          <w:b/>
        </w:rPr>
        <w:t xml:space="preserve"> </w:t>
      </w:r>
      <w:r w:rsidR="00EE25E4" w:rsidRPr="00F0408D">
        <w:rPr>
          <w:bCs/>
        </w:rPr>
        <w:t xml:space="preserve">Forest plot for PICO 4 </w:t>
      </w:r>
      <w:r w:rsidR="00EE25E4">
        <w:rPr>
          <w:bCs/>
        </w:rPr>
        <w:t>–</w:t>
      </w:r>
      <w:r w:rsidR="00EE25E4" w:rsidRPr="00F0408D">
        <w:rPr>
          <w:bCs/>
        </w:rPr>
        <w:t xml:space="preserve"> </w:t>
      </w:r>
      <w:proofErr w:type="spellStart"/>
      <w:r w:rsidR="00EE25E4">
        <w:rPr>
          <w:bCs/>
        </w:rPr>
        <w:t>daptomycin</w:t>
      </w:r>
      <w:proofErr w:type="spellEnd"/>
      <w:r w:rsidR="00EE25E4">
        <w:rPr>
          <w:bCs/>
        </w:rPr>
        <w:t xml:space="preserve"> dose.</w:t>
      </w:r>
    </w:p>
    <w:p w14:paraId="0A539154" w14:textId="372FB02C" w:rsidR="00A22C6C" w:rsidRDefault="00A22C6C">
      <w:pPr>
        <w:spacing w:after="160" w:line="259" w:lineRule="auto"/>
        <w:rPr>
          <w:b/>
        </w:rPr>
      </w:pPr>
      <w:r w:rsidRPr="00A22C6C">
        <w:rPr>
          <w:b/>
          <w:noProof/>
        </w:rPr>
        <w:drawing>
          <wp:anchor distT="0" distB="0" distL="114300" distR="114300" simplePos="0" relativeHeight="251664384" behindDoc="0" locked="0" layoutInCell="1" allowOverlap="1" wp14:anchorId="1FCD6240" wp14:editId="2A5257D2">
            <wp:simplePos x="0" y="0"/>
            <wp:positionH relativeFrom="column">
              <wp:posOffset>346</wp:posOffset>
            </wp:positionH>
            <wp:positionV relativeFrom="paragraph">
              <wp:posOffset>462</wp:posOffset>
            </wp:positionV>
            <wp:extent cx="4904509" cy="3283572"/>
            <wp:effectExtent l="0" t="0" r="0" b="0"/>
            <wp:wrapTopAndBottom/>
            <wp:docPr id="88409739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097396" name=""/>
                    <pic:cNvPicPr/>
                  </pic:nvPicPr>
                  <pic:blipFill>
                    <a:blip r:embed="rId16">
                      <a:extLst>
                        <a:ext uri="{28A0092B-C50C-407E-A947-70E740481C1C}">
                          <a14:useLocalDpi xmlns:a14="http://schemas.microsoft.com/office/drawing/2010/main" val="0"/>
                        </a:ext>
                      </a:extLst>
                    </a:blip>
                    <a:stretch>
                      <a:fillRect/>
                    </a:stretch>
                  </pic:blipFill>
                  <pic:spPr>
                    <a:xfrm>
                      <a:off x="0" y="0"/>
                      <a:ext cx="4904509" cy="3283572"/>
                    </a:xfrm>
                    <a:prstGeom prst="rect">
                      <a:avLst/>
                    </a:prstGeom>
                  </pic:spPr>
                </pic:pic>
              </a:graphicData>
            </a:graphic>
          </wp:anchor>
        </w:drawing>
      </w:r>
    </w:p>
    <w:p w14:paraId="03644C6C" w14:textId="77777777" w:rsidR="00A22C6C" w:rsidRDefault="00A22C6C">
      <w:pPr>
        <w:spacing w:after="160" w:line="259" w:lineRule="auto"/>
        <w:rPr>
          <w:b/>
        </w:rPr>
      </w:pPr>
      <w:r>
        <w:rPr>
          <w:b/>
        </w:rPr>
        <w:br w:type="page"/>
      </w:r>
    </w:p>
    <w:p w14:paraId="29752DA0" w14:textId="13E07B68" w:rsidR="00A22C6C" w:rsidRDefault="00A22C6C">
      <w:pPr>
        <w:spacing w:after="160" w:line="259" w:lineRule="auto"/>
        <w:rPr>
          <w:b/>
        </w:rPr>
      </w:pPr>
      <w:proofErr w:type="spellStart"/>
      <w:r>
        <w:rPr>
          <w:b/>
        </w:rPr>
        <w:lastRenderedPageBreak/>
        <w:t>Supplementary</w:t>
      </w:r>
      <w:proofErr w:type="spellEnd"/>
      <w:r>
        <w:rPr>
          <w:b/>
        </w:rPr>
        <w:t xml:space="preserve"> Figure </w:t>
      </w:r>
      <w:r w:rsidR="009F233F">
        <w:rPr>
          <w:b/>
        </w:rPr>
        <w:t>9</w:t>
      </w:r>
      <w:r>
        <w:rPr>
          <w:b/>
        </w:rPr>
        <w:t>.</w:t>
      </w:r>
      <w:r w:rsidR="00EE25E4">
        <w:rPr>
          <w:b/>
        </w:rPr>
        <w:t xml:space="preserve"> </w:t>
      </w:r>
      <w:r w:rsidR="00EE25E4" w:rsidRPr="00F0408D">
        <w:rPr>
          <w:bCs/>
        </w:rPr>
        <w:t xml:space="preserve">Forest plot for PICO 4 </w:t>
      </w:r>
      <w:r w:rsidR="00EE25E4">
        <w:rPr>
          <w:bCs/>
        </w:rPr>
        <w:t>–</w:t>
      </w:r>
      <w:r w:rsidR="00EE25E4" w:rsidRPr="00F0408D">
        <w:rPr>
          <w:bCs/>
        </w:rPr>
        <w:t xml:space="preserve"> </w:t>
      </w:r>
      <w:proofErr w:type="spellStart"/>
      <w:r w:rsidR="00EE25E4">
        <w:rPr>
          <w:bCs/>
        </w:rPr>
        <w:t>daptomycin</w:t>
      </w:r>
      <w:proofErr w:type="spellEnd"/>
      <w:r w:rsidR="00EE25E4">
        <w:rPr>
          <w:bCs/>
        </w:rPr>
        <w:t xml:space="preserve"> </w:t>
      </w:r>
      <w:proofErr w:type="spellStart"/>
      <w:r w:rsidR="00EE25E4">
        <w:rPr>
          <w:bCs/>
        </w:rPr>
        <w:t>combination</w:t>
      </w:r>
      <w:proofErr w:type="spellEnd"/>
      <w:r w:rsidR="00EE25E4">
        <w:rPr>
          <w:bCs/>
        </w:rPr>
        <w:t xml:space="preserve"> vs. </w:t>
      </w:r>
      <w:proofErr w:type="spellStart"/>
      <w:r w:rsidR="00EE25E4">
        <w:rPr>
          <w:bCs/>
        </w:rPr>
        <w:t>monotherapy</w:t>
      </w:r>
      <w:proofErr w:type="spellEnd"/>
      <w:r w:rsidR="00EE25E4">
        <w:rPr>
          <w:bCs/>
        </w:rPr>
        <w:t>.</w:t>
      </w:r>
    </w:p>
    <w:p w14:paraId="55C85E92" w14:textId="51219516" w:rsidR="00A22C6C" w:rsidRDefault="00A22C6C">
      <w:pPr>
        <w:spacing w:after="160" w:line="259" w:lineRule="auto"/>
        <w:rPr>
          <w:b/>
        </w:rPr>
      </w:pPr>
      <w:r w:rsidRPr="00A22C6C">
        <w:rPr>
          <w:b/>
          <w:noProof/>
        </w:rPr>
        <w:drawing>
          <wp:anchor distT="0" distB="0" distL="114300" distR="114300" simplePos="0" relativeHeight="251665408" behindDoc="0" locked="0" layoutInCell="1" allowOverlap="1" wp14:anchorId="10615525" wp14:editId="155EC813">
            <wp:simplePos x="0" y="0"/>
            <wp:positionH relativeFrom="column">
              <wp:posOffset>346</wp:posOffset>
            </wp:positionH>
            <wp:positionV relativeFrom="paragraph">
              <wp:posOffset>462</wp:posOffset>
            </wp:positionV>
            <wp:extent cx="4537364" cy="2977377"/>
            <wp:effectExtent l="0" t="0" r="0" b="0"/>
            <wp:wrapTopAndBottom/>
            <wp:docPr id="19493277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327758" name=""/>
                    <pic:cNvPicPr/>
                  </pic:nvPicPr>
                  <pic:blipFill>
                    <a:blip r:embed="rId17">
                      <a:extLst>
                        <a:ext uri="{28A0092B-C50C-407E-A947-70E740481C1C}">
                          <a14:useLocalDpi xmlns:a14="http://schemas.microsoft.com/office/drawing/2010/main" val="0"/>
                        </a:ext>
                      </a:extLst>
                    </a:blip>
                    <a:stretch>
                      <a:fillRect/>
                    </a:stretch>
                  </pic:blipFill>
                  <pic:spPr>
                    <a:xfrm>
                      <a:off x="0" y="0"/>
                      <a:ext cx="4537364" cy="2977377"/>
                    </a:xfrm>
                    <a:prstGeom prst="rect">
                      <a:avLst/>
                    </a:prstGeom>
                  </pic:spPr>
                </pic:pic>
              </a:graphicData>
            </a:graphic>
          </wp:anchor>
        </w:drawing>
      </w:r>
    </w:p>
    <w:p w14:paraId="0850C737" w14:textId="77777777" w:rsidR="00A22C6C" w:rsidRDefault="00A22C6C">
      <w:pPr>
        <w:spacing w:after="160" w:line="259" w:lineRule="auto"/>
        <w:rPr>
          <w:b/>
        </w:rPr>
      </w:pPr>
      <w:r>
        <w:rPr>
          <w:b/>
        </w:rPr>
        <w:br w:type="page"/>
      </w:r>
    </w:p>
    <w:p w14:paraId="3A344C8A" w14:textId="5DB90160" w:rsidR="00A22C6C" w:rsidRDefault="00A22C6C">
      <w:pPr>
        <w:spacing w:after="160" w:line="259" w:lineRule="auto"/>
        <w:rPr>
          <w:b/>
        </w:rPr>
      </w:pPr>
      <w:proofErr w:type="spellStart"/>
      <w:r>
        <w:rPr>
          <w:b/>
        </w:rPr>
        <w:lastRenderedPageBreak/>
        <w:t>Supplementary</w:t>
      </w:r>
      <w:proofErr w:type="spellEnd"/>
      <w:r>
        <w:rPr>
          <w:b/>
        </w:rPr>
        <w:t xml:space="preserve"> Figure </w:t>
      </w:r>
      <w:r w:rsidR="009F233F">
        <w:rPr>
          <w:b/>
        </w:rPr>
        <w:t>10</w:t>
      </w:r>
      <w:r>
        <w:rPr>
          <w:b/>
        </w:rPr>
        <w:t>.</w:t>
      </w:r>
      <w:r w:rsidR="00EE25E4">
        <w:rPr>
          <w:b/>
        </w:rPr>
        <w:t xml:space="preserve"> </w:t>
      </w:r>
      <w:r w:rsidR="00EE25E4" w:rsidRPr="00F0408D">
        <w:rPr>
          <w:bCs/>
        </w:rPr>
        <w:t xml:space="preserve">Forest plot for PICO 4 </w:t>
      </w:r>
      <w:r w:rsidR="00EE25E4">
        <w:rPr>
          <w:bCs/>
        </w:rPr>
        <w:t>–</w:t>
      </w:r>
      <w:r w:rsidR="00EE25E4" w:rsidRPr="00F0408D">
        <w:rPr>
          <w:bCs/>
        </w:rPr>
        <w:t xml:space="preserve"> mortality</w:t>
      </w:r>
      <w:r w:rsidR="00EE25E4">
        <w:rPr>
          <w:bCs/>
        </w:rPr>
        <w:t xml:space="preserve"> </w:t>
      </w:r>
      <w:proofErr w:type="spellStart"/>
      <w:r w:rsidR="00EE25E4">
        <w:rPr>
          <w:bCs/>
        </w:rPr>
        <w:t>according</w:t>
      </w:r>
      <w:proofErr w:type="spellEnd"/>
      <w:r w:rsidR="00EE25E4">
        <w:rPr>
          <w:bCs/>
        </w:rPr>
        <w:t xml:space="preserve"> to </w:t>
      </w:r>
      <w:proofErr w:type="spellStart"/>
      <w:r w:rsidR="00EE25E4">
        <w:rPr>
          <w:bCs/>
        </w:rPr>
        <w:t>daptomycin</w:t>
      </w:r>
      <w:proofErr w:type="spellEnd"/>
      <w:r w:rsidR="00EE25E4">
        <w:rPr>
          <w:bCs/>
        </w:rPr>
        <w:t xml:space="preserve"> Minimum </w:t>
      </w:r>
      <w:proofErr w:type="spellStart"/>
      <w:r w:rsidR="00EE25E4">
        <w:rPr>
          <w:bCs/>
        </w:rPr>
        <w:t>Inhibitory</w:t>
      </w:r>
      <w:proofErr w:type="spellEnd"/>
      <w:r w:rsidR="00EE25E4">
        <w:rPr>
          <w:bCs/>
        </w:rPr>
        <w:t xml:space="preserve"> </w:t>
      </w:r>
      <w:proofErr w:type="spellStart"/>
      <w:r w:rsidR="00EE25E4">
        <w:rPr>
          <w:bCs/>
        </w:rPr>
        <w:t>Concentration</w:t>
      </w:r>
      <w:proofErr w:type="spellEnd"/>
      <w:r w:rsidR="00EE25E4">
        <w:rPr>
          <w:bCs/>
        </w:rPr>
        <w:t>.</w:t>
      </w:r>
    </w:p>
    <w:p w14:paraId="1C60E6E1" w14:textId="6C88C2D7" w:rsidR="00A22C6C" w:rsidRDefault="00A22C6C">
      <w:pPr>
        <w:spacing w:after="160" w:line="259" w:lineRule="auto"/>
        <w:rPr>
          <w:b/>
        </w:rPr>
      </w:pPr>
      <w:r w:rsidRPr="00A22C6C">
        <w:rPr>
          <w:b/>
          <w:noProof/>
        </w:rPr>
        <w:drawing>
          <wp:anchor distT="0" distB="0" distL="114300" distR="114300" simplePos="0" relativeHeight="251666432" behindDoc="0" locked="0" layoutInCell="1" allowOverlap="1" wp14:anchorId="55A7A8F1" wp14:editId="6F762E32">
            <wp:simplePos x="0" y="0"/>
            <wp:positionH relativeFrom="column">
              <wp:posOffset>0</wp:posOffset>
            </wp:positionH>
            <wp:positionV relativeFrom="paragraph">
              <wp:posOffset>0</wp:posOffset>
            </wp:positionV>
            <wp:extent cx="4676775" cy="3006090"/>
            <wp:effectExtent l="0" t="0" r="9525" b="3810"/>
            <wp:wrapTopAndBottom/>
            <wp:docPr id="122483984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839841" name=""/>
                    <pic:cNvPicPr/>
                  </pic:nvPicPr>
                  <pic:blipFill>
                    <a:blip r:embed="rId18">
                      <a:extLst>
                        <a:ext uri="{28A0092B-C50C-407E-A947-70E740481C1C}">
                          <a14:useLocalDpi xmlns:a14="http://schemas.microsoft.com/office/drawing/2010/main" val="0"/>
                        </a:ext>
                      </a:extLst>
                    </a:blip>
                    <a:stretch>
                      <a:fillRect/>
                    </a:stretch>
                  </pic:blipFill>
                  <pic:spPr>
                    <a:xfrm>
                      <a:off x="0" y="0"/>
                      <a:ext cx="4676775" cy="3006090"/>
                    </a:xfrm>
                    <a:prstGeom prst="rect">
                      <a:avLst/>
                    </a:prstGeom>
                  </pic:spPr>
                </pic:pic>
              </a:graphicData>
            </a:graphic>
          </wp:anchor>
        </w:drawing>
      </w:r>
      <w:r>
        <w:rPr>
          <w:b/>
        </w:rPr>
        <w:br w:type="page"/>
      </w:r>
    </w:p>
    <w:p w14:paraId="4BB65924" w14:textId="77777777" w:rsidR="00A22C6C" w:rsidRDefault="00A22C6C">
      <w:pPr>
        <w:spacing w:after="160" w:line="259" w:lineRule="auto"/>
        <w:rPr>
          <w:b/>
        </w:rPr>
      </w:pPr>
    </w:p>
    <w:p w14:paraId="3BBACDA3" w14:textId="02E0E228" w:rsidR="00430BB9" w:rsidRPr="00975732" w:rsidRDefault="00430BB9" w:rsidP="00471AE3">
      <w:pPr>
        <w:spacing w:after="160" w:line="259" w:lineRule="auto"/>
        <w:rPr>
          <w:b/>
        </w:rPr>
      </w:pPr>
      <w:proofErr w:type="spellStart"/>
      <w:r w:rsidRPr="00975732">
        <w:rPr>
          <w:b/>
        </w:rPr>
        <w:t>Bibliography</w:t>
      </w:r>
      <w:proofErr w:type="spellEnd"/>
    </w:p>
    <w:p w14:paraId="2F1D2925" w14:textId="77777777" w:rsidR="00CA69E8" w:rsidRDefault="00A235E2" w:rsidP="00CA69E8">
      <w:pPr>
        <w:pStyle w:val="Bibliografia"/>
      </w:pPr>
      <w:r>
        <w:rPr>
          <w:b/>
          <w:lang w:val="en-US"/>
        </w:rPr>
        <w:fldChar w:fldCharType="begin"/>
      </w:r>
      <w:r w:rsidR="00CA69E8">
        <w:rPr>
          <w:b/>
        </w:rPr>
        <w:instrText xml:space="preserve"> ADDIN ZOTERO_BIBL {"uncited":[],"omitted":[],"custom":[]} CSL_BIBLIOGRAPHY </w:instrText>
      </w:r>
      <w:r>
        <w:rPr>
          <w:b/>
          <w:lang w:val="en-US"/>
        </w:rPr>
        <w:fldChar w:fldCharType="separate"/>
      </w:r>
      <w:r w:rsidR="00CA69E8">
        <w:t>1.</w:t>
      </w:r>
      <w:r w:rsidR="00CA69E8">
        <w:tab/>
        <w:t>Moher D, Liberati A, Tetzlaff J, Altman DG, PRISMA Group. Preferred reporting items for systematic reviews and meta-analyses: the PRISMA statement. PLoS Med. 21 luglio 2009;6(7):e1000097. doi:10.1371/journal.pmed.1000097 PubMed PMID: 19621072; PubMed Central PMCID: PMC2707599.</w:t>
      </w:r>
    </w:p>
    <w:p w14:paraId="0CC04A82" w14:textId="77777777" w:rsidR="00CA69E8" w:rsidRDefault="00CA69E8" w:rsidP="00CA69E8">
      <w:pPr>
        <w:pStyle w:val="Bibliografia"/>
      </w:pPr>
      <w:r>
        <w:t>2.</w:t>
      </w:r>
      <w:r>
        <w:tab/>
        <w:t>Sterne JAC, Savović J, Page MJ, Elbers RG, Blencowe NS, Boutron I, et al. RoB 2: a revised tool for assessing risk of bias in randomised trials. BMJ. 28 agosto 2019;366:l4898. doi:10.1136/bmj.l4898 PubMed PMID: 31462531.</w:t>
      </w:r>
    </w:p>
    <w:p w14:paraId="47F71D71" w14:textId="77777777" w:rsidR="00CA69E8" w:rsidRDefault="00CA69E8" w:rsidP="00CA69E8">
      <w:pPr>
        <w:pStyle w:val="Bibliografia"/>
      </w:pPr>
      <w:r>
        <w:t>3.</w:t>
      </w:r>
      <w:r>
        <w:tab/>
        <w:t>Sterne JA, Hernán MA, Reeves BC, Savović J, Berkman ND, Viswanathan M, et al. ROBINS-I: a tool for assessing risk of bias in non-randomised studies of interventions. BMJ. 12 ottobre 2016;355:i4919. doi:10.1136/bmj.i4919 PubMed PMID: 27733354; PubMed Central PMCID: PMC5062054.</w:t>
      </w:r>
    </w:p>
    <w:p w14:paraId="6E314513" w14:textId="77777777" w:rsidR="00CA69E8" w:rsidRDefault="00CA69E8" w:rsidP="00CA69E8">
      <w:pPr>
        <w:pStyle w:val="Bibliografia"/>
      </w:pPr>
      <w:r>
        <w:t>4.</w:t>
      </w:r>
      <w:r>
        <w:tab/>
        <w:t>Egger M, Davey Smith G, Schneider M, Minder C. Bias in meta-analysis detected by a simple, graphical test. BMJ. 13 settembre 1997;315(7109):629–34. doi:10.1136/bmj.315.7109.629 PubMed PMID: 9310563; PubMed Central PMCID: PMC2127453.</w:t>
      </w:r>
    </w:p>
    <w:p w14:paraId="7333DF9D" w14:textId="77777777" w:rsidR="00CA69E8" w:rsidRDefault="00CA69E8" w:rsidP="00CA69E8">
      <w:pPr>
        <w:pStyle w:val="Bibliografia"/>
      </w:pPr>
      <w:r>
        <w:t>5.</w:t>
      </w:r>
      <w:r>
        <w:tab/>
        <w:t>Choi MH, Kim D, Kim J, Song YG, Jeong SH. Shift in risk factors for mortality by period of the bloodstream infection timeline. J Microbiol Immunol Infect Wei Mian Yu Gan Ran Za Zhi. febbraio 2024;57(1):97–106. doi:10.1016/j.jmii.2023.11.008 PubMed PMID: 38092626.</w:t>
      </w:r>
    </w:p>
    <w:p w14:paraId="281671AA" w14:textId="77777777" w:rsidR="00CA69E8" w:rsidRDefault="00CA69E8" w:rsidP="00CA69E8">
      <w:pPr>
        <w:pStyle w:val="Bibliografia"/>
      </w:pPr>
      <w:r>
        <w:t>6.</w:t>
      </w:r>
      <w:r>
        <w:tab/>
        <w:t>Rao C, Dhawan B, Vishnubhatla S, Kapil A, Das B, Sood S. Clinical and molecular epidemiology of vancomycin-resistant Enterococcus faecium bacteremia from an Indian tertiary hospital. Eur J Clin Microbiol Infect Dis Off Publ Eur Soc Clin Microbiol. febbraio 2021;40(2):303–14. doi:10.1007/s10096-020-04030-3 PubMed PMID: 32909085.</w:t>
      </w:r>
    </w:p>
    <w:p w14:paraId="00134254" w14:textId="77777777" w:rsidR="00CA69E8" w:rsidRDefault="00CA69E8" w:rsidP="00CA69E8">
      <w:pPr>
        <w:pStyle w:val="Bibliografia"/>
      </w:pPr>
      <w:r>
        <w:t>7.</w:t>
      </w:r>
      <w:r>
        <w:tab/>
        <w:t>Bager P, Kähler J, Andersson M, Holzknecht BJ, Kjær Hansen SG, Schønning K, et al. Comparison of morbidity and mortality after bloodstream infection with vancomycin-resistant versus -susceptible Enterococcus faecium: a nationwide cohort study in Denmark, 2010–2019. Emerg Microbes Infect. 31 dicembre 2024;13(1):2309969. doi:10.1080/22221751.2024.2309969 PubMed PMID: 38258968.</w:t>
      </w:r>
    </w:p>
    <w:p w14:paraId="7DE45380" w14:textId="77777777" w:rsidR="00CA69E8" w:rsidRDefault="00CA69E8" w:rsidP="00CA69E8">
      <w:pPr>
        <w:pStyle w:val="Bibliografia"/>
      </w:pPr>
      <w:r>
        <w:t>8.</w:t>
      </w:r>
      <w:r>
        <w:tab/>
        <w:t>Cheah ALY, Spelman T, Liew D, Peel T, Howden BP, Spelman D, et al. Enterococcal bacteraemia: factors influencing mortality, length of stay and costs of hospitalization. Clin Microbiol Infect Off Publ Eur Soc Clin Microbiol Infect Dis. aprile 2013;19(4):E181-189. doi:10.1111/1469-0691.12132 PubMed PMID: 23398607.</w:t>
      </w:r>
    </w:p>
    <w:p w14:paraId="3B643E2D" w14:textId="77777777" w:rsidR="00CA69E8" w:rsidRDefault="00CA69E8" w:rsidP="00CA69E8">
      <w:pPr>
        <w:pStyle w:val="Bibliografia"/>
      </w:pPr>
      <w:r>
        <w:t>9.</w:t>
      </w:r>
      <w:r>
        <w:tab/>
        <w:t>Huh K, Chung DR, Ha YE, Ko JH, Huh HJ, Lee NY, et al. Impact of vancomycin resistance in Enterococcus faecium bloodstream infection on mortality: A retrospective analysis of nationwide surveillance data. Int J Infect Dis IJID Off Publ Int Soc Infect Dis. settembre 2023;134:8–14. doi:10.1016/j.ijid.2023.04.411 PubMed PMID: 37172775.</w:t>
      </w:r>
    </w:p>
    <w:p w14:paraId="0FB22263" w14:textId="77777777" w:rsidR="00CA69E8" w:rsidRDefault="00CA69E8" w:rsidP="00CA69E8">
      <w:pPr>
        <w:pStyle w:val="Bibliografia"/>
      </w:pPr>
      <w:r>
        <w:t>10.</w:t>
      </w:r>
      <w:r>
        <w:tab/>
        <w:t>Dubler S, Lenz M, Zimmermann S, Richter DC, Weiss KH, Mehrabi A, et al. Does vancomycin resistance increase mortality in Enterococcus faecium bacteraemia after orthotopic liver transplantation? A retrospective study. Antimicrob Resist Infect Control. 31 gennaio 2020;9(1):22. doi:10.1186/s13756-020-0683-3 PubMed PMID: 32005223; PubMed Central PMCID: PMC6995054.</w:t>
      </w:r>
    </w:p>
    <w:p w14:paraId="3FDDE1DE" w14:textId="77777777" w:rsidR="00CA69E8" w:rsidRDefault="00CA69E8" w:rsidP="00CA69E8">
      <w:pPr>
        <w:pStyle w:val="Bibliografia"/>
      </w:pPr>
      <w:r>
        <w:t>11.</w:t>
      </w:r>
      <w:r>
        <w:tab/>
        <w:t>Kramer TS, Remschmidt C, Werner S, Behnke M, Schwab F, Werner G, et al. The importance of adjusting for enterococcus species when assessing the burden of vancomycin resistance: a cohort study including over 1000 cases of enterococcal bloodstream infections. Antimicrob Resist Infect Control. 2018;7:133. doi:10.1186/s13756-018-0419-9 PubMed PMID: 30459945; PubMed Central PMCID: PMC6234683.</w:t>
      </w:r>
    </w:p>
    <w:p w14:paraId="3E2EDA70" w14:textId="77777777" w:rsidR="00CA69E8" w:rsidRDefault="00CA69E8" w:rsidP="00CA69E8">
      <w:pPr>
        <w:pStyle w:val="Bibliografia"/>
      </w:pPr>
      <w:r>
        <w:lastRenderedPageBreak/>
        <w:t>12.</w:t>
      </w:r>
      <w:r>
        <w:tab/>
        <w:t>Hayakawa K, Martin ET, Gudur UM, Marchaim D, Dalle D, Alshabani K, et al. Impact of different antimicrobial therapies on clinical and fiscal outcomes of patients with bacteremia due to vancomycin-resistant enterococci. Antimicrob Agents Chemother. luglio 2014;58(7):3968–75. doi:10.1128/AAC.02943-14 PubMed PMID: 24798267; PubMed Central PMCID: PMC4068570.</w:t>
      </w:r>
    </w:p>
    <w:p w14:paraId="267EDDE5" w14:textId="77777777" w:rsidR="00CA69E8" w:rsidRDefault="00CA69E8" w:rsidP="00CA69E8">
      <w:pPr>
        <w:pStyle w:val="Bibliografia"/>
      </w:pPr>
      <w:r>
        <w:t>13.</w:t>
      </w:r>
      <w:r>
        <w:tab/>
        <w:t>Britt NS, Potter EM, Patel N, Steed ME. Comparison of the Effectiveness and Safety of Linezolid and Daptomycin in Vancomycin-Resistant Enterococcal Bloodstream Infection: A National Cohort Study of Veterans Affairs Patients. Clin Infect Dis Off Publ Infect Dis Soc Am. 15 settembre 2015;61(6):871–8. doi:10.1093/cid/civ444 PubMed PMID: 26063715; PubMed Central PMCID: PMC4551009.</w:t>
      </w:r>
    </w:p>
    <w:p w14:paraId="6C13608C" w14:textId="77777777" w:rsidR="00CA69E8" w:rsidRDefault="00CA69E8" w:rsidP="00CA69E8">
      <w:pPr>
        <w:pStyle w:val="Bibliografia"/>
      </w:pPr>
      <w:r>
        <w:t>14.</w:t>
      </w:r>
      <w:r>
        <w:tab/>
        <w:t>Chuang YC, Lin HY, Chen PY, Lin CY, Wang JT, Chang SC. Daptomycin versus linezolid for the treatment of vancomycin-resistant enterococcal bacteraemia: implications of daptomycin dose. Clin Microbiol Infect Off Publ Eur Soc Clin Microbiol Infect Dis. ottobre 2016;22(10):890.e1-890.e7. doi:10.1016/j.cmi.2016.07.018 PubMed PMID: 27475738.</w:t>
      </w:r>
    </w:p>
    <w:p w14:paraId="3E6BCA34" w14:textId="77777777" w:rsidR="00CA69E8" w:rsidRDefault="00CA69E8" w:rsidP="00CA69E8">
      <w:pPr>
        <w:pStyle w:val="Bibliografia"/>
      </w:pPr>
      <w:r>
        <w:t>15.</w:t>
      </w:r>
      <w:r>
        <w:tab/>
        <w:t>Britt NS, Potter EM, Patel N, Steed ME. Effect of Continuous and Sequential Therapy among Veterans Receiving Daptomycin or Linezolid for Vancomycin-Resistant Enterococcus faecium Bacteremia. Antimicrob Agents Chemother. maggio 2017;61(5):e02216-16. doi:10.1128/AAC.02216-16 PubMed PMID: 28264856; PubMed Central PMCID: PMC5404546.</w:t>
      </w:r>
    </w:p>
    <w:p w14:paraId="483903BB" w14:textId="77777777" w:rsidR="00CA69E8" w:rsidRDefault="00CA69E8" w:rsidP="00CA69E8">
      <w:pPr>
        <w:pStyle w:val="Bibliografia"/>
      </w:pPr>
      <w:r>
        <w:t>16.</w:t>
      </w:r>
      <w:r>
        <w:tab/>
        <w:t>Suleyman G, Mahan M, Zervos MJ. Comparison of Daptomycin and Linezolid in the Treatment of Vancomycin-Resistant Enterococcus faecium in the Absence of Endocarditis. Infect Dis Clin Pract. maggio 2017;25(3):151. doi:10.1097/IPC.0000000000000482</w:t>
      </w:r>
    </w:p>
    <w:p w14:paraId="4E510AC7" w14:textId="77777777" w:rsidR="00CA69E8" w:rsidRDefault="00CA69E8" w:rsidP="00CA69E8">
      <w:pPr>
        <w:pStyle w:val="Bibliografia"/>
      </w:pPr>
      <w:r>
        <w:t>17.</w:t>
      </w:r>
      <w:r>
        <w:tab/>
        <w:t>Chuang YC, Lin HY, Chen PY, Lin CY, Chen YC, Wang JT, et al. Survival of Patients With Vancomycin-Resistant Enterococcus faecium Bacteremia Treated With Conventional or High Doses of Daptomycin or Linezolid Is Associated With the Rate of Bacterial Clearance. Crit Care Med. ottobre 2018;46(10):1634–42. doi:10.1097/CCM.0000000000003264 PubMed PMID: 29957707.</w:t>
      </w:r>
    </w:p>
    <w:p w14:paraId="16175913" w14:textId="77777777" w:rsidR="00CA69E8" w:rsidRDefault="00CA69E8" w:rsidP="00CA69E8">
      <w:pPr>
        <w:pStyle w:val="Bibliografia"/>
      </w:pPr>
      <w:r>
        <w:t>18.</w:t>
      </w:r>
      <w:r>
        <w:tab/>
        <w:t>Ye JJ, Shie SS, Cheng CW, Yang JH, Huang PY, Wu TS, et al. Clinical characteristics and treatment outcomes of vancomycin-resistant Enterococcus faecium bacteremia. J Microbiol Immunol Infect Wei Mian Yu Gan Ran Za Zhi. dicembre 2018;51(6):705–16. doi:10.1016/j.jmii.2017.08.025 PubMed PMID: 29046248.</w:t>
      </w:r>
    </w:p>
    <w:p w14:paraId="18C0ED25" w14:textId="77777777" w:rsidR="00CA69E8" w:rsidRDefault="00CA69E8" w:rsidP="00CA69E8">
      <w:pPr>
        <w:pStyle w:val="Bibliografia"/>
      </w:pPr>
      <w:r>
        <w:t>19.</w:t>
      </w:r>
      <w:r>
        <w:tab/>
        <w:t>Narayanan N, Rai R, Vaidya P, Desai A, Bhowmick T, Weinstein MP. Comparison of linezolid and daptomycin for the treatment of vancomycin-resistant enterococcal bacteremia. Ther Adv Infect Dis. 2019;6:2049936119828964. doi:10.1177/2049936119828964 PubMed PMID: 30792858; PubMed Central PMCID: PMC6376491.</w:t>
      </w:r>
    </w:p>
    <w:p w14:paraId="3C56639B" w14:textId="77777777" w:rsidR="00CA69E8" w:rsidRDefault="00CA69E8" w:rsidP="00CA69E8">
      <w:pPr>
        <w:pStyle w:val="Bibliografia"/>
      </w:pPr>
      <w:r>
        <w:t>20.</w:t>
      </w:r>
      <w:r>
        <w:tab/>
        <w:t>Moise PA, Sakoulas G, McKinnell JA, Lamp KC, DePestel DD, Yoon MJ, et al. Clinical Outcomes of Daptomycin for Vancomycin-resistant Enterococcus Bacteremia. Clin Ther. 1 luglio 2015;37(7):1443-1453.e2. doi:10.1016/j.clinthera.2015.04.008 PubMed PMID: 25982687.</w:t>
      </w:r>
    </w:p>
    <w:p w14:paraId="59380FDE" w14:textId="77777777" w:rsidR="00CA69E8" w:rsidRDefault="00CA69E8" w:rsidP="00CA69E8">
      <w:pPr>
        <w:pStyle w:val="Bibliografia"/>
      </w:pPr>
      <w:r>
        <w:t>21.</w:t>
      </w:r>
      <w:r>
        <w:tab/>
        <w:t>Chuang YC, Lin HY, Chen PY, Lin CY, Wang JT, Chen YC, et al. Effect of Daptomycin Dose on the Outcome of Vancomycin-Resistant, Daptomycin-Susceptible Enterococcus faecium Bacteremia. Clin Infect Dis Off Publ Infect Dis Soc Am. 15 aprile 2017;64(8):1026–34. doi:10.1093/cid/cix024 PubMed PMID: 28329222.</w:t>
      </w:r>
    </w:p>
    <w:p w14:paraId="56C59A54" w14:textId="77777777" w:rsidR="00CA69E8" w:rsidRDefault="00CA69E8" w:rsidP="00CA69E8">
      <w:pPr>
        <w:pStyle w:val="Bibliografia"/>
      </w:pPr>
      <w:r>
        <w:t>22.</w:t>
      </w:r>
      <w:r>
        <w:tab/>
        <w:t>Chuang YC, Chen PY, Lin CY, Chen YC, Wang JT, Chang SC. A retrospective clinical comparison of daptomycin vs daptomycin and a beta-lactam antibiotic for treating vancomycin-resistant Enterococcus faecium bloodstream infections. Sci Rep. 26 gennaio 2018;8(1):1632. doi:10.1038/s41598-018-19986-8 PubMed PMID: 29374204; PubMed Central PMCID: PMC5786011.</w:t>
      </w:r>
    </w:p>
    <w:p w14:paraId="75BE6AD2" w14:textId="77777777" w:rsidR="00CA69E8" w:rsidRDefault="00CA69E8" w:rsidP="00CA69E8">
      <w:pPr>
        <w:pStyle w:val="Bibliografia"/>
      </w:pPr>
      <w:r>
        <w:t>23.</w:t>
      </w:r>
      <w:r>
        <w:tab/>
        <w:t>Chuang YC, Wang JT, Yang JL, Lin CY, Huang SH, Chen YC, et al. The combination of daptomycin with β-lactam antibiotics is more effective than daptomycin alone for vancomycin-resistant Enterococcus faecium bloodstream infection. J Infect Public Health. dicembre 2022;15(12):1396–402. doi:10.1016/j.jiph.2022.10.017 PubMed PMID: 36371936.</w:t>
      </w:r>
    </w:p>
    <w:p w14:paraId="2514E01E" w14:textId="77777777" w:rsidR="00CA69E8" w:rsidRDefault="00CA69E8" w:rsidP="00CA69E8">
      <w:pPr>
        <w:pStyle w:val="Bibliografia"/>
      </w:pPr>
      <w:r>
        <w:lastRenderedPageBreak/>
        <w:t>24.</w:t>
      </w:r>
      <w:r>
        <w:tab/>
        <w:t>Chuang YC, Lin HY, Yang JL, Lin CY, Huang SH, Wang JT, et al. Influence of daptomycin doses on the outcomes of VRE bloodstream infection treated with high-dose daptomycin. J Antimicrob Chemother. 28 luglio 2022;77(8):2278–87. doi:10.1093/jac/dkac164 PubMed PMID: 35639586.</w:t>
      </w:r>
    </w:p>
    <w:p w14:paraId="2CE6B30B" w14:textId="77777777" w:rsidR="00CA69E8" w:rsidRDefault="00CA69E8" w:rsidP="00CA69E8">
      <w:pPr>
        <w:pStyle w:val="Bibliografia"/>
      </w:pPr>
      <w:r>
        <w:t>25.</w:t>
      </w:r>
      <w:r>
        <w:tab/>
        <w:t>Chuang YC, Tseng TC, Wang JT, Lin CY, Huang SH, Chen YC, et al. Influence of daptomycin dose and fosfomycin susceptibility on outcome of vancomycin-resistant Enterococcus faecium bloodstream infections treated with daptomycin and fosfomycin combination. J Antimicrob Chemother. 1 maggio 2022;77(5):1436–43. doi:10.1093/jac/dkac023</w:t>
      </w:r>
    </w:p>
    <w:p w14:paraId="296F862A" w14:textId="77777777" w:rsidR="00CA69E8" w:rsidRDefault="00CA69E8" w:rsidP="00CA69E8">
      <w:pPr>
        <w:pStyle w:val="Bibliografia"/>
      </w:pPr>
      <w:r>
        <w:t>26.</w:t>
      </w:r>
      <w:r>
        <w:tab/>
        <w:t>Tseng TC, Chuang YC, Yang JL, Lin CY, Huang SH, Wang JT, et al. The Combination of Daptomycin with Fosfomycin is More Effective than Daptomycin Alone in Reducing Mortality of Vancomycin-Resistant Enterococcal Bloodstream Infections: A Retrospective, Comparative Cohort Study. Infect Dis Ther. febbraio 2023;12(2):589–606. doi:10.1007/s40121-022-00754-1 PubMed PMID: 36629997; PubMed Central PMCID: PMC9925660.</w:t>
      </w:r>
    </w:p>
    <w:p w14:paraId="367AB294" w14:textId="77777777" w:rsidR="00CA69E8" w:rsidRDefault="00CA69E8" w:rsidP="00CA69E8">
      <w:pPr>
        <w:pStyle w:val="Bibliografia"/>
      </w:pPr>
      <w:r>
        <w:t>27.</w:t>
      </w:r>
      <w:r>
        <w:tab/>
        <w:t>Chong PP, van Duin D, Bangdiwala A, Ivanova A, Miller WC, Weber DJ, et al. Vancomycin-resistant Enterococcal Bloodstream Infections in Hematopoietic Stem Cell Transplant Recipients and Patients with Hematologic Malignancies: Impact of Daptomycin MICs of 3 to 4 mg/L. Clin Ther. novembre 2016;38(11):2468–76. doi:10.1016/j.clinthera.2016.09.011 PubMed PMID: 27771176.</w:t>
      </w:r>
    </w:p>
    <w:p w14:paraId="2EEEEE81" w14:textId="4E0D5393" w:rsidR="00B75C42" w:rsidRPr="00485CE2" w:rsidRDefault="00A235E2" w:rsidP="00485CE2">
      <w:pPr>
        <w:spacing w:after="160" w:line="259" w:lineRule="auto"/>
        <w:rPr>
          <w:b/>
          <w:lang w:val="en-US"/>
        </w:rPr>
      </w:pPr>
      <w:r>
        <w:rPr>
          <w:b/>
          <w:lang w:val="en-US"/>
        </w:rPr>
        <w:fldChar w:fldCharType="end"/>
      </w:r>
    </w:p>
    <w:sectPr w:rsidR="00B75C42" w:rsidRPr="00485CE2" w:rsidSect="00740B37">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13D18" w14:textId="77777777" w:rsidR="0092056B" w:rsidRDefault="0092056B" w:rsidP="00E512A7">
      <w:r>
        <w:separator/>
      </w:r>
    </w:p>
  </w:endnote>
  <w:endnote w:type="continuationSeparator" w:id="0">
    <w:p w14:paraId="146F8447" w14:textId="77777777" w:rsidR="0092056B" w:rsidRDefault="0092056B" w:rsidP="00E5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934234"/>
      <w:docPartObj>
        <w:docPartGallery w:val="Page Numbers (Bottom of Page)"/>
        <w:docPartUnique/>
      </w:docPartObj>
    </w:sdtPr>
    <w:sdtContent>
      <w:p w14:paraId="5CF7EC21" w14:textId="77777777" w:rsidR="00CE4C88" w:rsidRDefault="00535326">
        <w:pPr>
          <w:pStyle w:val="Pidipagina"/>
          <w:jc w:val="right"/>
        </w:pPr>
        <w:r>
          <w:fldChar w:fldCharType="begin"/>
        </w:r>
        <w:r w:rsidR="003E58B4">
          <w:instrText>PAGE   \* MERGEFORMAT</w:instrText>
        </w:r>
        <w:r>
          <w:fldChar w:fldCharType="separate"/>
        </w:r>
        <w:r w:rsidR="00EC2F77">
          <w:rPr>
            <w:noProof/>
          </w:rPr>
          <w:t>10</w:t>
        </w:r>
        <w:r>
          <w:rPr>
            <w:noProof/>
          </w:rPr>
          <w:fldChar w:fldCharType="end"/>
        </w:r>
      </w:p>
    </w:sdtContent>
  </w:sdt>
  <w:p w14:paraId="5CF7EC22" w14:textId="77777777" w:rsidR="00CE4C88" w:rsidRDefault="00CE4C8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83D14" w14:textId="77777777" w:rsidR="0092056B" w:rsidRDefault="0092056B" w:rsidP="00E512A7">
      <w:r>
        <w:separator/>
      </w:r>
    </w:p>
  </w:footnote>
  <w:footnote w:type="continuationSeparator" w:id="0">
    <w:p w14:paraId="5E5EAB14" w14:textId="77777777" w:rsidR="0092056B" w:rsidRDefault="0092056B" w:rsidP="00E51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71B26"/>
    <w:multiLevelType w:val="multilevel"/>
    <w:tmpl w:val="5D04B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1926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 w:name="paperpile-doc-id" w:val="G119N167J557G252"/>
    <w:docVar w:name="paperpile-doc-name" w:val="Systematic review IFI breakthrough_2.docx"/>
  </w:docVars>
  <w:rsids>
    <w:rsidRoot w:val="00FC1E7D"/>
    <w:rsid w:val="00000DBB"/>
    <w:rsid w:val="00001108"/>
    <w:rsid w:val="00002F81"/>
    <w:rsid w:val="0000564F"/>
    <w:rsid w:val="000056D0"/>
    <w:rsid w:val="00007F1B"/>
    <w:rsid w:val="00010F45"/>
    <w:rsid w:val="000171A6"/>
    <w:rsid w:val="000303C5"/>
    <w:rsid w:val="000324C8"/>
    <w:rsid w:val="0003291A"/>
    <w:rsid w:val="00033910"/>
    <w:rsid w:val="00043091"/>
    <w:rsid w:val="000431B4"/>
    <w:rsid w:val="00043AC1"/>
    <w:rsid w:val="00046718"/>
    <w:rsid w:val="00046AD6"/>
    <w:rsid w:val="000516C2"/>
    <w:rsid w:val="0005281D"/>
    <w:rsid w:val="000550AF"/>
    <w:rsid w:val="00061162"/>
    <w:rsid w:val="000629D3"/>
    <w:rsid w:val="0006405E"/>
    <w:rsid w:val="00074410"/>
    <w:rsid w:val="00077CA3"/>
    <w:rsid w:val="00080FBF"/>
    <w:rsid w:val="000822C0"/>
    <w:rsid w:val="000825CF"/>
    <w:rsid w:val="000829AB"/>
    <w:rsid w:val="00091282"/>
    <w:rsid w:val="00095D8A"/>
    <w:rsid w:val="000972DD"/>
    <w:rsid w:val="000A00D7"/>
    <w:rsid w:val="000A5AEE"/>
    <w:rsid w:val="000B03A7"/>
    <w:rsid w:val="000B31A2"/>
    <w:rsid w:val="000B327C"/>
    <w:rsid w:val="000B60DB"/>
    <w:rsid w:val="000B6C36"/>
    <w:rsid w:val="000B7F71"/>
    <w:rsid w:val="000C1C79"/>
    <w:rsid w:val="000C3D46"/>
    <w:rsid w:val="000C4BA2"/>
    <w:rsid w:val="000D0C0D"/>
    <w:rsid w:val="000D22D8"/>
    <w:rsid w:val="000D5BAF"/>
    <w:rsid w:val="000E0C8B"/>
    <w:rsid w:val="000F2A56"/>
    <w:rsid w:val="000F2B26"/>
    <w:rsid w:val="000F5777"/>
    <w:rsid w:val="000F7403"/>
    <w:rsid w:val="001001D7"/>
    <w:rsid w:val="001015E1"/>
    <w:rsid w:val="001020C9"/>
    <w:rsid w:val="00106315"/>
    <w:rsid w:val="00111154"/>
    <w:rsid w:val="001112E3"/>
    <w:rsid w:val="0011382D"/>
    <w:rsid w:val="00114445"/>
    <w:rsid w:val="00114D8E"/>
    <w:rsid w:val="00115474"/>
    <w:rsid w:val="00117B28"/>
    <w:rsid w:val="00121897"/>
    <w:rsid w:val="00121FD6"/>
    <w:rsid w:val="00122322"/>
    <w:rsid w:val="00122B41"/>
    <w:rsid w:val="001231A5"/>
    <w:rsid w:val="00123496"/>
    <w:rsid w:val="00123844"/>
    <w:rsid w:val="001310B2"/>
    <w:rsid w:val="00131B28"/>
    <w:rsid w:val="001322BE"/>
    <w:rsid w:val="001359D6"/>
    <w:rsid w:val="00144C6C"/>
    <w:rsid w:val="00145E3A"/>
    <w:rsid w:val="001511C7"/>
    <w:rsid w:val="00155CBC"/>
    <w:rsid w:val="00160CBE"/>
    <w:rsid w:val="00162AB3"/>
    <w:rsid w:val="00166614"/>
    <w:rsid w:val="0017066D"/>
    <w:rsid w:val="0017354A"/>
    <w:rsid w:val="00173AB5"/>
    <w:rsid w:val="00174FCA"/>
    <w:rsid w:val="00175381"/>
    <w:rsid w:val="00175766"/>
    <w:rsid w:val="001769B7"/>
    <w:rsid w:val="001849B4"/>
    <w:rsid w:val="00191D09"/>
    <w:rsid w:val="00195496"/>
    <w:rsid w:val="001961D1"/>
    <w:rsid w:val="0019629B"/>
    <w:rsid w:val="001A03E3"/>
    <w:rsid w:val="001A3A88"/>
    <w:rsid w:val="001A4C80"/>
    <w:rsid w:val="001B0E91"/>
    <w:rsid w:val="001B2725"/>
    <w:rsid w:val="001B3199"/>
    <w:rsid w:val="001B345B"/>
    <w:rsid w:val="001B5BA0"/>
    <w:rsid w:val="001B5EB2"/>
    <w:rsid w:val="001B7D25"/>
    <w:rsid w:val="001B7FB4"/>
    <w:rsid w:val="001C16F8"/>
    <w:rsid w:val="001C7357"/>
    <w:rsid w:val="001D0157"/>
    <w:rsid w:val="001D66D0"/>
    <w:rsid w:val="001E0F1B"/>
    <w:rsid w:val="001E0F31"/>
    <w:rsid w:val="001E3AD4"/>
    <w:rsid w:val="001E5CD0"/>
    <w:rsid w:val="001F2AFE"/>
    <w:rsid w:val="001F30E4"/>
    <w:rsid w:val="001F493A"/>
    <w:rsid w:val="001F514C"/>
    <w:rsid w:val="001F76C8"/>
    <w:rsid w:val="001F76CE"/>
    <w:rsid w:val="002005CA"/>
    <w:rsid w:val="0020341D"/>
    <w:rsid w:val="002039F2"/>
    <w:rsid w:val="0020426B"/>
    <w:rsid w:val="00204277"/>
    <w:rsid w:val="0020728B"/>
    <w:rsid w:val="002105E0"/>
    <w:rsid w:val="002124E0"/>
    <w:rsid w:val="0021483C"/>
    <w:rsid w:val="00214C87"/>
    <w:rsid w:val="00225FCD"/>
    <w:rsid w:val="00231A54"/>
    <w:rsid w:val="00232571"/>
    <w:rsid w:val="00235296"/>
    <w:rsid w:val="002420D6"/>
    <w:rsid w:val="00243ABC"/>
    <w:rsid w:val="002453B6"/>
    <w:rsid w:val="00246C80"/>
    <w:rsid w:val="00255C0E"/>
    <w:rsid w:val="00256309"/>
    <w:rsid w:val="002617E9"/>
    <w:rsid w:val="00263B17"/>
    <w:rsid w:val="002667E1"/>
    <w:rsid w:val="002714B2"/>
    <w:rsid w:val="002722E8"/>
    <w:rsid w:val="00273CD2"/>
    <w:rsid w:val="00275356"/>
    <w:rsid w:val="00283C3C"/>
    <w:rsid w:val="0028523B"/>
    <w:rsid w:val="0028538A"/>
    <w:rsid w:val="002868B9"/>
    <w:rsid w:val="00287482"/>
    <w:rsid w:val="0028778F"/>
    <w:rsid w:val="00290716"/>
    <w:rsid w:val="002955A7"/>
    <w:rsid w:val="00295B7D"/>
    <w:rsid w:val="002966C6"/>
    <w:rsid w:val="00296C4F"/>
    <w:rsid w:val="0029769E"/>
    <w:rsid w:val="002A29AB"/>
    <w:rsid w:val="002A2C14"/>
    <w:rsid w:val="002A3AF6"/>
    <w:rsid w:val="002A3E75"/>
    <w:rsid w:val="002A51EC"/>
    <w:rsid w:val="002A7034"/>
    <w:rsid w:val="002A70F1"/>
    <w:rsid w:val="002B0533"/>
    <w:rsid w:val="002B0D88"/>
    <w:rsid w:val="002B12A5"/>
    <w:rsid w:val="002B4F03"/>
    <w:rsid w:val="002C4FF4"/>
    <w:rsid w:val="002C77DA"/>
    <w:rsid w:val="002E7EBE"/>
    <w:rsid w:val="002F0C56"/>
    <w:rsid w:val="002F0F71"/>
    <w:rsid w:val="002F1EC1"/>
    <w:rsid w:val="002F242D"/>
    <w:rsid w:val="002F263B"/>
    <w:rsid w:val="002F2C45"/>
    <w:rsid w:val="002F5BA5"/>
    <w:rsid w:val="002F5DC1"/>
    <w:rsid w:val="002F6ECB"/>
    <w:rsid w:val="002F71C0"/>
    <w:rsid w:val="002F76B7"/>
    <w:rsid w:val="00300C7C"/>
    <w:rsid w:val="003067D2"/>
    <w:rsid w:val="00317220"/>
    <w:rsid w:val="00323C77"/>
    <w:rsid w:val="00325619"/>
    <w:rsid w:val="003261DB"/>
    <w:rsid w:val="00330EB7"/>
    <w:rsid w:val="003327EB"/>
    <w:rsid w:val="00336B60"/>
    <w:rsid w:val="00343E1A"/>
    <w:rsid w:val="0034522B"/>
    <w:rsid w:val="00345C5E"/>
    <w:rsid w:val="00347D50"/>
    <w:rsid w:val="0035222E"/>
    <w:rsid w:val="00364B7D"/>
    <w:rsid w:val="0036507A"/>
    <w:rsid w:val="00370A2E"/>
    <w:rsid w:val="00371190"/>
    <w:rsid w:val="0037773C"/>
    <w:rsid w:val="003808F2"/>
    <w:rsid w:val="00381606"/>
    <w:rsid w:val="00383A8A"/>
    <w:rsid w:val="0038520A"/>
    <w:rsid w:val="00385D5E"/>
    <w:rsid w:val="00386EE1"/>
    <w:rsid w:val="003907F3"/>
    <w:rsid w:val="0039107B"/>
    <w:rsid w:val="003913E2"/>
    <w:rsid w:val="00391520"/>
    <w:rsid w:val="003920AB"/>
    <w:rsid w:val="0039224D"/>
    <w:rsid w:val="0039319E"/>
    <w:rsid w:val="003935D0"/>
    <w:rsid w:val="003942DE"/>
    <w:rsid w:val="003950E8"/>
    <w:rsid w:val="00395ECA"/>
    <w:rsid w:val="003960F9"/>
    <w:rsid w:val="0039767F"/>
    <w:rsid w:val="003A1845"/>
    <w:rsid w:val="003A2E44"/>
    <w:rsid w:val="003A6CDC"/>
    <w:rsid w:val="003B26EA"/>
    <w:rsid w:val="003C0F63"/>
    <w:rsid w:val="003C29B1"/>
    <w:rsid w:val="003D2D50"/>
    <w:rsid w:val="003D49D8"/>
    <w:rsid w:val="003D55E9"/>
    <w:rsid w:val="003D5878"/>
    <w:rsid w:val="003D7EC2"/>
    <w:rsid w:val="003E000D"/>
    <w:rsid w:val="003E58B4"/>
    <w:rsid w:val="003F14B0"/>
    <w:rsid w:val="003F2B06"/>
    <w:rsid w:val="003F2F54"/>
    <w:rsid w:val="003F5983"/>
    <w:rsid w:val="00407F52"/>
    <w:rsid w:val="004113E4"/>
    <w:rsid w:val="00414359"/>
    <w:rsid w:val="00415C3D"/>
    <w:rsid w:val="00417422"/>
    <w:rsid w:val="00420B01"/>
    <w:rsid w:val="00424ADE"/>
    <w:rsid w:val="00430BB9"/>
    <w:rsid w:val="0043705F"/>
    <w:rsid w:val="004376E3"/>
    <w:rsid w:val="004400A8"/>
    <w:rsid w:val="00442326"/>
    <w:rsid w:val="004424C9"/>
    <w:rsid w:val="00442DFE"/>
    <w:rsid w:val="00443282"/>
    <w:rsid w:val="00446F72"/>
    <w:rsid w:val="004534D3"/>
    <w:rsid w:val="004539E4"/>
    <w:rsid w:val="0045539A"/>
    <w:rsid w:val="00457D75"/>
    <w:rsid w:val="00460743"/>
    <w:rsid w:val="004620B0"/>
    <w:rsid w:val="00470CBD"/>
    <w:rsid w:val="00471AE3"/>
    <w:rsid w:val="00473447"/>
    <w:rsid w:val="00474EC7"/>
    <w:rsid w:val="0048010F"/>
    <w:rsid w:val="0048162B"/>
    <w:rsid w:val="004821FF"/>
    <w:rsid w:val="00482C6D"/>
    <w:rsid w:val="004851D5"/>
    <w:rsid w:val="00485CE2"/>
    <w:rsid w:val="004874E8"/>
    <w:rsid w:val="00487528"/>
    <w:rsid w:val="00491BC5"/>
    <w:rsid w:val="00493586"/>
    <w:rsid w:val="004947B7"/>
    <w:rsid w:val="004960F4"/>
    <w:rsid w:val="00497978"/>
    <w:rsid w:val="004A14C6"/>
    <w:rsid w:val="004A1817"/>
    <w:rsid w:val="004A1F1C"/>
    <w:rsid w:val="004A2AAE"/>
    <w:rsid w:val="004A4759"/>
    <w:rsid w:val="004B60D9"/>
    <w:rsid w:val="004D081C"/>
    <w:rsid w:val="004D2FCF"/>
    <w:rsid w:val="004D633D"/>
    <w:rsid w:val="004E1098"/>
    <w:rsid w:val="004E1119"/>
    <w:rsid w:val="004E363E"/>
    <w:rsid w:val="004E57FD"/>
    <w:rsid w:val="004E5880"/>
    <w:rsid w:val="004E7558"/>
    <w:rsid w:val="004E775C"/>
    <w:rsid w:val="004F0081"/>
    <w:rsid w:val="004F1588"/>
    <w:rsid w:val="004F2039"/>
    <w:rsid w:val="004F4710"/>
    <w:rsid w:val="004F483B"/>
    <w:rsid w:val="004F4C86"/>
    <w:rsid w:val="004F5C48"/>
    <w:rsid w:val="004F6FB5"/>
    <w:rsid w:val="005066AB"/>
    <w:rsid w:val="0051067C"/>
    <w:rsid w:val="005136E0"/>
    <w:rsid w:val="00513D01"/>
    <w:rsid w:val="00517BD4"/>
    <w:rsid w:val="00520485"/>
    <w:rsid w:val="00521121"/>
    <w:rsid w:val="005216F2"/>
    <w:rsid w:val="00526574"/>
    <w:rsid w:val="00535326"/>
    <w:rsid w:val="00544227"/>
    <w:rsid w:val="005476B2"/>
    <w:rsid w:val="00547DE9"/>
    <w:rsid w:val="00547F88"/>
    <w:rsid w:val="00550D18"/>
    <w:rsid w:val="00551887"/>
    <w:rsid w:val="00551C6B"/>
    <w:rsid w:val="00555084"/>
    <w:rsid w:val="00555F33"/>
    <w:rsid w:val="00555FF8"/>
    <w:rsid w:val="00557AE1"/>
    <w:rsid w:val="00565FC9"/>
    <w:rsid w:val="00566A43"/>
    <w:rsid w:val="005674FD"/>
    <w:rsid w:val="00572483"/>
    <w:rsid w:val="0057707B"/>
    <w:rsid w:val="00580CCE"/>
    <w:rsid w:val="0058298A"/>
    <w:rsid w:val="00584302"/>
    <w:rsid w:val="00586CEF"/>
    <w:rsid w:val="00597FC4"/>
    <w:rsid w:val="005A0F6C"/>
    <w:rsid w:val="005A1F63"/>
    <w:rsid w:val="005A5D0A"/>
    <w:rsid w:val="005B0D0D"/>
    <w:rsid w:val="005B1489"/>
    <w:rsid w:val="005B3BD8"/>
    <w:rsid w:val="005B3F32"/>
    <w:rsid w:val="005B59D9"/>
    <w:rsid w:val="005B5F98"/>
    <w:rsid w:val="005B7CF6"/>
    <w:rsid w:val="005B7EF5"/>
    <w:rsid w:val="005B7F91"/>
    <w:rsid w:val="005C0496"/>
    <w:rsid w:val="005C1516"/>
    <w:rsid w:val="005C3092"/>
    <w:rsid w:val="005C3607"/>
    <w:rsid w:val="005C4CD1"/>
    <w:rsid w:val="005C5AD3"/>
    <w:rsid w:val="005C7BB4"/>
    <w:rsid w:val="005D0C69"/>
    <w:rsid w:val="005D1536"/>
    <w:rsid w:val="005D4BB4"/>
    <w:rsid w:val="005D4ED8"/>
    <w:rsid w:val="005D5FA3"/>
    <w:rsid w:val="005E125A"/>
    <w:rsid w:val="005F1A5A"/>
    <w:rsid w:val="005F4ED0"/>
    <w:rsid w:val="005F5FEA"/>
    <w:rsid w:val="005F6C2C"/>
    <w:rsid w:val="00600B00"/>
    <w:rsid w:val="00600C5E"/>
    <w:rsid w:val="00600D65"/>
    <w:rsid w:val="00602D82"/>
    <w:rsid w:val="00607D34"/>
    <w:rsid w:val="006114BE"/>
    <w:rsid w:val="0061344B"/>
    <w:rsid w:val="00614B12"/>
    <w:rsid w:val="00615786"/>
    <w:rsid w:val="00617A08"/>
    <w:rsid w:val="00627292"/>
    <w:rsid w:val="006301E1"/>
    <w:rsid w:val="006303A6"/>
    <w:rsid w:val="0063194F"/>
    <w:rsid w:val="00635358"/>
    <w:rsid w:val="00641E1F"/>
    <w:rsid w:val="00642FAB"/>
    <w:rsid w:val="00645401"/>
    <w:rsid w:val="00645439"/>
    <w:rsid w:val="00645F38"/>
    <w:rsid w:val="00647009"/>
    <w:rsid w:val="00650FEC"/>
    <w:rsid w:val="006510B8"/>
    <w:rsid w:val="006601ED"/>
    <w:rsid w:val="006645A0"/>
    <w:rsid w:val="00664813"/>
    <w:rsid w:val="00670E49"/>
    <w:rsid w:val="006730F4"/>
    <w:rsid w:val="00673D50"/>
    <w:rsid w:val="006752DB"/>
    <w:rsid w:val="00676F2D"/>
    <w:rsid w:val="00681396"/>
    <w:rsid w:val="006840D5"/>
    <w:rsid w:val="006852A8"/>
    <w:rsid w:val="00691F6A"/>
    <w:rsid w:val="0069223B"/>
    <w:rsid w:val="00693196"/>
    <w:rsid w:val="00693948"/>
    <w:rsid w:val="00695808"/>
    <w:rsid w:val="006A03B6"/>
    <w:rsid w:val="006A36AB"/>
    <w:rsid w:val="006B3579"/>
    <w:rsid w:val="006B3B96"/>
    <w:rsid w:val="006B3BCA"/>
    <w:rsid w:val="006B4046"/>
    <w:rsid w:val="006B522A"/>
    <w:rsid w:val="006B53E3"/>
    <w:rsid w:val="006B6ED7"/>
    <w:rsid w:val="006B730E"/>
    <w:rsid w:val="006C3E95"/>
    <w:rsid w:val="006C505E"/>
    <w:rsid w:val="006D14FA"/>
    <w:rsid w:val="006D6D1D"/>
    <w:rsid w:val="006D7E60"/>
    <w:rsid w:val="006E02C5"/>
    <w:rsid w:val="006E0D66"/>
    <w:rsid w:val="006E1B9E"/>
    <w:rsid w:val="006E2E3A"/>
    <w:rsid w:val="006E6F3E"/>
    <w:rsid w:val="006F0ED9"/>
    <w:rsid w:val="006F1474"/>
    <w:rsid w:val="006F261E"/>
    <w:rsid w:val="007051AD"/>
    <w:rsid w:val="007109C5"/>
    <w:rsid w:val="00711140"/>
    <w:rsid w:val="0071553A"/>
    <w:rsid w:val="00715674"/>
    <w:rsid w:val="007161B9"/>
    <w:rsid w:val="007167D3"/>
    <w:rsid w:val="00716A9A"/>
    <w:rsid w:val="007170CA"/>
    <w:rsid w:val="007173E4"/>
    <w:rsid w:val="0072237D"/>
    <w:rsid w:val="0072553B"/>
    <w:rsid w:val="00731969"/>
    <w:rsid w:val="0073200E"/>
    <w:rsid w:val="00733C46"/>
    <w:rsid w:val="00735215"/>
    <w:rsid w:val="007375C3"/>
    <w:rsid w:val="00740B37"/>
    <w:rsid w:val="007428A7"/>
    <w:rsid w:val="00742C18"/>
    <w:rsid w:val="00744B1D"/>
    <w:rsid w:val="00745B82"/>
    <w:rsid w:val="00750DEE"/>
    <w:rsid w:val="00751FAC"/>
    <w:rsid w:val="007610AB"/>
    <w:rsid w:val="00762F83"/>
    <w:rsid w:val="0076363A"/>
    <w:rsid w:val="00763A82"/>
    <w:rsid w:val="00764B25"/>
    <w:rsid w:val="00766298"/>
    <w:rsid w:val="007727D8"/>
    <w:rsid w:val="007730E5"/>
    <w:rsid w:val="0077489B"/>
    <w:rsid w:val="0078056B"/>
    <w:rsid w:val="00781E49"/>
    <w:rsid w:val="00782807"/>
    <w:rsid w:val="007853D8"/>
    <w:rsid w:val="00786104"/>
    <w:rsid w:val="00790140"/>
    <w:rsid w:val="007907E7"/>
    <w:rsid w:val="00795E6F"/>
    <w:rsid w:val="007A1F30"/>
    <w:rsid w:val="007A3E20"/>
    <w:rsid w:val="007A408D"/>
    <w:rsid w:val="007A70D3"/>
    <w:rsid w:val="007B51E9"/>
    <w:rsid w:val="007C42D5"/>
    <w:rsid w:val="007C7098"/>
    <w:rsid w:val="007C7DBD"/>
    <w:rsid w:val="007D0145"/>
    <w:rsid w:val="007D2A16"/>
    <w:rsid w:val="007D2A43"/>
    <w:rsid w:val="007D36A8"/>
    <w:rsid w:val="007D374E"/>
    <w:rsid w:val="007D4999"/>
    <w:rsid w:val="007D5345"/>
    <w:rsid w:val="007E3B15"/>
    <w:rsid w:val="007E424D"/>
    <w:rsid w:val="007E5FEC"/>
    <w:rsid w:val="007F2AC2"/>
    <w:rsid w:val="007F2EED"/>
    <w:rsid w:val="00802101"/>
    <w:rsid w:val="00802D24"/>
    <w:rsid w:val="008030E3"/>
    <w:rsid w:val="0080466F"/>
    <w:rsid w:val="008110B2"/>
    <w:rsid w:val="00825FA5"/>
    <w:rsid w:val="008335D6"/>
    <w:rsid w:val="008379C8"/>
    <w:rsid w:val="0084100B"/>
    <w:rsid w:val="00841182"/>
    <w:rsid w:val="008420EF"/>
    <w:rsid w:val="008436FA"/>
    <w:rsid w:val="008451B2"/>
    <w:rsid w:val="00845441"/>
    <w:rsid w:val="00860056"/>
    <w:rsid w:val="00862712"/>
    <w:rsid w:val="008650B5"/>
    <w:rsid w:val="0086628A"/>
    <w:rsid w:val="00871D36"/>
    <w:rsid w:val="00872142"/>
    <w:rsid w:val="00873AB4"/>
    <w:rsid w:val="00875DD3"/>
    <w:rsid w:val="0087696B"/>
    <w:rsid w:val="00877E6A"/>
    <w:rsid w:val="008809BD"/>
    <w:rsid w:val="00886EA9"/>
    <w:rsid w:val="00887CCA"/>
    <w:rsid w:val="00891342"/>
    <w:rsid w:val="0089174B"/>
    <w:rsid w:val="00892B7F"/>
    <w:rsid w:val="00893FCA"/>
    <w:rsid w:val="008940C4"/>
    <w:rsid w:val="0089488F"/>
    <w:rsid w:val="00897D4D"/>
    <w:rsid w:val="008A6740"/>
    <w:rsid w:val="008A75C4"/>
    <w:rsid w:val="008B04A4"/>
    <w:rsid w:val="008B0D79"/>
    <w:rsid w:val="008B6061"/>
    <w:rsid w:val="008B73A2"/>
    <w:rsid w:val="008C0B80"/>
    <w:rsid w:val="008C4CCD"/>
    <w:rsid w:val="008D3E87"/>
    <w:rsid w:val="008D6400"/>
    <w:rsid w:val="008D6F32"/>
    <w:rsid w:val="008D710F"/>
    <w:rsid w:val="008D7B66"/>
    <w:rsid w:val="008E02F9"/>
    <w:rsid w:val="008E06D3"/>
    <w:rsid w:val="008E0C22"/>
    <w:rsid w:val="008E1DB8"/>
    <w:rsid w:val="008E2C85"/>
    <w:rsid w:val="008E3839"/>
    <w:rsid w:val="008E46CA"/>
    <w:rsid w:val="008E5316"/>
    <w:rsid w:val="008E6AAD"/>
    <w:rsid w:val="008F0303"/>
    <w:rsid w:val="008F20FF"/>
    <w:rsid w:val="00905AD4"/>
    <w:rsid w:val="00906F50"/>
    <w:rsid w:val="00917851"/>
    <w:rsid w:val="00917904"/>
    <w:rsid w:val="00917B16"/>
    <w:rsid w:val="0092056B"/>
    <w:rsid w:val="00920878"/>
    <w:rsid w:val="0092154D"/>
    <w:rsid w:val="009253FB"/>
    <w:rsid w:val="009315B5"/>
    <w:rsid w:val="009319AA"/>
    <w:rsid w:val="009349A9"/>
    <w:rsid w:val="00935F7D"/>
    <w:rsid w:val="00937BE9"/>
    <w:rsid w:val="00937F58"/>
    <w:rsid w:val="0094288A"/>
    <w:rsid w:val="00944949"/>
    <w:rsid w:val="00945532"/>
    <w:rsid w:val="00951CBC"/>
    <w:rsid w:val="00952745"/>
    <w:rsid w:val="00954256"/>
    <w:rsid w:val="00962546"/>
    <w:rsid w:val="0096279D"/>
    <w:rsid w:val="00963AAA"/>
    <w:rsid w:val="00965980"/>
    <w:rsid w:val="00970383"/>
    <w:rsid w:val="00975732"/>
    <w:rsid w:val="009761AC"/>
    <w:rsid w:val="00984AB7"/>
    <w:rsid w:val="00984C70"/>
    <w:rsid w:val="00987735"/>
    <w:rsid w:val="009918A8"/>
    <w:rsid w:val="00992DED"/>
    <w:rsid w:val="00996702"/>
    <w:rsid w:val="00997FBF"/>
    <w:rsid w:val="009B3710"/>
    <w:rsid w:val="009B3E92"/>
    <w:rsid w:val="009B4CB4"/>
    <w:rsid w:val="009C1DEC"/>
    <w:rsid w:val="009C6D0D"/>
    <w:rsid w:val="009D3888"/>
    <w:rsid w:val="009E1CED"/>
    <w:rsid w:val="009E1DAF"/>
    <w:rsid w:val="009E2FEB"/>
    <w:rsid w:val="009E4891"/>
    <w:rsid w:val="009E6779"/>
    <w:rsid w:val="009F0579"/>
    <w:rsid w:val="009F233F"/>
    <w:rsid w:val="009F2F2F"/>
    <w:rsid w:val="009F6B4F"/>
    <w:rsid w:val="00A02BE2"/>
    <w:rsid w:val="00A050D2"/>
    <w:rsid w:val="00A11F0B"/>
    <w:rsid w:val="00A13054"/>
    <w:rsid w:val="00A137B3"/>
    <w:rsid w:val="00A13801"/>
    <w:rsid w:val="00A20C32"/>
    <w:rsid w:val="00A22780"/>
    <w:rsid w:val="00A22C6C"/>
    <w:rsid w:val="00A22E50"/>
    <w:rsid w:val="00A235E2"/>
    <w:rsid w:val="00A349D2"/>
    <w:rsid w:val="00A35D2B"/>
    <w:rsid w:val="00A360E3"/>
    <w:rsid w:val="00A42E17"/>
    <w:rsid w:val="00A45769"/>
    <w:rsid w:val="00A472A7"/>
    <w:rsid w:val="00A564DA"/>
    <w:rsid w:val="00A6544D"/>
    <w:rsid w:val="00A67C5B"/>
    <w:rsid w:val="00A7663E"/>
    <w:rsid w:val="00A7693C"/>
    <w:rsid w:val="00A80F8A"/>
    <w:rsid w:val="00A83BC0"/>
    <w:rsid w:val="00A906B2"/>
    <w:rsid w:val="00A91CAF"/>
    <w:rsid w:val="00A96FD4"/>
    <w:rsid w:val="00AB0650"/>
    <w:rsid w:val="00AB1A1C"/>
    <w:rsid w:val="00AB6451"/>
    <w:rsid w:val="00AB74C6"/>
    <w:rsid w:val="00AC1E2A"/>
    <w:rsid w:val="00AC4C61"/>
    <w:rsid w:val="00AC674C"/>
    <w:rsid w:val="00AC7591"/>
    <w:rsid w:val="00AD0D2E"/>
    <w:rsid w:val="00AD1BFB"/>
    <w:rsid w:val="00AD2B27"/>
    <w:rsid w:val="00AD3590"/>
    <w:rsid w:val="00AD5D30"/>
    <w:rsid w:val="00AD77EC"/>
    <w:rsid w:val="00AE1D7D"/>
    <w:rsid w:val="00AF427C"/>
    <w:rsid w:val="00AF4E5D"/>
    <w:rsid w:val="00AF5CC5"/>
    <w:rsid w:val="00AF5EFA"/>
    <w:rsid w:val="00B00B9A"/>
    <w:rsid w:val="00B01054"/>
    <w:rsid w:val="00B03248"/>
    <w:rsid w:val="00B05ECA"/>
    <w:rsid w:val="00B07C66"/>
    <w:rsid w:val="00B14B98"/>
    <w:rsid w:val="00B14FEB"/>
    <w:rsid w:val="00B15E7B"/>
    <w:rsid w:val="00B21B5A"/>
    <w:rsid w:val="00B23DA7"/>
    <w:rsid w:val="00B250AC"/>
    <w:rsid w:val="00B26DC0"/>
    <w:rsid w:val="00B27544"/>
    <w:rsid w:val="00B2778A"/>
    <w:rsid w:val="00B35B32"/>
    <w:rsid w:val="00B37CB3"/>
    <w:rsid w:val="00B40858"/>
    <w:rsid w:val="00B427F7"/>
    <w:rsid w:val="00B430C6"/>
    <w:rsid w:val="00B43467"/>
    <w:rsid w:val="00B43953"/>
    <w:rsid w:val="00B45383"/>
    <w:rsid w:val="00B50F2F"/>
    <w:rsid w:val="00B527C2"/>
    <w:rsid w:val="00B52EDD"/>
    <w:rsid w:val="00B53BEF"/>
    <w:rsid w:val="00B55DB0"/>
    <w:rsid w:val="00B561BA"/>
    <w:rsid w:val="00B60BFA"/>
    <w:rsid w:val="00B622A3"/>
    <w:rsid w:val="00B65D0C"/>
    <w:rsid w:val="00B6672A"/>
    <w:rsid w:val="00B703E8"/>
    <w:rsid w:val="00B70B5A"/>
    <w:rsid w:val="00B72F0F"/>
    <w:rsid w:val="00B7331E"/>
    <w:rsid w:val="00B75C42"/>
    <w:rsid w:val="00B8158B"/>
    <w:rsid w:val="00B81F15"/>
    <w:rsid w:val="00B82420"/>
    <w:rsid w:val="00B826E8"/>
    <w:rsid w:val="00B8380A"/>
    <w:rsid w:val="00B8419D"/>
    <w:rsid w:val="00B85FC8"/>
    <w:rsid w:val="00B8729E"/>
    <w:rsid w:val="00B94955"/>
    <w:rsid w:val="00BA276F"/>
    <w:rsid w:val="00BA682B"/>
    <w:rsid w:val="00BA788C"/>
    <w:rsid w:val="00BB2244"/>
    <w:rsid w:val="00BB406D"/>
    <w:rsid w:val="00BB575E"/>
    <w:rsid w:val="00BB6B75"/>
    <w:rsid w:val="00BC313C"/>
    <w:rsid w:val="00BC7231"/>
    <w:rsid w:val="00BD0E9A"/>
    <w:rsid w:val="00BD1400"/>
    <w:rsid w:val="00BD2EE3"/>
    <w:rsid w:val="00BD3A44"/>
    <w:rsid w:val="00BD40DF"/>
    <w:rsid w:val="00BE284F"/>
    <w:rsid w:val="00BE4BD2"/>
    <w:rsid w:val="00BE6072"/>
    <w:rsid w:val="00BE610D"/>
    <w:rsid w:val="00BE7B41"/>
    <w:rsid w:val="00BF144B"/>
    <w:rsid w:val="00BF1B31"/>
    <w:rsid w:val="00BF2C99"/>
    <w:rsid w:val="00BF402D"/>
    <w:rsid w:val="00BF409E"/>
    <w:rsid w:val="00BF7E6D"/>
    <w:rsid w:val="00C040A6"/>
    <w:rsid w:val="00C12464"/>
    <w:rsid w:val="00C14363"/>
    <w:rsid w:val="00C16D7C"/>
    <w:rsid w:val="00C21EDD"/>
    <w:rsid w:val="00C259F3"/>
    <w:rsid w:val="00C2688D"/>
    <w:rsid w:val="00C369BF"/>
    <w:rsid w:val="00C36E31"/>
    <w:rsid w:val="00C37149"/>
    <w:rsid w:val="00C5338B"/>
    <w:rsid w:val="00C564FC"/>
    <w:rsid w:val="00C56912"/>
    <w:rsid w:val="00C5748B"/>
    <w:rsid w:val="00C578A9"/>
    <w:rsid w:val="00C62B57"/>
    <w:rsid w:val="00C65826"/>
    <w:rsid w:val="00C7188B"/>
    <w:rsid w:val="00C734A7"/>
    <w:rsid w:val="00C77340"/>
    <w:rsid w:val="00C80A2F"/>
    <w:rsid w:val="00C835BA"/>
    <w:rsid w:val="00C83C06"/>
    <w:rsid w:val="00C83DEA"/>
    <w:rsid w:val="00C86782"/>
    <w:rsid w:val="00C90D6A"/>
    <w:rsid w:val="00C92ED9"/>
    <w:rsid w:val="00C93E13"/>
    <w:rsid w:val="00C96CD3"/>
    <w:rsid w:val="00C97866"/>
    <w:rsid w:val="00CA03A2"/>
    <w:rsid w:val="00CA352A"/>
    <w:rsid w:val="00CA69E8"/>
    <w:rsid w:val="00CB00C6"/>
    <w:rsid w:val="00CB1CBE"/>
    <w:rsid w:val="00CB3381"/>
    <w:rsid w:val="00CB35C9"/>
    <w:rsid w:val="00CB49BB"/>
    <w:rsid w:val="00CC424B"/>
    <w:rsid w:val="00CC5716"/>
    <w:rsid w:val="00CC58B9"/>
    <w:rsid w:val="00CC6BAD"/>
    <w:rsid w:val="00CD1E6D"/>
    <w:rsid w:val="00CD4871"/>
    <w:rsid w:val="00CD4D1A"/>
    <w:rsid w:val="00CE2B23"/>
    <w:rsid w:val="00CE4A4A"/>
    <w:rsid w:val="00CE4C88"/>
    <w:rsid w:val="00CF5817"/>
    <w:rsid w:val="00CF5FF9"/>
    <w:rsid w:val="00CF690D"/>
    <w:rsid w:val="00CF6D05"/>
    <w:rsid w:val="00CF7530"/>
    <w:rsid w:val="00D018AE"/>
    <w:rsid w:val="00D018F6"/>
    <w:rsid w:val="00D04FD2"/>
    <w:rsid w:val="00D1305A"/>
    <w:rsid w:val="00D1387D"/>
    <w:rsid w:val="00D13AD6"/>
    <w:rsid w:val="00D16FA0"/>
    <w:rsid w:val="00D2172C"/>
    <w:rsid w:val="00D238BE"/>
    <w:rsid w:val="00D26E44"/>
    <w:rsid w:val="00D32F12"/>
    <w:rsid w:val="00D33935"/>
    <w:rsid w:val="00D34C3C"/>
    <w:rsid w:val="00D34C5B"/>
    <w:rsid w:val="00D37D3F"/>
    <w:rsid w:val="00D40753"/>
    <w:rsid w:val="00D41068"/>
    <w:rsid w:val="00D4167A"/>
    <w:rsid w:val="00D441B8"/>
    <w:rsid w:val="00D47CBB"/>
    <w:rsid w:val="00D53C49"/>
    <w:rsid w:val="00D55F70"/>
    <w:rsid w:val="00D57633"/>
    <w:rsid w:val="00D606CF"/>
    <w:rsid w:val="00D63037"/>
    <w:rsid w:val="00D653E1"/>
    <w:rsid w:val="00D67B55"/>
    <w:rsid w:val="00D71FE8"/>
    <w:rsid w:val="00D72290"/>
    <w:rsid w:val="00D72F72"/>
    <w:rsid w:val="00D75045"/>
    <w:rsid w:val="00D75147"/>
    <w:rsid w:val="00D77182"/>
    <w:rsid w:val="00D83844"/>
    <w:rsid w:val="00D85EBD"/>
    <w:rsid w:val="00D907E0"/>
    <w:rsid w:val="00D928D5"/>
    <w:rsid w:val="00D9456B"/>
    <w:rsid w:val="00DA28D1"/>
    <w:rsid w:val="00DA35FB"/>
    <w:rsid w:val="00DA37A2"/>
    <w:rsid w:val="00DA4902"/>
    <w:rsid w:val="00DB099A"/>
    <w:rsid w:val="00DB1C4E"/>
    <w:rsid w:val="00DB3ACB"/>
    <w:rsid w:val="00DB503B"/>
    <w:rsid w:val="00DB63DF"/>
    <w:rsid w:val="00DB7D78"/>
    <w:rsid w:val="00DC0120"/>
    <w:rsid w:val="00DC384C"/>
    <w:rsid w:val="00DC6B05"/>
    <w:rsid w:val="00DC73A4"/>
    <w:rsid w:val="00DD22CB"/>
    <w:rsid w:val="00DD37FA"/>
    <w:rsid w:val="00DD3B94"/>
    <w:rsid w:val="00DD4F95"/>
    <w:rsid w:val="00DE6769"/>
    <w:rsid w:val="00DE6D07"/>
    <w:rsid w:val="00DE6F48"/>
    <w:rsid w:val="00DF4917"/>
    <w:rsid w:val="00DF685D"/>
    <w:rsid w:val="00E031BA"/>
    <w:rsid w:val="00E04337"/>
    <w:rsid w:val="00E05179"/>
    <w:rsid w:val="00E10007"/>
    <w:rsid w:val="00E12088"/>
    <w:rsid w:val="00E12090"/>
    <w:rsid w:val="00E128B6"/>
    <w:rsid w:val="00E13186"/>
    <w:rsid w:val="00E156FC"/>
    <w:rsid w:val="00E15931"/>
    <w:rsid w:val="00E167E1"/>
    <w:rsid w:val="00E233CA"/>
    <w:rsid w:val="00E259D1"/>
    <w:rsid w:val="00E2627E"/>
    <w:rsid w:val="00E32923"/>
    <w:rsid w:val="00E32FF1"/>
    <w:rsid w:val="00E3331F"/>
    <w:rsid w:val="00E37A26"/>
    <w:rsid w:val="00E41A5D"/>
    <w:rsid w:val="00E42799"/>
    <w:rsid w:val="00E4625D"/>
    <w:rsid w:val="00E5044D"/>
    <w:rsid w:val="00E511D0"/>
    <w:rsid w:val="00E512A7"/>
    <w:rsid w:val="00E536B8"/>
    <w:rsid w:val="00E53D80"/>
    <w:rsid w:val="00E53DAB"/>
    <w:rsid w:val="00E54A93"/>
    <w:rsid w:val="00E56E9D"/>
    <w:rsid w:val="00E604EC"/>
    <w:rsid w:val="00E618F5"/>
    <w:rsid w:val="00E61982"/>
    <w:rsid w:val="00E628C0"/>
    <w:rsid w:val="00E7323D"/>
    <w:rsid w:val="00E753D3"/>
    <w:rsid w:val="00E80018"/>
    <w:rsid w:val="00E80509"/>
    <w:rsid w:val="00E8132D"/>
    <w:rsid w:val="00E824EB"/>
    <w:rsid w:val="00E82A6E"/>
    <w:rsid w:val="00E846F8"/>
    <w:rsid w:val="00E84ABD"/>
    <w:rsid w:val="00E904A3"/>
    <w:rsid w:val="00E93A14"/>
    <w:rsid w:val="00E975D7"/>
    <w:rsid w:val="00EA2CBF"/>
    <w:rsid w:val="00EA5FBF"/>
    <w:rsid w:val="00EA70C0"/>
    <w:rsid w:val="00EB0ED4"/>
    <w:rsid w:val="00EB142B"/>
    <w:rsid w:val="00EC2F77"/>
    <w:rsid w:val="00EC3780"/>
    <w:rsid w:val="00EC59B9"/>
    <w:rsid w:val="00EC5C79"/>
    <w:rsid w:val="00EC7DAF"/>
    <w:rsid w:val="00ED0F55"/>
    <w:rsid w:val="00ED1E4F"/>
    <w:rsid w:val="00ED6D7C"/>
    <w:rsid w:val="00EE25E4"/>
    <w:rsid w:val="00EE29D1"/>
    <w:rsid w:val="00EE3189"/>
    <w:rsid w:val="00EE4F90"/>
    <w:rsid w:val="00EE531B"/>
    <w:rsid w:val="00EE7031"/>
    <w:rsid w:val="00EF1A23"/>
    <w:rsid w:val="00EF1B66"/>
    <w:rsid w:val="00EF1D37"/>
    <w:rsid w:val="00EF1F0C"/>
    <w:rsid w:val="00EF703E"/>
    <w:rsid w:val="00F01D47"/>
    <w:rsid w:val="00F01FC6"/>
    <w:rsid w:val="00F02315"/>
    <w:rsid w:val="00F0408D"/>
    <w:rsid w:val="00F04ED8"/>
    <w:rsid w:val="00F05ED8"/>
    <w:rsid w:val="00F10164"/>
    <w:rsid w:val="00F12689"/>
    <w:rsid w:val="00F126C4"/>
    <w:rsid w:val="00F13C0E"/>
    <w:rsid w:val="00F14D81"/>
    <w:rsid w:val="00F22903"/>
    <w:rsid w:val="00F25082"/>
    <w:rsid w:val="00F251F8"/>
    <w:rsid w:val="00F2572C"/>
    <w:rsid w:val="00F25914"/>
    <w:rsid w:val="00F2724A"/>
    <w:rsid w:val="00F3196B"/>
    <w:rsid w:val="00F368FE"/>
    <w:rsid w:val="00F412E6"/>
    <w:rsid w:val="00F43EBB"/>
    <w:rsid w:val="00F44452"/>
    <w:rsid w:val="00F51B4F"/>
    <w:rsid w:val="00F51E1C"/>
    <w:rsid w:val="00F529A3"/>
    <w:rsid w:val="00F55DCA"/>
    <w:rsid w:val="00F600E3"/>
    <w:rsid w:val="00F635EB"/>
    <w:rsid w:val="00F6361E"/>
    <w:rsid w:val="00F70EB0"/>
    <w:rsid w:val="00F7115A"/>
    <w:rsid w:val="00F7201C"/>
    <w:rsid w:val="00F77AC9"/>
    <w:rsid w:val="00F84960"/>
    <w:rsid w:val="00F85CE8"/>
    <w:rsid w:val="00F8663F"/>
    <w:rsid w:val="00F86792"/>
    <w:rsid w:val="00F94039"/>
    <w:rsid w:val="00FA111C"/>
    <w:rsid w:val="00FB019E"/>
    <w:rsid w:val="00FB0FFD"/>
    <w:rsid w:val="00FB30CF"/>
    <w:rsid w:val="00FB5868"/>
    <w:rsid w:val="00FC1E7D"/>
    <w:rsid w:val="00FC6FE4"/>
    <w:rsid w:val="00FD4374"/>
    <w:rsid w:val="00FD58AD"/>
    <w:rsid w:val="00FD593E"/>
    <w:rsid w:val="00FE0D3A"/>
    <w:rsid w:val="00FE104E"/>
    <w:rsid w:val="00FE498C"/>
    <w:rsid w:val="00FE6F88"/>
    <w:rsid w:val="00FE7E72"/>
    <w:rsid w:val="00FF0866"/>
    <w:rsid w:val="00FF0ED5"/>
    <w:rsid w:val="00FF1E02"/>
    <w:rsid w:val="00FF46FC"/>
    <w:rsid w:val="00FF472B"/>
    <w:rsid w:val="00FF7C9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7EB90"/>
  <w15:docId w15:val="{8855C4B7-B21A-4768-8DEC-7706B1A67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F1F0C"/>
    <w:pPr>
      <w:spacing w:after="0" w:line="240" w:lineRule="auto"/>
    </w:pPr>
    <w:rPr>
      <w:rFonts w:ascii="Times New Roman" w:eastAsia="Times New Roman" w:hAnsi="Times New Roman" w:cs="Times New Roman"/>
      <w:sz w:val="24"/>
      <w:szCs w:val="24"/>
      <w:lang w:eastAsia="it-IT"/>
    </w:rPr>
  </w:style>
  <w:style w:type="paragraph" w:styleId="Titolo3">
    <w:name w:val="heading 3"/>
    <w:basedOn w:val="Normale"/>
    <w:link w:val="Titolo3Carattere"/>
    <w:uiPriority w:val="9"/>
    <w:qFormat/>
    <w:rsid w:val="00343E1A"/>
    <w:pPr>
      <w:spacing w:before="100" w:beforeAutospacing="1" w:after="100" w:afterAutospacing="1"/>
      <w:outlineLvl w:val="2"/>
    </w:pPr>
    <w:rPr>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FC1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3A2E44"/>
    <w:rPr>
      <w:color w:val="0563C1" w:themeColor="hyperlink"/>
      <w:u w:val="single"/>
    </w:rPr>
  </w:style>
  <w:style w:type="character" w:styleId="Rimandocommento">
    <w:name w:val="annotation reference"/>
    <w:basedOn w:val="Carpredefinitoparagrafo"/>
    <w:uiPriority w:val="99"/>
    <w:semiHidden/>
    <w:unhideWhenUsed/>
    <w:rsid w:val="00BA276F"/>
    <w:rPr>
      <w:sz w:val="16"/>
      <w:szCs w:val="16"/>
    </w:rPr>
  </w:style>
  <w:style w:type="paragraph" w:styleId="Testocommento">
    <w:name w:val="annotation text"/>
    <w:basedOn w:val="Normale"/>
    <w:link w:val="TestocommentoCarattere"/>
    <w:uiPriority w:val="99"/>
    <w:unhideWhenUsed/>
    <w:rsid w:val="00BA276F"/>
    <w:rPr>
      <w:sz w:val="20"/>
      <w:szCs w:val="20"/>
    </w:rPr>
  </w:style>
  <w:style w:type="character" w:customStyle="1" w:styleId="TestocommentoCarattere">
    <w:name w:val="Testo commento Carattere"/>
    <w:basedOn w:val="Carpredefinitoparagrafo"/>
    <w:link w:val="Testocommento"/>
    <w:uiPriority w:val="99"/>
    <w:rsid w:val="00BA276F"/>
    <w:rPr>
      <w:sz w:val="20"/>
      <w:szCs w:val="20"/>
      <w:lang w:val="en-GB"/>
    </w:rPr>
  </w:style>
  <w:style w:type="paragraph" w:styleId="Soggettocommento">
    <w:name w:val="annotation subject"/>
    <w:basedOn w:val="Testocommento"/>
    <w:next w:val="Testocommento"/>
    <w:link w:val="SoggettocommentoCarattere"/>
    <w:uiPriority w:val="99"/>
    <w:semiHidden/>
    <w:unhideWhenUsed/>
    <w:rsid w:val="00BA276F"/>
    <w:rPr>
      <w:b/>
      <w:bCs/>
    </w:rPr>
  </w:style>
  <w:style w:type="character" w:customStyle="1" w:styleId="SoggettocommentoCarattere">
    <w:name w:val="Soggetto commento Carattere"/>
    <w:basedOn w:val="TestocommentoCarattere"/>
    <w:link w:val="Soggettocommento"/>
    <w:uiPriority w:val="99"/>
    <w:semiHidden/>
    <w:rsid w:val="00BA276F"/>
    <w:rPr>
      <w:b/>
      <w:bCs/>
      <w:sz w:val="20"/>
      <w:szCs w:val="20"/>
      <w:lang w:val="en-GB"/>
    </w:rPr>
  </w:style>
  <w:style w:type="paragraph" w:styleId="Testofumetto">
    <w:name w:val="Balloon Text"/>
    <w:basedOn w:val="Normale"/>
    <w:link w:val="TestofumettoCarattere"/>
    <w:uiPriority w:val="99"/>
    <w:semiHidden/>
    <w:unhideWhenUsed/>
    <w:rsid w:val="00BA276F"/>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276F"/>
    <w:rPr>
      <w:rFonts w:ascii="Segoe UI" w:hAnsi="Segoe UI" w:cs="Segoe UI"/>
      <w:sz w:val="18"/>
      <w:szCs w:val="18"/>
      <w:lang w:val="en-GB"/>
    </w:rPr>
  </w:style>
  <w:style w:type="paragraph" w:customStyle="1" w:styleId="EndNoteBibliographyTitle">
    <w:name w:val="EndNote Bibliography Title"/>
    <w:basedOn w:val="Normale"/>
    <w:link w:val="EndNoteBibliographyTitleCarattere"/>
    <w:rsid w:val="004376E3"/>
    <w:pPr>
      <w:jc w:val="center"/>
    </w:pPr>
    <w:rPr>
      <w:rFonts w:ascii="Calibri" w:hAnsi="Calibri"/>
      <w:noProof/>
      <w:lang w:val="en-US"/>
    </w:rPr>
  </w:style>
  <w:style w:type="character" w:customStyle="1" w:styleId="EndNoteBibliographyTitleCarattere">
    <w:name w:val="EndNote Bibliography Title Carattere"/>
    <w:basedOn w:val="Carpredefinitoparagrafo"/>
    <w:link w:val="EndNoteBibliographyTitle"/>
    <w:rsid w:val="004376E3"/>
    <w:rPr>
      <w:rFonts w:ascii="Calibri" w:hAnsi="Calibri"/>
      <w:noProof/>
      <w:lang w:val="en-US"/>
    </w:rPr>
  </w:style>
  <w:style w:type="paragraph" w:customStyle="1" w:styleId="EndNoteBibliography">
    <w:name w:val="EndNote Bibliography"/>
    <w:basedOn w:val="Normale"/>
    <w:link w:val="EndNoteBibliographyCarattere"/>
    <w:rsid w:val="004376E3"/>
    <w:pPr>
      <w:jc w:val="both"/>
    </w:pPr>
    <w:rPr>
      <w:rFonts w:ascii="Calibri" w:hAnsi="Calibri"/>
      <w:noProof/>
      <w:lang w:val="en-US"/>
    </w:rPr>
  </w:style>
  <w:style w:type="character" w:customStyle="1" w:styleId="EndNoteBibliographyCarattere">
    <w:name w:val="EndNote Bibliography Carattere"/>
    <w:basedOn w:val="Carpredefinitoparagrafo"/>
    <w:link w:val="EndNoteBibliography"/>
    <w:rsid w:val="004376E3"/>
    <w:rPr>
      <w:rFonts w:ascii="Calibri" w:hAnsi="Calibri"/>
      <w:noProof/>
      <w:lang w:val="en-US"/>
    </w:rPr>
  </w:style>
  <w:style w:type="paragraph" w:styleId="Intestazione">
    <w:name w:val="header"/>
    <w:basedOn w:val="Normale"/>
    <w:link w:val="IntestazioneCarattere"/>
    <w:uiPriority w:val="99"/>
    <w:unhideWhenUsed/>
    <w:rsid w:val="00E512A7"/>
    <w:pPr>
      <w:tabs>
        <w:tab w:val="center" w:pos="4819"/>
        <w:tab w:val="right" w:pos="9638"/>
      </w:tabs>
    </w:pPr>
  </w:style>
  <w:style w:type="character" w:customStyle="1" w:styleId="IntestazioneCarattere">
    <w:name w:val="Intestazione Carattere"/>
    <w:basedOn w:val="Carpredefinitoparagrafo"/>
    <w:link w:val="Intestazione"/>
    <w:uiPriority w:val="99"/>
    <w:rsid w:val="00E512A7"/>
    <w:rPr>
      <w:lang w:val="en-GB"/>
    </w:rPr>
  </w:style>
  <w:style w:type="paragraph" w:styleId="Pidipagina">
    <w:name w:val="footer"/>
    <w:basedOn w:val="Normale"/>
    <w:link w:val="PidipaginaCarattere"/>
    <w:uiPriority w:val="99"/>
    <w:unhideWhenUsed/>
    <w:rsid w:val="00E512A7"/>
    <w:pPr>
      <w:tabs>
        <w:tab w:val="center" w:pos="4819"/>
        <w:tab w:val="right" w:pos="9638"/>
      </w:tabs>
    </w:pPr>
  </w:style>
  <w:style w:type="character" w:customStyle="1" w:styleId="PidipaginaCarattere">
    <w:name w:val="Piè di pagina Carattere"/>
    <w:basedOn w:val="Carpredefinitoparagrafo"/>
    <w:link w:val="Pidipagina"/>
    <w:uiPriority w:val="99"/>
    <w:rsid w:val="00E512A7"/>
    <w:rPr>
      <w:lang w:val="en-GB"/>
    </w:rPr>
  </w:style>
  <w:style w:type="character" w:customStyle="1" w:styleId="Menzionenonrisolta1">
    <w:name w:val="Menzione non risolta1"/>
    <w:basedOn w:val="Carpredefinitoparagrafo"/>
    <w:uiPriority w:val="99"/>
    <w:semiHidden/>
    <w:unhideWhenUsed/>
    <w:rsid w:val="00845441"/>
    <w:rPr>
      <w:color w:val="605E5C"/>
      <w:shd w:val="clear" w:color="auto" w:fill="E1DFDD"/>
    </w:rPr>
  </w:style>
  <w:style w:type="character" w:customStyle="1" w:styleId="Titolo3Carattere">
    <w:name w:val="Titolo 3 Carattere"/>
    <w:basedOn w:val="Carpredefinitoparagrafo"/>
    <w:link w:val="Titolo3"/>
    <w:uiPriority w:val="9"/>
    <w:rsid w:val="00343E1A"/>
    <w:rPr>
      <w:rFonts w:ascii="Times New Roman" w:eastAsia="Times New Roman" w:hAnsi="Times New Roman" w:cs="Times New Roman"/>
      <w:b/>
      <w:bCs/>
      <w:sz w:val="27"/>
      <w:szCs w:val="27"/>
      <w:lang w:eastAsia="it-IT"/>
    </w:rPr>
  </w:style>
  <w:style w:type="character" w:customStyle="1" w:styleId="go">
    <w:name w:val="go"/>
    <w:basedOn w:val="Carpredefinitoparagrafo"/>
    <w:rsid w:val="00343E1A"/>
  </w:style>
  <w:style w:type="paragraph" w:styleId="Bibliografia">
    <w:name w:val="Bibliography"/>
    <w:basedOn w:val="Normale"/>
    <w:next w:val="Normale"/>
    <w:uiPriority w:val="37"/>
    <w:unhideWhenUsed/>
    <w:rsid w:val="00B43953"/>
  </w:style>
  <w:style w:type="character" w:styleId="Enfasicorsivo">
    <w:name w:val="Emphasis"/>
    <w:basedOn w:val="Carpredefinitoparagrafo"/>
    <w:uiPriority w:val="20"/>
    <w:qFormat/>
    <w:rsid w:val="00B07C66"/>
    <w:rPr>
      <w:i/>
      <w:iCs/>
    </w:rPr>
  </w:style>
  <w:style w:type="paragraph" w:styleId="Revisione">
    <w:name w:val="Revision"/>
    <w:hidden/>
    <w:uiPriority w:val="99"/>
    <w:semiHidden/>
    <w:rsid w:val="00DA28D1"/>
    <w:pPr>
      <w:spacing w:after="0" w:line="240" w:lineRule="auto"/>
    </w:pPr>
    <w:rPr>
      <w:rFonts w:ascii="Times New Roman" w:eastAsia="Times New Roman" w:hAnsi="Times New Roman" w:cs="Times New Roman"/>
      <w:sz w:val="24"/>
      <w:szCs w:val="24"/>
      <w:lang w:eastAsia="it-IT"/>
    </w:rPr>
  </w:style>
  <w:style w:type="character" w:styleId="Collegamentovisitato">
    <w:name w:val="FollowedHyperlink"/>
    <w:basedOn w:val="Carpredefinitoparagrafo"/>
    <w:uiPriority w:val="99"/>
    <w:semiHidden/>
    <w:unhideWhenUsed/>
    <w:rsid w:val="005B3BD8"/>
    <w:rPr>
      <w:color w:val="954F72" w:themeColor="followedHyperlink"/>
      <w:u w:val="single"/>
    </w:rPr>
  </w:style>
  <w:style w:type="paragraph" w:styleId="NormaleWeb">
    <w:name w:val="Normal (Web)"/>
    <w:basedOn w:val="Normale"/>
    <w:uiPriority w:val="99"/>
    <w:unhideWhenUsed/>
    <w:rsid w:val="00CB49BB"/>
    <w:pPr>
      <w:spacing w:before="100" w:beforeAutospacing="1" w:after="100" w:afterAutospacing="1"/>
    </w:pPr>
  </w:style>
  <w:style w:type="table" w:customStyle="1" w:styleId="Grigliatabella1">
    <w:name w:val="Griglia tabella1"/>
    <w:basedOn w:val="Tabellanormale"/>
    <w:uiPriority w:val="39"/>
    <w:rsid w:val="0074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740B3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essunaspaziatura">
    <w:name w:val="No Spacing"/>
    <w:uiPriority w:val="1"/>
    <w:qFormat/>
    <w:rsid w:val="00CE2B23"/>
    <w:pPr>
      <w:spacing w:after="0" w:line="240" w:lineRule="auto"/>
      <w:jc w:val="both"/>
    </w:pPr>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2828">
      <w:bodyDiv w:val="1"/>
      <w:marLeft w:val="0"/>
      <w:marRight w:val="0"/>
      <w:marTop w:val="0"/>
      <w:marBottom w:val="0"/>
      <w:divBdr>
        <w:top w:val="none" w:sz="0" w:space="0" w:color="auto"/>
        <w:left w:val="none" w:sz="0" w:space="0" w:color="auto"/>
        <w:bottom w:val="none" w:sz="0" w:space="0" w:color="auto"/>
        <w:right w:val="none" w:sz="0" w:space="0" w:color="auto"/>
      </w:divBdr>
    </w:div>
    <w:div w:id="150292142">
      <w:bodyDiv w:val="1"/>
      <w:marLeft w:val="0"/>
      <w:marRight w:val="0"/>
      <w:marTop w:val="0"/>
      <w:marBottom w:val="0"/>
      <w:divBdr>
        <w:top w:val="none" w:sz="0" w:space="0" w:color="auto"/>
        <w:left w:val="none" w:sz="0" w:space="0" w:color="auto"/>
        <w:bottom w:val="none" w:sz="0" w:space="0" w:color="auto"/>
        <w:right w:val="none" w:sz="0" w:space="0" w:color="auto"/>
      </w:divBdr>
    </w:div>
    <w:div w:id="181550781">
      <w:bodyDiv w:val="1"/>
      <w:marLeft w:val="0"/>
      <w:marRight w:val="0"/>
      <w:marTop w:val="0"/>
      <w:marBottom w:val="0"/>
      <w:divBdr>
        <w:top w:val="none" w:sz="0" w:space="0" w:color="auto"/>
        <w:left w:val="none" w:sz="0" w:space="0" w:color="auto"/>
        <w:bottom w:val="none" w:sz="0" w:space="0" w:color="auto"/>
        <w:right w:val="none" w:sz="0" w:space="0" w:color="auto"/>
      </w:divBdr>
    </w:div>
    <w:div w:id="341054991">
      <w:bodyDiv w:val="1"/>
      <w:marLeft w:val="0"/>
      <w:marRight w:val="0"/>
      <w:marTop w:val="0"/>
      <w:marBottom w:val="0"/>
      <w:divBdr>
        <w:top w:val="none" w:sz="0" w:space="0" w:color="auto"/>
        <w:left w:val="none" w:sz="0" w:space="0" w:color="auto"/>
        <w:bottom w:val="none" w:sz="0" w:space="0" w:color="auto"/>
        <w:right w:val="none" w:sz="0" w:space="0" w:color="auto"/>
      </w:divBdr>
    </w:div>
    <w:div w:id="381566472">
      <w:bodyDiv w:val="1"/>
      <w:marLeft w:val="0"/>
      <w:marRight w:val="0"/>
      <w:marTop w:val="0"/>
      <w:marBottom w:val="0"/>
      <w:divBdr>
        <w:top w:val="none" w:sz="0" w:space="0" w:color="auto"/>
        <w:left w:val="none" w:sz="0" w:space="0" w:color="auto"/>
        <w:bottom w:val="none" w:sz="0" w:space="0" w:color="auto"/>
        <w:right w:val="none" w:sz="0" w:space="0" w:color="auto"/>
      </w:divBdr>
    </w:div>
    <w:div w:id="406919477">
      <w:bodyDiv w:val="1"/>
      <w:marLeft w:val="0"/>
      <w:marRight w:val="0"/>
      <w:marTop w:val="0"/>
      <w:marBottom w:val="0"/>
      <w:divBdr>
        <w:top w:val="none" w:sz="0" w:space="0" w:color="auto"/>
        <w:left w:val="none" w:sz="0" w:space="0" w:color="auto"/>
        <w:bottom w:val="none" w:sz="0" w:space="0" w:color="auto"/>
        <w:right w:val="none" w:sz="0" w:space="0" w:color="auto"/>
      </w:divBdr>
      <w:divsChild>
        <w:div w:id="1740132916">
          <w:marLeft w:val="0"/>
          <w:marRight w:val="0"/>
          <w:marTop w:val="0"/>
          <w:marBottom w:val="0"/>
          <w:divBdr>
            <w:top w:val="none" w:sz="0" w:space="0" w:color="auto"/>
            <w:left w:val="none" w:sz="0" w:space="0" w:color="auto"/>
            <w:bottom w:val="none" w:sz="0" w:space="0" w:color="auto"/>
            <w:right w:val="none" w:sz="0" w:space="0" w:color="auto"/>
          </w:divBdr>
        </w:div>
        <w:div w:id="963270737">
          <w:marLeft w:val="0"/>
          <w:marRight w:val="0"/>
          <w:marTop w:val="0"/>
          <w:marBottom w:val="0"/>
          <w:divBdr>
            <w:top w:val="none" w:sz="0" w:space="0" w:color="auto"/>
            <w:left w:val="none" w:sz="0" w:space="0" w:color="auto"/>
            <w:bottom w:val="none" w:sz="0" w:space="0" w:color="auto"/>
            <w:right w:val="none" w:sz="0" w:space="0" w:color="auto"/>
          </w:divBdr>
        </w:div>
        <w:div w:id="1155533661">
          <w:marLeft w:val="0"/>
          <w:marRight w:val="0"/>
          <w:marTop w:val="0"/>
          <w:marBottom w:val="0"/>
          <w:divBdr>
            <w:top w:val="none" w:sz="0" w:space="0" w:color="auto"/>
            <w:left w:val="none" w:sz="0" w:space="0" w:color="auto"/>
            <w:bottom w:val="none" w:sz="0" w:space="0" w:color="auto"/>
            <w:right w:val="none" w:sz="0" w:space="0" w:color="auto"/>
          </w:divBdr>
        </w:div>
        <w:div w:id="1934245976">
          <w:marLeft w:val="0"/>
          <w:marRight w:val="0"/>
          <w:marTop w:val="0"/>
          <w:marBottom w:val="0"/>
          <w:divBdr>
            <w:top w:val="none" w:sz="0" w:space="0" w:color="auto"/>
            <w:left w:val="none" w:sz="0" w:space="0" w:color="auto"/>
            <w:bottom w:val="none" w:sz="0" w:space="0" w:color="auto"/>
            <w:right w:val="none" w:sz="0" w:space="0" w:color="auto"/>
          </w:divBdr>
        </w:div>
      </w:divsChild>
    </w:div>
    <w:div w:id="411586078">
      <w:bodyDiv w:val="1"/>
      <w:marLeft w:val="0"/>
      <w:marRight w:val="0"/>
      <w:marTop w:val="0"/>
      <w:marBottom w:val="0"/>
      <w:divBdr>
        <w:top w:val="none" w:sz="0" w:space="0" w:color="auto"/>
        <w:left w:val="none" w:sz="0" w:space="0" w:color="auto"/>
        <w:bottom w:val="none" w:sz="0" w:space="0" w:color="auto"/>
        <w:right w:val="none" w:sz="0" w:space="0" w:color="auto"/>
      </w:divBdr>
    </w:div>
    <w:div w:id="419838886">
      <w:bodyDiv w:val="1"/>
      <w:marLeft w:val="0"/>
      <w:marRight w:val="0"/>
      <w:marTop w:val="0"/>
      <w:marBottom w:val="0"/>
      <w:divBdr>
        <w:top w:val="none" w:sz="0" w:space="0" w:color="auto"/>
        <w:left w:val="none" w:sz="0" w:space="0" w:color="auto"/>
        <w:bottom w:val="none" w:sz="0" w:space="0" w:color="auto"/>
        <w:right w:val="none" w:sz="0" w:space="0" w:color="auto"/>
      </w:divBdr>
    </w:div>
    <w:div w:id="439909096">
      <w:bodyDiv w:val="1"/>
      <w:marLeft w:val="0"/>
      <w:marRight w:val="0"/>
      <w:marTop w:val="0"/>
      <w:marBottom w:val="0"/>
      <w:divBdr>
        <w:top w:val="none" w:sz="0" w:space="0" w:color="auto"/>
        <w:left w:val="none" w:sz="0" w:space="0" w:color="auto"/>
        <w:bottom w:val="none" w:sz="0" w:space="0" w:color="auto"/>
        <w:right w:val="none" w:sz="0" w:space="0" w:color="auto"/>
      </w:divBdr>
    </w:div>
    <w:div w:id="449057381">
      <w:bodyDiv w:val="1"/>
      <w:marLeft w:val="0"/>
      <w:marRight w:val="0"/>
      <w:marTop w:val="0"/>
      <w:marBottom w:val="0"/>
      <w:divBdr>
        <w:top w:val="none" w:sz="0" w:space="0" w:color="auto"/>
        <w:left w:val="none" w:sz="0" w:space="0" w:color="auto"/>
        <w:bottom w:val="none" w:sz="0" w:space="0" w:color="auto"/>
        <w:right w:val="none" w:sz="0" w:space="0" w:color="auto"/>
      </w:divBdr>
    </w:div>
    <w:div w:id="467477432">
      <w:bodyDiv w:val="1"/>
      <w:marLeft w:val="0"/>
      <w:marRight w:val="0"/>
      <w:marTop w:val="0"/>
      <w:marBottom w:val="0"/>
      <w:divBdr>
        <w:top w:val="none" w:sz="0" w:space="0" w:color="auto"/>
        <w:left w:val="none" w:sz="0" w:space="0" w:color="auto"/>
        <w:bottom w:val="none" w:sz="0" w:space="0" w:color="auto"/>
        <w:right w:val="none" w:sz="0" w:space="0" w:color="auto"/>
      </w:divBdr>
    </w:div>
    <w:div w:id="503056499">
      <w:bodyDiv w:val="1"/>
      <w:marLeft w:val="0"/>
      <w:marRight w:val="0"/>
      <w:marTop w:val="0"/>
      <w:marBottom w:val="0"/>
      <w:divBdr>
        <w:top w:val="none" w:sz="0" w:space="0" w:color="auto"/>
        <w:left w:val="none" w:sz="0" w:space="0" w:color="auto"/>
        <w:bottom w:val="none" w:sz="0" w:space="0" w:color="auto"/>
        <w:right w:val="none" w:sz="0" w:space="0" w:color="auto"/>
      </w:divBdr>
    </w:div>
    <w:div w:id="713578438">
      <w:bodyDiv w:val="1"/>
      <w:marLeft w:val="0"/>
      <w:marRight w:val="0"/>
      <w:marTop w:val="0"/>
      <w:marBottom w:val="0"/>
      <w:divBdr>
        <w:top w:val="none" w:sz="0" w:space="0" w:color="auto"/>
        <w:left w:val="none" w:sz="0" w:space="0" w:color="auto"/>
        <w:bottom w:val="none" w:sz="0" w:space="0" w:color="auto"/>
        <w:right w:val="none" w:sz="0" w:space="0" w:color="auto"/>
      </w:divBdr>
    </w:div>
    <w:div w:id="718240403">
      <w:bodyDiv w:val="1"/>
      <w:marLeft w:val="0"/>
      <w:marRight w:val="0"/>
      <w:marTop w:val="0"/>
      <w:marBottom w:val="0"/>
      <w:divBdr>
        <w:top w:val="none" w:sz="0" w:space="0" w:color="auto"/>
        <w:left w:val="none" w:sz="0" w:space="0" w:color="auto"/>
        <w:bottom w:val="none" w:sz="0" w:space="0" w:color="auto"/>
        <w:right w:val="none" w:sz="0" w:space="0" w:color="auto"/>
      </w:divBdr>
    </w:div>
    <w:div w:id="743647584">
      <w:bodyDiv w:val="1"/>
      <w:marLeft w:val="0"/>
      <w:marRight w:val="0"/>
      <w:marTop w:val="0"/>
      <w:marBottom w:val="0"/>
      <w:divBdr>
        <w:top w:val="none" w:sz="0" w:space="0" w:color="auto"/>
        <w:left w:val="none" w:sz="0" w:space="0" w:color="auto"/>
        <w:bottom w:val="none" w:sz="0" w:space="0" w:color="auto"/>
        <w:right w:val="none" w:sz="0" w:space="0" w:color="auto"/>
      </w:divBdr>
    </w:div>
    <w:div w:id="751043513">
      <w:bodyDiv w:val="1"/>
      <w:marLeft w:val="0"/>
      <w:marRight w:val="0"/>
      <w:marTop w:val="0"/>
      <w:marBottom w:val="0"/>
      <w:divBdr>
        <w:top w:val="none" w:sz="0" w:space="0" w:color="auto"/>
        <w:left w:val="none" w:sz="0" w:space="0" w:color="auto"/>
        <w:bottom w:val="none" w:sz="0" w:space="0" w:color="auto"/>
        <w:right w:val="none" w:sz="0" w:space="0" w:color="auto"/>
      </w:divBdr>
    </w:div>
    <w:div w:id="903225778">
      <w:bodyDiv w:val="1"/>
      <w:marLeft w:val="0"/>
      <w:marRight w:val="0"/>
      <w:marTop w:val="0"/>
      <w:marBottom w:val="0"/>
      <w:divBdr>
        <w:top w:val="none" w:sz="0" w:space="0" w:color="auto"/>
        <w:left w:val="none" w:sz="0" w:space="0" w:color="auto"/>
        <w:bottom w:val="none" w:sz="0" w:space="0" w:color="auto"/>
        <w:right w:val="none" w:sz="0" w:space="0" w:color="auto"/>
      </w:divBdr>
    </w:div>
    <w:div w:id="1033075938">
      <w:bodyDiv w:val="1"/>
      <w:marLeft w:val="0"/>
      <w:marRight w:val="0"/>
      <w:marTop w:val="0"/>
      <w:marBottom w:val="0"/>
      <w:divBdr>
        <w:top w:val="none" w:sz="0" w:space="0" w:color="auto"/>
        <w:left w:val="none" w:sz="0" w:space="0" w:color="auto"/>
        <w:bottom w:val="none" w:sz="0" w:space="0" w:color="auto"/>
        <w:right w:val="none" w:sz="0" w:space="0" w:color="auto"/>
      </w:divBdr>
    </w:div>
    <w:div w:id="1055005371">
      <w:bodyDiv w:val="1"/>
      <w:marLeft w:val="0"/>
      <w:marRight w:val="0"/>
      <w:marTop w:val="0"/>
      <w:marBottom w:val="0"/>
      <w:divBdr>
        <w:top w:val="none" w:sz="0" w:space="0" w:color="auto"/>
        <w:left w:val="none" w:sz="0" w:space="0" w:color="auto"/>
        <w:bottom w:val="none" w:sz="0" w:space="0" w:color="auto"/>
        <w:right w:val="none" w:sz="0" w:space="0" w:color="auto"/>
      </w:divBdr>
    </w:div>
    <w:div w:id="1088892873">
      <w:bodyDiv w:val="1"/>
      <w:marLeft w:val="0"/>
      <w:marRight w:val="0"/>
      <w:marTop w:val="0"/>
      <w:marBottom w:val="0"/>
      <w:divBdr>
        <w:top w:val="none" w:sz="0" w:space="0" w:color="auto"/>
        <w:left w:val="none" w:sz="0" w:space="0" w:color="auto"/>
        <w:bottom w:val="none" w:sz="0" w:space="0" w:color="auto"/>
        <w:right w:val="none" w:sz="0" w:space="0" w:color="auto"/>
      </w:divBdr>
    </w:div>
    <w:div w:id="1101224168">
      <w:bodyDiv w:val="1"/>
      <w:marLeft w:val="0"/>
      <w:marRight w:val="0"/>
      <w:marTop w:val="0"/>
      <w:marBottom w:val="0"/>
      <w:divBdr>
        <w:top w:val="none" w:sz="0" w:space="0" w:color="auto"/>
        <w:left w:val="none" w:sz="0" w:space="0" w:color="auto"/>
        <w:bottom w:val="none" w:sz="0" w:space="0" w:color="auto"/>
        <w:right w:val="none" w:sz="0" w:space="0" w:color="auto"/>
      </w:divBdr>
    </w:div>
    <w:div w:id="1117220769">
      <w:bodyDiv w:val="1"/>
      <w:marLeft w:val="0"/>
      <w:marRight w:val="0"/>
      <w:marTop w:val="0"/>
      <w:marBottom w:val="0"/>
      <w:divBdr>
        <w:top w:val="none" w:sz="0" w:space="0" w:color="auto"/>
        <w:left w:val="none" w:sz="0" w:space="0" w:color="auto"/>
        <w:bottom w:val="none" w:sz="0" w:space="0" w:color="auto"/>
        <w:right w:val="none" w:sz="0" w:space="0" w:color="auto"/>
      </w:divBdr>
    </w:div>
    <w:div w:id="1286545019">
      <w:bodyDiv w:val="1"/>
      <w:marLeft w:val="0"/>
      <w:marRight w:val="0"/>
      <w:marTop w:val="0"/>
      <w:marBottom w:val="0"/>
      <w:divBdr>
        <w:top w:val="none" w:sz="0" w:space="0" w:color="auto"/>
        <w:left w:val="none" w:sz="0" w:space="0" w:color="auto"/>
        <w:bottom w:val="none" w:sz="0" w:space="0" w:color="auto"/>
        <w:right w:val="none" w:sz="0" w:space="0" w:color="auto"/>
      </w:divBdr>
    </w:div>
    <w:div w:id="1400594048">
      <w:bodyDiv w:val="1"/>
      <w:marLeft w:val="0"/>
      <w:marRight w:val="0"/>
      <w:marTop w:val="0"/>
      <w:marBottom w:val="0"/>
      <w:divBdr>
        <w:top w:val="none" w:sz="0" w:space="0" w:color="auto"/>
        <w:left w:val="none" w:sz="0" w:space="0" w:color="auto"/>
        <w:bottom w:val="none" w:sz="0" w:space="0" w:color="auto"/>
        <w:right w:val="none" w:sz="0" w:space="0" w:color="auto"/>
      </w:divBdr>
    </w:div>
    <w:div w:id="1417820601">
      <w:bodyDiv w:val="1"/>
      <w:marLeft w:val="0"/>
      <w:marRight w:val="0"/>
      <w:marTop w:val="0"/>
      <w:marBottom w:val="0"/>
      <w:divBdr>
        <w:top w:val="none" w:sz="0" w:space="0" w:color="auto"/>
        <w:left w:val="none" w:sz="0" w:space="0" w:color="auto"/>
        <w:bottom w:val="none" w:sz="0" w:space="0" w:color="auto"/>
        <w:right w:val="none" w:sz="0" w:space="0" w:color="auto"/>
      </w:divBdr>
    </w:div>
    <w:div w:id="1469934814">
      <w:bodyDiv w:val="1"/>
      <w:marLeft w:val="0"/>
      <w:marRight w:val="0"/>
      <w:marTop w:val="0"/>
      <w:marBottom w:val="0"/>
      <w:divBdr>
        <w:top w:val="none" w:sz="0" w:space="0" w:color="auto"/>
        <w:left w:val="none" w:sz="0" w:space="0" w:color="auto"/>
        <w:bottom w:val="none" w:sz="0" w:space="0" w:color="auto"/>
        <w:right w:val="none" w:sz="0" w:space="0" w:color="auto"/>
      </w:divBdr>
    </w:div>
    <w:div w:id="1480927502">
      <w:bodyDiv w:val="1"/>
      <w:marLeft w:val="0"/>
      <w:marRight w:val="0"/>
      <w:marTop w:val="0"/>
      <w:marBottom w:val="0"/>
      <w:divBdr>
        <w:top w:val="none" w:sz="0" w:space="0" w:color="auto"/>
        <w:left w:val="none" w:sz="0" w:space="0" w:color="auto"/>
        <w:bottom w:val="none" w:sz="0" w:space="0" w:color="auto"/>
        <w:right w:val="none" w:sz="0" w:space="0" w:color="auto"/>
      </w:divBdr>
    </w:div>
    <w:div w:id="1509635604">
      <w:bodyDiv w:val="1"/>
      <w:marLeft w:val="0"/>
      <w:marRight w:val="0"/>
      <w:marTop w:val="0"/>
      <w:marBottom w:val="0"/>
      <w:divBdr>
        <w:top w:val="none" w:sz="0" w:space="0" w:color="auto"/>
        <w:left w:val="none" w:sz="0" w:space="0" w:color="auto"/>
        <w:bottom w:val="none" w:sz="0" w:space="0" w:color="auto"/>
        <w:right w:val="none" w:sz="0" w:space="0" w:color="auto"/>
      </w:divBdr>
    </w:div>
    <w:div w:id="1627545150">
      <w:bodyDiv w:val="1"/>
      <w:marLeft w:val="0"/>
      <w:marRight w:val="0"/>
      <w:marTop w:val="0"/>
      <w:marBottom w:val="0"/>
      <w:divBdr>
        <w:top w:val="none" w:sz="0" w:space="0" w:color="auto"/>
        <w:left w:val="none" w:sz="0" w:space="0" w:color="auto"/>
        <w:bottom w:val="none" w:sz="0" w:space="0" w:color="auto"/>
        <w:right w:val="none" w:sz="0" w:space="0" w:color="auto"/>
      </w:divBdr>
    </w:div>
    <w:div w:id="1674647362">
      <w:bodyDiv w:val="1"/>
      <w:marLeft w:val="0"/>
      <w:marRight w:val="0"/>
      <w:marTop w:val="0"/>
      <w:marBottom w:val="0"/>
      <w:divBdr>
        <w:top w:val="none" w:sz="0" w:space="0" w:color="auto"/>
        <w:left w:val="none" w:sz="0" w:space="0" w:color="auto"/>
        <w:bottom w:val="none" w:sz="0" w:space="0" w:color="auto"/>
        <w:right w:val="none" w:sz="0" w:space="0" w:color="auto"/>
      </w:divBdr>
    </w:div>
    <w:div w:id="1681008994">
      <w:bodyDiv w:val="1"/>
      <w:marLeft w:val="0"/>
      <w:marRight w:val="0"/>
      <w:marTop w:val="0"/>
      <w:marBottom w:val="0"/>
      <w:divBdr>
        <w:top w:val="none" w:sz="0" w:space="0" w:color="auto"/>
        <w:left w:val="none" w:sz="0" w:space="0" w:color="auto"/>
        <w:bottom w:val="none" w:sz="0" w:space="0" w:color="auto"/>
        <w:right w:val="none" w:sz="0" w:space="0" w:color="auto"/>
      </w:divBdr>
    </w:div>
    <w:div w:id="1723749916">
      <w:bodyDiv w:val="1"/>
      <w:marLeft w:val="0"/>
      <w:marRight w:val="0"/>
      <w:marTop w:val="0"/>
      <w:marBottom w:val="0"/>
      <w:divBdr>
        <w:top w:val="none" w:sz="0" w:space="0" w:color="auto"/>
        <w:left w:val="none" w:sz="0" w:space="0" w:color="auto"/>
        <w:bottom w:val="none" w:sz="0" w:space="0" w:color="auto"/>
        <w:right w:val="none" w:sz="0" w:space="0" w:color="auto"/>
      </w:divBdr>
    </w:div>
    <w:div w:id="1759793741">
      <w:bodyDiv w:val="1"/>
      <w:marLeft w:val="0"/>
      <w:marRight w:val="0"/>
      <w:marTop w:val="0"/>
      <w:marBottom w:val="0"/>
      <w:divBdr>
        <w:top w:val="none" w:sz="0" w:space="0" w:color="auto"/>
        <w:left w:val="none" w:sz="0" w:space="0" w:color="auto"/>
        <w:bottom w:val="none" w:sz="0" w:space="0" w:color="auto"/>
        <w:right w:val="none" w:sz="0" w:space="0" w:color="auto"/>
      </w:divBdr>
    </w:div>
    <w:div w:id="1883781819">
      <w:bodyDiv w:val="1"/>
      <w:marLeft w:val="0"/>
      <w:marRight w:val="0"/>
      <w:marTop w:val="0"/>
      <w:marBottom w:val="0"/>
      <w:divBdr>
        <w:top w:val="none" w:sz="0" w:space="0" w:color="auto"/>
        <w:left w:val="none" w:sz="0" w:space="0" w:color="auto"/>
        <w:bottom w:val="none" w:sz="0" w:space="0" w:color="auto"/>
        <w:right w:val="none" w:sz="0" w:space="0" w:color="auto"/>
      </w:divBdr>
    </w:div>
    <w:div w:id="1889535449">
      <w:bodyDiv w:val="1"/>
      <w:marLeft w:val="0"/>
      <w:marRight w:val="0"/>
      <w:marTop w:val="0"/>
      <w:marBottom w:val="0"/>
      <w:divBdr>
        <w:top w:val="none" w:sz="0" w:space="0" w:color="auto"/>
        <w:left w:val="none" w:sz="0" w:space="0" w:color="auto"/>
        <w:bottom w:val="none" w:sz="0" w:space="0" w:color="auto"/>
        <w:right w:val="none" w:sz="0" w:space="0" w:color="auto"/>
      </w:divBdr>
    </w:div>
    <w:div w:id="2044673876">
      <w:bodyDiv w:val="1"/>
      <w:marLeft w:val="0"/>
      <w:marRight w:val="0"/>
      <w:marTop w:val="0"/>
      <w:marBottom w:val="0"/>
      <w:divBdr>
        <w:top w:val="none" w:sz="0" w:space="0" w:color="auto"/>
        <w:left w:val="none" w:sz="0" w:space="0" w:color="auto"/>
        <w:bottom w:val="none" w:sz="0" w:space="0" w:color="auto"/>
        <w:right w:val="none" w:sz="0" w:space="0" w:color="auto"/>
      </w:divBdr>
    </w:div>
    <w:div w:id="2071616089">
      <w:bodyDiv w:val="1"/>
      <w:marLeft w:val="0"/>
      <w:marRight w:val="0"/>
      <w:marTop w:val="0"/>
      <w:marBottom w:val="0"/>
      <w:divBdr>
        <w:top w:val="none" w:sz="0" w:space="0" w:color="auto"/>
        <w:left w:val="none" w:sz="0" w:space="0" w:color="auto"/>
        <w:bottom w:val="none" w:sz="0" w:space="0" w:color="auto"/>
        <w:right w:val="none" w:sz="0" w:space="0" w:color="auto"/>
      </w:divBdr>
    </w:div>
    <w:div w:id="2116249793">
      <w:bodyDiv w:val="1"/>
      <w:marLeft w:val="0"/>
      <w:marRight w:val="0"/>
      <w:marTop w:val="0"/>
      <w:marBottom w:val="0"/>
      <w:divBdr>
        <w:top w:val="none" w:sz="0" w:space="0" w:color="auto"/>
        <w:left w:val="none" w:sz="0" w:space="0" w:color="auto"/>
        <w:bottom w:val="none" w:sz="0" w:space="0" w:color="auto"/>
        <w:right w:val="none" w:sz="0" w:space="0" w:color="auto"/>
      </w:divBdr>
    </w:div>
    <w:div w:id="212619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76C23-4625-4CC3-8A2B-AE8BDE0F3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27623</Words>
  <Characters>157453</Characters>
  <Application>Microsoft Office Word</Application>
  <DocSecurity>0</DocSecurity>
  <Lines>1312</Lines>
  <Paragraphs>369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184707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Milo</dc:creator>
  <cp:lastModifiedBy>Matteo Rinaldi</cp:lastModifiedBy>
  <cp:revision>8</cp:revision>
  <dcterms:created xsi:type="dcterms:W3CDTF">2026-03-10T19:05:00Z</dcterms:created>
  <dcterms:modified xsi:type="dcterms:W3CDTF">2026-04-07T19:46:00Z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id="CKKPAueq"/&gt;&lt;style id="http://www.zotero.org/styles/nlm-citation-sequence" locale="it-IT" hasBibliography="1" bibliographyStyleHasBeenSet="1"/&gt;&lt;prefs&gt;&lt;pref name="fieldType" value="Field"/&gt;&lt;pref na</vt:lpwstr>
  </property>
  <property fmtid="{D5CDD505-2E9C-101B-9397-08002B2CF9AE}" pid="3" name="ZOTERO_PREF_2">
    <vt:lpwstr>me="automaticJournalAbbreviations" value="true"/&gt;&lt;/prefs&gt;&lt;/data&gt;</vt:lpwstr>
  </property>
</Properties>
</file>