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E074C" w14:textId="719A0929" w:rsidR="00F15418" w:rsidRPr="00434C3A" w:rsidRDefault="003C5102" w:rsidP="00F15418">
      <w:pPr>
        <w:pStyle w:val="Titolo1"/>
        <w:jc w:val="center"/>
      </w:pPr>
      <w:r w:rsidRPr="00434C3A">
        <w:t>Changes</w:t>
      </w:r>
      <w:r w:rsidR="00F15418" w:rsidRPr="00434C3A">
        <w:t xml:space="preserve"> in physical-chemical and electrical properties </w:t>
      </w:r>
      <w:r w:rsidR="00C008D3" w:rsidRPr="00434C3A">
        <w:t>of XLPE-</w:t>
      </w:r>
      <w:r w:rsidRPr="00434C3A">
        <w:t xml:space="preserve">insulated </w:t>
      </w:r>
      <w:r w:rsidR="00AF1CB4" w:rsidRPr="00434C3A">
        <w:t>cable</w:t>
      </w:r>
      <w:r w:rsidR="00C008D3" w:rsidRPr="00434C3A">
        <w:t xml:space="preserve"> </w:t>
      </w:r>
      <w:r w:rsidR="00AF1CB4" w:rsidRPr="00434C3A">
        <w:t>subjected to radio-thermal aging and</w:t>
      </w:r>
      <w:r w:rsidR="00A4515D" w:rsidRPr="00434C3A">
        <w:t xml:space="preserve"> </w:t>
      </w:r>
      <w:r w:rsidR="00C008D3" w:rsidRPr="00434C3A">
        <w:t>loss of coolant accident (LOCA)</w:t>
      </w:r>
      <w:r w:rsidR="00AF1CB4" w:rsidRPr="00434C3A">
        <w:t xml:space="preserve"> simulation </w:t>
      </w:r>
    </w:p>
    <w:p w14:paraId="74C03B77" w14:textId="159A4D7F" w:rsidR="008E4C01" w:rsidRPr="00434C3A" w:rsidRDefault="008E4C01" w:rsidP="008E4C01">
      <w:pPr>
        <w:jc w:val="center"/>
      </w:pPr>
      <w:r w:rsidRPr="00434C3A">
        <w:t>Authors: Simone Vincenzo Suraci</w:t>
      </w:r>
      <w:r w:rsidR="0084030B" w:rsidRPr="00434C3A">
        <w:t xml:space="preserve"> and </w:t>
      </w:r>
      <w:r w:rsidRPr="00434C3A">
        <w:t>Davide Fabiani</w:t>
      </w:r>
    </w:p>
    <w:p w14:paraId="158C41F7" w14:textId="142F7B35" w:rsidR="008E4C01" w:rsidRPr="00434C3A" w:rsidRDefault="00F87480" w:rsidP="008E4C01">
      <w:pPr>
        <w:jc w:val="center"/>
      </w:pPr>
      <w:r w:rsidRPr="00434C3A">
        <w:rPr>
          <w:vertAlign w:val="superscript"/>
        </w:rPr>
        <w:t>1</w:t>
      </w:r>
      <w:r w:rsidRPr="00434C3A">
        <w:t xml:space="preserve"> LIMES – Department of Electrical Engineering - University of Bologna, Bologna, Italy</w:t>
      </w:r>
    </w:p>
    <w:p w14:paraId="3987CE02" w14:textId="2A5E948F" w:rsidR="00AE5DEA" w:rsidRPr="00434C3A" w:rsidRDefault="00AE5DEA" w:rsidP="00F15418">
      <w:pPr>
        <w:pStyle w:val="Abstractjicable"/>
        <w:spacing w:before="240"/>
        <w:rPr>
          <w:lang w:val="en-US"/>
        </w:rPr>
      </w:pPr>
      <w:r w:rsidRPr="00434C3A">
        <w:rPr>
          <w:lang w:val="en-US"/>
        </w:rPr>
        <w:t>ABSTRACT</w:t>
      </w:r>
    </w:p>
    <w:p w14:paraId="29920508" w14:textId="3D0AA040" w:rsidR="001B79B6" w:rsidRPr="00434C3A" w:rsidRDefault="001B79B6" w:rsidP="001B79B6">
      <w:pPr>
        <w:pStyle w:val="Abstract"/>
        <w:rPr>
          <w:rFonts w:cs="Arial"/>
          <w:lang w:val="en-US"/>
        </w:rPr>
      </w:pPr>
      <w:r w:rsidRPr="00434C3A">
        <w:rPr>
          <w:rFonts w:cs="Arial"/>
          <w:lang w:val="en-US"/>
        </w:rPr>
        <w:t xml:space="preserve">This article examines the electrical and chemical properties of low-voltage instrumentation and control (LV I&amp;C) cables </w:t>
      </w:r>
      <w:r w:rsidR="00B72303" w:rsidRPr="00434C3A">
        <w:rPr>
          <w:rFonts w:cs="Arial"/>
          <w:lang w:val="en-US"/>
        </w:rPr>
        <w:t xml:space="preserve">used in nuclear power plants </w:t>
      </w:r>
      <w:r w:rsidRPr="00434C3A">
        <w:rPr>
          <w:rFonts w:cs="Arial"/>
          <w:lang w:val="en-US"/>
        </w:rPr>
        <w:t>under normal and accidental conditions</w:t>
      </w:r>
      <w:r w:rsidR="00EC6ED3" w:rsidRPr="00434C3A">
        <w:rPr>
          <w:rFonts w:cs="Arial"/>
          <w:lang w:val="en-US"/>
        </w:rPr>
        <w:t>, by simulating a Design Basis Event (DBE).</w:t>
      </w:r>
      <w:r w:rsidRPr="00434C3A">
        <w:rPr>
          <w:rFonts w:cs="Arial"/>
          <w:lang w:val="en-US"/>
        </w:rPr>
        <w:t xml:space="preserve"> The study highlights how different aging treatments</w:t>
      </w:r>
      <w:r w:rsidR="00894B5C">
        <w:rPr>
          <w:rFonts w:cs="Arial"/>
          <w:lang w:val="en-US"/>
        </w:rPr>
        <w:t xml:space="preserve"> -</w:t>
      </w:r>
      <w:r w:rsidRPr="00434C3A">
        <w:rPr>
          <w:rFonts w:cs="Arial"/>
          <w:lang w:val="en-US"/>
        </w:rPr>
        <w:t>radiation and thermal</w:t>
      </w:r>
      <w:r w:rsidR="00894B5C">
        <w:rPr>
          <w:rFonts w:cs="Arial"/>
          <w:lang w:val="en-US"/>
        </w:rPr>
        <w:t xml:space="preserve">- </w:t>
      </w:r>
      <w:r w:rsidRPr="00434C3A">
        <w:rPr>
          <w:rFonts w:cs="Arial"/>
          <w:lang w:val="en-US"/>
        </w:rPr>
        <w:t>significantly alter both the physical-chemical and electrical properties of the</w:t>
      </w:r>
      <w:r w:rsidR="00EC6ED3" w:rsidRPr="00434C3A">
        <w:rPr>
          <w:rFonts w:cs="Arial"/>
          <w:lang w:val="en-US"/>
        </w:rPr>
        <w:t xml:space="preserve"> </w:t>
      </w:r>
      <w:r w:rsidRPr="00434C3A">
        <w:rPr>
          <w:rFonts w:cs="Arial"/>
          <w:lang w:val="en-US"/>
        </w:rPr>
        <w:t xml:space="preserve">insulating material of the analyzed </w:t>
      </w:r>
      <w:r w:rsidR="00EC6ED3" w:rsidRPr="00434C3A">
        <w:rPr>
          <w:rFonts w:cs="Arial"/>
          <w:lang w:val="en-US"/>
        </w:rPr>
        <w:t>cab</w:t>
      </w:r>
      <w:r w:rsidRPr="00434C3A">
        <w:rPr>
          <w:rFonts w:cs="Arial"/>
          <w:lang w:val="en-US"/>
        </w:rPr>
        <w:t xml:space="preserve">les. Radiation aging primarily introduces highly reactive radicals and charged species, affecting the PE matrix and increasing </w:t>
      </w:r>
      <w:r w:rsidR="00EC6ED3" w:rsidRPr="00434C3A">
        <w:rPr>
          <w:rFonts w:cs="Arial"/>
          <w:lang w:val="en-US"/>
        </w:rPr>
        <w:t>electrical conductivity and dielectric losses</w:t>
      </w:r>
      <w:r w:rsidRPr="00434C3A">
        <w:rPr>
          <w:rFonts w:cs="Arial"/>
          <w:lang w:val="en-US"/>
        </w:rPr>
        <w:t xml:space="preserve">. Thermal treatment </w:t>
      </w:r>
      <w:r w:rsidR="00EC6ED3" w:rsidRPr="00434C3A">
        <w:rPr>
          <w:rFonts w:cs="Arial"/>
          <w:lang w:val="en-US"/>
        </w:rPr>
        <w:t>catalyze</w:t>
      </w:r>
      <w:r w:rsidR="00D613DB" w:rsidRPr="00434C3A">
        <w:rPr>
          <w:rFonts w:cs="Arial"/>
          <w:lang w:val="en-US"/>
        </w:rPr>
        <w:t>s</w:t>
      </w:r>
      <w:r w:rsidR="00EC6ED3" w:rsidRPr="00434C3A">
        <w:rPr>
          <w:rFonts w:cs="Arial"/>
          <w:lang w:val="en-US"/>
        </w:rPr>
        <w:t xml:space="preserve"> thermo-</w:t>
      </w:r>
      <w:r w:rsidRPr="00434C3A">
        <w:rPr>
          <w:rFonts w:cs="Arial"/>
          <w:lang w:val="en-US"/>
        </w:rPr>
        <w:t xml:space="preserve">oxidation, </w:t>
      </w:r>
      <w:r w:rsidR="00EC6ED3" w:rsidRPr="00434C3A">
        <w:rPr>
          <w:rFonts w:cs="Arial"/>
          <w:lang w:val="en-US"/>
        </w:rPr>
        <w:t>which result</w:t>
      </w:r>
      <w:r w:rsidR="00D613DB" w:rsidRPr="00434C3A">
        <w:rPr>
          <w:rFonts w:cs="Arial"/>
          <w:lang w:val="en-US"/>
        </w:rPr>
        <w:t>s</w:t>
      </w:r>
      <w:r w:rsidR="00EC6ED3" w:rsidRPr="00434C3A">
        <w:rPr>
          <w:rFonts w:cs="Arial"/>
          <w:lang w:val="en-US"/>
        </w:rPr>
        <w:t xml:space="preserve"> in the reduction of conductivity and a further increase of dielectric losses.</w:t>
      </w:r>
      <w:r w:rsidRPr="00434C3A">
        <w:rPr>
          <w:rFonts w:cs="Arial"/>
          <w:lang w:val="en-US"/>
        </w:rPr>
        <w:t xml:space="preserve"> </w:t>
      </w:r>
      <w:r w:rsidR="0050293D" w:rsidRPr="00434C3A">
        <w:rPr>
          <w:rFonts w:cs="Arial"/>
          <w:lang w:val="en-US"/>
        </w:rPr>
        <w:t xml:space="preserve">After the Design Basis Event (DBE) simulation, cables exhibit significant oxidation, attributed to the high pressure and temperatures during the Loss of Coolant Accident (LOCA) tests. This results in a substantial decrease in </w:t>
      </w:r>
      <w:proofErr w:type="gramStart"/>
      <w:r w:rsidR="0050293D" w:rsidRPr="00434C3A">
        <w:rPr>
          <w:rFonts w:cs="Arial"/>
          <w:lang w:val="en-US"/>
        </w:rPr>
        <w:t>crystallinity</w:t>
      </w:r>
      <w:proofErr w:type="gramEnd"/>
      <w:r w:rsidR="0050293D" w:rsidRPr="00434C3A">
        <w:rPr>
          <w:rFonts w:cs="Arial"/>
          <w:lang w:val="en-US"/>
        </w:rPr>
        <w:t xml:space="preserve"> </w:t>
      </w:r>
      <w:r w:rsidR="006C392A">
        <w:rPr>
          <w:rFonts w:cs="Arial"/>
          <w:lang w:val="en-US"/>
        </w:rPr>
        <w:t xml:space="preserve">ratio </w:t>
      </w:r>
      <w:r w:rsidR="0050293D" w:rsidRPr="00434C3A">
        <w:rPr>
          <w:rFonts w:cs="Arial"/>
          <w:lang w:val="en-US"/>
        </w:rPr>
        <w:t>and a lower melting point of the polymer. Electrically, this leads to increased dielectric losses and reduced conduction current, indicating the formation of less-conducting species.</w:t>
      </w:r>
    </w:p>
    <w:p w14:paraId="51C8F74C" w14:textId="28004F7E" w:rsidR="00AE5DEA" w:rsidRPr="00434C3A" w:rsidRDefault="00AE5DEA" w:rsidP="00383CBC">
      <w:pPr>
        <w:pStyle w:val="Titolo1"/>
        <w:numPr>
          <w:ilvl w:val="0"/>
          <w:numId w:val="4"/>
        </w:numPr>
        <w:rPr>
          <w:rFonts w:cs="Arial"/>
        </w:rPr>
      </w:pPr>
      <w:r w:rsidRPr="00434C3A">
        <w:rPr>
          <w:rFonts w:cs="Arial"/>
        </w:rPr>
        <w:t>Introduction</w:t>
      </w:r>
    </w:p>
    <w:p w14:paraId="321F98DA" w14:textId="25B80DFE" w:rsidR="00084811" w:rsidRPr="00434C3A" w:rsidRDefault="00084811" w:rsidP="00212070">
      <w:pPr>
        <w:spacing w:after="0"/>
      </w:pPr>
      <w:r w:rsidRPr="005800CD">
        <w:t xml:space="preserve">The </w:t>
      </w:r>
      <w:r w:rsidR="00C610FD" w:rsidRPr="005800CD">
        <w:t>presence</w:t>
      </w:r>
      <w:r w:rsidRPr="005800CD">
        <w:t xml:space="preserve"> of medium and low voltage (MV and LV) cables within a power plant is extensive</w:t>
      </w:r>
      <w:r w:rsidR="003F4255" w:rsidRPr="005800CD">
        <w:t xml:space="preserve"> and critical to its operation</w:t>
      </w:r>
      <w:r w:rsidRPr="005800CD">
        <w:t xml:space="preserve">. </w:t>
      </w:r>
      <w:r w:rsidR="00B55224" w:rsidRPr="005800CD">
        <w:t>Cable structure</w:t>
      </w:r>
      <w:r w:rsidR="004E49C4" w:rsidRPr="005800CD">
        <w:t xml:space="preserve">, along with employed materials, </w:t>
      </w:r>
      <w:r w:rsidR="003F4255" w:rsidRPr="005800CD">
        <w:t>significantly</w:t>
      </w:r>
      <w:r w:rsidRPr="005800CD">
        <w:t xml:space="preserve"> var</w:t>
      </w:r>
      <w:r w:rsidR="004E49C4" w:rsidRPr="005800CD">
        <w:t>ies</w:t>
      </w:r>
      <w:r w:rsidRPr="005800CD">
        <w:t xml:space="preserve"> depending on the specific application and final purpose, addressing a range of endurance requirements. </w:t>
      </w:r>
      <w:r w:rsidR="00D94112" w:rsidRPr="005800CD">
        <w:t xml:space="preserve"> </w:t>
      </w:r>
      <w:r w:rsidRPr="005800CD">
        <w:t>Different areas of the power plant may necessitate distinct cable specifications to ensure reliable performance and safety. For instance, cables in high-stress environments might need enhanced thermal resistance, while those in other areas might prioritize flexibility or moisture resistance. Consequently, the selection and installation of MV and LV cables must be meticulously planned and executed to meet the diverse operational demands and endurance criteria of the entire power plant</w:t>
      </w:r>
      <w:r w:rsidR="00967D3C">
        <w:t xml:space="preserve"> </w:t>
      </w:r>
      <w:r w:rsidR="00856E23">
        <w:fldChar w:fldCharType="begin"/>
      </w:r>
      <w:r w:rsidR="00623AAB">
        <w:instrText xml:space="preserve"> ADDIN ZOTERO_ITEM CSL_CITATION {"citationID":"CPru4YgQ","properties":{"formattedCitation":"[1], [2], [3], [4], [5]","plainCitation":"[1], [2], [3], [4], [5]","noteIndex":0},"citationItems":[{"id":2221,"uris":["http://zotero.org/users/6147595/items/MVFI2SSH"],"itemData":{"id":2221,"type":"article-journal","abstract":"Electrical penetrations (EPs) in nuclear power plants play an important role in keeping a primary containment vessel airtight and connecting electrical cables from inside to outside of the vessel. Safety-related EPs that are categorized as “severe-accident (SA) equipment” must maintain their intended functions under various SA environmental conditions even after aging under their normal operating conditions throughout their service lifetime. To investigate the insulation performance of EPs in a SA environment, we tested two EPs that were equivalent to those used in pressurized water reactors in Japan. One EP specimen was pre-aged in a concurrent thermal and radiation environment at 100°C and 100 Gy/h for 100 days to simulate the degradation induced during the designated service period. The other EP specimen was used without pre-aging. To simulate the degradation induced by radiation during a SA, the EPs were irradiated with gamma rays to a total dose of 500 kGy at a dose rate of 7 kGy/h. Subsequently, the EP specimens were exposed to saturated steam at 155°C and 0.45 MPaG for 168 h. The electrical insulation resistance between the insulated cores of cables in each EP specimen was monitored during the steam exposure. The minimum insulation resistances measured during the steam exposure for the EP specimens with and without pre-aging were about 109 and 108 Ω, respectively, confirming that they retained sufficiently high insulation performance.","container-title":"IEEJ Transactions on Fundamentals and Materials","DOI":"10.1541/ieejfms.141.552","issue":"10","page":"552-559","source":"J-Stage","title":"Insulation Performance of Safety-Related Electrical Penetrations for Pressurized Water Reactors under Simulated Severe Accident Conditions","volume":"141","author":[{"family":"Watanabe","given":"Aiki"},{"family":"Ikeda","given":"Masaaki"},{"family":"Minakawa","given":"Takefumi"},{"family":"Hirai","given":"Naoshi"},{"family":"Ohki","given":"Yoshimichi"}],"issued":{"date-parts":[["2021"]]}}},{"id":2228,"uris":["http://zotero.org/users/6147595/items/8UECQM5T"],"itemData":{"id":2228,"type":"article-journal","abstract":"The changes of mechanical properties of various kinds of polyethylene (PE) and ethylene-propylene copolymer (EPR) with the irradiation in air, in oxygen of 10 atm, and under vacuum were investigated. The decrease in the elongation (Eb) and the tensile strength (Tb) of PE by the irradiation in oxygen is larger than under vacuum. The changes of Eb well reflect the degradation of PE. In case of EPR, the Tb decreases sharply with dose in any environments, and the Eb decreases under vacuum to a larger extent than in oxygen. The modulus at 200% elongation of EPR increases with dose under vacuum, but decreases in oxygen. When the samples were irradiated in air, the changes of the mechanical properties were the intermediate between oxygen and vacuum and dependent on the ratio of oxidation and non-oxidation layers in the film. The antioxidant (Irganox 1010 or DPPD) mixed in polymers was found to retard effectively the polymer degradation by the irradiation in oxygen.","container-title":"Radiation Physics and Chemistry (1977)","DOI":"10.1016/0146-5724(83)90004-3","ISSN":"0146-5724","issue":"6","journalAbbreviation":"Radiation Physics and Chemistry (1977)","page":"495-501","source":"ScienceDirect","title":"Radiation induced oxidative degradation of polymers—III: Effect of radiation on mechanical properties","title-short":"Radiation induced oxidative degradation of polymers—III","volume":"21","author":[{"family":"Seguchi","given":"Tadao"},{"family":"Arakawa","given":"Kazuo"},{"family":"Ito","given":"Masayuki"},{"family":"Hayakawa","given":"Naohiro"},{"family":"Machi","given":"Sueo"}],"issued":{"date-parts":[["1983",1,1]]}}},{"id":2216,"uris":["http://zotero.org/users/6147595/items/DBIGH7IT"],"itemData":{"id":2216,"type":"article-journal","abstract":"Cable fires in nuclear power plants have a significant probability to occur at any time in the course of a severe accident or may as well be the initiating event of a severe accident sequence. During the combustion process, enormous amounts of aerosols alongside specific combustion gases (e.g. CO, CO2) can be released. Both nature and amount of the cable fire products depend on the combustion conditions. The effect of cable fire products distributing inside the containment and getting in contact with the catalyst surfaces of passive auto-catalytic recombiners (PARs) is of vital interest for safety analyses, in order to assess the hydrogen mitigation efficiency under these conditions. The newly built REKO-Fire facility at Forschungszentrum Jülich combines a flow tube reactor for catalyst investigation with a steady-state tube furnace for the constant generation of cable fire products at varying combustion conditions. That way, simultaneous exposure of 5 × 5 cm2 catalyst samples to cable fire products and hydrogen/air mixtures is possible, enabling to quantify the influence of gaseous and particulate components on the catalysts’ start-up behavior. The installation has been used in the present study to investigate the effect of cable fire products obtained from flame-retardant power cables under three different fire conditions on the start-up of two types of catalysts for hydrogen recombination. For well-ventilated cable fire, neither gaseous nor particulate (mainly soot) cable fire products seem to affect the onset of the catalytic H2 conversion for both Pt and Pd-based catalysts. In under-ventilated fire conditions, the Pt-based catalyst is significantly deactivated, while the only impairment for the Pd-based catalyst is observed at very low hydrogen concentrations. For cable fire products generated from oxidative pyrolysis, the overall picture is ambiguous. On the one side it is obvious that deactivation and start-up delay occur for both catalyst types. However, no clear conclusion can be taken from the experimental data concerning the effect of exposure time. The presence of carbon monoxide in the atmosphere as well as particulate depositions from cable pyrolysis seem to be the most relevant mechanisms for catalyst deactivation and deserve further investigation.","container-title":"Progress in Nuclear Energy","DOI":"10.1016/j.pnucene.2022.104365","ISSN":"0149-1970","journalAbbreviation":"Progress in Nuclear Energy","page":"104365","source":"ScienceDirect","title":"Experimental investigation on the impact of cable fire products from flame-retardant cables on catalysts used in passive auto-catalytic recombiners","volume":"152","author":[{"family":"Klauck","given":"M."},{"family":"Nobrega","given":"G."},{"family":"Reinecke","given":"E. -A."},{"family":"Bentaib","given":"A."},{"family":"Maas","given":"L."},{"family":"Chaumeix","given":"N."},{"family":"Allelein","given":"H. -J."}],"issued":{"date-parts":[["2022",10,1]]}}},{"id":186,"uris":["http://zotero.org/users/6147595/items/92UCB9UC"],"itemData":{"id":186,"type":"article-journal","abstract":"Low voltage cables play a crucial role in the safe and reliable operation of nuclear power plants. This paper discusses the effect of simultaneous combined thermal and mechanical stresses on the overall insulation of unshielded low voltage power cables used in nuclear power plants. Cable samples based on XLPE/CSPE insulation were exposed to thermal-mechanical combined accelerated aging tests for an extended period lasted to 907 hours. Time and frequency domain dielectric spectroscopy were applied to reveal the degradation level of the core insulation and jacket due to combined stresses. The former technique was conducted through the measurement of the decay and return voltage slopes, while the latter technique was based on the measurement of the complex permittivity. Moreover, the mechanical properties of the cable insulation were investigated by applying the measurement of the Shore D hardness. The results showed that the combined aging affects both the electrical and mechanical properties of the overall insulation. The complex permittivity at 100 Hz, the decay voltage slope, and the hardness had an upward trend with aging, while the return voltage slope showed an inverse trend. In addition, the results of the electrical and mechanical measurements showed strong correlation with aging time and further correlation was observed between the dielectric and mechanical properties. The correlation between aging time and test results suggests that the presented test methods are promising tools for in situ condition monitoring of low voltage unshielded cables in nuclear power plants.","container-title":"IEEE Access","DOI":"10.1109/ACCESS.2020.3048189","ISSN":"2169-3536","note":"event-title: IEEE Access","page":"4531-4541","source":"IEEE Xplore","title":"Electrical and Mechanical Condition Assessment of Low Voltage Unshielded Nuclear Power Cables Under Simultaneous Thermal and Mechanical Stresses: Application of Non-Destructive Test Techniques","title-short":"Electrical and Mechanical Condition Assessment of Low Voltage Unshielded Nuclear Power Cables Under Simultaneous Thermal and Mechanical Stresses","volume":"9","author":[{"family":"Afia","given":"R. S. A."},{"family":"Ehtasham","given":"M."},{"family":"Tamus","given":"Z. Á"}],"issued":{"date-parts":[["2021"]]}}},{"id":151,"uris":["http://zotero.org/users/6147595/items/3YP4RJBL"],"itemData":{"id":151,"type":"article-journal","abstract":"Many models proposed in the literature to describe low-voltage power distribution networks in consumer premises as communication media require knowledge of the electrical parameters of the cables comprising these networks. These parameters are nevertheless affected by a large number of factors which may vary greatly from case to case, making it thus very difficult to achieve an exact estimation about them. In this work, a study of the electrical parameters of two cable types widely used in residential low-voltage power distribution networks is presented. Moreover, a finite-element approach is used for the verification of the results of the theoretical model concerning the series impedance per unit length of the cable type under study with respect to its normal operational conditions","container-title":"IEEE Transactions on Power Delivery","DOI":"10.1109/TPWRD.2006.881577","ISSN":"1937-4208","issue":"2","note":"event-title: IEEE Transactions on Power Delivery","page":"879-886","source":"IEEE Xplore","title":"Electrical Parameters of Low-Voltage Power Distribution Cables Used for Power-Line Communications","volume":"22","author":[{"family":"Andreou","given":"G. T."},{"family":"Labridis","given":"D. P."}],"issued":{"date-parts":[["2007",4]]}}}],"schema":"https://github.com/citation-style-language/schema/raw/master/csl-citation.json"} </w:instrText>
      </w:r>
      <w:r w:rsidR="00856E23">
        <w:fldChar w:fldCharType="separate"/>
      </w:r>
      <w:r w:rsidR="00623AAB" w:rsidRPr="00623AAB">
        <w:rPr>
          <w:rFonts w:cs="Arial"/>
        </w:rPr>
        <w:t>[1], [2], [3], [4], [5]</w:t>
      </w:r>
      <w:r w:rsidR="00856E23">
        <w:fldChar w:fldCharType="end"/>
      </w:r>
      <w:r w:rsidRPr="005800CD">
        <w:t>.</w:t>
      </w:r>
    </w:p>
    <w:p w14:paraId="64A6BBCD" w14:textId="1B6E4771" w:rsidR="0082640C" w:rsidRPr="004B00E1" w:rsidRDefault="00084811" w:rsidP="00212070">
      <w:pPr>
        <w:spacing w:after="0"/>
        <w:rPr>
          <w:color w:val="000000" w:themeColor="text1"/>
        </w:rPr>
      </w:pPr>
      <w:r w:rsidRPr="00434C3A">
        <w:t xml:space="preserve">This approach is particularly evident in the case of nuclear power plants (NPPs) where safety standards are extremely high due to the possible consequences of unexpected failures. For this reason, cables within NPPs are considered as </w:t>
      </w:r>
      <w:r w:rsidRPr="00434C3A">
        <w:rPr>
          <w:i/>
          <w:iCs/>
        </w:rPr>
        <w:t xml:space="preserve">equipment important to safety </w:t>
      </w:r>
      <w:r w:rsidRPr="00434C3A">
        <w:t xml:space="preserve">and, prior to their application, they face meticulous </w:t>
      </w:r>
      <w:r w:rsidRPr="004B00E1">
        <w:rPr>
          <w:color w:val="000000" w:themeColor="text1"/>
        </w:rPr>
        <w:t xml:space="preserve">qualification procedures which </w:t>
      </w:r>
      <w:r w:rsidR="00B579BF" w:rsidRPr="004B00E1">
        <w:rPr>
          <w:color w:val="000000" w:themeColor="text1"/>
        </w:rPr>
        <w:t>change</w:t>
      </w:r>
      <w:r w:rsidRPr="004B00E1">
        <w:rPr>
          <w:color w:val="000000" w:themeColor="text1"/>
        </w:rPr>
        <w:t xml:space="preserve"> depending on the installation site of the NPPs.</w:t>
      </w:r>
    </w:p>
    <w:p w14:paraId="16DE1B7B" w14:textId="3613D460" w:rsidR="00084811" w:rsidRPr="004B00E1" w:rsidRDefault="00084811" w:rsidP="00212070">
      <w:pPr>
        <w:spacing w:after="0"/>
        <w:rPr>
          <w:color w:val="000000" w:themeColor="text1"/>
        </w:rPr>
      </w:pPr>
      <w:r w:rsidRPr="004B00E1">
        <w:rPr>
          <w:color w:val="000000" w:themeColor="text1"/>
        </w:rPr>
        <w:t xml:space="preserve">In terms of types of cables, NPPs usually </w:t>
      </w:r>
      <w:r w:rsidR="00551B93" w:rsidRPr="004B00E1">
        <w:rPr>
          <w:color w:val="000000" w:themeColor="text1"/>
        </w:rPr>
        <w:t>feature</w:t>
      </w:r>
      <w:r w:rsidRPr="004B00E1">
        <w:rPr>
          <w:color w:val="000000" w:themeColor="text1"/>
        </w:rPr>
        <w:t xml:space="preserve"> MV and LV cables which are used to deliver power (MV and LV), signal and data (LV). These latter fall within the class of instrumentation and control (I&amp;C) cables, and they are used to connect various areas of the plant, </w:t>
      </w:r>
      <w:r w:rsidR="00723AF8" w:rsidRPr="004B00E1">
        <w:rPr>
          <w:color w:val="000000" w:themeColor="text1"/>
        </w:rPr>
        <w:t xml:space="preserve">i.e., </w:t>
      </w:r>
      <w:r w:rsidRPr="004B00E1">
        <w:rPr>
          <w:color w:val="000000" w:themeColor="text1"/>
        </w:rPr>
        <w:t xml:space="preserve">from the reactor hall up to the control room. Depending on their final application, I&amp;C cables are classified as </w:t>
      </w:r>
      <w:r w:rsidRPr="004B00E1">
        <w:rPr>
          <w:i/>
          <w:iCs/>
          <w:color w:val="000000" w:themeColor="text1"/>
        </w:rPr>
        <w:t xml:space="preserve">important to safety </w:t>
      </w:r>
      <w:r w:rsidRPr="004B00E1">
        <w:rPr>
          <w:color w:val="000000" w:themeColor="text1"/>
        </w:rPr>
        <w:t xml:space="preserve">or </w:t>
      </w:r>
      <w:r w:rsidRPr="004B00E1">
        <w:rPr>
          <w:i/>
          <w:iCs/>
          <w:color w:val="000000" w:themeColor="text1"/>
        </w:rPr>
        <w:t>not important to safety</w:t>
      </w:r>
      <w:r w:rsidRPr="004B00E1">
        <w:rPr>
          <w:color w:val="000000" w:themeColor="text1"/>
        </w:rPr>
        <w:t xml:space="preserve"> according to the IEEE 3</w:t>
      </w:r>
      <w:r w:rsidR="00D93472" w:rsidRPr="004B00E1">
        <w:rPr>
          <w:color w:val="000000" w:themeColor="text1"/>
        </w:rPr>
        <w:t>0</w:t>
      </w:r>
      <w:r w:rsidR="008A3B3E" w:rsidRPr="004B00E1">
        <w:rPr>
          <w:color w:val="000000" w:themeColor="text1"/>
        </w:rPr>
        <w:t>8</w:t>
      </w:r>
      <w:r w:rsidR="003032DC" w:rsidRPr="004B00E1">
        <w:rPr>
          <w:color w:val="000000" w:themeColor="text1"/>
        </w:rPr>
        <w:t xml:space="preserve"> and IEC 61226:2021</w:t>
      </w:r>
      <w:r w:rsidRPr="004B00E1">
        <w:rPr>
          <w:color w:val="000000" w:themeColor="text1"/>
        </w:rPr>
        <w:t xml:space="preserve"> standard</w:t>
      </w:r>
      <w:r w:rsidR="003032DC" w:rsidRPr="004B00E1">
        <w:rPr>
          <w:color w:val="000000" w:themeColor="text1"/>
        </w:rPr>
        <w:t>s</w:t>
      </w:r>
      <w:r w:rsidR="008A27A5" w:rsidRPr="004B00E1">
        <w:rPr>
          <w:color w:val="000000" w:themeColor="text1"/>
        </w:rPr>
        <w:t xml:space="preserve"> </w:t>
      </w:r>
      <w:r w:rsidR="008A27A5" w:rsidRPr="004B00E1">
        <w:rPr>
          <w:color w:val="000000" w:themeColor="text1"/>
        </w:rPr>
        <w:fldChar w:fldCharType="begin"/>
      </w:r>
      <w:r w:rsidR="00E24BAE" w:rsidRPr="004B00E1">
        <w:rPr>
          <w:color w:val="000000" w:themeColor="text1"/>
        </w:rPr>
        <w:instrText xml:space="preserve"> ADDIN ZOTERO_ITEM CSL_CITATION {"citationID":"RFQgduSi","properties":{"formattedCitation":"[6, p. 308], [7]","plainCitation":"[6, p. 308], [7]","dontUpdate":true,"noteIndex":0},"citationItems":[{"id":484,"uris":["http://zotero.org/users/6147595/items/K38AK8XH"],"itemData":{"id":484,"type":"article-journal","abstract":"General requirements and methods for qualifying electric cables and splices for nuclear facilities are provided. Cable, wire, and splices within or integral to other devices (e.g., instruments, panels, motors) should be qualified using the requirements in the applicable device standard or IEEE Std 323(TM). However, this standards requirements may be applied to the cable, wire and splices within these devices. For qualification of fiber optic cable, refer to IEEE Std 1682(TM).","container-title":"IEEE Std 383-2015 (Revision of IEEE Std 383-2003)","DOI":"10.1109/IEEESTD.2015.7287711","note":"event-title: IEEE Std 383-2015 (Revision of IEEE Std 383-2003)","page":"1-27","source":"IEEE Xplore","title":"IEEE Standard for Qualifying Electric Cables and Splices for Nuclear Facilities","issued":{"date-parts":[["2015",10]]}},"locator":"308"},{"id":2242,"uris":["http://zotero.org/users/6147595/items/Y4GQZLCB"],"itemData":{"id":2242,"type":"book","event-place":"London","language":"en","note":"OCLC: 1263810901","publisher":"British Standards Institution","publisher-place":"London","source":"Open WorldCat","title":"Nuclear power plants. Instrumentation, control and electrical power systems important to safety. Categorization of functions and classification of systems","issued":{"date-parts":[["2021"]]}}}],"schema":"https://github.com/citation-style-language/schema/raw/master/csl-citation.json"} </w:instrText>
      </w:r>
      <w:r w:rsidR="008A27A5" w:rsidRPr="004B00E1">
        <w:rPr>
          <w:color w:val="000000" w:themeColor="text1"/>
        </w:rPr>
        <w:fldChar w:fldCharType="separate"/>
      </w:r>
      <w:r w:rsidR="00672FF7" w:rsidRPr="004B00E1">
        <w:rPr>
          <w:rFonts w:cs="Arial"/>
          <w:color w:val="000000" w:themeColor="text1"/>
        </w:rPr>
        <w:t>[6, 7]</w:t>
      </w:r>
      <w:r w:rsidR="008A27A5" w:rsidRPr="004B00E1">
        <w:rPr>
          <w:color w:val="000000" w:themeColor="text1"/>
        </w:rPr>
        <w:fldChar w:fldCharType="end"/>
      </w:r>
      <w:r w:rsidR="008A27A5" w:rsidRPr="004B00E1">
        <w:rPr>
          <w:color w:val="000000" w:themeColor="text1"/>
        </w:rPr>
        <w:t xml:space="preserve">, </w:t>
      </w:r>
      <w:r w:rsidRPr="004B00E1">
        <w:rPr>
          <w:color w:val="000000" w:themeColor="text1"/>
        </w:rPr>
        <w:t>as it will be discussed in the following.</w:t>
      </w:r>
    </w:p>
    <w:p w14:paraId="0D72A58C" w14:textId="5F821548" w:rsidR="00084811" w:rsidRPr="004B00E1" w:rsidRDefault="00084811" w:rsidP="00212070">
      <w:pPr>
        <w:spacing w:after="0"/>
        <w:rPr>
          <w:color w:val="000000" w:themeColor="text1"/>
        </w:rPr>
      </w:pPr>
      <w:r w:rsidRPr="004B00E1">
        <w:rPr>
          <w:color w:val="000000" w:themeColor="text1"/>
        </w:rPr>
        <w:t xml:space="preserve">In terms of quantity, typical pressurized and boiling water reactors (PWRs and BWRs) are estimated to own more than </w:t>
      </w:r>
      <w:r w:rsidR="00721118" w:rsidRPr="004B00E1">
        <w:rPr>
          <w:color w:val="000000" w:themeColor="text1"/>
        </w:rPr>
        <w:t>3000</w:t>
      </w:r>
      <w:r w:rsidRPr="004B00E1">
        <w:rPr>
          <w:color w:val="000000" w:themeColor="text1"/>
        </w:rPr>
        <w:t xml:space="preserve"> km of LV I&amp;C cables</w:t>
      </w:r>
      <w:r w:rsidR="00721118" w:rsidRPr="004B00E1">
        <w:rPr>
          <w:color w:val="000000" w:themeColor="text1"/>
        </w:rPr>
        <w:t xml:space="preserve"> (~1500 km of which are classified as </w:t>
      </w:r>
      <w:r w:rsidR="00721118" w:rsidRPr="004B00E1">
        <w:rPr>
          <w:i/>
          <w:iCs/>
          <w:color w:val="000000" w:themeColor="text1"/>
        </w:rPr>
        <w:t>important to safety</w:t>
      </w:r>
      <w:r w:rsidR="00721118" w:rsidRPr="004B00E1">
        <w:rPr>
          <w:color w:val="000000" w:themeColor="text1"/>
        </w:rPr>
        <w:t>)</w:t>
      </w:r>
      <w:r w:rsidRPr="004B00E1">
        <w:rPr>
          <w:color w:val="000000" w:themeColor="text1"/>
        </w:rPr>
        <w:t>, making them the most extensive</w:t>
      </w:r>
      <w:r w:rsidR="00721118" w:rsidRPr="004B00E1">
        <w:rPr>
          <w:color w:val="000000" w:themeColor="text1"/>
        </w:rPr>
        <w:t>ly</w:t>
      </w:r>
      <w:r w:rsidRPr="004B00E1">
        <w:rPr>
          <w:color w:val="000000" w:themeColor="text1"/>
        </w:rPr>
        <w:t xml:space="preserve"> </w:t>
      </w:r>
      <w:r w:rsidR="00721118" w:rsidRPr="004B00E1">
        <w:rPr>
          <w:color w:val="000000" w:themeColor="text1"/>
        </w:rPr>
        <w:t>distributed equipment in the NPPs.</w:t>
      </w:r>
    </w:p>
    <w:p w14:paraId="0EFC1222" w14:textId="138726FD" w:rsidR="00E94C9E" w:rsidRPr="00434C3A" w:rsidRDefault="00BA58A6" w:rsidP="00212070">
      <w:pPr>
        <w:spacing w:after="0"/>
      </w:pPr>
      <w:r w:rsidRPr="004B00E1">
        <w:rPr>
          <w:color w:val="000000" w:themeColor="text1"/>
        </w:rPr>
        <w:t>There a</w:t>
      </w:r>
      <w:r w:rsidR="00B64116" w:rsidRPr="004B00E1">
        <w:rPr>
          <w:color w:val="000000" w:themeColor="text1"/>
        </w:rPr>
        <w:t xml:space="preserve">re various international standards </w:t>
      </w:r>
      <w:r w:rsidR="00E94C9E" w:rsidRPr="004B00E1">
        <w:rPr>
          <w:color w:val="000000" w:themeColor="text1"/>
        </w:rPr>
        <w:t xml:space="preserve">which, </w:t>
      </w:r>
      <w:r w:rsidR="00B64116" w:rsidRPr="004B00E1">
        <w:rPr>
          <w:color w:val="000000" w:themeColor="text1"/>
        </w:rPr>
        <w:t xml:space="preserve">in </w:t>
      </w:r>
      <w:r w:rsidR="00B64116">
        <w:t xml:space="preserve">addition to the classification of the different </w:t>
      </w:r>
      <w:r w:rsidR="00867D7C" w:rsidRPr="00434C3A">
        <w:t>types of cables,</w:t>
      </w:r>
      <w:r w:rsidR="00E94C9E" w:rsidRPr="00434C3A">
        <w:t xml:space="preserve"> </w:t>
      </w:r>
      <w:r w:rsidR="00867D7C" w:rsidRPr="00434C3A">
        <w:t>describe the cable qualification procedures and the approval among the Technical Safety Organizations (TSOs), the NPP owner and the country authority.</w:t>
      </w:r>
    </w:p>
    <w:p w14:paraId="4C536DE9" w14:textId="2FDA9C80" w:rsidR="00400631" w:rsidRPr="00434C3A" w:rsidRDefault="00400631" w:rsidP="00212070">
      <w:pPr>
        <w:spacing w:after="0"/>
      </w:pPr>
      <w:r w:rsidRPr="00434C3A">
        <w:t xml:space="preserve">Available standards depict procedures to qualify cables for operation for a lifespan of </w:t>
      </w:r>
      <w:r w:rsidR="0023488E">
        <w:t>40 up to 60</w:t>
      </w:r>
      <w:r w:rsidRPr="00434C3A">
        <w:t xml:space="preserve"> years, </w:t>
      </w:r>
      <w:r w:rsidR="00434C3A" w:rsidRPr="00434C3A">
        <w:t>a time</w:t>
      </w:r>
      <w:r w:rsidRPr="00434C3A">
        <w:t xml:space="preserve"> during which cables may be subjected to different environmental stresses including e.g. radiation, high temperature and moisture. For this reason, qualification processes commonly imply the use of accelerated aging conditions</w:t>
      </w:r>
      <w:r w:rsidR="00FB0654" w:rsidRPr="00434C3A">
        <w:t>, aiming at simulating real in-operation stresses.</w:t>
      </w:r>
    </w:p>
    <w:p w14:paraId="74271704" w14:textId="11C1440F" w:rsidR="00400631" w:rsidRPr="004B00E1" w:rsidRDefault="00400631" w:rsidP="00400631">
      <w:pPr>
        <w:spacing w:after="0"/>
        <w:rPr>
          <w:color w:val="000000" w:themeColor="text1"/>
        </w:rPr>
      </w:pPr>
      <w:r w:rsidRPr="00434C3A">
        <w:rPr>
          <w:szCs w:val="20"/>
        </w:rPr>
        <w:fldChar w:fldCharType="begin"/>
      </w:r>
      <w:r w:rsidRPr="00434C3A">
        <w:rPr>
          <w:szCs w:val="20"/>
        </w:rPr>
        <w:instrText xml:space="preserve"> REF _Ref176429841 \h  \* MERGEFORMAT </w:instrText>
      </w:r>
      <w:r w:rsidRPr="00434C3A">
        <w:rPr>
          <w:szCs w:val="20"/>
        </w:rPr>
      </w:r>
      <w:r w:rsidRPr="00434C3A">
        <w:rPr>
          <w:szCs w:val="20"/>
        </w:rPr>
        <w:fldChar w:fldCharType="separate"/>
      </w:r>
      <w:r w:rsidR="001D02A0" w:rsidRPr="001D02A0">
        <w:rPr>
          <w:szCs w:val="20"/>
        </w:rPr>
        <w:t xml:space="preserve">Figure </w:t>
      </w:r>
      <w:r w:rsidR="001D02A0" w:rsidRPr="001D02A0">
        <w:rPr>
          <w:noProof/>
          <w:szCs w:val="20"/>
        </w:rPr>
        <w:t>1</w:t>
      </w:r>
      <w:r w:rsidRPr="00434C3A">
        <w:rPr>
          <w:szCs w:val="20"/>
        </w:rPr>
        <w:fldChar w:fldCharType="end"/>
      </w:r>
      <w:r w:rsidRPr="00434C3A">
        <w:rPr>
          <w:szCs w:val="20"/>
        </w:rPr>
        <w:t xml:space="preserve"> reports</w:t>
      </w:r>
      <w:r w:rsidRPr="00434C3A">
        <w:t xml:space="preserve"> the schematic of a </w:t>
      </w:r>
      <w:r w:rsidRPr="004B00E1">
        <w:rPr>
          <w:color w:val="000000" w:themeColor="text1"/>
        </w:rPr>
        <w:t>NPP with details on the types of cable and the relative areas, according to the two standards considered in this work (IEEE</w:t>
      </w:r>
      <w:r w:rsidR="00FB7B06" w:rsidRPr="004B00E1">
        <w:rPr>
          <w:color w:val="000000" w:themeColor="text1"/>
        </w:rPr>
        <w:t>/IEC</w:t>
      </w:r>
      <w:r w:rsidRPr="004B00E1">
        <w:rPr>
          <w:color w:val="000000" w:themeColor="text1"/>
        </w:rPr>
        <w:t xml:space="preserve"> internation</w:t>
      </w:r>
      <w:r w:rsidR="003F67FA" w:rsidRPr="004B00E1">
        <w:rPr>
          <w:color w:val="000000" w:themeColor="text1"/>
        </w:rPr>
        <w:t>al</w:t>
      </w:r>
      <w:r w:rsidRPr="004B00E1">
        <w:rPr>
          <w:color w:val="000000" w:themeColor="text1"/>
        </w:rPr>
        <w:t xml:space="preserve"> and French ones). In particular, the upper division (</w:t>
      </w:r>
      <w:r w:rsidRPr="004B00E1">
        <w:rPr>
          <w:i/>
          <w:iCs/>
          <w:color w:val="000000" w:themeColor="text1"/>
        </w:rPr>
        <w:t>1E, Not-1E</w:t>
      </w:r>
      <w:r w:rsidRPr="004B00E1">
        <w:rPr>
          <w:color w:val="000000" w:themeColor="text1"/>
        </w:rPr>
        <w:t>) refers to the former, while the lower (</w:t>
      </w:r>
      <w:r w:rsidRPr="004B00E1">
        <w:rPr>
          <w:i/>
          <w:iCs/>
          <w:color w:val="000000" w:themeColor="text1"/>
        </w:rPr>
        <w:t>K1, K2, K3, Not-classified</w:t>
      </w:r>
      <w:r w:rsidRPr="004B00E1">
        <w:rPr>
          <w:color w:val="000000" w:themeColor="text1"/>
        </w:rPr>
        <w:t xml:space="preserve">) </w:t>
      </w:r>
      <w:r w:rsidR="008A27A5" w:rsidRPr="004B00E1">
        <w:rPr>
          <w:color w:val="000000" w:themeColor="text1"/>
        </w:rPr>
        <w:t>refers to</w:t>
      </w:r>
      <w:r w:rsidRPr="004B00E1">
        <w:rPr>
          <w:color w:val="000000" w:themeColor="text1"/>
        </w:rPr>
        <w:t xml:space="preserve"> the latter. </w:t>
      </w:r>
    </w:p>
    <w:p w14:paraId="1AAAEA51" w14:textId="7CB1B0D7" w:rsidR="00400631" w:rsidRPr="004B00E1" w:rsidRDefault="00400631" w:rsidP="00400631">
      <w:pPr>
        <w:spacing w:after="0"/>
        <w:rPr>
          <w:color w:val="000000" w:themeColor="text1"/>
        </w:rPr>
      </w:pPr>
      <w:r w:rsidRPr="004B00E1">
        <w:rPr>
          <w:color w:val="000000" w:themeColor="text1"/>
        </w:rPr>
        <w:t>It is seen that cables important to safety (</w:t>
      </w:r>
      <w:r w:rsidRPr="004B00E1">
        <w:rPr>
          <w:i/>
          <w:iCs/>
          <w:color w:val="000000" w:themeColor="text1"/>
        </w:rPr>
        <w:t>1E, K1,</w:t>
      </w:r>
      <w:r w:rsidRPr="004B00E1">
        <w:rPr>
          <w:color w:val="000000" w:themeColor="text1"/>
        </w:rPr>
        <w:t xml:space="preserve"> </w:t>
      </w:r>
      <w:r w:rsidRPr="004B00E1">
        <w:rPr>
          <w:i/>
          <w:iCs/>
          <w:color w:val="000000" w:themeColor="text1"/>
        </w:rPr>
        <w:t>K2</w:t>
      </w:r>
      <w:r w:rsidRPr="004B00E1">
        <w:rPr>
          <w:color w:val="000000" w:themeColor="text1"/>
        </w:rPr>
        <w:t xml:space="preserve"> and </w:t>
      </w:r>
      <w:r w:rsidRPr="004B00E1">
        <w:rPr>
          <w:i/>
          <w:iCs/>
          <w:color w:val="000000" w:themeColor="text1"/>
        </w:rPr>
        <w:t>K3</w:t>
      </w:r>
      <w:r w:rsidRPr="004B00E1">
        <w:rPr>
          <w:color w:val="000000" w:themeColor="text1"/>
        </w:rPr>
        <w:t xml:space="preserve">), are placed </w:t>
      </w:r>
      <w:r w:rsidR="00FB7B06" w:rsidRPr="004B00E1">
        <w:rPr>
          <w:color w:val="000000" w:themeColor="text1"/>
        </w:rPr>
        <w:t xml:space="preserve">mostly </w:t>
      </w:r>
      <w:r w:rsidRPr="004B00E1">
        <w:rPr>
          <w:color w:val="000000" w:themeColor="text1"/>
        </w:rPr>
        <w:t xml:space="preserve">inside </w:t>
      </w:r>
      <w:r w:rsidRPr="00434C3A">
        <w:t>the nuclear reactor building</w:t>
      </w:r>
      <w:r w:rsidR="004B00E1">
        <w:t xml:space="preserve">. </w:t>
      </w:r>
      <w:r w:rsidRPr="00434C3A">
        <w:t xml:space="preserve">Conversely, non-safety classified </w:t>
      </w:r>
      <w:r w:rsidRPr="004B00E1">
        <w:rPr>
          <w:color w:val="000000" w:themeColor="text1"/>
        </w:rPr>
        <w:t xml:space="preserve">cables </w:t>
      </w:r>
      <w:r w:rsidR="004B7835" w:rsidRPr="004B00E1">
        <w:rPr>
          <w:color w:val="000000" w:themeColor="text1"/>
        </w:rPr>
        <w:t>are</w:t>
      </w:r>
      <w:r w:rsidRPr="004B00E1">
        <w:rPr>
          <w:color w:val="000000" w:themeColor="text1"/>
        </w:rPr>
        <w:t xml:space="preserve"> placed </w:t>
      </w:r>
      <w:r w:rsidR="004B7835" w:rsidRPr="004B00E1">
        <w:rPr>
          <w:color w:val="000000" w:themeColor="text1"/>
        </w:rPr>
        <w:t>mostly</w:t>
      </w:r>
      <w:r w:rsidRPr="004B00E1">
        <w:rPr>
          <w:color w:val="000000" w:themeColor="text1"/>
        </w:rPr>
        <w:t xml:space="preserve"> </w:t>
      </w:r>
      <w:r w:rsidRPr="00434C3A">
        <w:t xml:space="preserve">in the </w:t>
      </w:r>
      <w:r w:rsidRPr="004B00E1">
        <w:rPr>
          <w:color w:val="000000" w:themeColor="text1"/>
        </w:rPr>
        <w:t xml:space="preserve">other areas of the plant. </w:t>
      </w:r>
    </w:p>
    <w:p w14:paraId="29EBF4A0" w14:textId="04649EED" w:rsidR="00400631" w:rsidRPr="004B00E1" w:rsidRDefault="00400631" w:rsidP="00400631">
      <w:pPr>
        <w:spacing w:after="0"/>
        <w:rPr>
          <w:color w:val="000000" w:themeColor="text1"/>
        </w:rPr>
      </w:pPr>
      <w:r w:rsidRPr="004B00E1">
        <w:rPr>
          <w:color w:val="000000" w:themeColor="text1"/>
        </w:rPr>
        <w:t xml:space="preserve">Thanks to the extensive presence of NPP energy within its energy mix, French standard is </w:t>
      </w:r>
      <w:r w:rsidR="00E67AF8" w:rsidRPr="004B00E1">
        <w:rPr>
          <w:color w:val="000000" w:themeColor="text1"/>
        </w:rPr>
        <w:t>used a reference</w:t>
      </w:r>
      <w:r w:rsidR="00CF4FF2" w:rsidRPr="004B00E1">
        <w:rPr>
          <w:color w:val="000000" w:themeColor="text1"/>
        </w:rPr>
        <w:t xml:space="preserve"> one</w:t>
      </w:r>
      <w:r w:rsidR="004B00E1" w:rsidRPr="004B00E1">
        <w:rPr>
          <w:color w:val="000000" w:themeColor="text1"/>
        </w:rPr>
        <w:t xml:space="preserve">, </w:t>
      </w:r>
      <w:r w:rsidRPr="004B00E1">
        <w:rPr>
          <w:color w:val="000000" w:themeColor="text1"/>
        </w:rPr>
        <w:t>for the purpose of this work.</w:t>
      </w:r>
    </w:p>
    <w:p w14:paraId="6FDD58C9" w14:textId="60A436FB" w:rsidR="00876680" w:rsidRPr="00434C3A" w:rsidRDefault="00876680" w:rsidP="00876680">
      <w:pPr>
        <w:spacing w:after="0"/>
      </w:pPr>
      <w:r w:rsidRPr="00434C3A">
        <w:lastRenderedPageBreak/>
        <w:t>Among the different types of cables used in NPPs</w:t>
      </w:r>
      <w:r w:rsidR="004E04DA">
        <w:t xml:space="preserve"> </w:t>
      </w:r>
      <w:r w:rsidRPr="00434C3A">
        <w:t xml:space="preserve">the ones important to safety are required to fulfil their operation even after the occurrence of a nuclear accident. For this reason, the qualification of this kind of </w:t>
      </w:r>
      <w:r w:rsidR="008A27A5" w:rsidRPr="00434C3A">
        <w:t>cable</w:t>
      </w:r>
      <w:r w:rsidRPr="00434C3A">
        <w:t xml:space="preserve"> is very complex and </w:t>
      </w:r>
      <w:proofErr w:type="gramStart"/>
      <w:r w:rsidRPr="00434C3A">
        <w:t>implies</w:t>
      </w:r>
      <w:proofErr w:type="gramEnd"/>
      <w:r w:rsidRPr="00434C3A">
        <w:t xml:space="preserve"> various steps including </w:t>
      </w:r>
      <w:r w:rsidRPr="00434C3A">
        <w:rPr>
          <w:i/>
          <w:iCs/>
        </w:rPr>
        <w:t>Design Bas</w:t>
      </w:r>
      <w:r w:rsidR="004E04DA">
        <w:rPr>
          <w:i/>
          <w:iCs/>
        </w:rPr>
        <w:t>is</w:t>
      </w:r>
      <w:r w:rsidRPr="00434C3A">
        <w:rPr>
          <w:i/>
          <w:iCs/>
        </w:rPr>
        <w:t xml:space="preserve"> Event (DBE) simulation</w:t>
      </w:r>
      <w:r w:rsidRPr="00434C3A">
        <w:t xml:space="preserve">. During a DBE simulation, the cables are subjected to an abrupt increase of temperature and pressure </w:t>
      </w:r>
      <w:r w:rsidR="004D0ACE" w:rsidRPr="00434C3A">
        <w:t>with a coexistent increase in</w:t>
      </w:r>
      <w:r w:rsidRPr="00434C3A">
        <w:t xml:space="preserve"> dose rates in a short period of time. This </w:t>
      </w:r>
      <w:r w:rsidR="008A27A5" w:rsidRPr="00434C3A">
        <w:t>procedure</w:t>
      </w:r>
      <w:r w:rsidR="00A76778" w:rsidRPr="00434C3A">
        <w:t xml:space="preserve"> </w:t>
      </w:r>
      <w:r w:rsidRPr="00434C3A">
        <w:t>simulates typical conditions occurring during a loss of coolant accident (LOCA).</w:t>
      </w:r>
    </w:p>
    <w:p w14:paraId="6B511CE8" w14:textId="2331A9A4" w:rsidR="004D0ACE" w:rsidRPr="00434C3A" w:rsidRDefault="00876680" w:rsidP="004D0ACE">
      <w:pPr>
        <w:spacing w:after="0"/>
      </w:pPr>
      <w:r w:rsidRPr="00434C3A">
        <w:t>The French standard further divides the safety-classified cables into t</w:t>
      </w:r>
      <w:r w:rsidR="004D0ACE" w:rsidRPr="00434C3A">
        <w:t>hree</w:t>
      </w:r>
      <w:r w:rsidRPr="00434C3A">
        <w:t xml:space="preserve"> groups (</w:t>
      </w:r>
      <w:r w:rsidRPr="00434C3A">
        <w:rPr>
          <w:i/>
          <w:iCs/>
        </w:rPr>
        <w:t>K1</w:t>
      </w:r>
      <w:r w:rsidR="004D0ACE" w:rsidRPr="00434C3A">
        <w:rPr>
          <w:i/>
          <w:iCs/>
        </w:rPr>
        <w:t>, K2</w:t>
      </w:r>
      <w:r w:rsidRPr="00434C3A">
        <w:t xml:space="preserve"> and </w:t>
      </w:r>
      <w:r w:rsidRPr="00434C3A">
        <w:rPr>
          <w:i/>
          <w:iCs/>
        </w:rPr>
        <w:t>K</w:t>
      </w:r>
      <w:r w:rsidR="004D0ACE" w:rsidRPr="00434C3A">
        <w:rPr>
          <w:i/>
          <w:iCs/>
        </w:rPr>
        <w:t>3</w:t>
      </w:r>
      <w:r w:rsidRPr="00434C3A">
        <w:t xml:space="preserve">) which differ based </w:t>
      </w:r>
      <w:r w:rsidR="00A76778" w:rsidRPr="00434C3A">
        <w:t xml:space="preserve">on type of qualification procedure and </w:t>
      </w:r>
      <w:r w:rsidRPr="00434C3A">
        <w:t>on the need to be operational even after a nuclear accident-like event.</w:t>
      </w:r>
      <w:r w:rsidR="004D0ACE" w:rsidRPr="00434C3A">
        <w:t xml:space="preserve"> </w:t>
      </w:r>
      <w:proofErr w:type="gramStart"/>
      <w:r w:rsidR="004D0ACE" w:rsidRPr="00434C3A">
        <w:t>In particular, K1</w:t>
      </w:r>
      <w:proofErr w:type="gramEnd"/>
      <w:r w:rsidR="004D0ACE" w:rsidRPr="00434C3A">
        <w:t xml:space="preserve"> and K2 cables are cables installed in the nuclear reactor hall. Their qualification sees the most complex procedure having to verify cable lifetime demonstration by means of (</w:t>
      </w:r>
      <w:proofErr w:type="spellStart"/>
      <w:r w:rsidR="004D0ACE" w:rsidRPr="00434C3A">
        <w:t>i</w:t>
      </w:r>
      <w:proofErr w:type="spellEnd"/>
      <w:r w:rsidR="004D0ACE" w:rsidRPr="00434C3A">
        <w:t xml:space="preserve">) accelerated thermal aging (through the Arrhenius law), (ii) accelerated irradiation aging and, in the case of K1 cables, </w:t>
      </w:r>
      <w:r w:rsidR="00E87BF3" w:rsidRPr="00434C3A">
        <w:t xml:space="preserve">also </w:t>
      </w:r>
      <w:r w:rsidR="004D0ACE" w:rsidRPr="00434C3A">
        <w:t xml:space="preserve">(iii) </w:t>
      </w:r>
      <w:r w:rsidR="001330D3" w:rsidRPr="00434C3A">
        <w:t>simulation of accidental conditions</w:t>
      </w:r>
      <w:r w:rsidR="00E87BF3" w:rsidRPr="00434C3A">
        <w:t xml:space="preserve"> e.g., DBE</w:t>
      </w:r>
      <w:r w:rsidR="00E11C70">
        <w:t>.</w:t>
      </w:r>
      <w:r w:rsidR="001330D3" w:rsidRPr="00434C3A">
        <w:t xml:space="preserve"> </w:t>
      </w:r>
    </w:p>
    <w:p w14:paraId="7EB97620" w14:textId="4345AD41" w:rsidR="00881122" w:rsidRPr="004B00E1" w:rsidRDefault="001330D3" w:rsidP="002E259E">
      <w:pPr>
        <w:spacing w:after="0"/>
        <w:rPr>
          <w:color w:val="000000" w:themeColor="text1"/>
        </w:rPr>
      </w:pPr>
      <w:r w:rsidRPr="00434C3A">
        <w:t>Finally, t</w:t>
      </w:r>
      <w:r w:rsidR="004D0ACE" w:rsidRPr="00434C3A">
        <w:t xml:space="preserve">he </w:t>
      </w:r>
      <w:r w:rsidR="004D0ACE" w:rsidRPr="004B00E1">
        <w:rPr>
          <w:color w:val="000000" w:themeColor="text1"/>
        </w:rPr>
        <w:t xml:space="preserve">qualification procedure of cables not </w:t>
      </w:r>
      <w:r w:rsidR="005C2130" w:rsidRPr="004B00E1">
        <w:rPr>
          <w:color w:val="000000" w:themeColor="text1"/>
        </w:rPr>
        <w:t>important</w:t>
      </w:r>
      <w:r w:rsidR="004D0ACE" w:rsidRPr="004B00E1">
        <w:rPr>
          <w:color w:val="000000" w:themeColor="text1"/>
        </w:rPr>
        <w:t xml:space="preserve"> to safety, </w:t>
      </w:r>
      <w:r w:rsidR="00E11C70" w:rsidRPr="004B00E1">
        <w:rPr>
          <w:color w:val="000000" w:themeColor="text1"/>
        </w:rPr>
        <w:t xml:space="preserve">which are </w:t>
      </w:r>
      <w:r w:rsidR="004D0ACE" w:rsidRPr="004B00E1">
        <w:rPr>
          <w:color w:val="000000" w:themeColor="text1"/>
        </w:rPr>
        <w:t xml:space="preserve">cable placed outside the containment area, usually requires </w:t>
      </w:r>
      <w:r w:rsidRPr="004B00E1">
        <w:rPr>
          <w:color w:val="000000" w:themeColor="text1"/>
        </w:rPr>
        <w:t xml:space="preserve">just the </w:t>
      </w:r>
      <w:r w:rsidR="004D0ACE" w:rsidRPr="004B00E1">
        <w:rPr>
          <w:color w:val="000000" w:themeColor="text1"/>
        </w:rPr>
        <w:t>lifetime demonstration without irradiation aging, following the Arrhenius law.</w:t>
      </w:r>
    </w:p>
    <w:p w14:paraId="342145E0" w14:textId="77777777" w:rsidR="00F75735" w:rsidRPr="004B00E1" w:rsidRDefault="00D244BF" w:rsidP="002E259E">
      <w:pPr>
        <w:spacing w:after="0"/>
        <w:rPr>
          <w:color w:val="000000" w:themeColor="text1"/>
        </w:rPr>
      </w:pPr>
      <w:r w:rsidRPr="004B00E1">
        <w:rPr>
          <w:color w:val="000000" w:themeColor="text1"/>
        </w:rPr>
        <w:t>After accelerated aging</w:t>
      </w:r>
      <w:r w:rsidR="00E87BF3" w:rsidRPr="004B00E1">
        <w:rPr>
          <w:color w:val="000000" w:themeColor="text1"/>
        </w:rPr>
        <w:t xml:space="preserve"> and DBE simulation</w:t>
      </w:r>
      <w:r w:rsidRPr="004B00E1">
        <w:rPr>
          <w:color w:val="000000" w:themeColor="text1"/>
        </w:rPr>
        <w:t xml:space="preserve">, cables are tested by means of electrical tests i.e., </w:t>
      </w:r>
      <w:r w:rsidR="000A77CA" w:rsidRPr="004B00E1">
        <w:rPr>
          <w:color w:val="000000" w:themeColor="text1"/>
        </w:rPr>
        <w:t xml:space="preserve">voltage withstand while the cable is coiled on a mandrel and </w:t>
      </w:r>
      <w:r w:rsidRPr="004B00E1">
        <w:rPr>
          <w:color w:val="000000" w:themeColor="text1"/>
        </w:rPr>
        <w:t>insulation resistance</w:t>
      </w:r>
      <w:r w:rsidR="00F75735" w:rsidRPr="004B00E1">
        <w:rPr>
          <w:color w:val="000000" w:themeColor="text1"/>
        </w:rPr>
        <w:t>.</w:t>
      </w:r>
    </w:p>
    <w:p w14:paraId="6A972807" w14:textId="71606AAF" w:rsidR="00D244BF" w:rsidRPr="004B00E1" w:rsidRDefault="00F75735" w:rsidP="002E259E">
      <w:pPr>
        <w:spacing w:after="0"/>
        <w:rPr>
          <w:color w:val="000000" w:themeColor="text1"/>
        </w:rPr>
      </w:pPr>
      <w:r w:rsidRPr="004B00E1">
        <w:rPr>
          <w:color w:val="000000" w:themeColor="text1"/>
        </w:rPr>
        <w:t xml:space="preserve">In addition, on new and after pre-aging (without accident </w:t>
      </w:r>
      <w:r w:rsidR="003407FB" w:rsidRPr="004B00E1">
        <w:rPr>
          <w:color w:val="000000" w:themeColor="text1"/>
        </w:rPr>
        <w:t>simulations</w:t>
      </w:r>
      <w:r w:rsidRPr="004B00E1">
        <w:rPr>
          <w:color w:val="000000" w:themeColor="text1"/>
        </w:rPr>
        <w:t xml:space="preserve">), cables need also to </w:t>
      </w:r>
      <w:r w:rsidR="003407FB" w:rsidRPr="004B00E1">
        <w:rPr>
          <w:color w:val="000000" w:themeColor="text1"/>
        </w:rPr>
        <w:t xml:space="preserve">pass </w:t>
      </w:r>
      <w:r w:rsidR="00E8127A" w:rsidRPr="004B00E1">
        <w:rPr>
          <w:color w:val="000000" w:themeColor="text1"/>
        </w:rPr>
        <w:t>flammability</w:t>
      </w:r>
      <w:r w:rsidR="00D244BF" w:rsidRPr="004B00E1">
        <w:rPr>
          <w:color w:val="000000" w:themeColor="text1"/>
        </w:rPr>
        <w:t xml:space="preserve"> tests, which verify the resistance of cables to flame propagation.</w:t>
      </w:r>
    </w:p>
    <w:p w14:paraId="18FFA466" w14:textId="33F052AA" w:rsidR="003C3EAF" w:rsidRPr="00434C3A" w:rsidRDefault="000B2CD8" w:rsidP="003C3EAF">
      <w:pPr>
        <w:keepNext/>
        <w:spacing w:after="0"/>
        <w:jc w:val="center"/>
      </w:pPr>
      <w:r w:rsidRPr="00434C3A">
        <w:rPr>
          <w:noProof/>
        </w:rPr>
        <w:drawing>
          <wp:inline distT="0" distB="0" distL="0" distR="0" wp14:anchorId="061C0E40" wp14:editId="7A950B64">
            <wp:extent cx="3125165" cy="2246111"/>
            <wp:effectExtent l="0" t="0" r="0" b="0"/>
            <wp:docPr id="1567354530"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2526" cy="2258589"/>
                    </a:xfrm>
                    <a:prstGeom prst="rect">
                      <a:avLst/>
                    </a:prstGeom>
                    <a:noFill/>
                    <a:ln>
                      <a:noFill/>
                    </a:ln>
                  </pic:spPr>
                </pic:pic>
              </a:graphicData>
            </a:graphic>
          </wp:inline>
        </w:drawing>
      </w:r>
    </w:p>
    <w:p w14:paraId="79274A20" w14:textId="368B8339" w:rsidR="000F6A0D" w:rsidRPr="00434C3A" w:rsidRDefault="003C3EAF" w:rsidP="003C3EAF">
      <w:pPr>
        <w:pStyle w:val="Didascalia"/>
        <w:rPr>
          <w:sz w:val="16"/>
          <w:szCs w:val="14"/>
          <w:lang w:val="en-US"/>
        </w:rPr>
      </w:pPr>
      <w:bookmarkStart w:id="0" w:name="_Ref176429841"/>
      <w:r w:rsidRPr="00434C3A">
        <w:rPr>
          <w:sz w:val="16"/>
          <w:szCs w:val="14"/>
          <w:lang w:val="en-US"/>
        </w:rPr>
        <w:t xml:space="preserve">Figure </w:t>
      </w:r>
      <w:r w:rsidRPr="00434C3A">
        <w:rPr>
          <w:sz w:val="16"/>
          <w:szCs w:val="14"/>
          <w:lang w:val="en-US"/>
        </w:rPr>
        <w:fldChar w:fldCharType="begin"/>
      </w:r>
      <w:r w:rsidRPr="00434C3A">
        <w:rPr>
          <w:sz w:val="16"/>
          <w:szCs w:val="14"/>
          <w:lang w:val="en-US"/>
        </w:rPr>
        <w:instrText xml:space="preserve"> SEQ Figure \* ARABIC </w:instrText>
      </w:r>
      <w:r w:rsidRPr="00434C3A">
        <w:rPr>
          <w:sz w:val="16"/>
          <w:szCs w:val="14"/>
          <w:lang w:val="en-US"/>
        </w:rPr>
        <w:fldChar w:fldCharType="separate"/>
      </w:r>
      <w:r w:rsidR="001D02A0">
        <w:rPr>
          <w:noProof/>
          <w:sz w:val="16"/>
          <w:szCs w:val="14"/>
          <w:lang w:val="en-US"/>
        </w:rPr>
        <w:t>1</w:t>
      </w:r>
      <w:r w:rsidRPr="00434C3A">
        <w:rPr>
          <w:sz w:val="16"/>
          <w:szCs w:val="14"/>
          <w:lang w:val="en-US"/>
        </w:rPr>
        <w:fldChar w:fldCharType="end"/>
      </w:r>
      <w:bookmarkEnd w:id="0"/>
      <w:r w:rsidRPr="00434C3A">
        <w:rPr>
          <w:sz w:val="16"/>
          <w:szCs w:val="14"/>
          <w:lang w:val="en-US"/>
        </w:rPr>
        <w:t xml:space="preserve"> Schematic of a nuclear power plant with classification of cables related to the different areas</w:t>
      </w:r>
      <w:r w:rsidR="00972150" w:rsidRPr="00434C3A">
        <w:rPr>
          <w:sz w:val="16"/>
          <w:szCs w:val="14"/>
          <w:lang w:val="en-US"/>
        </w:rPr>
        <w:t xml:space="preserve"> according to the </w:t>
      </w:r>
      <w:r w:rsidR="00CD4C2A" w:rsidRPr="00434C3A">
        <w:rPr>
          <w:sz w:val="16"/>
          <w:szCs w:val="14"/>
          <w:lang w:val="en-US"/>
        </w:rPr>
        <w:t xml:space="preserve">(up) </w:t>
      </w:r>
      <w:r w:rsidR="000B2CD8" w:rsidRPr="00434C3A">
        <w:rPr>
          <w:sz w:val="16"/>
          <w:szCs w:val="14"/>
          <w:lang w:val="en-US"/>
        </w:rPr>
        <w:t>IEEE 383</w:t>
      </w:r>
      <w:r w:rsidR="00CD4C2A" w:rsidRPr="00434C3A">
        <w:rPr>
          <w:sz w:val="16"/>
          <w:szCs w:val="14"/>
          <w:lang w:val="en-US"/>
        </w:rPr>
        <w:t xml:space="preserve"> and (bottom) </w:t>
      </w:r>
      <w:r w:rsidR="00972150" w:rsidRPr="00434C3A">
        <w:rPr>
          <w:sz w:val="16"/>
          <w:szCs w:val="14"/>
          <w:lang w:val="en-US"/>
        </w:rPr>
        <w:t>French standard</w:t>
      </w:r>
    </w:p>
    <w:p w14:paraId="4FE26964" w14:textId="0FFD7A45" w:rsidR="00FE4529" w:rsidRDefault="00D244BF" w:rsidP="008375EF">
      <w:r w:rsidRPr="00434C3A">
        <w:t xml:space="preserve">After installation, </w:t>
      </w:r>
      <w:r w:rsidR="00EF6011" w:rsidRPr="00434C3A">
        <w:t>the cable</w:t>
      </w:r>
      <w:r w:rsidRPr="00434C3A">
        <w:t xml:space="preserve"> state</w:t>
      </w:r>
      <w:r w:rsidR="00E8127A">
        <w:t>-of-health</w:t>
      </w:r>
      <w:r w:rsidRPr="00434C3A">
        <w:t xml:space="preserve"> should be </w:t>
      </w:r>
      <w:r w:rsidR="00C610FD" w:rsidRPr="00434C3A">
        <w:t>continuously checked</w:t>
      </w:r>
      <w:r w:rsidRPr="00434C3A">
        <w:t xml:space="preserve"> </w:t>
      </w:r>
      <w:proofErr w:type="gramStart"/>
      <w:r w:rsidRPr="00434C3A">
        <w:t xml:space="preserve">in </w:t>
      </w:r>
      <w:r w:rsidRPr="00571190">
        <w:rPr>
          <w:color w:val="000000" w:themeColor="text1"/>
        </w:rPr>
        <w:t>order to</w:t>
      </w:r>
      <w:proofErr w:type="gramEnd"/>
      <w:r w:rsidRPr="00571190">
        <w:rPr>
          <w:color w:val="000000" w:themeColor="text1"/>
        </w:rPr>
        <w:t xml:space="preserve"> adequately plan maintenance and, in case, substitution </w:t>
      </w:r>
      <w:r w:rsidR="006B47D8" w:rsidRPr="00571190">
        <w:rPr>
          <w:color w:val="000000" w:themeColor="text1"/>
        </w:rPr>
        <w:t>of the equipment</w:t>
      </w:r>
      <w:r w:rsidRPr="00571190">
        <w:rPr>
          <w:color w:val="000000" w:themeColor="text1"/>
        </w:rPr>
        <w:t xml:space="preserve">. </w:t>
      </w:r>
      <w:r w:rsidR="008375EF" w:rsidRPr="00571190">
        <w:rPr>
          <w:color w:val="000000" w:themeColor="text1"/>
        </w:rPr>
        <w:t xml:space="preserve">To date, the suitability of LV cables for operation within the power plant has been verified through tensile tests. Specifically, it was demonstrated that cables with an elongation-at-break </w:t>
      </w:r>
      <w:r w:rsidR="00D456A1" w:rsidRPr="00571190">
        <w:rPr>
          <w:color w:val="000000" w:themeColor="text1"/>
        </w:rPr>
        <w:t xml:space="preserve">(EaB) </w:t>
      </w:r>
      <w:r w:rsidR="008375EF" w:rsidRPr="00571190">
        <w:rPr>
          <w:color w:val="000000" w:themeColor="text1"/>
        </w:rPr>
        <w:t>value exceeding 50% are capable of withstanding a</w:t>
      </w:r>
      <w:r w:rsidR="00D456A1" w:rsidRPr="00571190">
        <w:rPr>
          <w:color w:val="000000" w:themeColor="text1"/>
        </w:rPr>
        <w:t xml:space="preserve"> DBE</w:t>
      </w:r>
      <w:r w:rsidR="001A1CF6" w:rsidRPr="00571190">
        <w:rPr>
          <w:color w:val="000000" w:themeColor="text1"/>
        </w:rPr>
        <w:t>, if requested by the qualification type test,</w:t>
      </w:r>
      <w:r w:rsidR="008375EF" w:rsidRPr="00571190">
        <w:rPr>
          <w:color w:val="000000" w:themeColor="text1"/>
        </w:rPr>
        <w:t xml:space="preserve"> while continuing to </w:t>
      </w:r>
      <w:r w:rsidR="00D456A1" w:rsidRPr="00571190">
        <w:rPr>
          <w:color w:val="000000" w:themeColor="text1"/>
        </w:rPr>
        <w:t xml:space="preserve">properly operate </w:t>
      </w:r>
      <w:r w:rsidR="008375EF" w:rsidRPr="00571190">
        <w:rPr>
          <w:color w:val="000000" w:themeColor="text1"/>
        </w:rPr>
        <w:t>under normal conditions</w:t>
      </w:r>
      <w:r w:rsidR="00C525FC" w:rsidRPr="00571190">
        <w:rPr>
          <w:color w:val="000000" w:themeColor="text1"/>
        </w:rPr>
        <w:t xml:space="preserve"> </w:t>
      </w:r>
      <w:r w:rsidR="00C525FC" w:rsidRPr="00571190">
        <w:rPr>
          <w:color w:val="000000" w:themeColor="text1"/>
        </w:rPr>
        <w:fldChar w:fldCharType="begin"/>
      </w:r>
      <w:r w:rsidR="00E24BAE" w:rsidRPr="00571190">
        <w:rPr>
          <w:color w:val="000000" w:themeColor="text1"/>
        </w:rPr>
        <w:instrText xml:space="preserve"> ADDIN ZOTERO_ITEM CSL_CITATION {"citationID":"0KLUZKgX","properties":{"formattedCitation":"[8]","plainCitation":"[8]","noteIndex":0},"citationItems":[{"id":"QKt2LedQ/kDCjwUWk","uris":["http://zotero.org/users/6147595/items/3URLS38Z"],"itemData":{"id":1383,"type":"article-journal","container-title":"Electrical Power Research Institute (EPRI)","language":"en","page":"82","source":"Zotero","title":"A Review of Nondestructive Evaluation Technologies for Cable System Integrity","author":[{"family":"Yu","given":"F"}],"issued":{"date-parts":[["2013"]]}}}],"schema":"https://github.com/citation-style-language/schema/raw/master/csl-citation.json"} </w:instrText>
      </w:r>
      <w:r w:rsidR="00C525FC" w:rsidRPr="00571190">
        <w:rPr>
          <w:color w:val="000000" w:themeColor="text1"/>
        </w:rPr>
        <w:fldChar w:fldCharType="separate"/>
      </w:r>
      <w:r w:rsidR="00672FF7" w:rsidRPr="00571190">
        <w:rPr>
          <w:rFonts w:cs="Arial"/>
          <w:color w:val="000000" w:themeColor="text1"/>
        </w:rPr>
        <w:t>[8]</w:t>
      </w:r>
      <w:r w:rsidR="00C525FC" w:rsidRPr="00571190">
        <w:rPr>
          <w:color w:val="000000" w:themeColor="text1"/>
        </w:rPr>
        <w:fldChar w:fldCharType="end"/>
      </w:r>
      <w:r w:rsidR="008375EF" w:rsidRPr="00571190">
        <w:rPr>
          <w:color w:val="000000" w:themeColor="text1"/>
        </w:rPr>
        <w:t xml:space="preserve">. Nonetheless, it is somehow unfeasible to verify the state of installed cables by performing tensile tests due to the excessive length distribution of the cable network, which </w:t>
      </w:r>
      <w:r w:rsidR="006F3F8B" w:rsidRPr="00571190">
        <w:rPr>
          <w:color w:val="000000" w:themeColor="text1"/>
        </w:rPr>
        <w:t>often</w:t>
      </w:r>
      <w:r w:rsidR="008375EF" w:rsidRPr="00571190">
        <w:rPr>
          <w:color w:val="000000" w:themeColor="text1"/>
        </w:rPr>
        <w:t xml:space="preserve"> includes difficulty-accessible areas</w:t>
      </w:r>
      <w:r w:rsidR="00590F94" w:rsidRPr="00571190">
        <w:rPr>
          <w:color w:val="000000" w:themeColor="text1"/>
        </w:rPr>
        <w:t>,</w:t>
      </w:r>
      <w:r w:rsidR="008375EF" w:rsidRPr="00571190">
        <w:rPr>
          <w:color w:val="000000" w:themeColor="text1"/>
        </w:rPr>
        <w:t xml:space="preserve"> </w:t>
      </w:r>
      <w:r w:rsidRPr="00571190">
        <w:rPr>
          <w:color w:val="000000" w:themeColor="text1"/>
        </w:rPr>
        <w:t xml:space="preserve">as mentioned above. Moreover, tensile tests </w:t>
      </w:r>
      <w:r w:rsidR="00590F94" w:rsidRPr="00571190">
        <w:rPr>
          <w:color w:val="000000" w:themeColor="text1"/>
        </w:rPr>
        <w:t>suffer</w:t>
      </w:r>
      <w:r w:rsidRPr="00571190">
        <w:rPr>
          <w:color w:val="000000" w:themeColor="text1"/>
        </w:rPr>
        <w:t xml:space="preserve"> various drawbacks such as the fact that they are dependent on </w:t>
      </w:r>
      <w:r w:rsidRPr="00434C3A">
        <w:t>local weak spots, which make the measurement, on the one hand, not directly relatable to the entire cable, and, on the other hand, with high data sc</w:t>
      </w:r>
      <w:r w:rsidR="00590F94">
        <w:t>a</w:t>
      </w:r>
      <w:r w:rsidRPr="00434C3A">
        <w:t xml:space="preserve">ttering. More importantly, tensile test measurements are destructive, </w:t>
      </w:r>
      <w:r w:rsidR="00FE4529" w:rsidRPr="00FE4529">
        <w:t>which presents challenges for their use as a continuous monitoring technique for cables</w:t>
      </w:r>
      <w:r w:rsidR="00FE4529">
        <w:t>.</w:t>
      </w:r>
    </w:p>
    <w:p w14:paraId="6094C164" w14:textId="7496D473" w:rsidR="008375EF" w:rsidRPr="00434C3A" w:rsidRDefault="00411BE4" w:rsidP="008375EF">
      <w:r w:rsidRPr="00434C3A">
        <w:t>Under these circumstances,</w:t>
      </w:r>
      <w:r w:rsidR="008375EF" w:rsidRPr="00434C3A">
        <w:t xml:space="preserve"> the need to find innovative non-destructive testing techniques for </w:t>
      </w:r>
      <w:proofErr w:type="gramStart"/>
      <w:r w:rsidR="008375EF" w:rsidRPr="00434C3A">
        <w:t>the condition</w:t>
      </w:r>
      <w:proofErr w:type="gramEnd"/>
      <w:r w:rsidR="008375EF" w:rsidRPr="00434C3A">
        <w:t xml:space="preserve"> assessment of these cables accelerated the </w:t>
      </w:r>
      <w:r w:rsidR="001270A0">
        <w:t>r</w:t>
      </w:r>
      <w:r w:rsidR="008375EF" w:rsidRPr="00434C3A">
        <w:t>esearch interest towards electrical tests</w:t>
      </w:r>
      <w:r w:rsidRPr="00434C3A">
        <w:t>. These latter are usually nondestructive and related to the entire length, extremely minimizing the impact of locally aged spots and high data scattering</w:t>
      </w:r>
      <w:r w:rsidR="008375EF" w:rsidRPr="00434C3A">
        <w:t>. Among those, dielectric spectroscopy proved to be a valuable candidate for the condition monitoring of LV cables,</w:t>
      </w:r>
      <w:r w:rsidR="00551B93">
        <w:t xml:space="preserve"> </w:t>
      </w:r>
      <w:r w:rsidR="00551B93" w:rsidRPr="00571190">
        <w:rPr>
          <w:color w:val="000000" w:themeColor="text1"/>
        </w:rPr>
        <w:t xml:space="preserve">also for cables facing LOCA simulation </w:t>
      </w:r>
      <w:r w:rsidR="00551B93" w:rsidRPr="00571190">
        <w:rPr>
          <w:color w:val="000000" w:themeColor="text1"/>
        </w:rPr>
        <w:fldChar w:fldCharType="begin"/>
      </w:r>
      <w:r w:rsidR="00551B93" w:rsidRPr="00571190">
        <w:rPr>
          <w:color w:val="000000" w:themeColor="text1"/>
        </w:rPr>
        <w:instrText xml:space="preserve"> ADDIN ZOTERO_ITEM CSL_CITATION {"citationID":"6jsyXLON","properties":{"formattedCitation":"[9]","plainCitation":"[9]","noteIndex":0},"citationItems":[{"id":2246,"uris":["http://zotero.org/users/6147595/items/S3P6Y9TB"],"itemData":{"id":2246,"type":"article-journal","abstract":"Cables important to safety used in nuclear power plants are required to withstand environmental, operational and system conditions to which they are exposed during their design life. This may include harsh conditions resulting from a design basis event (DBE), such as a Loss-of-Coolant Accident (LOCA). The testing procedure includes accelerated thermal and ionizing radiation ageing which brings the tested samples to their end-of-life condition. Accelerated pre-ageing is then followed by accident simulation (LOCA test). The latter part of accident simulation (post-LOCA), which may take up to 1 year, is commonly accelerated based on the Arrhenius approach, however the adequacy of this approach remains a topic of ongoing discussion, lacking a clear scientific or engineering consensus. While numerous works have focused on testing various conditions during accidental and post-accidental conditions in nuclear power plants, there is notable absence of direct assessment of acceleration effects.","container-title":"Nuclear Engineering and Design","DOI":"10.1016/j.nucengdes.2024.112903","ISSN":"00295493","journalAbbreviation":"Nuclear Engineering and Design","language":"en","page":"112903","source":"DOI.org (Crossref)","title":"Comparison of accelerated and non-accelerated post-LOCA simulation","volume":"418","author":[{"family":"Šaršounová","given":"Zuzana"},{"family":"Žák","given":"Pavel"},{"family":"Dragoun","given":"Dominik"}],"issued":{"date-parts":[["2024",3]]}}}],"schema":"https://github.com/citation-style-language/schema/raw/master/csl-citation.json"} </w:instrText>
      </w:r>
      <w:r w:rsidR="00551B93" w:rsidRPr="00571190">
        <w:rPr>
          <w:color w:val="000000" w:themeColor="text1"/>
        </w:rPr>
        <w:fldChar w:fldCharType="separate"/>
      </w:r>
      <w:r w:rsidR="00551B93" w:rsidRPr="00571190">
        <w:rPr>
          <w:rFonts w:cs="Arial"/>
          <w:color w:val="000000" w:themeColor="text1"/>
        </w:rPr>
        <w:t>[9]</w:t>
      </w:r>
      <w:r w:rsidR="00551B93" w:rsidRPr="00571190">
        <w:rPr>
          <w:color w:val="000000" w:themeColor="text1"/>
        </w:rPr>
        <w:fldChar w:fldCharType="end"/>
      </w:r>
      <w:r w:rsidR="00551B93" w:rsidRPr="00571190">
        <w:rPr>
          <w:color w:val="000000" w:themeColor="text1"/>
        </w:rPr>
        <w:t>,</w:t>
      </w:r>
      <w:r w:rsidR="008375EF" w:rsidRPr="00571190">
        <w:rPr>
          <w:color w:val="000000" w:themeColor="text1"/>
        </w:rPr>
        <w:t xml:space="preserve"> having </w:t>
      </w:r>
      <w:r w:rsidR="008375EF" w:rsidRPr="00434C3A">
        <w:t xml:space="preserve">shown good </w:t>
      </w:r>
      <w:r w:rsidRPr="00434C3A">
        <w:t>agreements with polymer de</w:t>
      </w:r>
      <w:r w:rsidR="00B01D78" w:rsidRPr="00434C3A">
        <w:t xml:space="preserve">gradation level </w:t>
      </w:r>
      <w:r w:rsidR="00241AB6">
        <w:t xml:space="preserve">as </w:t>
      </w:r>
      <w:r w:rsidR="00B01D78" w:rsidRPr="00434C3A">
        <w:t>verified by means of both physical-chemical and mechanical (including tensile tests) analyses</w:t>
      </w:r>
      <w:r w:rsidR="00C525FC">
        <w:t xml:space="preserve"> </w:t>
      </w:r>
      <w:r w:rsidR="000636FF">
        <w:fldChar w:fldCharType="begin"/>
      </w:r>
      <w:r w:rsidR="00551B93">
        <w:instrText xml:space="preserve"> ADDIN ZOTERO_ITEM CSL_CITATION {"citationID":"fQQESGCy","properties":{"formattedCitation":"[10], [11], [12]","plainCitation":"[10], [11], [12]","noteIndex":0},"citationItems":[{"id":387,"uris":["http://zotero.org/users/6147595/items/WQS4NULR"],"itemData":{"id":387,"type":"article-journal","abstract":"In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id":512,"uris":["http://zotero.org/users/6147595/items/RRTLFND4"],"itemData":{"id":512,"type":"paper-conference","abstract":"This article presents an innovative and easy way for the calculation of the real part of permittivity for some of the most common insulating materials used for electrical applications, namely: polyethylene (PE), polypropylene (PP), polytetrafluorethylene (PTFE), ethylene-propylene diene monomer (EPDM), polyamide-imide (PAI), and epoxy resin (EP). This is achieved by the implementation and validation of the additivity approach for polarizability, along with the derivation of molecular volumes by means of chemical calculations involving real density of the considered materials. The proposed approach significantly reduces the computational time and effort for the calculation of macroscopic permittivity. Simulated values show good accordance with experimental results, thus validating the approach.","container-title":"2022 IEEE 4th International Conference on Dielectrics (ICD)","DOI":"10.1109/ICD53806.2022.9863508","event-title":"2022 IEEE 4th International Conference on Dielectrics (ICD)","page":"437-440","source":"IEEE Xplore","title":"Multiscale properties of polymeric insulating materials: from microscale polarizability to macroscale permittivity","title-short":"Multiscale properties of polymeric insulating materials","author":[{"family":"Suraci","given":"Simone Vincenzo"},{"family":"Fabiani","given":"Davide"}],"issued":{"date-parts":[["2022",7]]}}},{"id":262,"uris":["http://zotero.org/users/6147595/items/RZU62L97"],"itemData":{"id":262,"type":"article-journal","abstract":"A kinetic model is proposed to predict the lifetime and the thickness of oxidised layer of unstabilised and unfilled PE exposed to γ irradiation at room temperature in air. The model is derived from a radical chain oxidation mechanism initiated both by the thermal decomposition of hydroperoxydes and the polymer radiolysis. It is in good agreement with the experimental results collected in the literature.","collection-title":"Ionizing Radiation and Polymers","container-title":"Nuclear Instruments and Methods in Physics Research Section B: Beam Interactions with Materials and Atoms","DOI":"10.1016/j.nimb.2007.08.086","ISSN":"0168-583X","issue":"1","journalAbbreviation":"Nuclear Instruments and Methods in Physics Research Section B: Beam Interactions with Materials and Atoms","language":"en","page":"251-255","source":"ScienceDirect","title":"Lifetime prediction of polyethylene in nuclear plants","volume":"265","author":[{"family":"Colin","given":"X."},{"family":"Monchy-Leroy","given":"C."},{"family":"Audouin","given":"L."},{"family":"Verdu","given":"J."}],"issued":{"date-parts":[["2007",12,1]]}}}],"schema":"https://github.com/citation-style-language/schema/raw/master/csl-citation.json"} </w:instrText>
      </w:r>
      <w:r w:rsidR="000636FF">
        <w:fldChar w:fldCharType="separate"/>
      </w:r>
      <w:r w:rsidR="00551B93" w:rsidRPr="00551B93">
        <w:rPr>
          <w:rFonts w:cs="Arial"/>
        </w:rPr>
        <w:t>[10], [11], [12]</w:t>
      </w:r>
      <w:r w:rsidR="000636FF">
        <w:fldChar w:fldCharType="end"/>
      </w:r>
      <w:r w:rsidR="00B01D78" w:rsidRPr="00434C3A">
        <w:t>.</w:t>
      </w:r>
    </w:p>
    <w:p w14:paraId="59B1103E" w14:textId="21CD04A9" w:rsidR="00400631" w:rsidRPr="00434C3A" w:rsidRDefault="008375EF" w:rsidP="00B01D78">
      <w:r w:rsidRPr="00434C3A">
        <w:t>As follows, i</w:t>
      </w:r>
      <w:r w:rsidR="00400631" w:rsidRPr="00434C3A">
        <w:t>t has been shown how, for cables important to safety, t</w:t>
      </w:r>
      <w:r w:rsidR="00AE5DEA" w:rsidRPr="00434C3A">
        <w:t>he evaluation of the proper operability of cables after a LOCA is a key factor for guaranteeing the required high safety standards inside NPPs</w:t>
      </w:r>
      <w:r w:rsidR="00400631" w:rsidRPr="00434C3A">
        <w:t>, whatever the considered standard</w:t>
      </w:r>
      <w:r w:rsidR="00AE5DEA" w:rsidRPr="00434C3A">
        <w:t>.</w:t>
      </w:r>
    </w:p>
    <w:p w14:paraId="5E857279" w14:textId="6929555E" w:rsidR="00B01D78" w:rsidRPr="00434C3A" w:rsidRDefault="00B01D78" w:rsidP="00B01D78">
      <w:r w:rsidRPr="00434C3A">
        <w:t>Within this framework, th</w:t>
      </w:r>
      <w:r w:rsidR="00C539F4">
        <w:t>e</w:t>
      </w:r>
      <w:r w:rsidRPr="00434C3A">
        <w:t xml:space="preserve"> paper aims </w:t>
      </w:r>
      <w:r w:rsidR="00DA74B0">
        <w:t>to analyze</w:t>
      </w:r>
      <w:r w:rsidRPr="00434C3A">
        <w:t xml:space="preserve"> </w:t>
      </w:r>
      <w:r w:rsidR="00E419F8">
        <w:t xml:space="preserve">the performance of </w:t>
      </w:r>
      <w:r w:rsidRPr="00434C3A">
        <w:t>nuclear-grade LV cables that have been subjected to a DBE</w:t>
      </w:r>
      <w:r w:rsidR="00E419F8">
        <w:t xml:space="preserve"> </w:t>
      </w:r>
      <w:r w:rsidRPr="00434C3A">
        <w:t xml:space="preserve">simulation. The study encompasses a comprehensive evaluation of the electrical </w:t>
      </w:r>
      <w:r w:rsidRPr="00434C3A">
        <w:lastRenderedPageBreak/>
        <w:t>properties and physical-chemical characterization of the insulation system</w:t>
      </w:r>
      <w:r w:rsidR="00911EC8">
        <w:t xml:space="preserve">. </w:t>
      </w:r>
      <w:r w:rsidRPr="00434C3A">
        <w:t>The analysis includes detailed assessments of dielectric properties, thermal stability, and chemical composition to understand the cable performance and lifespan under stress. By providing an in-depth investigation of these parameters, the paper seeks to ensure the reliability and safety of LV cables in nuclear power plant environments, ultimately contributing to the improvement of existing safety standards and operational protocols.</w:t>
      </w:r>
    </w:p>
    <w:p w14:paraId="1358D94D" w14:textId="055629B8" w:rsidR="00AE5DEA" w:rsidRPr="00434C3A" w:rsidRDefault="0082640C" w:rsidP="00383CBC">
      <w:pPr>
        <w:pStyle w:val="Titolo1"/>
        <w:numPr>
          <w:ilvl w:val="0"/>
          <w:numId w:val="4"/>
        </w:numPr>
        <w:spacing w:before="0"/>
        <w:rPr>
          <w:rFonts w:cs="Arial"/>
        </w:rPr>
      </w:pPr>
      <w:r w:rsidRPr="00434C3A">
        <w:rPr>
          <w:rFonts w:cs="Arial"/>
        </w:rPr>
        <w:t>Materials and methods</w:t>
      </w:r>
    </w:p>
    <w:p w14:paraId="529518BE" w14:textId="1DE810D0" w:rsidR="00AE5DEA" w:rsidRPr="00434C3A" w:rsidRDefault="00383CBC" w:rsidP="00AE5DEA">
      <w:pPr>
        <w:pStyle w:val="Titolo2"/>
      </w:pPr>
      <w:r w:rsidRPr="00434C3A">
        <w:t xml:space="preserve">2.1 </w:t>
      </w:r>
      <w:r w:rsidR="00AE5DEA" w:rsidRPr="00434C3A">
        <w:t>Cable samples</w:t>
      </w:r>
    </w:p>
    <w:p w14:paraId="3CE30C96" w14:textId="022628C2" w:rsidR="00AE5DEA" w:rsidRPr="00434C3A" w:rsidRDefault="00355049" w:rsidP="00AE5DEA">
      <w:pPr>
        <w:rPr>
          <w:rFonts w:cs="Arial"/>
        </w:rPr>
      </w:pPr>
      <w:r>
        <w:rPr>
          <w:rFonts w:cs="Arial"/>
        </w:rPr>
        <w:t>The a</w:t>
      </w:r>
      <w:r w:rsidR="00383CBC" w:rsidRPr="00434C3A">
        <w:rPr>
          <w:rFonts w:cs="Arial"/>
        </w:rPr>
        <w:t xml:space="preserve">nalyzed samples are LV </w:t>
      </w:r>
      <w:r w:rsidR="00AE5DEA" w:rsidRPr="00434C3A">
        <w:rPr>
          <w:rFonts w:cs="Arial"/>
        </w:rPr>
        <w:t xml:space="preserve">I&amp;C coaxial cables specifically designed for the Horizon 2020 </w:t>
      </w:r>
      <w:proofErr w:type="spellStart"/>
      <w:r w:rsidR="00AE5DEA" w:rsidRPr="00434C3A">
        <w:rPr>
          <w:rFonts w:cs="Arial"/>
        </w:rPr>
        <w:t>TeaM</w:t>
      </w:r>
      <w:proofErr w:type="spellEnd"/>
      <w:r w:rsidR="00AE5DEA" w:rsidRPr="00434C3A">
        <w:rPr>
          <w:rFonts w:cs="Arial"/>
        </w:rPr>
        <w:t xml:space="preserve"> Cables project </w:t>
      </w:r>
      <w:r w:rsidR="00AE5DEA" w:rsidRPr="00434C3A">
        <w:rPr>
          <w:rFonts w:cs="Arial"/>
        </w:rPr>
        <w:fldChar w:fldCharType="begin"/>
      </w:r>
      <w:r w:rsidR="00551B93">
        <w:rPr>
          <w:rFonts w:cs="Arial"/>
        </w:rPr>
        <w:instrText xml:space="preserve"> ADDIN ZOTERO_ITEM CSL_CITATION {"citationID":"IMvsVTQ1","properties":{"formattedCitation":"[13]","plainCitation":"[13]","noteIndex":0},"citationItems":[{"id":483,"uris":["http://zotero.org/users/6147595/items/EZG3PXSR"],"itemData":{"id":483,"type":"webpage","abstract":"TeaM Cables – European Tools and Methodologies for an efficient ageing management of nuclear power plant Cables – is a research project in the field of nuclear safety and long-term operation funded by the Horizon 2020 Euratom Research and Training Programme 2014-2018 of the European Union.","container-title":"TeaM CABLES","language":"en-US","title":"TeaM Cables H2020 Euratom research project - Home","URL":"https://www.team-cables.eu/","accessed":{"date-parts":[["2023",5,3]]}}}],"schema":"https://github.com/citation-style-language/schema/raw/master/csl-citation.json"} </w:instrText>
      </w:r>
      <w:r w:rsidR="00AE5DEA" w:rsidRPr="00434C3A">
        <w:rPr>
          <w:rFonts w:cs="Arial"/>
        </w:rPr>
        <w:fldChar w:fldCharType="separate"/>
      </w:r>
      <w:r w:rsidR="00551B93" w:rsidRPr="00551B93">
        <w:rPr>
          <w:rFonts w:cs="Arial"/>
        </w:rPr>
        <w:t>[13]</w:t>
      </w:r>
      <w:r w:rsidR="00AE5DEA" w:rsidRPr="00434C3A">
        <w:rPr>
          <w:rFonts w:cs="Arial"/>
        </w:rPr>
        <w:fldChar w:fldCharType="end"/>
      </w:r>
      <w:r w:rsidR="00AE5DEA" w:rsidRPr="00434C3A">
        <w:rPr>
          <w:rFonts w:cs="Arial"/>
        </w:rPr>
        <w:t xml:space="preserve">. </w:t>
      </w:r>
      <w:r w:rsidR="00383CBC" w:rsidRPr="00434C3A">
        <w:rPr>
          <w:rFonts w:cs="Arial"/>
        </w:rPr>
        <w:fldChar w:fldCharType="begin"/>
      </w:r>
      <w:r w:rsidR="00383CBC" w:rsidRPr="00434C3A">
        <w:rPr>
          <w:rFonts w:cs="Arial"/>
        </w:rPr>
        <w:instrText xml:space="preserve"> REF _Ref184467283 \h </w:instrText>
      </w:r>
      <w:r w:rsidR="00383CBC" w:rsidRPr="00434C3A">
        <w:rPr>
          <w:rFonts w:cs="Arial"/>
        </w:rPr>
      </w:r>
      <w:r w:rsidR="00383CBC" w:rsidRPr="00434C3A">
        <w:rPr>
          <w:rFonts w:cs="Arial"/>
        </w:rPr>
        <w:fldChar w:fldCharType="separate"/>
      </w:r>
      <w:r w:rsidR="001D02A0" w:rsidRPr="00434C3A">
        <w:t xml:space="preserve">Figure </w:t>
      </w:r>
      <w:r w:rsidR="001D02A0">
        <w:rPr>
          <w:noProof/>
        </w:rPr>
        <w:t>2</w:t>
      </w:r>
      <w:r w:rsidR="00383CBC" w:rsidRPr="00434C3A">
        <w:rPr>
          <w:rFonts w:cs="Arial"/>
        </w:rPr>
        <w:fldChar w:fldCharType="end"/>
      </w:r>
      <w:r w:rsidR="00383CBC" w:rsidRPr="00434C3A">
        <w:rPr>
          <w:rFonts w:cs="Arial"/>
        </w:rPr>
        <w:t xml:space="preserve"> reports the section and the description of the different concentric layers of the cable samples. </w:t>
      </w:r>
      <w:proofErr w:type="gramStart"/>
      <w:r w:rsidR="00383CBC" w:rsidRPr="00434C3A">
        <w:rPr>
          <w:rFonts w:cs="Arial"/>
        </w:rPr>
        <w:t>Tested</w:t>
      </w:r>
      <w:proofErr w:type="gramEnd"/>
      <w:r w:rsidR="00383CBC" w:rsidRPr="00434C3A">
        <w:rPr>
          <w:rFonts w:cs="Arial"/>
        </w:rPr>
        <w:t xml:space="preserve"> specimens were </w:t>
      </w:r>
      <w:r w:rsidR="00AE5DEA" w:rsidRPr="00434C3A">
        <w:rPr>
          <w:rFonts w:cs="Arial"/>
        </w:rPr>
        <w:t>about 50 cm long</w:t>
      </w:r>
      <w:r w:rsidR="00383CBC" w:rsidRPr="00434C3A">
        <w:rPr>
          <w:rFonts w:cs="Arial"/>
        </w:rPr>
        <w:t xml:space="preserve"> and insulation thickness was ~0.8 mm</w:t>
      </w:r>
      <w:r w:rsidR="00AE5DEA" w:rsidRPr="00434C3A">
        <w:rPr>
          <w:rFonts w:cs="Arial"/>
        </w:rPr>
        <w:t xml:space="preserve">. </w:t>
      </w:r>
    </w:p>
    <w:tbl>
      <w:tblPr>
        <w:tblStyle w:val="Grigliatabella"/>
        <w:tblW w:w="0" w:type="auto"/>
        <w:tblLook w:val="04A0" w:firstRow="1" w:lastRow="0" w:firstColumn="1" w:lastColumn="0" w:noHBand="0" w:noVBand="1"/>
      </w:tblPr>
      <w:tblGrid>
        <w:gridCol w:w="4814"/>
        <w:gridCol w:w="4814"/>
      </w:tblGrid>
      <w:tr w:rsidR="00383CBC" w:rsidRPr="00434C3A" w14:paraId="685F69BE" w14:textId="77777777" w:rsidTr="00383CBC">
        <w:tc>
          <w:tcPr>
            <w:tcW w:w="4814" w:type="dxa"/>
          </w:tcPr>
          <w:p w14:paraId="71DCAD79" w14:textId="77777777" w:rsidR="00383CBC" w:rsidRPr="00434C3A" w:rsidRDefault="00383CBC" w:rsidP="00383CBC">
            <w:pPr>
              <w:pStyle w:val="Paragrafoelenco"/>
              <w:numPr>
                <w:ilvl w:val="0"/>
                <w:numId w:val="1"/>
              </w:numPr>
              <w:spacing w:before="240"/>
              <w:ind w:left="458"/>
              <w:jc w:val="left"/>
              <w:rPr>
                <w:rFonts w:cs="Arial"/>
              </w:rPr>
            </w:pPr>
            <w:r w:rsidRPr="00434C3A">
              <w:rPr>
                <w:rFonts w:cs="Arial"/>
              </w:rPr>
              <w:t>Conductor – Copper (the innermost</w:t>
            </w:r>
            <w:proofErr w:type="gramStart"/>
            <w:r w:rsidRPr="00434C3A">
              <w:rPr>
                <w:rFonts w:cs="Arial"/>
              </w:rPr>
              <w:t>);</w:t>
            </w:r>
            <w:proofErr w:type="gramEnd"/>
          </w:p>
          <w:p w14:paraId="39F7FE4F" w14:textId="77777777" w:rsidR="00383CBC" w:rsidRPr="00434C3A" w:rsidRDefault="00383CBC" w:rsidP="00383CBC">
            <w:pPr>
              <w:pStyle w:val="Paragrafoelenco"/>
              <w:numPr>
                <w:ilvl w:val="0"/>
                <w:numId w:val="1"/>
              </w:numPr>
              <w:ind w:left="458"/>
              <w:jc w:val="left"/>
              <w:rPr>
                <w:rFonts w:cs="Arial"/>
              </w:rPr>
            </w:pPr>
            <w:r w:rsidRPr="00434C3A">
              <w:rPr>
                <w:rFonts w:cs="Arial"/>
              </w:rPr>
              <w:t>Primary insulation – Silane crosslinked polyethylene (Si-XLPE</w:t>
            </w:r>
            <w:proofErr w:type="gramStart"/>
            <w:r w:rsidRPr="00434C3A">
              <w:rPr>
                <w:rFonts w:cs="Arial"/>
              </w:rPr>
              <w:t>);</w:t>
            </w:r>
            <w:proofErr w:type="gramEnd"/>
          </w:p>
          <w:p w14:paraId="79E3E035" w14:textId="77777777" w:rsidR="00383CBC" w:rsidRPr="00434C3A" w:rsidRDefault="00383CBC" w:rsidP="00383CBC">
            <w:pPr>
              <w:pStyle w:val="Paragrafoelenco"/>
              <w:numPr>
                <w:ilvl w:val="0"/>
                <w:numId w:val="1"/>
              </w:numPr>
              <w:ind w:left="458"/>
              <w:jc w:val="left"/>
              <w:rPr>
                <w:rFonts w:cs="Arial"/>
              </w:rPr>
            </w:pPr>
            <w:r w:rsidRPr="00434C3A">
              <w:rPr>
                <w:rFonts w:cs="Arial"/>
              </w:rPr>
              <w:t xml:space="preserve">Polymeric </w:t>
            </w:r>
            <w:proofErr w:type="gramStart"/>
            <w:r w:rsidRPr="00434C3A">
              <w:rPr>
                <w:rFonts w:cs="Arial"/>
              </w:rPr>
              <w:t>film;</w:t>
            </w:r>
            <w:proofErr w:type="gramEnd"/>
          </w:p>
          <w:p w14:paraId="361D4458" w14:textId="77777777" w:rsidR="00383CBC" w:rsidRPr="00434C3A" w:rsidRDefault="00383CBC" w:rsidP="00383CBC">
            <w:pPr>
              <w:pStyle w:val="Paragrafoelenco"/>
              <w:numPr>
                <w:ilvl w:val="0"/>
                <w:numId w:val="1"/>
              </w:numPr>
              <w:ind w:left="458"/>
              <w:jc w:val="left"/>
              <w:rPr>
                <w:rFonts w:cs="Arial"/>
              </w:rPr>
            </w:pPr>
            <w:r w:rsidRPr="00434C3A">
              <w:rPr>
                <w:rFonts w:cs="Arial"/>
              </w:rPr>
              <w:t xml:space="preserve">Shielding – Copper wire </w:t>
            </w:r>
            <w:proofErr w:type="gramStart"/>
            <w:r w:rsidRPr="00434C3A">
              <w:rPr>
                <w:rFonts w:cs="Arial"/>
              </w:rPr>
              <w:t>braid;</w:t>
            </w:r>
            <w:proofErr w:type="gramEnd"/>
          </w:p>
          <w:p w14:paraId="4FADEF4F" w14:textId="76A80A46" w:rsidR="00383CBC" w:rsidRPr="00434C3A" w:rsidRDefault="00383CBC" w:rsidP="00AE5DEA">
            <w:pPr>
              <w:pStyle w:val="Paragrafoelenco"/>
              <w:numPr>
                <w:ilvl w:val="0"/>
                <w:numId w:val="1"/>
              </w:numPr>
              <w:ind w:left="458"/>
              <w:jc w:val="left"/>
              <w:rPr>
                <w:rFonts w:cs="Arial"/>
              </w:rPr>
            </w:pPr>
            <w:r w:rsidRPr="00434C3A">
              <w:rPr>
                <w:rFonts w:cs="Arial"/>
              </w:rPr>
              <w:t>Outer sheath – Low Smoke Zero Halogen.</w:t>
            </w:r>
          </w:p>
        </w:tc>
        <w:tc>
          <w:tcPr>
            <w:tcW w:w="4814" w:type="dxa"/>
            <w:vAlign w:val="center"/>
          </w:tcPr>
          <w:p w14:paraId="5EC28B1B" w14:textId="279652E9" w:rsidR="00383CBC" w:rsidRPr="00434C3A" w:rsidRDefault="00A32243" w:rsidP="00383CBC">
            <w:pPr>
              <w:jc w:val="center"/>
              <w:rPr>
                <w:rFonts w:cs="Arial"/>
              </w:rPr>
            </w:pPr>
            <w:r w:rsidRPr="00086039">
              <w:rPr>
                <w:rFonts w:cs="Arial"/>
              </w:rPr>
              <w:drawing>
                <wp:inline distT="0" distB="0" distL="0" distR="0" wp14:anchorId="4CF76BA4" wp14:editId="6F41658D">
                  <wp:extent cx="1377950" cy="1250950"/>
                  <wp:effectExtent l="0" t="0" r="0" b="6350"/>
                  <wp:docPr id="10" name="Immagine 9">
                    <a:extLst xmlns:a="http://schemas.openxmlformats.org/drawingml/2006/main">
                      <a:ext uri="{FF2B5EF4-FFF2-40B4-BE49-F238E27FC236}">
                        <a16:creationId xmlns:a16="http://schemas.microsoft.com/office/drawing/2014/main" id="{D941191B-BEC3-4CD6-9DAE-5BD9A0F9C59F}"/>
                      </a:ext>
                    </a:extLst>
                  </wp:docPr>
                  <wp:cNvGraphicFramePr/>
                  <a:graphic xmlns:a="http://schemas.openxmlformats.org/drawingml/2006/main">
                    <a:graphicData uri="http://schemas.openxmlformats.org/drawingml/2006/picture">
                      <pic:pic xmlns:pic="http://schemas.openxmlformats.org/drawingml/2006/picture">
                        <pic:nvPicPr>
                          <pic:cNvPr id="10" name="Immagine 9">
                            <a:extLst>
                              <a:ext uri="{FF2B5EF4-FFF2-40B4-BE49-F238E27FC236}">
                                <a16:creationId xmlns:a16="http://schemas.microsoft.com/office/drawing/2014/main" id="{D941191B-BEC3-4CD6-9DAE-5BD9A0F9C59F}"/>
                              </a:ext>
                            </a:extLst>
                          </pic:cNvPr>
                          <pic:cNvPicPr/>
                        </pic:nvPicPr>
                        <pic:blipFill>
                          <a:blip r:embed="rId9">
                            <a:clrChange>
                              <a:clrFrom>
                                <a:srgbClr val="FFFFFF"/>
                              </a:clrFrom>
                              <a:clrTo>
                                <a:srgbClr val="FFFFFF">
                                  <a:alpha val="0"/>
                                </a:srgbClr>
                              </a:clrTo>
                            </a:clrChange>
                          </a:blip>
                          <a:stretch>
                            <a:fillRect/>
                          </a:stretch>
                        </pic:blipFill>
                        <pic:spPr>
                          <a:xfrm>
                            <a:off x="0" y="0"/>
                            <a:ext cx="1388097" cy="1260162"/>
                          </a:xfrm>
                          <a:prstGeom prst="rect">
                            <a:avLst/>
                          </a:prstGeom>
                        </pic:spPr>
                      </pic:pic>
                    </a:graphicData>
                  </a:graphic>
                </wp:inline>
              </w:drawing>
            </w:r>
          </w:p>
        </w:tc>
      </w:tr>
    </w:tbl>
    <w:p w14:paraId="66810262" w14:textId="148D4D8C" w:rsidR="00AE5DEA" w:rsidRPr="00434C3A" w:rsidRDefault="00AE5DEA" w:rsidP="00AE5DEA">
      <w:pPr>
        <w:pStyle w:val="Didascalia"/>
        <w:rPr>
          <w:rFonts w:cs="Arial"/>
          <w:lang w:val="en-US"/>
        </w:rPr>
      </w:pPr>
      <w:bookmarkStart w:id="1" w:name="_Ref184467283"/>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2</w:t>
      </w:r>
      <w:r w:rsidRPr="00434C3A">
        <w:rPr>
          <w:lang w:val="en-US"/>
        </w:rPr>
        <w:fldChar w:fldCharType="end"/>
      </w:r>
      <w:bookmarkEnd w:id="1"/>
      <w:r w:rsidRPr="00434C3A">
        <w:rPr>
          <w:lang w:val="en-US"/>
        </w:rPr>
        <w:t xml:space="preserve"> Morphology of the investigated coaxial cables</w:t>
      </w:r>
    </w:p>
    <w:p w14:paraId="42A09311" w14:textId="58E2A6F8" w:rsidR="00AE5DEA" w:rsidRPr="00434C3A" w:rsidRDefault="00AE5DEA" w:rsidP="00AE5DEA">
      <w:pPr>
        <w:rPr>
          <w:rFonts w:cs="Arial"/>
        </w:rPr>
      </w:pPr>
      <w:r w:rsidRPr="00434C3A">
        <w:rPr>
          <w:rFonts w:cs="Arial"/>
        </w:rPr>
        <w:t xml:space="preserve">The primary insulation is a silane crosslinked polyethylene stabilized with 1 </w:t>
      </w:r>
      <w:proofErr w:type="spellStart"/>
      <w:r w:rsidRPr="00434C3A">
        <w:rPr>
          <w:rFonts w:cs="Arial"/>
        </w:rPr>
        <w:t>phr</w:t>
      </w:r>
      <w:proofErr w:type="spellEnd"/>
      <w:r w:rsidRPr="00434C3A">
        <w:rPr>
          <w:rFonts w:cs="Arial"/>
        </w:rPr>
        <w:t xml:space="preserve"> of primary antioxidant (phenol-based) and 1 </w:t>
      </w:r>
      <w:proofErr w:type="spellStart"/>
      <w:r w:rsidRPr="00434C3A">
        <w:rPr>
          <w:rFonts w:cs="Arial"/>
        </w:rPr>
        <w:t>phr</w:t>
      </w:r>
      <w:proofErr w:type="spellEnd"/>
      <w:r w:rsidRPr="00434C3A">
        <w:rPr>
          <w:rFonts w:cs="Arial"/>
        </w:rPr>
        <w:t xml:space="preserve"> of secondary antioxidant (thioether-based). </w:t>
      </w:r>
      <w:r w:rsidR="00383CBC" w:rsidRPr="00434C3A">
        <w:rPr>
          <w:rFonts w:cs="Arial"/>
        </w:rPr>
        <w:t>S</w:t>
      </w:r>
      <w:r w:rsidRPr="00434C3A">
        <w:rPr>
          <w:rFonts w:cs="Arial"/>
        </w:rPr>
        <w:t>uch concentration of antioxidant is very high in comparison to typical values used in LV cables</w:t>
      </w:r>
      <w:r w:rsidR="00383CBC" w:rsidRPr="00434C3A">
        <w:rPr>
          <w:rFonts w:cs="Arial"/>
        </w:rPr>
        <w:t xml:space="preserve">, </w:t>
      </w:r>
      <w:r w:rsidR="00743F40">
        <w:rPr>
          <w:rFonts w:cs="Arial"/>
        </w:rPr>
        <w:t xml:space="preserve">possibly </w:t>
      </w:r>
      <w:r w:rsidR="00383CBC" w:rsidRPr="00434C3A">
        <w:rPr>
          <w:rFonts w:cs="Arial"/>
        </w:rPr>
        <w:t>leading</w:t>
      </w:r>
      <w:r w:rsidRPr="00434C3A">
        <w:rPr>
          <w:rFonts w:cs="Arial"/>
        </w:rPr>
        <w:t xml:space="preserve"> to an increase of </w:t>
      </w:r>
      <w:r w:rsidR="00383CBC" w:rsidRPr="00434C3A">
        <w:rPr>
          <w:rFonts w:cs="Arial"/>
        </w:rPr>
        <w:t xml:space="preserve">cable </w:t>
      </w:r>
      <w:r w:rsidRPr="00434C3A">
        <w:rPr>
          <w:rFonts w:cs="Arial"/>
        </w:rPr>
        <w:t xml:space="preserve">endurance </w:t>
      </w:r>
      <w:r w:rsidR="00383CBC" w:rsidRPr="00434C3A">
        <w:rPr>
          <w:rFonts w:cs="Arial"/>
        </w:rPr>
        <w:t>during aging</w:t>
      </w:r>
      <w:r w:rsidR="00743F40">
        <w:rPr>
          <w:rFonts w:cs="Arial"/>
        </w:rPr>
        <w:t xml:space="preserve"> and reduced degradation phenomena.</w:t>
      </w:r>
    </w:p>
    <w:p w14:paraId="431BDBD9" w14:textId="1D3763F5" w:rsidR="00AE5DEA" w:rsidRPr="00434C3A" w:rsidRDefault="00383CBC" w:rsidP="00AE5DEA">
      <w:pPr>
        <w:pStyle w:val="Titolo2"/>
      </w:pPr>
      <w:r w:rsidRPr="00434C3A">
        <w:t xml:space="preserve">2.2 </w:t>
      </w:r>
      <w:r w:rsidR="00AE5DEA" w:rsidRPr="00434C3A">
        <w:t>Accelerated aging</w:t>
      </w:r>
    </w:p>
    <w:p w14:paraId="0422A820" w14:textId="4A217E3D" w:rsidR="00B64B08" w:rsidRPr="00571190" w:rsidRDefault="00355049" w:rsidP="00AE5DEA">
      <w:pPr>
        <w:rPr>
          <w:rFonts w:cs="Arial"/>
          <w:color w:val="000000" w:themeColor="text1"/>
        </w:rPr>
      </w:pPr>
      <w:r w:rsidRPr="00571190">
        <w:rPr>
          <w:rFonts w:cs="Arial"/>
          <w:color w:val="000000" w:themeColor="text1"/>
        </w:rPr>
        <w:t>The c</w:t>
      </w:r>
      <w:r w:rsidR="00AE5DEA" w:rsidRPr="00571190">
        <w:rPr>
          <w:rFonts w:cs="Arial"/>
          <w:color w:val="000000" w:themeColor="text1"/>
        </w:rPr>
        <w:t>able samples were aged</w:t>
      </w:r>
      <w:r w:rsidR="00F15508" w:rsidRPr="00571190">
        <w:rPr>
          <w:rFonts w:cs="Arial"/>
          <w:color w:val="000000" w:themeColor="text1"/>
        </w:rPr>
        <w:t xml:space="preserve"> simultaneously</w:t>
      </w:r>
      <w:r w:rsidR="00AE5DEA" w:rsidRPr="00571190">
        <w:rPr>
          <w:rFonts w:cs="Arial"/>
          <w:color w:val="000000" w:themeColor="text1"/>
        </w:rPr>
        <w:t xml:space="preserve"> under radiation and high temperature </w:t>
      </w:r>
      <w:r w:rsidR="00977C6C" w:rsidRPr="00571190">
        <w:rPr>
          <w:rFonts w:cs="Arial"/>
          <w:color w:val="000000" w:themeColor="text1"/>
        </w:rPr>
        <w:t>to</w:t>
      </w:r>
      <w:r w:rsidR="00AE5DEA" w:rsidRPr="00571190">
        <w:rPr>
          <w:rFonts w:cs="Arial"/>
          <w:color w:val="000000" w:themeColor="text1"/>
        </w:rPr>
        <w:t xml:space="preserve"> simulate </w:t>
      </w:r>
      <w:r w:rsidR="00AE5DEA" w:rsidRPr="00571190">
        <w:rPr>
          <w:rFonts w:cs="Arial"/>
          <w:strike/>
          <w:color w:val="000000" w:themeColor="text1"/>
        </w:rPr>
        <w:t xml:space="preserve">typical </w:t>
      </w:r>
      <w:r w:rsidR="00AE5DEA" w:rsidRPr="00571190">
        <w:rPr>
          <w:rFonts w:cs="Arial"/>
          <w:color w:val="000000" w:themeColor="text1"/>
        </w:rPr>
        <w:t xml:space="preserve">nuclear environment </w:t>
      </w:r>
      <w:proofErr w:type="gramStart"/>
      <w:r w:rsidR="00AE5DEA" w:rsidRPr="00571190">
        <w:rPr>
          <w:rFonts w:cs="Arial"/>
          <w:color w:val="000000" w:themeColor="text1"/>
        </w:rPr>
        <w:t>stresses</w:t>
      </w:r>
      <w:proofErr w:type="gramEnd"/>
      <w:r w:rsidR="00AE5DEA" w:rsidRPr="00571190">
        <w:rPr>
          <w:rFonts w:cs="Arial"/>
          <w:color w:val="000000" w:themeColor="text1"/>
        </w:rPr>
        <w:t xml:space="preserve"> on cables. </w:t>
      </w:r>
      <w:proofErr w:type="gramStart"/>
      <w:r w:rsidR="00E14B47" w:rsidRPr="00571190">
        <w:rPr>
          <w:rFonts w:cs="Arial"/>
          <w:color w:val="000000" w:themeColor="text1"/>
        </w:rPr>
        <w:t>In particular, in</w:t>
      </w:r>
      <w:proofErr w:type="gramEnd"/>
      <w:r w:rsidR="00E14B47" w:rsidRPr="00571190">
        <w:rPr>
          <w:rFonts w:cs="Arial"/>
          <w:color w:val="000000" w:themeColor="text1"/>
        </w:rPr>
        <w:t xml:space="preserve"> this work, two aging temperatures (47°C and 87°C) along with a constant dose rate (7.2 Gy/h) were applied to the cables for a total of 678 days (1.85 years). </w:t>
      </w:r>
      <w:r w:rsidR="00337078" w:rsidRPr="00571190">
        <w:rPr>
          <w:rFonts w:cs="Arial"/>
          <w:color w:val="000000" w:themeColor="text1"/>
        </w:rPr>
        <w:t>The</w:t>
      </w:r>
      <w:r w:rsidR="00E14B47" w:rsidRPr="00571190">
        <w:rPr>
          <w:rFonts w:cs="Arial"/>
          <w:color w:val="000000" w:themeColor="text1"/>
        </w:rPr>
        <w:t xml:space="preserve"> chosen</w:t>
      </w:r>
      <w:r w:rsidR="00337078" w:rsidRPr="00571190">
        <w:rPr>
          <w:rFonts w:cs="Arial"/>
          <w:color w:val="000000" w:themeColor="text1"/>
        </w:rPr>
        <w:t xml:space="preserve"> aging parameters</w:t>
      </w:r>
      <w:r w:rsidR="007957F9" w:rsidRPr="00571190">
        <w:rPr>
          <w:rFonts w:cs="Arial"/>
          <w:color w:val="000000" w:themeColor="text1"/>
        </w:rPr>
        <w:t>, in terms of radiation,</w:t>
      </w:r>
      <w:r w:rsidR="00337078" w:rsidRPr="00571190">
        <w:rPr>
          <w:rFonts w:cs="Arial"/>
          <w:color w:val="000000" w:themeColor="text1"/>
        </w:rPr>
        <w:t xml:space="preserve"> </w:t>
      </w:r>
      <w:r w:rsidR="00AE5DEA" w:rsidRPr="00571190">
        <w:rPr>
          <w:rFonts w:cs="Arial"/>
          <w:color w:val="000000" w:themeColor="text1"/>
        </w:rPr>
        <w:t>are way higher than typical ones present inside NPPs</w:t>
      </w:r>
      <w:r w:rsidR="00E14B47" w:rsidRPr="00571190">
        <w:rPr>
          <w:rFonts w:cs="Arial"/>
          <w:color w:val="000000" w:themeColor="text1"/>
        </w:rPr>
        <w:t>, with a 20x higher radiation stress. On the contrary</w:t>
      </w:r>
      <w:r w:rsidR="007957F9" w:rsidRPr="00571190">
        <w:rPr>
          <w:rFonts w:cs="Arial"/>
          <w:color w:val="000000" w:themeColor="text1"/>
        </w:rPr>
        <w:t xml:space="preserve">, the chosen </w:t>
      </w:r>
      <w:r w:rsidR="00E14B47" w:rsidRPr="00571190">
        <w:rPr>
          <w:rFonts w:cs="Arial"/>
          <w:color w:val="000000" w:themeColor="text1"/>
        </w:rPr>
        <w:t xml:space="preserve">aging </w:t>
      </w:r>
      <w:r w:rsidR="007957F9" w:rsidRPr="00571190">
        <w:rPr>
          <w:rFonts w:cs="Arial"/>
          <w:color w:val="000000" w:themeColor="text1"/>
        </w:rPr>
        <w:t>tempera</w:t>
      </w:r>
      <w:r w:rsidR="00E14B47" w:rsidRPr="00571190">
        <w:rPr>
          <w:rFonts w:cs="Arial"/>
          <w:color w:val="000000" w:themeColor="text1"/>
        </w:rPr>
        <w:t xml:space="preserve">tures (47 °C and 87 °C) are common temperatures </w:t>
      </w:r>
      <w:r w:rsidR="00FF214B" w:rsidRPr="00571190">
        <w:rPr>
          <w:rFonts w:cs="Arial"/>
          <w:color w:val="000000" w:themeColor="text1"/>
        </w:rPr>
        <w:t xml:space="preserve">inside the steam generator room and </w:t>
      </w:r>
      <w:proofErr w:type="gramStart"/>
      <w:r w:rsidR="00FF214B" w:rsidRPr="00571190">
        <w:rPr>
          <w:rFonts w:cs="Arial"/>
          <w:color w:val="000000" w:themeColor="text1"/>
        </w:rPr>
        <w:t>hot-spots</w:t>
      </w:r>
      <w:proofErr w:type="gramEnd"/>
      <w:r w:rsidR="00FF214B" w:rsidRPr="00571190">
        <w:rPr>
          <w:rFonts w:cs="Arial"/>
          <w:color w:val="000000" w:themeColor="text1"/>
        </w:rPr>
        <w:t xml:space="preserve"> within the NPPs, respectively.</w:t>
      </w:r>
    </w:p>
    <w:p w14:paraId="1ECDF205" w14:textId="2ED08EE6" w:rsidR="00AE5DEA" w:rsidRPr="00571190" w:rsidRDefault="001D318A" w:rsidP="00AE5DEA">
      <w:pPr>
        <w:rPr>
          <w:rFonts w:cs="Arial"/>
          <w:color w:val="000000" w:themeColor="text1"/>
        </w:rPr>
      </w:pPr>
      <w:r w:rsidRPr="00571190">
        <w:rPr>
          <w:rFonts w:cs="Arial"/>
          <w:color w:val="000000" w:themeColor="text1"/>
        </w:rPr>
        <w:t>R</w:t>
      </w:r>
      <w:r w:rsidR="006439AF" w:rsidRPr="00571190">
        <w:rPr>
          <w:rFonts w:cs="Arial"/>
          <w:color w:val="000000" w:themeColor="text1"/>
        </w:rPr>
        <w:t>adiation</w:t>
      </w:r>
      <w:r w:rsidRPr="00571190">
        <w:rPr>
          <w:rFonts w:cs="Arial"/>
          <w:color w:val="000000" w:themeColor="text1"/>
        </w:rPr>
        <w:t xml:space="preserve"> aging was performed in the Panoza facility at UJV Rez, Czech Republic, through a </w:t>
      </w:r>
      <w:r w:rsidRPr="00571190">
        <w:rPr>
          <w:rFonts w:cs="Arial"/>
          <w:color w:val="000000" w:themeColor="text1"/>
          <w:vertAlign w:val="superscript"/>
        </w:rPr>
        <w:t>60</w:t>
      </w:r>
      <w:r w:rsidRPr="00571190">
        <w:rPr>
          <w:rFonts w:cs="Arial"/>
          <w:color w:val="000000" w:themeColor="text1"/>
        </w:rPr>
        <w:t>Co γ-ray source</w:t>
      </w:r>
      <w:r w:rsidR="00C64E22" w:rsidRPr="00571190">
        <w:rPr>
          <w:rFonts w:cs="Arial"/>
          <w:color w:val="000000" w:themeColor="text1"/>
        </w:rPr>
        <w:t xml:space="preserve"> </w:t>
      </w:r>
      <w:r w:rsidR="00C64E22" w:rsidRPr="00571190">
        <w:rPr>
          <w:rFonts w:cs="Arial"/>
          <w:color w:val="000000" w:themeColor="text1"/>
        </w:rPr>
        <w:fldChar w:fldCharType="begin"/>
      </w:r>
      <w:r w:rsidR="00551B93" w:rsidRPr="00571190">
        <w:rPr>
          <w:rFonts w:cs="Arial"/>
          <w:color w:val="000000" w:themeColor="text1"/>
        </w:rPr>
        <w:instrText xml:space="preserve"> ADDIN ZOTERO_ITEM CSL_CITATION {"citationID":"jNNbDYnk","properties":{"formattedCitation":"[9]","plainCitation":"[9]","noteIndex":0},"citationItems":[{"id":2246,"uris":["http://zotero.org/users/6147595/items/S3P6Y9TB"],"itemData":{"id":2246,"type":"article-journal","abstract":"Cables important to safety used in nuclear power plants are required to withstand environmental, operational and system conditions to which they are exposed during their design life. This may include harsh conditions resulting from a design basis event (DBE), such as a Loss-of-Coolant Accident (LOCA). The testing procedure includes accelerated thermal and ionizing radiation ageing which brings the tested samples to their end-of-life condition. Accelerated pre-ageing is then followed by accident simulation (LOCA test). The latter part of accident simulation (post-LOCA), which may take up to 1 year, is commonly accelerated based on the Arrhenius approach, however the adequacy of this approach remains a topic of ongoing discussion, lacking a clear scientific or engineering consensus. While numerous works have focused on testing various conditions during accidental and post-accidental conditions in nuclear power plants, there is notable absence of direct assessment of acceleration effects.","container-title":"Nuclear Engineering and Design","DOI":"10.1016/j.nucengdes.2024.112903","ISSN":"00295493","journalAbbreviation":"Nuclear Engineering and Design","language":"en","page":"112903","source":"DOI.org (Crossref)","title":"Comparison of accelerated and non-accelerated post-LOCA simulation","volume":"418","author":[{"family":"Šaršounová","given":"Zuzana"},{"family":"Žák","given":"Pavel"},{"family":"Dragoun","given":"Dominik"}],"issued":{"date-parts":[["2024",3]]}}}],"schema":"https://github.com/citation-style-language/schema/raw/master/csl-citation.json"} </w:instrText>
      </w:r>
      <w:r w:rsidR="00C64E22" w:rsidRPr="00571190">
        <w:rPr>
          <w:rFonts w:cs="Arial"/>
          <w:color w:val="000000" w:themeColor="text1"/>
        </w:rPr>
        <w:fldChar w:fldCharType="separate"/>
      </w:r>
      <w:r w:rsidR="00551B93" w:rsidRPr="00571190">
        <w:rPr>
          <w:rFonts w:cs="Arial"/>
          <w:color w:val="000000" w:themeColor="text1"/>
        </w:rPr>
        <w:t>[9]</w:t>
      </w:r>
      <w:r w:rsidR="00C64E22" w:rsidRPr="00571190">
        <w:rPr>
          <w:rFonts w:cs="Arial"/>
          <w:color w:val="000000" w:themeColor="text1"/>
        </w:rPr>
        <w:fldChar w:fldCharType="end"/>
      </w:r>
      <w:r w:rsidRPr="00571190">
        <w:rPr>
          <w:rFonts w:cs="Arial"/>
          <w:color w:val="000000" w:themeColor="text1"/>
        </w:rPr>
        <w:t>. Aging properties and durations are summarized in Table 1.</w:t>
      </w:r>
      <w:r w:rsidR="00510FC7" w:rsidRPr="00571190">
        <w:rPr>
          <w:rFonts w:cs="Arial"/>
          <w:color w:val="000000" w:themeColor="text1"/>
        </w:rPr>
        <w:t xml:space="preserve"> </w:t>
      </w:r>
      <w:r w:rsidR="00CC26DB" w:rsidRPr="00571190">
        <w:rPr>
          <w:rFonts w:cs="Arial"/>
          <w:color w:val="000000" w:themeColor="text1"/>
        </w:rPr>
        <w:t>The reason beyond use of gamma irradiation source in place of other sources (alpha or beta) is twofold. (a) It is an electromagnetic source, this implies that the material does not become radioactive, easing the handling and testing. (b) The source releases higher values of energy in the material since gamma rays are more energetic than the other radiation sources. Moreover, it has been demonstrated</w:t>
      </w:r>
      <w:r w:rsidR="00BD7051" w:rsidRPr="00571190">
        <w:rPr>
          <w:rFonts w:cs="Arial"/>
          <w:color w:val="000000" w:themeColor="text1"/>
        </w:rPr>
        <w:t xml:space="preserve"> </w:t>
      </w:r>
      <w:r w:rsidR="00BD7051" w:rsidRPr="00571190">
        <w:rPr>
          <w:rFonts w:cs="Arial"/>
          <w:color w:val="000000" w:themeColor="text1"/>
        </w:rPr>
        <w:fldChar w:fldCharType="begin"/>
      </w:r>
      <w:r w:rsidR="00C64E22" w:rsidRPr="00571190">
        <w:rPr>
          <w:rFonts w:cs="Arial"/>
          <w:color w:val="000000" w:themeColor="text1"/>
        </w:rPr>
        <w:instrText xml:space="preserve"> ADDIN ZOTERO_ITEM CSL_CITATION {"citationID":"dgLteG9R","properties":{"formattedCitation":"[14]","plainCitation":"[14]","noteIndex":0},"citationItems":[{"id":2240,"uris":["http://zotero.org/users/6147595/items/89BBNYXJ"],"itemData":{"id":2240,"type":"article-journal","abstract":"Exposure of polyethylene and paraffins to high-energy radiation produces main chain (transvinylene) unsaturation, and this rises to a maximum limiting concentration with increasing dose. On the other hand, vinylun saturation initially present diminishes on irradiation. Comparison of the effects of a- and y-irradiation of thin polyethylene films show that the initial\n              G\n              value for the formation of transvinylene unsaturation is not significantly affected by the l.e.t. of the radiation, but the maximum values reached differ by a factor of over 4. Similarly the decay of vinyl unsaturation is four times slower with a-radiation. The destruction of unsaturation is ascribed to the reaction of H atom s liberated by radiation with the unsaturated groups acting as a scavenger. The difference between a- and y-radiation is due to an l.e.t. effect, more H atoms being available from radiation of lower l.e.t. Estimates are made of the proportion of H atoms which escape from the tracks of the two forms of radiation. The difference is much smaller than in the case of irradiated aqueous solutions. Data are also presented on the formation of carbonyl with a- and y-radiation, both in the presence of air, an d during subsequent exposure.","container-title":"Proceedings of the Royal Society of London. Series A. Mathematical and Physical Sciences","DOI":"10.1098/rspa.1964.0027","ISSN":"0080-4630, 2053-9169","issue":"1370","journalAbbreviation":"Proc. R. Soc. Lond. A","language":"en","license":"https://royalsociety.org/journals/ethics-policies/data-sharing-mining/","page":"348-364","source":"DOI.org (Crossref)","title":"Comparison of alpha and gamma radiation effects in polyethylene","volume":"277","author":[{"family":"Charlesby","given":"A"},{"family":"Al.","given":""}],"issued":{"date-parts":[["1964",2,11]]}}}],"schema":"https://github.com/citation-style-language/schema/raw/master/csl-citation.json"} </w:instrText>
      </w:r>
      <w:r w:rsidR="00BD7051" w:rsidRPr="00571190">
        <w:rPr>
          <w:rFonts w:cs="Arial"/>
          <w:color w:val="000000" w:themeColor="text1"/>
        </w:rPr>
        <w:fldChar w:fldCharType="separate"/>
      </w:r>
      <w:r w:rsidR="00C64E22" w:rsidRPr="00571190">
        <w:rPr>
          <w:rFonts w:cs="Arial"/>
          <w:color w:val="000000" w:themeColor="text1"/>
        </w:rPr>
        <w:t>[14]</w:t>
      </w:r>
      <w:r w:rsidR="00BD7051" w:rsidRPr="00571190">
        <w:rPr>
          <w:rFonts w:cs="Arial"/>
          <w:color w:val="000000" w:themeColor="text1"/>
        </w:rPr>
        <w:fldChar w:fldCharType="end"/>
      </w:r>
      <w:r w:rsidR="00CC26DB" w:rsidRPr="00571190">
        <w:rPr>
          <w:rFonts w:cs="Arial"/>
          <w:color w:val="000000" w:themeColor="text1"/>
        </w:rPr>
        <w:t xml:space="preserve"> that, up to significantly high values of absorbed doses, the effects of the different radiation sources on the material properties follow the same trend, despite different amplitudes.</w:t>
      </w:r>
    </w:p>
    <w:p w14:paraId="488C208B" w14:textId="2902EA5F" w:rsidR="00AD6461" w:rsidRPr="00571190" w:rsidRDefault="003B79F8" w:rsidP="00AE5DEA">
      <w:pPr>
        <w:rPr>
          <w:rFonts w:cs="Arial"/>
          <w:color w:val="000000" w:themeColor="text1"/>
        </w:rPr>
      </w:pPr>
      <w:r w:rsidRPr="00571190">
        <w:rPr>
          <w:rFonts w:cs="Arial"/>
          <w:color w:val="000000" w:themeColor="text1"/>
        </w:rPr>
        <w:t xml:space="preserve">The equivalence of these accelerated aging conditions to real service conditions over a 40-year application period is established using the Arrhenius approach for thermal aging. For radiation aging, the equivalence is based on the total absorbed dose, </w:t>
      </w:r>
      <w:proofErr w:type="gramStart"/>
      <w:r w:rsidRPr="00571190">
        <w:rPr>
          <w:rFonts w:cs="Arial"/>
          <w:color w:val="000000" w:themeColor="text1"/>
        </w:rPr>
        <w:t>taking into account</w:t>
      </w:r>
      <w:proofErr w:type="gramEnd"/>
      <w:r w:rsidRPr="00571190">
        <w:rPr>
          <w:rFonts w:cs="Arial"/>
          <w:color w:val="000000" w:themeColor="text1"/>
        </w:rPr>
        <w:t xml:space="preserve"> an average dose rate of approximately 0.33 Gy/h in actual nuclear power plants (NPPs) over the same 40-year period.</w:t>
      </w:r>
    </w:p>
    <w:p w14:paraId="124B07BC" w14:textId="77777777" w:rsidR="00AE5DEA" w:rsidRPr="00434C3A" w:rsidRDefault="00AE5DEA" w:rsidP="009F4514">
      <w:pPr>
        <w:pStyle w:val="Titolo4"/>
      </w:pPr>
      <w:r w:rsidRPr="00434C3A">
        <w:t>Design Basis Event (DBE) simulation</w:t>
      </w:r>
    </w:p>
    <w:p w14:paraId="637483CC" w14:textId="221149C2" w:rsidR="00AE5DEA" w:rsidRPr="00434C3A" w:rsidRDefault="00AE5DEA" w:rsidP="00AE5DEA">
      <w:r w:rsidRPr="00434C3A">
        <w:t xml:space="preserve">As reported in the introduction, during a </w:t>
      </w:r>
      <w:r w:rsidR="00E755CD">
        <w:t>loss of coolant accident (</w:t>
      </w:r>
      <w:r w:rsidRPr="00434C3A">
        <w:t>LOCA</w:t>
      </w:r>
      <w:r w:rsidR="00E755CD">
        <w:t>)</w:t>
      </w:r>
      <w:r w:rsidRPr="00434C3A">
        <w:t xml:space="preserve">, cables in the reactors undergo various severe </w:t>
      </w:r>
      <w:proofErr w:type="gramStart"/>
      <w:r w:rsidRPr="00434C3A">
        <w:t>stresses i</w:t>
      </w:r>
      <w:proofErr w:type="gramEnd"/>
      <w:r w:rsidRPr="00434C3A">
        <w:t xml:space="preserve">.e., high temperatures, high dose rates, pressure and chemical sprays coming from </w:t>
      </w:r>
      <w:r w:rsidR="003B79F8" w:rsidRPr="00434C3A">
        <w:t>the surrounding</w:t>
      </w:r>
      <w:r w:rsidR="00C008D3" w:rsidRPr="00434C3A">
        <w:t xml:space="preserve"> </w:t>
      </w:r>
      <w:r w:rsidRPr="00434C3A">
        <w:t>environment. Standard IEEE 383 requires that the qualification for a DBE-LOCA cable passes through various steps, namely:</w:t>
      </w:r>
    </w:p>
    <w:p w14:paraId="07F11469" w14:textId="77777777" w:rsidR="00AE5DEA" w:rsidRPr="00571190" w:rsidRDefault="00AE5DEA" w:rsidP="00AE5DEA">
      <w:pPr>
        <w:pStyle w:val="Paragrafoelenco"/>
        <w:numPr>
          <w:ilvl w:val="0"/>
          <w:numId w:val="2"/>
        </w:numPr>
        <w:ind w:left="284" w:hanging="284"/>
        <w:rPr>
          <w:color w:val="000000" w:themeColor="text1"/>
        </w:rPr>
      </w:pPr>
      <w:r w:rsidRPr="00434C3A">
        <w:t>Thermal and radiation exposure</w:t>
      </w:r>
    </w:p>
    <w:p w14:paraId="46A8B7D1" w14:textId="2A53ECBA" w:rsidR="00AE5DEA" w:rsidRPr="00571190" w:rsidRDefault="00AE5DEA" w:rsidP="00AE5DEA">
      <w:pPr>
        <w:pStyle w:val="Paragrafoelenco"/>
        <w:numPr>
          <w:ilvl w:val="0"/>
          <w:numId w:val="2"/>
        </w:numPr>
        <w:ind w:left="284" w:hanging="284"/>
        <w:rPr>
          <w:color w:val="000000" w:themeColor="text1"/>
        </w:rPr>
      </w:pPr>
      <w:r w:rsidRPr="00571190">
        <w:rPr>
          <w:color w:val="000000" w:themeColor="text1"/>
        </w:rPr>
        <w:t xml:space="preserve">LOCA </w:t>
      </w:r>
      <w:r w:rsidR="00C81AA1" w:rsidRPr="00571190">
        <w:rPr>
          <w:color w:val="000000" w:themeColor="text1"/>
        </w:rPr>
        <w:t>thermo-dynamic profile</w:t>
      </w:r>
    </w:p>
    <w:p w14:paraId="51A0A531" w14:textId="77777777" w:rsidR="00AE5DEA" w:rsidRPr="00571190" w:rsidRDefault="00AE5DEA" w:rsidP="00AE5DEA">
      <w:pPr>
        <w:pStyle w:val="Paragrafoelenco"/>
        <w:numPr>
          <w:ilvl w:val="0"/>
          <w:numId w:val="2"/>
        </w:numPr>
        <w:ind w:left="284" w:hanging="284"/>
        <w:rPr>
          <w:color w:val="000000" w:themeColor="text1"/>
        </w:rPr>
      </w:pPr>
      <w:r w:rsidRPr="00571190">
        <w:rPr>
          <w:color w:val="000000" w:themeColor="text1"/>
        </w:rPr>
        <w:t>Post LOCA simulation</w:t>
      </w:r>
    </w:p>
    <w:p w14:paraId="1AEE2198" w14:textId="7F4269C9" w:rsidR="00AE5DEA" w:rsidRPr="00434C3A" w:rsidRDefault="00AE5DEA" w:rsidP="00AE5DEA">
      <w:r w:rsidRPr="00434C3A">
        <w:t xml:space="preserve">Nonetheless, the parameters chosen by the utilities to efficiently simulate a DBE-LOCA accident may differ among countries and NPPs. As an example, the accident dose may vary from 10 </w:t>
      </w:r>
      <w:proofErr w:type="spellStart"/>
      <w:r w:rsidRPr="00434C3A">
        <w:t>kGy</w:t>
      </w:r>
      <w:proofErr w:type="spellEnd"/>
      <w:r w:rsidRPr="00434C3A">
        <w:t xml:space="preserve"> to 2200 </w:t>
      </w:r>
      <w:proofErr w:type="spellStart"/>
      <w:r w:rsidRPr="00434C3A">
        <w:t>kGy</w:t>
      </w:r>
      <w:proofErr w:type="spellEnd"/>
      <w:r w:rsidRPr="00434C3A">
        <w:t xml:space="preserve">. For the </w:t>
      </w:r>
      <w:r w:rsidRPr="00434C3A">
        <w:lastRenderedPageBreak/>
        <w:t xml:space="preserve">sake of this research, it was chosen to employ parameters which meet </w:t>
      </w:r>
      <w:r w:rsidRPr="00571190">
        <w:rPr>
          <w:color w:val="000000" w:themeColor="text1"/>
        </w:rPr>
        <w:t>the</w:t>
      </w:r>
      <w:r w:rsidR="00C02E4F" w:rsidRPr="00571190">
        <w:rPr>
          <w:color w:val="000000" w:themeColor="text1"/>
        </w:rPr>
        <w:t xml:space="preserve"> chosen reference requirements.</w:t>
      </w:r>
      <w:r w:rsidRPr="00571190">
        <w:rPr>
          <w:color w:val="000000" w:themeColor="text1"/>
        </w:rPr>
        <w:t xml:space="preserve"> </w:t>
      </w:r>
      <w:r w:rsidRPr="00434C3A">
        <w:t xml:space="preserve">Moreover, given the complexity of mimicking the numerous conditions conjointly, </w:t>
      </w:r>
      <w:r w:rsidR="00C02E4F" w:rsidRPr="00571190">
        <w:rPr>
          <w:color w:val="000000" w:themeColor="text1"/>
        </w:rPr>
        <w:t xml:space="preserve">the </w:t>
      </w:r>
      <w:r w:rsidRPr="00571190">
        <w:rPr>
          <w:color w:val="000000" w:themeColor="text1"/>
        </w:rPr>
        <w:t xml:space="preserve">simulation </w:t>
      </w:r>
      <w:r w:rsidRPr="00434C3A">
        <w:t xml:space="preserve">was split into four </w:t>
      </w:r>
      <w:r w:rsidR="00C26A43" w:rsidRPr="00434C3A">
        <w:t xml:space="preserve">subsequent </w:t>
      </w:r>
      <w:r w:rsidRPr="00434C3A">
        <w:t>stages:</w:t>
      </w:r>
    </w:p>
    <w:p w14:paraId="3C8B8110" w14:textId="5D88E7BC" w:rsidR="00AE5DEA" w:rsidRPr="00434C3A" w:rsidRDefault="00AE5DEA" w:rsidP="00AE5DEA">
      <w:pPr>
        <w:pStyle w:val="Paragrafoelenco"/>
        <w:widowControl/>
        <w:numPr>
          <w:ilvl w:val="0"/>
          <w:numId w:val="3"/>
        </w:numPr>
        <w:spacing w:after="0"/>
        <w:ind w:left="284" w:hanging="284"/>
      </w:pPr>
      <w:r w:rsidRPr="00434C3A">
        <w:rPr>
          <w:i/>
          <w:iCs/>
        </w:rPr>
        <w:t>Accelerated aging:</w:t>
      </w:r>
      <w:r w:rsidRPr="00434C3A">
        <w:t xml:space="preserve"> cables were aged </w:t>
      </w:r>
      <w:r w:rsidR="00843BF3" w:rsidRPr="00434C3A">
        <w:t>to an equivalent of 40</w:t>
      </w:r>
      <w:r w:rsidR="00C26A43" w:rsidRPr="00434C3A">
        <w:t>-year aging, considering a radiation-only (RA) and a combined (radiation and temperature -TA/RA-) aging. Aging parameters are reported in</w:t>
      </w:r>
      <w:r w:rsidR="00762EF4" w:rsidRPr="00434C3A">
        <w:t xml:space="preserve"> the first two columns of</w:t>
      </w:r>
      <w:r w:rsidR="00C26A43" w:rsidRPr="00434C3A">
        <w:t xml:space="preserve"> </w:t>
      </w:r>
      <w:r w:rsidR="00C26A43" w:rsidRPr="00434C3A">
        <w:fldChar w:fldCharType="begin"/>
      </w:r>
      <w:r w:rsidR="00C26A43" w:rsidRPr="00434C3A">
        <w:instrText xml:space="preserve"> REF _Ref184635446 \h </w:instrText>
      </w:r>
      <w:r w:rsidR="00C26A43" w:rsidRPr="00434C3A">
        <w:fldChar w:fldCharType="separate"/>
      </w:r>
      <w:r w:rsidR="001D02A0" w:rsidRPr="00434C3A">
        <w:t xml:space="preserve">Table </w:t>
      </w:r>
      <w:r w:rsidR="001D02A0">
        <w:rPr>
          <w:noProof/>
        </w:rPr>
        <w:t>1</w:t>
      </w:r>
      <w:r w:rsidR="00C26A43" w:rsidRPr="00434C3A">
        <w:fldChar w:fldCharType="end"/>
      </w:r>
      <w:r w:rsidR="00C26A43" w:rsidRPr="00434C3A">
        <w:t>.</w:t>
      </w:r>
    </w:p>
    <w:p w14:paraId="4EE3092B" w14:textId="7A065442" w:rsidR="00AE5DEA" w:rsidRPr="00571190" w:rsidRDefault="00AE5DEA" w:rsidP="00AE5DEA">
      <w:pPr>
        <w:pStyle w:val="Paragrafoelenco"/>
        <w:widowControl/>
        <w:numPr>
          <w:ilvl w:val="0"/>
          <w:numId w:val="3"/>
        </w:numPr>
        <w:spacing w:after="0"/>
        <w:ind w:left="284" w:hanging="284"/>
        <w:rPr>
          <w:color w:val="000000" w:themeColor="text1"/>
        </w:rPr>
      </w:pPr>
      <w:r w:rsidRPr="00434C3A">
        <w:rPr>
          <w:i/>
          <w:iCs/>
        </w:rPr>
        <w:t>Accident radiation:</w:t>
      </w:r>
      <w:r w:rsidRPr="00434C3A">
        <w:t xml:space="preserve"> aged cables were subjected to dose rate ~1.4 </w:t>
      </w:r>
      <w:proofErr w:type="spellStart"/>
      <w:r w:rsidRPr="00434C3A">
        <w:t>kGy</w:t>
      </w:r>
      <w:proofErr w:type="spellEnd"/>
      <w:r w:rsidRPr="00434C3A">
        <w:t xml:space="preserve">/h until the reaching of a total </w:t>
      </w:r>
      <w:r w:rsidRPr="00571190">
        <w:rPr>
          <w:color w:val="000000" w:themeColor="text1"/>
        </w:rPr>
        <w:t xml:space="preserve">absorbed dose ~610 </w:t>
      </w:r>
      <w:proofErr w:type="spellStart"/>
      <w:r w:rsidRPr="00571190">
        <w:rPr>
          <w:color w:val="000000" w:themeColor="text1"/>
        </w:rPr>
        <w:t>kGy</w:t>
      </w:r>
      <w:proofErr w:type="spellEnd"/>
      <w:r w:rsidRPr="00571190">
        <w:rPr>
          <w:color w:val="000000" w:themeColor="text1"/>
        </w:rPr>
        <w:t>.</w:t>
      </w:r>
    </w:p>
    <w:p w14:paraId="76E3A5F6" w14:textId="5ADCC344" w:rsidR="00AE5DEA" w:rsidRPr="00434C3A" w:rsidRDefault="00AE5DEA" w:rsidP="00AE5DEA">
      <w:pPr>
        <w:pStyle w:val="Paragrafoelenco"/>
        <w:widowControl/>
        <w:numPr>
          <w:ilvl w:val="0"/>
          <w:numId w:val="3"/>
        </w:numPr>
        <w:spacing w:after="0"/>
        <w:ind w:left="284" w:hanging="284"/>
      </w:pPr>
      <w:r w:rsidRPr="00571190">
        <w:rPr>
          <w:i/>
          <w:iCs/>
          <w:color w:val="000000" w:themeColor="text1"/>
        </w:rPr>
        <w:t xml:space="preserve">LOCA </w:t>
      </w:r>
      <w:r w:rsidR="00C02E4F" w:rsidRPr="00571190">
        <w:rPr>
          <w:i/>
          <w:iCs/>
          <w:color w:val="000000" w:themeColor="text1"/>
        </w:rPr>
        <w:t>thermodynamic profile</w:t>
      </w:r>
      <w:r w:rsidRPr="00571190">
        <w:rPr>
          <w:i/>
          <w:iCs/>
          <w:color w:val="000000" w:themeColor="text1"/>
        </w:rPr>
        <w:t>:</w:t>
      </w:r>
      <w:r w:rsidRPr="00571190">
        <w:rPr>
          <w:color w:val="000000" w:themeColor="text1"/>
        </w:rPr>
        <w:t xml:space="preserve"> </w:t>
      </w:r>
      <w:r w:rsidR="00D26D2A" w:rsidRPr="00571190">
        <w:rPr>
          <w:color w:val="000000" w:themeColor="text1"/>
        </w:rPr>
        <w:t>I</w:t>
      </w:r>
      <w:r w:rsidRPr="00571190">
        <w:rPr>
          <w:color w:val="000000" w:themeColor="text1"/>
        </w:rPr>
        <w:t xml:space="preserve">n this </w:t>
      </w:r>
      <w:r w:rsidRPr="00434C3A">
        <w:t>phase high temperature and overpressure are applied to the cables (</w:t>
      </w:r>
      <w:r w:rsidR="004835E4" w:rsidRPr="00434C3A">
        <w:t>coiled on a drum (</w:t>
      </w:r>
      <w:r w:rsidR="004835E4" w:rsidRPr="00434C3A">
        <w:fldChar w:fldCharType="begin"/>
      </w:r>
      <w:r w:rsidR="004835E4" w:rsidRPr="00434C3A">
        <w:instrText xml:space="preserve"> REF _Ref184635658 \h </w:instrText>
      </w:r>
      <w:r w:rsidR="004835E4" w:rsidRPr="00434C3A">
        <w:fldChar w:fldCharType="separate"/>
      </w:r>
      <w:r w:rsidR="001D02A0" w:rsidRPr="00434C3A">
        <w:t xml:space="preserve">Figure </w:t>
      </w:r>
      <w:r w:rsidR="001D02A0">
        <w:rPr>
          <w:noProof/>
        </w:rPr>
        <w:t>3</w:t>
      </w:r>
      <w:r w:rsidR="004835E4" w:rsidRPr="00434C3A">
        <w:fldChar w:fldCharType="end"/>
      </w:r>
      <w:r w:rsidRPr="00434C3A">
        <w:t xml:space="preserve">) in a vessel for 10 hours. After this phase, cables were kept for </w:t>
      </w:r>
      <w:r w:rsidR="00F14A28" w:rsidRPr="00434C3A">
        <w:t>an additional</w:t>
      </w:r>
      <w:r w:rsidRPr="00434C3A">
        <w:t xml:space="preserve"> 12h under uncontrolled cooling. Temperature and overpressure are not constant during this </w:t>
      </w:r>
      <w:r w:rsidR="00F14A28" w:rsidRPr="00434C3A">
        <w:t>phase,</w:t>
      </w:r>
      <w:r w:rsidRPr="00434C3A">
        <w:t xml:space="preserve"> but they vary depending on the requirements of the given NPP. </w:t>
      </w:r>
      <w:r w:rsidR="00182659" w:rsidRPr="00434C3A">
        <w:t xml:space="preserve">The profile of temperature and pressure of LOCA used in this work is reported in </w:t>
      </w:r>
      <w:r w:rsidR="00182659" w:rsidRPr="00434C3A">
        <w:fldChar w:fldCharType="begin"/>
      </w:r>
      <w:r w:rsidR="00182659" w:rsidRPr="00434C3A">
        <w:instrText xml:space="preserve"> REF _Ref184635499 \h </w:instrText>
      </w:r>
      <w:r w:rsidR="00182659" w:rsidRPr="00434C3A">
        <w:fldChar w:fldCharType="separate"/>
      </w:r>
      <w:r w:rsidR="001D02A0" w:rsidRPr="00434C3A">
        <w:t xml:space="preserve">Figure </w:t>
      </w:r>
      <w:r w:rsidR="001D02A0">
        <w:rPr>
          <w:noProof/>
        </w:rPr>
        <w:t>4</w:t>
      </w:r>
      <w:r w:rsidR="00182659" w:rsidRPr="00434C3A">
        <w:fldChar w:fldCharType="end"/>
      </w:r>
      <w:r w:rsidR="00182659" w:rsidRPr="00434C3A">
        <w:t xml:space="preserve">. </w:t>
      </w:r>
      <w:r w:rsidRPr="00434C3A">
        <w:t>During this phase, chemical spray is released in the vessel. Also in this case, the parameters and types of chemicals depend on the considered NPP. In this study, a chemical spray containing 15 g H</w:t>
      </w:r>
      <w:r w:rsidRPr="00434C3A">
        <w:rPr>
          <w:vertAlign w:val="subscript"/>
        </w:rPr>
        <w:t>3</w:t>
      </w:r>
      <w:r w:rsidRPr="00434C3A">
        <w:t>BO</w:t>
      </w:r>
      <w:r w:rsidRPr="00434C3A">
        <w:rPr>
          <w:vertAlign w:val="subscript"/>
        </w:rPr>
        <w:t>3</w:t>
      </w:r>
      <w:r w:rsidRPr="00434C3A">
        <w:t xml:space="preserve"> + 2 g NaOH in 1 kg distilled water was used. </w:t>
      </w:r>
      <w:r w:rsidR="00F14A28" w:rsidRPr="00434C3A">
        <w:t>The inlet</w:t>
      </w:r>
      <w:r w:rsidRPr="00434C3A">
        <w:t xml:space="preserve"> rate was set at ~3 L/h.</w:t>
      </w:r>
    </w:p>
    <w:p w14:paraId="1662CB6D" w14:textId="77777777" w:rsidR="00AE5DEA" w:rsidRPr="00434C3A" w:rsidRDefault="00AE5DEA" w:rsidP="00AE5DEA">
      <w:pPr>
        <w:pStyle w:val="Paragrafoelenco"/>
        <w:numPr>
          <w:ilvl w:val="0"/>
          <w:numId w:val="3"/>
        </w:numPr>
        <w:ind w:left="284" w:hanging="284"/>
      </w:pPr>
      <w:r w:rsidRPr="00434C3A">
        <w:rPr>
          <w:i/>
          <w:iCs/>
        </w:rPr>
        <w:t>Post LOCA simulation</w:t>
      </w:r>
      <w:r w:rsidRPr="00434C3A">
        <w:t>. After LOCA, cables were immersed in the same spray solution as phase #3 at 65°C for ~1 year at ambient pressure.</w:t>
      </w:r>
    </w:p>
    <w:p w14:paraId="6722CE37" w14:textId="7D7CB981" w:rsidR="00AE5DEA" w:rsidRPr="007B34F0" w:rsidRDefault="00E251E7" w:rsidP="00AE5DEA">
      <w:pPr>
        <w:rPr>
          <w:color w:val="FF0000"/>
        </w:rPr>
      </w:pPr>
      <w:r w:rsidRPr="00434C3A">
        <w:fldChar w:fldCharType="begin"/>
      </w:r>
      <w:r w:rsidRPr="00434C3A">
        <w:instrText xml:space="preserve"> REF _Ref184635446 \h </w:instrText>
      </w:r>
      <w:r w:rsidRPr="00434C3A">
        <w:fldChar w:fldCharType="separate"/>
      </w:r>
      <w:r w:rsidR="001D02A0" w:rsidRPr="00434C3A">
        <w:t xml:space="preserve">Table </w:t>
      </w:r>
      <w:r w:rsidR="001D02A0">
        <w:rPr>
          <w:noProof/>
        </w:rPr>
        <w:t>1</w:t>
      </w:r>
      <w:r w:rsidRPr="00434C3A">
        <w:fldChar w:fldCharType="end"/>
      </w:r>
      <w:r w:rsidRPr="00434C3A">
        <w:t xml:space="preserve"> </w:t>
      </w:r>
      <w:r w:rsidR="00AE5DEA" w:rsidRPr="00434C3A">
        <w:t xml:space="preserve">summarizes some of the aging </w:t>
      </w:r>
      <w:r w:rsidR="00182659">
        <w:t>parameters</w:t>
      </w:r>
      <w:r w:rsidR="00AE5DEA" w:rsidRPr="00434C3A">
        <w:t xml:space="preserve"> of the cables under test.</w:t>
      </w:r>
    </w:p>
    <w:tbl>
      <w:tblPr>
        <w:tblStyle w:val="Grigliatabella"/>
        <w:tblW w:w="0" w:type="auto"/>
        <w:jc w:val="center"/>
        <w:tblLook w:val="04A0" w:firstRow="1" w:lastRow="0" w:firstColumn="1" w:lastColumn="0" w:noHBand="0" w:noVBand="1"/>
      </w:tblPr>
      <w:tblGrid>
        <w:gridCol w:w="4814"/>
      </w:tblGrid>
      <w:tr w:rsidR="00DF0952" w:rsidRPr="00434C3A" w14:paraId="772F2C5A" w14:textId="77777777" w:rsidTr="00DF0952">
        <w:trPr>
          <w:jc w:val="center"/>
        </w:trPr>
        <w:tc>
          <w:tcPr>
            <w:tcW w:w="4814" w:type="dxa"/>
          </w:tcPr>
          <w:p w14:paraId="2B4A4404" w14:textId="4D070A98" w:rsidR="00DF0952" w:rsidRPr="00434C3A" w:rsidRDefault="00DF0952" w:rsidP="004A2C5A">
            <w:pPr>
              <w:jc w:val="center"/>
            </w:pPr>
            <w:r w:rsidRPr="00434C3A">
              <w:rPr>
                <w:noProof/>
                <w:lang w:eastAsia="en-US"/>
              </w:rPr>
              <w:drawing>
                <wp:inline distT="0" distB="0" distL="0" distR="0" wp14:anchorId="222E43CF" wp14:editId="63EC26D3">
                  <wp:extent cx="2146300" cy="1891656"/>
                  <wp:effectExtent l="0" t="0" r="6350" b="0"/>
                  <wp:docPr id="12" name="Immagine 11" descr="Immagine che contiene Ricambio auto, riparare, argento, colino&#10;&#10;Descrizione generata automaticamente">
                    <a:extLst xmlns:a="http://schemas.openxmlformats.org/drawingml/2006/main">
                      <a:ext uri="{FF2B5EF4-FFF2-40B4-BE49-F238E27FC236}">
                        <a16:creationId xmlns:a16="http://schemas.microsoft.com/office/drawing/2014/main" id="{ACE5AC7A-6866-B668-8948-60F865B451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1" descr="Immagine che contiene Ricambio auto, riparare, argento, colino&#10;&#10;Descrizione generata automaticamente">
                            <a:extLst>
                              <a:ext uri="{FF2B5EF4-FFF2-40B4-BE49-F238E27FC236}">
                                <a16:creationId xmlns:a16="http://schemas.microsoft.com/office/drawing/2014/main" id="{ACE5AC7A-6866-B668-8948-60F865B45101}"/>
                              </a:ext>
                            </a:extLst>
                          </pic:cNvPr>
                          <pic:cNvPicPr>
                            <a:picLocks noChangeAspect="1"/>
                          </pic:cNvPicPr>
                        </pic:nvPicPr>
                        <pic:blipFill rotWithShape="1">
                          <a:blip r:embed="rId10"/>
                          <a:srcRect l="9451" t="9806" r="60721" b="27567"/>
                          <a:stretch/>
                        </pic:blipFill>
                        <pic:spPr bwMode="auto">
                          <a:xfrm>
                            <a:off x="0" y="0"/>
                            <a:ext cx="2159215" cy="1903039"/>
                          </a:xfrm>
                          <a:prstGeom prst="rect">
                            <a:avLst/>
                          </a:prstGeom>
                          <a:ln>
                            <a:noFill/>
                          </a:ln>
                          <a:extLst>
                            <a:ext uri="{53640926-AAD7-44D8-BBD7-CCE9431645EC}">
                              <a14:shadowObscured xmlns:a14="http://schemas.microsoft.com/office/drawing/2010/main"/>
                            </a:ext>
                          </a:extLst>
                        </pic:spPr>
                      </pic:pic>
                    </a:graphicData>
                  </a:graphic>
                </wp:inline>
              </w:drawing>
            </w:r>
          </w:p>
        </w:tc>
      </w:tr>
    </w:tbl>
    <w:p w14:paraId="2C94458A" w14:textId="2805D4B7" w:rsidR="00182659" w:rsidRPr="00434C3A" w:rsidRDefault="00182659" w:rsidP="00182659">
      <w:pPr>
        <w:pStyle w:val="Didascalia"/>
        <w:rPr>
          <w:lang w:val="en-US"/>
        </w:rPr>
      </w:pPr>
      <w:bookmarkStart w:id="2" w:name="_Ref184635658"/>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3</w:t>
      </w:r>
      <w:r w:rsidRPr="00434C3A">
        <w:rPr>
          <w:lang w:val="en-US"/>
        </w:rPr>
        <w:fldChar w:fldCharType="end"/>
      </w:r>
      <w:bookmarkEnd w:id="2"/>
      <w:r w:rsidRPr="00434C3A">
        <w:rPr>
          <w:lang w:val="en-US"/>
        </w:rPr>
        <w:t xml:space="preserve"> Samples coiled on the drum prepared for accident dose irradiation.</w:t>
      </w:r>
    </w:p>
    <w:p w14:paraId="1EA5B5A8" w14:textId="26735AE4" w:rsidR="00AE5DEA" w:rsidRPr="00434C3A" w:rsidRDefault="00FD6381" w:rsidP="00AE5DEA">
      <w:pPr>
        <w:keepNext/>
        <w:jc w:val="center"/>
      </w:pPr>
      <w:r w:rsidRPr="00E5567E">
        <w:rPr>
          <w:noProof/>
        </w:rPr>
        <w:drawing>
          <wp:inline distT="0" distB="0" distL="0" distR="0" wp14:anchorId="327293C1" wp14:editId="286A359F">
            <wp:extent cx="3105978" cy="2080658"/>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0561" b="93"/>
                    <a:stretch/>
                  </pic:blipFill>
                  <pic:spPr bwMode="auto">
                    <a:xfrm>
                      <a:off x="0" y="0"/>
                      <a:ext cx="3142192" cy="2104918"/>
                    </a:xfrm>
                    <a:prstGeom prst="rect">
                      <a:avLst/>
                    </a:prstGeom>
                    <a:noFill/>
                    <a:ln>
                      <a:noFill/>
                    </a:ln>
                    <a:extLst>
                      <a:ext uri="{53640926-AAD7-44D8-BBD7-CCE9431645EC}">
                        <a14:shadowObscured xmlns:a14="http://schemas.microsoft.com/office/drawing/2010/main"/>
                      </a:ext>
                    </a:extLst>
                  </pic:spPr>
                </pic:pic>
              </a:graphicData>
            </a:graphic>
          </wp:inline>
        </w:drawing>
      </w:r>
    </w:p>
    <w:p w14:paraId="3D4E07F8" w14:textId="1F19CE8C" w:rsidR="00AE5DEA" w:rsidRPr="00434C3A" w:rsidRDefault="00AE5DEA" w:rsidP="00AE5DEA">
      <w:pPr>
        <w:pStyle w:val="Didascalia"/>
        <w:rPr>
          <w:lang w:val="en-US"/>
        </w:rPr>
      </w:pPr>
      <w:bookmarkStart w:id="3" w:name="_Ref184635499"/>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4</w:t>
      </w:r>
      <w:r w:rsidRPr="00434C3A">
        <w:rPr>
          <w:lang w:val="en-US"/>
        </w:rPr>
        <w:fldChar w:fldCharType="end"/>
      </w:r>
      <w:bookmarkEnd w:id="3"/>
      <w:r w:rsidRPr="00434C3A">
        <w:rPr>
          <w:lang w:val="en-US"/>
        </w:rPr>
        <w:t xml:space="preserve"> LOCA simulation temperature and overpressure profile.</w:t>
      </w:r>
    </w:p>
    <w:p w14:paraId="41B217C3" w14:textId="7175F057" w:rsidR="009F4514" w:rsidRPr="00434C3A" w:rsidRDefault="009F4514" w:rsidP="009F4514">
      <w:pPr>
        <w:pStyle w:val="Didascalia"/>
        <w:keepNext/>
        <w:rPr>
          <w:lang w:val="en-US"/>
        </w:rPr>
      </w:pPr>
      <w:bookmarkStart w:id="4" w:name="_Ref184635446"/>
      <w:r w:rsidRPr="00434C3A">
        <w:rPr>
          <w:lang w:val="en-US"/>
        </w:rPr>
        <w:t xml:space="preserve">Table </w:t>
      </w:r>
      <w:r w:rsidRPr="00434C3A">
        <w:rPr>
          <w:lang w:val="en-US"/>
        </w:rPr>
        <w:fldChar w:fldCharType="begin"/>
      </w:r>
      <w:r w:rsidRPr="00434C3A">
        <w:rPr>
          <w:lang w:val="en-US"/>
        </w:rPr>
        <w:instrText xml:space="preserve"> SEQ Table \* ARABIC </w:instrText>
      </w:r>
      <w:r w:rsidRPr="00434C3A">
        <w:rPr>
          <w:lang w:val="en-US"/>
        </w:rPr>
        <w:fldChar w:fldCharType="separate"/>
      </w:r>
      <w:r w:rsidR="001D02A0">
        <w:rPr>
          <w:noProof/>
          <w:lang w:val="en-US"/>
        </w:rPr>
        <w:t>1</w:t>
      </w:r>
      <w:r w:rsidRPr="00434C3A">
        <w:rPr>
          <w:lang w:val="en-US"/>
        </w:rPr>
        <w:fldChar w:fldCharType="end"/>
      </w:r>
      <w:bookmarkEnd w:id="4"/>
      <w:r w:rsidRPr="00434C3A">
        <w:rPr>
          <w:lang w:val="en-US"/>
        </w:rPr>
        <w:t xml:space="preserve"> Aging parameters of cables</w:t>
      </w:r>
    </w:p>
    <w:tbl>
      <w:tblPr>
        <w:tblStyle w:val="Grigliatabella"/>
        <w:tblW w:w="9351" w:type="dxa"/>
        <w:jc w:val="center"/>
        <w:tblLook w:val="04A0" w:firstRow="1" w:lastRow="0" w:firstColumn="1" w:lastColumn="0" w:noHBand="0" w:noVBand="1"/>
      </w:tblPr>
      <w:tblGrid>
        <w:gridCol w:w="1980"/>
        <w:gridCol w:w="1559"/>
        <w:gridCol w:w="1486"/>
        <w:gridCol w:w="2058"/>
        <w:gridCol w:w="2268"/>
      </w:tblGrid>
      <w:tr w:rsidR="009F4514" w:rsidRPr="00434C3A" w14:paraId="5371DBD9" w14:textId="77777777" w:rsidTr="006C392A">
        <w:trPr>
          <w:trHeight w:val="227"/>
          <w:jc w:val="center"/>
        </w:trPr>
        <w:tc>
          <w:tcPr>
            <w:tcW w:w="1980" w:type="dxa"/>
            <w:vMerge w:val="restart"/>
            <w:vAlign w:val="center"/>
          </w:tcPr>
          <w:p w14:paraId="68466A01" w14:textId="77777777" w:rsidR="009F4514" w:rsidRPr="00434C3A" w:rsidRDefault="009F4514" w:rsidP="005A4CB1">
            <w:pPr>
              <w:pStyle w:val="Corpotesto"/>
              <w:jc w:val="center"/>
              <w:rPr>
                <w:rFonts w:ascii="Arial" w:hAnsi="Arial" w:cs="Arial"/>
                <w:b/>
                <w:sz w:val="18"/>
                <w:szCs w:val="18"/>
                <w:lang w:val="en-US"/>
              </w:rPr>
            </w:pPr>
            <w:r w:rsidRPr="00434C3A">
              <w:rPr>
                <w:rFonts w:ascii="Arial" w:hAnsi="Arial" w:cs="Arial"/>
                <w:b/>
                <w:sz w:val="18"/>
                <w:szCs w:val="18"/>
                <w:lang w:val="en-US"/>
              </w:rPr>
              <w:t>Parameter</w:t>
            </w:r>
          </w:p>
        </w:tc>
        <w:tc>
          <w:tcPr>
            <w:tcW w:w="7371" w:type="dxa"/>
            <w:gridSpan w:val="4"/>
            <w:vAlign w:val="center"/>
          </w:tcPr>
          <w:p w14:paraId="705DA438" w14:textId="77777777" w:rsidR="009F4514" w:rsidRPr="00434C3A" w:rsidRDefault="009F4514" w:rsidP="005A4CB1">
            <w:pPr>
              <w:pStyle w:val="Corpotesto"/>
              <w:ind w:firstLine="0"/>
              <w:jc w:val="center"/>
              <w:rPr>
                <w:rFonts w:ascii="Arial" w:hAnsi="Arial" w:cs="Arial"/>
                <w:b/>
                <w:sz w:val="18"/>
                <w:szCs w:val="18"/>
                <w:lang w:val="en-US"/>
              </w:rPr>
            </w:pPr>
            <w:r w:rsidRPr="00434C3A">
              <w:rPr>
                <w:rFonts w:ascii="Arial" w:hAnsi="Arial" w:cs="Arial"/>
                <w:b/>
                <w:sz w:val="18"/>
                <w:szCs w:val="18"/>
                <w:lang w:val="en-US"/>
              </w:rPr>
              <w:t>Aging name</w:t>
            </w:r>
          </w:p>
        </w:tc>
      </w:tr>
      <w:tr w:rsidR="00F4065F" w:rsidRPr="00434C3A" w14:paraId="43890F7E" w14:textId="77777777" w:rsidTr="006C392A">
        <w:trPr>
          <w:trHeight w:val="227"/>
          <w:jc w:val="center"/>
        </w:trPr>
        <w:tc>
          <w:tcPr>
            <w:tcW w:w="1980" w:type="dxa"/>
            <w:vMerge/>
            <w:vAlign w:val="center"/>
          </w:tcPr>
          <w:p w14:paraId="520BF610" w14:textId="77777777" w:rsidR="00F4065F" w:rsidRPr="00434C3A" w:rsidRDefault="00F4065F" w:rsidP="005A4CB1">
            <w:pPr>
              <w:pStyle w:val="Corpotesto"/>
              <w:ind w:firstLine="0"/>
              <w:jc w:val="center"/>
              <w:rPr>
                <w:rFonts w:ascii="Arial" w:hAnsi="Arial" w:cs="Arial"/>
                <w:b/>
                <w:sz w:val="18"/>
                <w:szCs w:val="18"/>
                <w:lang w:val="en-US"/>
              </w:rPr>
            </w:pPr>
          </w:p>
        </w:tc>
        <w:tc>
          <w:tcPr>
            <w:tcW w:w="1559" w:type="dxa"/>
            <w:vAlign w:val="center"/>
          </w:tcPr>
          <w:p w14:paraId="2FEBA2AC" w14:textId="77777777" w:rsidR="00F4065F" w:rsidRPr="00434C3A" w:rsidRDefault="00F4065F" w:rsidP="005A4CB1">
            <w:pPr>
              <w:pStyle w:val="Corpotesto"/>
              <w:ind w:firstLine="0"/>
              <w:jc w:val="center"/>
              <w:rPr>
                <w:rFonts w:ascii="Arial" w:hAnsi="Arial" w:cs="Arial"/>
                <w:b/>
                <w:sz w:val="18"/>
                <w:szCs w:val="18"/>
                <w:lang w:val="en-US"/>
              </w:rPr>
            </w:pPr>
            <w:r w:rsidRPr="00434C3A">
              <w:rPr>
                <w:rFonts w:ascii="Arial" w:hAnsi="Arial" w:cs="Arial"/>
                <w:b/>
                <w:sz w:val="18"/>
                <w:szCs w:val="18"/>
                <w:lang w:val="en-US"/>
              </w:rPr>
              <w:t>RA</w:t>
            </w:r>
          </w:p>
        </w:tc>
        <w:tc>
          <w:tcPr>
            <w:tcW w:w="1486" w:type="dxa"/>
            <w:vAlign w:val="center"/>
          </w:tcPr>
          <w:p w14:paraId="7DCC78AC" w14:textId="77777777" w:rsidR="00F4065F" w:rsidRPr="00434C3A" w:rsidRDefault="00F4065F" w:rsidP="005A4CB1">
            <w:pPr>
              <w:pStyle w:val="Corpotesto"/>
              <w:ind w:firstLine="0"/>
              <w:jc w:val="center"/>
              <w:rPr>
                <w:rFonts w:ascii="Arial" w:hAnsi="Arial" w:cs="Arial"/>
                <w:b/>
                <w:sz w:val="18"/>
                <w:szCs w:val="18"/>
                <w:lang w:val="en-US"/>
              </w:rPr>
            </w:pPr>
            <w:r w:rsidRPr="00434C3A">
              <w:rPr>
                <w:rFonts w:ascii="Arial" w:hAnsi="Arial" w:cs="Arial"/>
                <w:b/>
                <w:sz w:val="18"/>
                <w:szCs w:val="18"/>
                <w:lang w:val="en-US"/>
              </w:rPr>
              <w:t>TA/RA</w:t>
            </w:r>
          </w:p>
        </w:tc>
        <w:tc>
          <w:tcPr>
            <w:tcW w:w="2058" w:type="dxa"/>
            <w:vAlign w:val="center"/>
          </w:tcPr>
          <w:p w14:paraId="7A8FC572" w14:textId="77777777" w:rsidR="00F4065F" w:rsidRPr="00434C3A" w:rsidRDefault="00F4065F" w:rsidP="005A4CB1">
            <w:pPr>
              <w:pStyle w:val="Corpotesto"/>
              <w:ind w:firstLine="0"/>
              <w:jc w:val="center"/>
              <w:rPr>
                <w:rFonts w:ascii="Arial" w:hAnsi="Arial" w:cs="Arial"/>
                <w:b/>
                <w:sz w:val="18"/>
                <w:szCs w:val="18"/>
                <w:lang w:val="en-US"/>
              </w:rPr>
            </w:pPr>
            <w:r w:rsidRPr="00434C3A">
              <w:rPr>
                <w:rFonts w:ascii="Arial" w:hAnsi="Arial" w:cs="Arial"/>
                <w:b/>
                <w:sz w:val="18"/>
                <w:szCs w:val="18"/>
                <w:lang w:val="en-US"/>
              </w:rPr>
              <w:t>RA+LOCA</w:t>
            </w:r>
          </w:p>
        </w:tc>
        <w:tc>
          <w:tcPr>
            <w:tcW w:w="2268" w:type="dxa"/>
            <w:vAlign w:val="center"/>
          </w:tcPr>
          <w:p w14:paraId="789692C2" w14:textId="77777777" w:rsidR="00F4065F" w:rsidRPr="00434C3A" w:rsidRDefault="00F4065F" w:rsidP="005A4CB1">
            <w:pPr>
              <w:pStyle w:val="Corpotesto"/>
              <w:ind w:firstLine="0"/>
              <w:jc w:val="center"/>
              <w:rPr>
                <w:rFonts w:ascii="Arial" w:hAnsi="Arial" w:cs="Arial"/>
                <w:b/>
                <w:sz w:val="18"/>
                <w:szCs w:val="18"/>
                <w:lang w:val="en-US"/>
              </w:rPr>
            </w:pPr>
            <w:r w:rsidRPr="00434C3A">
              <w:rPr>
                <w:rFonts w:ascii="Arial" w:hAnsi="Arial" w:cs="Arial"/>
                <w:b/>
                <w:sz w:val="18"/>
                <w:szCs w:val="18"/>
                <w:lang w:val="en-US"/>
              </w:rPr>
              <w:t>TA/RA+LOCA</w:t>
            </w:r>
          </w:p>
        </w:tc>
      </w:tr>
      <w:tr w:rsidR="00F4065F" w:rsidRPr="00434C3A" w14:paraId="5698C61B" w14:textId="77777777" w:rsidTr="006C392A">
        <w:trPr>
          <w:trHeight w:val="227"/>
          <w:jc w:val="center"/>
        </w:trPr>
        <w:tc>
          <w:tcPr>
            <w:tcW w:w="1980" w:type="dxa"/>
            <w:vAlign w:val="center"/>
          </w:tcPr>
          <w:p w14:paraId="7C2427B7" w14:textId="77777777" w:rsidR="00F4065F" w:rsidRPr="00434C3A" w:rsidRDefault="00F4065F" w:rsidP="005A4CB1">
            <w:pPr>
              <w:pStyle w:val="Corpotesto"/>
              <w:spacing w:after="0"/>
              <w:ind w:firstLine="0"/>
              <w:jc w:val="center"/>
              <w:rPr>
                <w:rFonts w:ascii="Arial" w:hAnsi="Arial" w:cs="Arial"/>
                <w:b/>
                <w:sz w:val="18"/>
                <w:szCs w:val="18"/>
                <w:lang w:val="en-US"/>
              </w:rPr>
            </w:pPr>
            <w:r w:rsidRPr="00434C3A">
              <w:rPr>
                <w:rFonts w:ascii="Arial" w:hAnsi="Arial" w:cs="Arial"/>
                <w:b/>
                <w:sz w:val="18"/>
                <w:szCs w:val="18"/>
                <w:lang w:val="en-US"/>
              </w:rPr>
              <w:t>Temperature (°C)</w:t>
            </w:r>
          </w:p>
        </w:tc>
        <w:tc>
          <w:tcPr>
            <w:tcW w:w="1559" w:type="dxa"/>
            <w:vAlign w:val="center"/>
          </w:tcPr>
          <w:p w14:paraId="12149A9C"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47</w:t>
            </w:r>
          </w:p>
        </w:tc>
        <w:tc>
          <w:tcPr>
            <w:tcW w:w="1486" w:type="dxa"/>
            <w:vAlign w:val="center"/>
          </w:tcPr>
          <w:p w14:paraId="3B7C015A"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87</w:t>
            </w:r>
          </w:p>
        </w:tc>
        <w:tc>
          <w:tcPr>
            <w:tcW w:w="2058" w:type="dxa"/>
            <w:vAlign w:val="center"/>
          </w:tcPr>
          <w:p w14:paraId="5D7EF5B5" w14:textId="61D3B215"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47 (RA), RT (DBE)</w:t>
            </w:r>
          </w:p>
        </w:tc>
        <w:tc>
          <w:tcPr>
            <w:tcW w:w="2268" w:type="dxa"/>
            <w:vAlign w:val="center"/>
          </w:tcPr>
          <w:p w14:paraId="6AA4FD5D" w14:textId="63FAE3C7" w:rsidR="00F4065F" w:rsidRPr="00434C3A" w:rsidRDefault="00C5220B" w:rsidP="005A4CB1">
            <w:pPr>
              <w:pStyle w:val="Corpotesto"/>
              <w:spacing w:after="0"/>
              <w:ind w:firstLine="0"/>
              <w:jc w:val="center"/>
              <w:rPr>
                <w:rFonts w:ascii="Arial" w:hAnsi="Arial" w:cs="Arial"/>
                <w:sz w:val="18"/>
                <w:szCs w:val="18"/>
                <w:lang w:val="en-US"/>
              </w:rPr>
            </w:pPr>
            <w:r w:rsidRPr="00DF0952">
              <w:rPr>
                <w:rFonts w:ascii="Arial" w:hAnsi="Arial" w:cs="Arial"/>
                <w:color w:val="000000" w:themeColor="text1"/>
                <w:sz w:val="18"/>
                <w:szCs w:val="18"/>
                <w:lang w:val="en-US"/>
              </w:rPr>
              <w:t>87</w:t>
            </w:r>
            <w:r w:rsidR="00F4065F" w:rsidRPr="00434C3A">
              <w:rPr>
                <w:rFonts w:ascii="Arial" w:hAnsi="Arial" w:cs="Arial"/>
                <w:sz w:val="18"/>
                <w:szCs w:val="18"/>
                <w:lang w:val="en-US"/>
              </w:rPr>
              <w:t xml:space="preserve"> (TA/RA), RT (DBE)</w:t>
            </w:r>
          </w:p>
        </w:tc>
      </w:tr>
      <w:tr w:rsidR="00F4065F" w:rsidRPr="00434C3A" w14:paraId="3F81D48A" w14:textId="77777777" w:rsidTr="006C392A">
        <w:trPr>
          <w:trHeight w:val="227"/>
          <w:jc w:val="center"/>
        </w:trPr>
        <w:tc>
          <w:tcPr>
            <w:tcW w:w="1980" w:type="dxa"/>
            <w:vAlign w:val="center"/>
          </w:tcPr>
          <w:p w14:paraId="3DF4D42C" w14:textId="77777777" w:rsidR="00F4065F" w:rsidRPr="00434C3A" w:rsidRDefault="00F4065F" w:rsidP="005A4CB1">
            <w:pPr>
              <w:pStyle w:val="Corpotesto"/>
              <w:spacing w:after="0"/>
              <w:ind w:firstLine="0"/>
              <w:jc w:val="center"/>
              <w:rPr>
                <w:rFonts w:ascii="Arial" w:hAnsi="Arial" w:cs="Arial"/>
                <w:b/>
                <w:sz w:val="18"/>
                <w:szCs w:val="18"/>
                <w:lang w:val="en-US"/>
              </w:rPr>
            </w:pPr>
            <w:r w:rsidRPr="00434C3A">
              <w:rPr>
                <w:rFonts w:ascii="Arial" w:hAnsi="Arial" w:cs="Arial"/>
                <w:b/>
                <w:sz w:val="18"/>
                <w:szCs w:val="18"/>
                <w:lang w:val="en-US"/>
              </w:rPr>
              <w:t>Dose rate (Gy/h)</w:t>
            </w:r>
          </w:p>
        </w:tc>
        <w:tc>
          <w:tcPr>
            <w:tcW w:w="1559" w:type="dxa"/>
            <w:vAlign w:val="center"/>
          </w:tcPr>
          <w:p w14:paraId="747C7812"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7.2</w:t>
            </w:r>
          </w:p>
        </w:tc>
        <w:tc>
          <w:tcPr>
            <w:tcW w:w="1486" w:type="dxa"/>
            <w:vAlign w:val="center"/>
          </w:tcPr>
          <w:p w14:paraId="66172D71"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7.2</w:t>
            </w:r>
          </w:p>
        </w:tc>
        <w:tc>
          <w:tcPr>
            <w:tcW w:w="2058" w:type="dxa"/>
            <w:vAlign w:val="center"/>
          </w:tcPr>
          <w:p w14:paraId="3C82C6CE" w14:textId="3AA456E0"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7.2 (RA), 1400 (DBE)</w:t>
            </w:r>
          </w:p>
        </w:tc>
        <w:tc>
          <w:tcPr>
            <w:tcW w:w="2268" w:type="dxa"/>
            <w:vAlign w:val="center"/>
          </w:tcPr>
          <w:p w14:paraId="0011A209" w14:textId="15ADD2E4"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7.2 (TA/RA), 1400 (DBE)</w:t>
            </w:r>
          </w:p>
        </w:tc>
      </w:tr>
      <w:tr w:rsidR="00F4065F" w:rsidRPr="00434C3A" w14:paraId="5522589B" w14:textId="77777777" w:rsidTr="006C392A">
        <w:trPr>
          <w:trHeight w:val="227"/>
          <w:jc w:val="center"/>
        </w:trPr>
        <w:tc>
          <w:tcPr>
            <w:tcW w:w="1980" w:type="dxa"/>
            <w:vAlign w:val="center"/>
          </w:tcPr>
          <w:p w14:paraId="72C37E7C" w14:textId="77777777" w:rsidR="00F4065F" w:rsidRPr="00434C3A" w:rsidRDefault="00F4065F" w:rsidP="005A4CB1">
            <w:pPr>
              <w:pStyle w:val="Corpotesto"/>
              <w:spacing w:after="0"/>
              <w:ind w:firstLine="0"/>
              <w:jc w:val="center"/>
              <w:rPr>
                <w:rFonts w:ascii="Arial" w:hAnsi="Arial" w:cs="Arial"/>
                <w:b/>
                <w:sz w:val="18"/>
                <w:szCs w:val="18"/>
                <w:lang w:val="en-US"/>
              </w:rPr>
            </w:pPr>
            <w:r w:rsidRPr="00434C3A">
              <w:rPr>
                <w:rFonts w:ascii="Arial" w:hAnsi="Arial" w:cs="Arial"/>
                <w:b/>
                <w:sz w:val="18"/>
                <w:szCs w:val="18"/>
                <w:lang w:val="en-US"/>
              </w:rPr>
              <w:t>Total dose (</w:t>
            </w:r>
            <w:proofErr w:type="spellStart"/>
            <w:r w:rsidRPr="00434C3A">
              <w:rPr>
                <w:rFonts w:ascii="Arial" w:hAnsi="Arial" w:cs="Arial"/>
                <w:b/>
                <w:sz w:val="18"/>
                <w:szCs w:val="18"/>
                <w:lang w:val="en-US"/>
              </w:rPr>
              <w:t>kGy</w:t>
            </w:r>
            <w:proofErr w:type="spellEnd"/>
            <w:r w:rsidRPr="00434C3A">
              <w:rPr>
                <w:rFonts w:ascii="Arial" w:hAnsi="Arial" w:cs="Arial"/>
                <w:b/>
                <w:sz w:val="18"/>
                <w:szCs w:val="18"/>
                <w:lang w:val="en-US"/>
              </w:rPr>
              <w:t>)</w:t>
            </w:r>
          </w:p>
        </w:tc>
        <w:tc>
          <w:tcPr>
            <w:tcW w:w="1559" w:type="dxa"/>
            <w:vAlign w:val="center"/>
          </w:tcPr>
          <w:p w14:paraId="50D8460B"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117</w:t>
            </w:r>
          </w:p>
        </w:tc>
        <w:tc>
          <w:tcPr>
            <w:tcW w:w="1486" w:type="dxa"/>
            <w:vAlign w:val="center"/>
          </w:tcPr>
          <w:p w14:paraId="1403FC86"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117</w:t>
            </w:r>
          </w:p>
        </w:tc>
        <w:tc>
          <w:tcPr>
            <w:tcW w:w="2058" w:type="dxa"/>
            <w:vAlign w:val="center"/>
          </w:tcPr>
          <w:p w14:paraId="02145A79" w14:textId="71C0BAFE"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117 (RA) + 610 (DBE)</w:t>
            </w:r>
          </w:p>
        </w:tc>
        <w:tc>
          <w:tcPr>
            <w:tcW w:w="2268" w:type="dxa"/>
            <w:vAlign w:val="center"/>
          </w:tcPr>
          <w:p w14:paraId="61DF7898" w14:textId="7E3C9275"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117 (TA/RA) + 610 (DBE)</w:t>
            </w:r>
          </w:p>
        </w:tc>
      </w:tr>
      <w:tr w:rsidR="00F4065F" w:rsidRPr="00434C3A" w14:paraId="5E844CAE" w14:textId="77777777" w:rsidTr="006C392A">
        <w:trPr>
          <w:trHeight w:val="366"/>
          <w:jc w:val="center"/>
        </w:trPr>
        <w:tc>
          <w:tcPr>
            <w:tcW w:w="1980" w:type="dxa"/>
            <w:vAlign w:val="center"/>
          </w:tcPr>
          <w:p w14:paraId="21AE06AE" w14:textId="77777777" w:rsidR="00F4065F" w:rsidRPr="00434C3A" w:rsidRDefault="00F4065F" w:rsidP="005A4CB1">
            <w:pPr>
              <w:pStyle w:val="Corpotesto"/>
              <w:spacing w:after="0"/>
              <w:ind w:firstLine="0"/>
              <w:jc w:val="center"/>
              <w:rPr>
                <w:rFonts w:ascii="Arial" w:hAnsi="Arial" w:cs="Arial"/>
                <w:b/>
                <w:sz w:val="18"/>
                <w:szCs w:val="18"/>
                <w:lang w:val="en-US"/>
              </w:rPr>
            </w:pPr>
            <w:r w:rsidRPr="00434C3A">
              <w:rPr>
                <w:rFonts w:ascii="Arial" w:hAnsi="Arial" w:cs="Arial"/>
                <w:b/>
                <w:sz w:val="18"/>
                <w:szCs w:val="18"/>
                <w:lang w:val="en-US"/>
              </w:rPr>
              <w:t>Total aging time (h)</w:t>
            </w:r>
          </w:p>
        </w:tc>
        <w:tc>
          <w:tcPr>
            <w:tcW w:w="1559" w:type="dxa"/>
            <w:vAlign w:val="center"/>
          </w:tcPr>
          <w:p w14:paraId="2C4308EB"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16 261 (1.85 y)</w:t>
            </w:r>
          </w:p>
        </w:tc>
        <w:tc>
          <w:tcPr>
            <w:tcW w:w="1486" w:type="dxa"/>
            <w:vAlign w:val="center"/>
          </w:tcPr>
          <w:p w14:paraId="22B9F2B2"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16 261 (1.85 y)</w:t>
            </w:r>
          </w:p>
        </w:tc>
        <w:tc>
          <w:tcPr>
            <w:tcW w:w="2058" w:type="dxa"/>
            <w:vAlign w:val="center"/>
          </w:tcPr>
          <w:p w14:paraId="6A3219C8"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25 021 (2.85 y)</w:t>
            </w:r>
          </w:p>
        </w:tc>
        <w:tc>
          <w:tcPr>
            <w:tcW w:w="2268" w:type="dxa"/>
            <w:vAlign w:val="center"/>
          </w:tcPr>
          <w:p w14:paraId="1F140804" w14:textId="77777777" w:rsidR="00F4065F" w:rsidRPr="00434C3A" w:rsidRDefault="00F4065F" w:rsidP="005A4CB1">
            <w:pPr>
              <w:pStyle w:val="Corpotesto"/>
              <w:spacing w:after="0"/>
              <w:ind w:firstLine="0"/>
              <w:jc w:val="center"/>
              <w:rPr>
                <w:rFonts w:ascii="Arial" w:hAnsi="Arial" w:cs="Arial"/>
                <w:sz w:val="18"/>
                <w:szCs w:val="18"/>
                <w:lang w:val="en-US"/>
              </w:rPr>
            </w:pPr>
            <w:r w:rsidRPr="00434C3A">
              <w:rPr>
                <w:rFonts w:ascii="Arial" w:hAnsi="Arial" w:cs="Arial"/>
                <w:sz w:val="18"/>
                <w:szCs w:val="18"/>
                <w:lang w:val="en-US"/>
              </w:rPr>
              <w:t>25 021 (2.85 y)</w:t>
            </w:r>
          </w:p>
        </w:tc>
      </w:tr>
    </w:tbl>
    <w:p w14:paraId="52E2A1E9" w14:textId="202E0E4E" w:rsidR="00AE5DEA" w:rsidRPr="00434C3A" w:rsidRDefault="00383CBC" w:rsidP="00160ECC">
      <w:pPr>
        <w:pStyle w:val="Titolo2"/>
      </w:pPr>
      <w:r w:rsidRPr="00434C3A">
        <w:lastRenderedPageBreak/>
        <w:t xml:space="preserve">2.3 </w:t>
      </w:r>
      <w:r w:rsidR="00AE5DEA" w:rsidRPr="00434C3A">
        <w:t>Cable characterization</w:t>
      </w:r>
    </w:p>
    <w:p w14:paraId="184E3B6E" w14:textId="71DF1B8C" w:rsidR="00383CBC" w:rsidRDefault="00383CBC" w:rsidP="00383CBC">
      <w:pPr>
        <w:pStyle w:val="Titolo3"/>
      </w:pPr>
      <w:r w:rsidRPr="00434C3A">
        <w:t>2.3.</w:t>
      </w:r>
      <w:r w:rsidR="00484158" w:rsidRPr="00434C3A">
        <w:t>1</w:t>
      </w:r>
      <w:r w:rsidRPr="00434C3A">
        <w:t xml:space="preserve"> Physical-chemical characterization</w:t>
      </w:r>
    </w:p>
    <w:p w14:paraId="752E7FF6" w14:textId="2ABB18F6" w:rsidR="005053DA" w:rsidRPr="00434C3A" w:rsidRDefault="005053DA" w:rsidP="005053DA">
      <w:pPr>
        <w:pStyle w:val="Titolo4"/>
      </w:pPr>
      <w:r w:rsidRPr="00434C3A">
        <w:t>2.3.1.</w:t>
      </w:r>
      <w:r>
        <w:t>1</w:t>
      </w:r>
      <w:r w:rsidRPr="00434C3A">
        <w:t xml:space="preserve"> Fourier Transform Infra-Red (FTIR) spectroscopy measurements</w:t>
      </w:r>
    </w:p>
    <w:p w14:paraId="06EAA14D" w14:textId="77777777" w:rsidR="000C6DF3" w:rsidRDefault="005053DA" w:rsidP="005053DA">
      <w:pPr>
        <w:spacing w:after="0"/>
      </w:pPr>
      <w:proofErr w:type="gramStart"/>
      <w:r w:rsidRPr="00434C3A">
        <w:t>In order to</w:t>
      </w:r>
      <w:proofErr w:type="gramEnd"/>
      <w:r w:rsidRPr="00434C3A">
        <w:t xml:space="preserve"> investigate the buildup of oxidation products, Fourier transform infra-red (FTIR) spectroscopy tests were performed on the surface of cable samples using a Bruker Alpha spectrometer. </w:t>
      </w:r>
    </w:p>
    <w:p w14:paraId="32A95A2D" w14:textId="0E01D37A" w:rsidR="005E193E" w:rsidRPr="00DF0952" w:rsidRDefault="00796D43" w:rsidP="005E193E">
      <w:pPr>
        <w:spacing w:after="0"/>
        <w:rPr>
          <w:color w:val="000000" w:themeColor="text1"/>
        </w:rPr>
      </w:pPr>
      <w:r w:rsidRPr="00DF0952">
        <w:rPr>
          <w:color w:val="000000" w:themeColor="text1"/>
        </w:rPr>
        <w:t>Tests were conducted in attenuated total reflectance (ATR) mode</w:t>
      </w:r>
      <w:r w:rsidR="009E6034" w:rsidRPr="00DF0952">
        <w:rPr>
          <w:color w:val="000000" w:themeColor="text1"/>
        </w:rPr>
        <w:t>. Indeed</w:t>
      </w:r>
      <w:r w:rsidRPr="00DF0952">
        <w:rPr>
          <w:color w:val="000000" w:themeColor="text1"/>
        </w:rPr>
        <w:t xml:space="preserve">, </w:t>
      </w:r>
      <w:r w:rsidR="009E6034" w:rsidRPr="00DF0952">
        <w:rPr>
          <w:color w:val="000000" w:themeColor="text1"/>
        </w:rPr>
        <w:t xml:space="preserve">due to the roundness of cable samples, it was not possible to perform FTIR tests in transmission mode. </w:t>
      </w:r>
      <w:r w:rsidR="000E2444" w:rsidRPr="00DF0952">
        <w:rPr>
          <w:color w:val="000000" w:themeColor="text1"/>
        </w:rPr>
        <w:t xml:space="preserve">ATR mode </w:t>
      </w:r>
      <w:r w:rsidR="00221111" w:rsidRPr="00DF0952">
        <w:rPr>
          <w:color w:val="000000" w:themeColor="text1"/>
        </w:rPr>
        <w:t xml:space="preserve">allows the investigation of the chemical </w:t>
      </w:r>
      <w:r w:rsidR="006D278A" w:rsidRPr="00DF0952">
        <w:rPr>
          <w:color w:val="000000" w:themeColor="text1"/>
        </w:rPr>
        <w:t>functional groups on the material surface</w:t>
      </w:r>
      <w:r w:rsidR="00C334F3" w:rsidRPr="00DF0952">
        <w:rPr>
          <w:color w:val="000000" w:themeColor="text1"/>
        </w:rPr>
        <w:t xml:space="preserve">. For this </w:t>
      </w:r>
      <w:r w:rsidR="00C234D3" w:rsidRPr="00DF0952">
        <w:rPr>
          <w:color w:val="000000" w:themeColor="text1"/>
        </w:rPr>
        <w:t>reason,</w:t>
      </w:r>
      <w:r w:rsidR="00C334F3" w:rsidRPr="00DF0952">
        <w:rPr>
          <w:color w:val="000000" w:themeColor="text1"/>
        </w:rPr>
        <w:t xml:space="preserve"> it normally does not provide a quantitative </w:t>
      </w:r>
      <w:proofErr w:type="gramStart"/>
      <w:r w:rsidR="00C334F3" w:rsidRPr="00DF0952">
        <w:rPr>
          <w:color w:val="000000" w:themeColor="text1"/>
        </w:rPr>
        <w:t>analysis</w:t>
      </w:r>
      <w:proofErr w:type="gramEnd"/>
      <w:r w:rsidR="00C334F3" w:rsidRPr="00DF0952">
        <w:rPr>
          <w:color w:val="000000" w:themeColor="text1"/>
        </w:rPr>
        <w:t xml:space="preserve"> </w:t>
      </w:r>
      <w:r w:rsidR="00C234D3" w:rsidRPr="00DF0952">
        <w:rPr>
          <w:color w:val="000000" w:themeColor="text1"/>
        </w:rPr>
        <w:t xml:space="preserve">i.e., concentration of chemical species arising from aging. </w:t>
      </w:r>
      <w:r w:rsidR="005E193E" w:rsidRPr="00DF0952">
        <w:rPr>
          <w:color w:val="000000" w:themeColor="text1"/>
        </w:rPr>
        <w:t xml:space="preserve">To overcome this limitation, FTIR spectra </w:t>
      </w:r>
      <w:proofErr w:type="gramStart"/>
      <w:r w:rsidR="005E193E" w:rsidRPr="00DF0952">
        <w:rPr>
          <w:color w:val="000000" w:themeColor="text1"/>
        </w:rPr>
        <w:t>have to</w:t>
      </w:r>
      <w:proofErr w:type="gramEnd"/>
      <w:r w:rsidR="005E193E" w:rsidRPr="00DF0952">
        <w:rPr>
          <w:color w:val="000000" w:themeColor="text1"/>
        </w:rPr>
        <w:t xml:space="preserve"> be normalized by a peak which is supposed not to change with aging conditions. In the case of polyethylene (PE), the peak usually taken as reference is the one at 1472 cm</w:t>
      </w:r>
      <w:r w:rsidR="005E193E" w:rsidRPr="00DF0952">
        <w:rPr>
          <w:color w:val="000000" w:themeColor="text1"/>
          <w:vertAlign w:val="superscript"/>
        </w:rPr>
        <w:t>-1</w:t>
      </w:r>
      <w:r w:rsidR="005E193E" w:rsidRPr="00DF0952">
        <w:rPr>
          <w:color w:val="000000" w:themeColor="text1"/>
        </w:rPr>
        <w:t>, which is associated with the crystalline phase of -CH</w:t>
      </w:r>
      <w:r w:rsidR="005E193E" w:rsidRPr="00DF0952">
        <w:rPr>
          <w:color w:val="000000" w:themeColor="text1"/>
          <w:vertAlign w:val="subscript"/>
        </w:rPr>
        <w:t>2</w:t>
      </w:r>
      <w:r w:rsidR="005E193E" w:rsidRPr="00DF0952">
        <w:rPr>
          <w:color w:val="000000" w:themeColor="text1"/>
        </w:rPr>
        <w:t>-. In this way, it would be possible to obtain a quantitative comparison among the different materials under test.</w:t>
      </w:r>
    </w:p>
    <w:p w14:paraId="4F2C17D3" w14:textId="6F823D3D" w:rsidR="00484158" w:rsidRPr="00434C3A" w:rsidRDefault="00484158" w:rsidP="00484158">
      <w:pPr>
        <w:pStyle w:val="Titolo4"/>
      </w:pPr>
      <w:r w:rsidRPr="00434C3A">
        <w:t>2.3.1.</w:t>
      </w:r>
      <w:r w:rsidR="005053DA">
        <w:t>2</w:t>
      </w:r>
      <w:r w:rsidRPr="00434C3A">
        <w:t xml:space="preserve"> Differential scanning calorimetry (DSC)</w:t>
      </w:r>
    </w:p>
    <w:p w14:paraId="699AEBB1" w14:textId="470853D2" w:rsidR="00484158" w:rsidRPr="00434C3A" w:rsidRDefault="00484158" w:rsidP="00484158">
      <w:r w:rsidRPr="00434C3A">
        <w:t xml:space="preserve">Differential scanning calorimetry (DSC) analyses were carried out using a TA Instruments Q2000 DSC apparatus, calibrated with Indium standard, and equipped with a refrigerated cooling system (RCS90). Samples (8-10 mg) were loaded into standard aluminum pans and underwent the following thermal treatments: </w:t>
      </w:r>
      <w:proofErr w:type="spellStart"/>
      <w:r w:rsidRPr="00434C3A">
        <w:t>i</w:t>
      </w:r>
      <w:proofErr w:type="spellEnd"/>
      <w:r w:rsidRPr="00434C3A">
        <w:t>) 1</w:t>
      </w:r>
      <w:r w:rsidRPr="00434C3A">
        <w:rPr>
          <w:vertAlign w:val="superscript"/>
        </w:rPr>
        <w:t>st</w:t>
      </w:r>
      <w:r w:rsidRPr="00434C3A">
        <w:t xml:space="preserve"> heating ramp from –88 to 200 °C; ii) cooling ramp to –88 °C; iii) 2</w:t>
      </w:r>
      <w:r w:rsidRPr="00434C3A">
        <w:rPr>
          <w:vertAlign w:val="superscript"/>
        </w:rPr>
        <w:t>nd</w:t>
      </w:r>
      <w:r w:rsidRPr="00434C3A">
        <w:t xml:space="preserve"> heating ramp to 200 °C. Heating/cooling rate was 20 °C/min. For the sake of the study, two key </w:t>
      </w:r>
      <w:r w:rsidR="00DF0952" w:rsidRPr="00434C3A">
        <w:t>parameters,</w:t>
      </w:r>
      <w:r w:rsidRPr="00434C3A">
        <w:t xml:space="preserve"> i.e., melting temperature and crystallinity ratio are used for the evaluation of the aging of the cables. The chosen ramp used for the aging investigation is the first one which </w:t>
      </w:r>
      <w:r w:rsidR="0099188D" w:rsidRPr="00434C3A">
        <w:t>considers</w:t>
      </w:r>
      <w:r w:rsidRPr="00434C3A">
        <w:t xml:space="preserve"> </w:t>
      </w:r>
      <w:r w:rsidR="007224D5">
        <w:t>the whole aging treatment</w:t>
      </w:r>
      <w:r w:rsidRPr="00434C3A">
        <w:t xml:space="preserve"> (both permanent and nonpermanent modifications</w:t>
      </w:r>
      <w:r w:rsidR="0099188D" w:rsidRPr="00434C3A">
        <w:t>).</w:t>
      </w:r>
    </w:p>
    <w:p w14:paraId="7750D0AC" w14:textId="77777777" w:rsidR="00484158" w:rsidRPr="00434C3A" w:rsidRDefault="00484158" w:rsidP="00484158">
      <w:pPr>
        <w:rPr>
          <w:szCs w:val="20"/>
        </w:rPr>
      </w:pPr>
      <w:r w:rsidRPr="00434C3A">
        <w:rPr>
          <w:szCs w:val="20"/>
        </w:rPr>
        <w:t>The crystallinity ratio (</w:t>
      </w:r>
      <w:proofErr w:type="spellStart"/>
      <w:r w:rsidRPr="00434C3A">
        <w:rPr>
          <w:rFonts w:cs="Calibri"/>
          <w:szCs w:val="20"/>
        </w:rPr>
        <w:t>χ</w:t>
      </w:r>
      <w:r w:rsidRPr="00434C3A">
        <w:rPr>
          <w:szCs w:val="20"/>
          <w:vertAlign w:val="subscript"/>
        </w:rPr>
        <w:t>c</w:t>
      </w:r>
      <w:proofErr w:type="spellEnd"/>
      <w:r w:rsidRPr="00434C3A">
        <w:rPr>
          <w:szCs w:val="20"/>
        </w:rPr>
        <w:t>) of the polymer was determined as follows:</w:t>
      </w:r>
    </w:p>
    <w:tbl>
      <w:tblPr>
        <w:tblStyle w:val="Grigliatabella"/>
        <w:tblW w:w="0" w:type="auto"/>
        <w:tblLook w:val="04A0" w:firstRow="1" w:lastRow="0" w:firstColumn="1" w:lastColumn="0" w:noHBand="0" w:noVBand="1"/>
      </w:tblPr>
      <w:tblGrid>
        <w:gridCol w:w="9167"/>
        <w:gridCol w:w="461"/>
      </w:tblGrid>
      <w:tr w:rsidR="008957F5" w:rsidRPr="00434C3A" w14:paraId="437E806A" w14:textId="77777777" w:rsidTr="008957F5">
        <w:tc>
          <w:tcPr>
            <w:tcW w:w="9209" w:type="dxa"/>
          </w:tcPr>
          <w:p w14:paraId="46F7BFEC" w14:textId="4DFB45EB" w:rsidR="008957F5" w:rsidRPr="00434C3A" w:rsidRDefault="00000000" w:rsidP="00484158">
            <w:pPr>
              <w:rPr>
                <w:szCs w:val="20"/>
              </w:rPr>
            </w:pPr>
            <m:oMathPara>
              <m:oMath>
                <m:sSub>
                  <m:sSubPr>
                    <m:ctrlPr>
                      <w:rPr>
                        <w:rFonts w:ascii="Cambria Math" w:hAnsi="Cambria Math" w:cs="Calibri"/>
                        <w:szCs w:val="20"/>
                      </w:rPr>
                    </m:ctrlPr>
                  </m:sSubPr>
                  <m:e>
                    <m:r>
                      <m:rPr>
                        <m:sty m:val="p"/>
                      </m:rPr>
                      <w:rPr>
                        <w:rFonts w:ascii="Cambria Math" w:hAnsi="Cambria Math" w:cs="Calibri"/>
                        <w:szCs w:val="20"/>
                      </w:rPr>
                      <m:t>χ</m:t>
                    </m:r>
                  </m:e>
                  <m:sub>
                    <m:r>
                      <m:rPr>
                        <m:sty m:val="p"/>
                      </m:rPr>
                      <w:rPr>
                        <w:rFonts w:ascii="Cambria Math" w:hAnsi="Cambria Math" w:cs="Calibri"/>
                        <w:szCs w:val="20"/>
                      </w:rPr>
                      <m:t>c</m:t>
                    </m:r>
                  </m:sub>
                </m:sSub>
                <m:r>
                  <m:rPr>
                    <m:sty m:val="p"/>
                  </m:rPr>
                  <w:rPr>
                    <w:rFonts w:ascii="Cambria Math" w:hAnsi="Cambria Math" w:cs="Calibri"/>
                    <w:szCs w:val="20"/>
                  </w:rPr>
                  <m:t xml:space="preserve">= </m:t>
                </m:r>
                <m:f>
                  <m:fPr>
                    <m:ctrlPr>
                      <w:rPr>
                        <w:rFonts w:ascii="Cambria Math" w:hAnsi="Cambria Math" w:cs="Calibri"/>
                        <w:szCs w:val="20"/>
                      </w:rPr>
                    </m:ctrlPr>
                  </m:fPr>
                  <m:num>
                    <m:sSub>
                      <m:sSubPr>
                        <m:ctrlPr>
                          <w:rPr>
                            <w:rFonts w:ascii="Cambria Math" w:hAnsi="Cambria Math" w:cs="Calibri"/>
                            <w:szCs w:val="20"/>
                          </w:rPr>
                        </m:ctrlPr>
                      </m:sSubPr>
                      <m:e>
                        <m:r>
                          <m:rPr>
                            <m:sty m:val="p"/>
                          </m:rPr>
                          <w:rPr>
                            <w:rFonts w:ascii="Cambria Math" w:hAnsi="Cambria Math" w:cs="Calibri"/>
                            <w:szCs w:val="20"/>
                          </w:rPr>
                          <m:t>ΔH</m:t>
                        </m:r>
                      </m:e>
                      <m:sub>
                        <m:r>
                          <m:rPr>
                            <m:sty m:val="p"/>
                          </m:rPr>
                          <w:rPr>
                            <w:rFonts w:ascii="Cambria Math" w:hAnsi="Cambria Math" w:cs="Calibri"/>
                            <w:szCs w:val="20"/>
                          </w:rPr>
                          <m:t>m</m:t>
                        </m:r>
                      </m:sub>
                    </m:sSub>
                  </m:num>
                  <m:den>
                    <m:sSub>
                      <m:sSubPr>
                        <m:ctrlPr>
                          <w:rPr>
                            <w:rFonts w:ascii="Cambria Math" w:hAnsi="Cambria Math" w:cs="Calibri"/>
                            <w:szCs w:val="20"/>
                          </w:rPr>
                        </m:ctrlPr>
                      </m:sSubPr>
                      <m:e>
                        <m:r>
                          <m:rPr>
                            <m:sty m:val="p"/>
                          </m:rPr>
                          <w:rPr>
                            <w:rFonts w:ascii="Cambria Math" w:hAnsi="Cambria Math" w:cs="Calibri"/>
                            <w:szCs w:val="20"/>
                          </w:rPr>
                          <m:t>ΔH</m:t>
                        </m:r>
                      </m:e>
                      <m:sub>
                        <m:r>
                          <m:rPr>
                            <m:sty m:val="p"/>
                          </m:rPr>
                          <w:rPr>
                            <w:rFonts w:ascii="Cambria Math" w:hAnsi="Cambria Math" w:cs="Calibri"/>
                            <w:szCs w:val="20"/>
                          </w:rPr>
                          <m:t>m,∞</m:t>
                        </m:r>
                      </m:sub>
                    </m:sSub>
                  </m:den>
                </m:f>
              </m:oMath>
            </m:oMathPara>
          </w:p>
        </w:tc>
        <w:tc>
          <w:tcPr>
            <w:tcW w:w="419" w:type="dxa"/>
          </w:tcPr>
          <w:p w14:paraId="298A8E36" w14:textId="76637B9D" w:rsidR="008957F5" w:rsidRPr="00434C3A" w:rsidRDefault="008957F5" w:rsidP="008957F5">
            <w:pPr>
              <w:jc w:val="right"/>
              <w:rPr>
                <w:szCs w:val="20"/>
              </w:rPr>
            </w:pPr>
            <w:r w:rsidRPr="00434C3A">
              <w:rPr>
                <w:szCs w:val="20"/>
              </w:rPr>
              <w:t>(1)</w:t>
            </w:r>
          </w:p>
        </w:tc>
      </w:tr>
    </w:tbl>
    <w:p w14:paraId="3D90FE8E" w14:textId="7CC3266D" w:rsidR="00484158" w:rsidRPr="00434C3A" w:rsidRDefault="008957F5" w:rsidP="00484158">
      <w:r w:rsidRPr="00434C3A">
        <w:rPr>
          <w:szCs w:val="20"/>
        </w:rPr>
        <w:t>w</w:t>
      </w:r>
      <w:r w:rsidR="00484158" w:rsidRPr="00434C3A">
        <w:rPr>
          <w:szCs w:val="20"/>
        </w:rPr>
        <w:t xml:space="preserve">here </w:t>
      </w:r>
      <w:proofErr w:type="spellStart"/>
      <w:r w:rsidR="00484158" w:rsidRPr="00434C3A">
        <w:rPr>
          <w:szCs w:val="20"/>
        </w:rPr>
        <w:t>ΔH</w:t>
      </w:r>
      <w:r w:rsidR="00484158" w:rsidRPr="00434C3A">
        <w:rPr>
          <w:szCs w:val="20"/>
          <w:vertAlign w:val="subscript"/>
        </w:rPr>
        <w:t>m</w:t>
      </w:r>
      <w:proofErr w:type="spellEnd"/>
      <w:r w:rsidR="00484158" w:rsidRPr="00434C3A">
        <w:rPr>
          <w:szCs w:val="20"/>
        </w:rPr>
        <w:t xml:space="preserve"> and </w:t>
      </w:r>
      <m:oMath>
        <m:sSub>
          <m:sSubPr>
            <m:ctrlPr>
              <w:rPr>
                <w:rFonts w:ascii="Cambria Math" w:hAnsi="Cambria Math"/>
                <w:szCs w:val="20"/>
              </w:rPr>
            </m:ctrlPr>
          </m:sSubPr>
          <m:e>
            <m:r>
              <m:rPr>
                <m:sty m:val="p"/>
              </m:rPr>
              <w:rPr>
                <w:rFonts w:ascii="Cambria Math" w:hAnsi="Cambria Math"/>
                <w:szCs w:val="20"/>
              </w:rPr>
              <m:t>ΔH</m:t>
            </m:r>
          </m:e>
          <m:sub>
            <m:r>
              <m:rPr>
                <m:sty m:val="p"/>
              </m:rPr>
              <w:rPr>
                <w:rFonts w:ascii="Cambria Math" w:hAnsi="Cambria Math"/>
                <w:szCs w:val="20"/>
              </w:rPr>
              <m:t>∞</m:t>
            </m:r>
          </m:sub>
        </m:sSub>
      </m:oMath>
      <w:r w:rsidR="00484158" w:rsidRPr="00434C3A">
        <w:rPr>
          <w:szCs w:val="20"/>
        </w:rPr>
        <w:t xml:space="preserve"> are the melting enthalpies (J.g</w:t>
      </w:r>
      <w:r w:rsidR="00484158" w:rsidRPr="00434C3A">
        <w:rPr>
          <w:szCs w:val="20"/>
          <w:vertAlign w:val="superscript"/>
        </w:rPr>
        <w:t>-1</w:t>
      </w:r>
      <w:r w:rsidR="00484158" w:rsidRPr="00434C3A">
        <w:rPr>
          <w:szCs w:val="20"/>
        </w:rPr>
        <w:t xml:space="preserve">) of the sample and PE crystal, respectively. In literature, the commonly used value for </w:t>
      </w:r>
      <m:oMath>
        <m:sSub>
          <m:sSubPr>
            <m:ctrlPr>
              <w:rPr>
                <w:rFonts w:ascii="Cambria Math" w:hAnsi="Cambria Math"/>
                <w:szCs w:val="20"/>
              </w:rPr>
            </m:ctrlPr>
          </m:sSubPr>
          <m:e>
            <m:r>
              <m:rPr>
                <m:sty m:val="p"/>
              </m:rPr>
              <w:rPr>
                <w:rFonts w:ascii="Cambria Math" w:hAnsi="Cambria Math"/>
                <w:szCs w:val="20"/>
              </w:rPr>
              <m:t>ΔH</m:t>
            </m:r>
          </m:e>
          <m:sub>
            <m:r>
              <m:rPr>
                <m:sty m:val="p"/>
              </m:rPr>
              <w:rPr>
                <w:rFonts w:ascii="Cambria Math" w:hAnsi="Cambria Math"/>
                <w:szCs w:val="20"/>
              </w:rPr>
              <m:t>∞</m:t>
            </m:r>
          </m:sub>
        </m:sSub>
      </m:oMath>
      <w:r w:rsidR="00484158" w:rsidRPr="00434C3A">
        <w:rPr>
          <w:szCs w:val="20"/>
        </w:rPr>
        <w:t xml:space="preserve"> is 290 J.g</w:t>
      </w:r>
      <w:r w:rsidR="00484158" w:rsidRPr="00434C3A">
        <w:rPr>
          <w:szCs w:val="20"/>
          <w:vertAlign w:val="superscript"/>
        </w:rPr>
        <w:t>-1</w:t>
      </w:r>
      <w:r w:rsidR="001D6B92">
        <w:rPr>
          <w:szCs w:val="20"/>
          <w:vertAlign w:val="superscript"/>
        </w:rPr>
        <w:t xml:space="preserve"> </w:t>
      </w:r>
      <w:r w:rsidR="001D6B92">
        <w:rPr>
          <w:szCs w:val="20"/>
          <w:vertAlign w:val="superscript"/>
        </w:rPr>
        <w:fldChar w:fldCharType="begin"/>
      </w:r>
      <w:r w:rsidR="00551B93">
        <w:rPr>
          <w:szCs w:val="20"/>
          <w:vertAlign w:val="superscript"/>
        </w:rPr>
        <w:instrText xml:space="preserve"> ADDIN ZOTERO_ITEM CSL_CITATION {"citationID":"LPZRzk2R","properties":{"formattedCitation":"[10], [15]","plainCitation":"[10], [15]","noteIndex":0},"citationItems":[{"id":387,"uris":["http://zotero.org/users/6147595/items/WQS4NULR"],"itemData":{"id":387,"type":"article-journal","abstract":"In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id":87,"uris":["http://zotero.org/users/6147595/items/N3EZWJLN"],"itemData":{"id":87,"type":"article-journal","abstract":"The literature dealing with degradation-induced embrittlement mechanisms in semi-crystalline polymers having their amorphous phase in rubbery state is reviewed. It is ﬁrst demonstrated that the decrease of molar mass resulting from a quasi-homogeneous chain scission process is responsible for embrittlement. The main speciﬁcity of the polymer family under study is that embrittlement occurs at a very low conversion of the degradation process, while the entanglement network in the amorphous phase is slightly damaged. In these polymers, chain scission induces chemicrystallization. The analyses of available data on this process show that it is characterized by a relatively high yield: about one half entanglement strands integrate the crystalline phase after one chain scission. A simple relationship expressing the chemicrystallization yield for a given polymer structure is proposed. Chain scission and chemicrystallization can lead to embrittlement through two possible causal chains: (1) chain scission ? molar mass decrease ? chemicrystallization ? decrease of the interlamellar spacing ? embrittlement. (2) Chain scission ? molar mass decrease ? chemicrystallization ? decrease of the tie-macromolecule concentration ? embrittlement. At this state of our knowledge, both causal chains are almost undistinguishable.","container-title":"Journal of Materials Science","DOI":"10.1007/s10853-008-3005-3","ISSN":"0022-2461, 1573-4803","issue":"22","journalAbbreviation":"J Mater Sci","language":"en","page":"6999-7012","source":"DOI.org (Crossref)","title":"Review: degradation-induced embrittlement in semi-crystalline polymers having their amorphous phase in rubbery state","title-short":"Review","volume":"43","author":[{"literal":"Bruno Fayolle"},{"family":"Richaud","given":"Emmanuel"},{"family":"Colin","given":"Xavier"},{"family":"Verdu","given":"Jacques"}],"issued":{"date-parts":[["2008",11]]}}}],"schema":"https://github.com/citation-style-language/schema/raw/master/csl-citation.json"} </w:instrText>
      </w:r>
      <w:r w:rsidR="001D6B92">
        <w:rPr>
          <w:szCs w:val="20"/>
          <w:vertAlign w:val="superscript"/>
        </w:rPr>
        <w:fldChar w:fldCharType="separate"/>
      </w:r>
      <w:r w:rsidR="00551B93" w:rsidRPr="00551B93">
        <w:rPr>
          <w:rFonts w:cs="Arial"/>
        </w:rPr>
        <w:t>[10], [15]</w:t>
      </w:r>
      <w:r w:rsidR="001D6B92">
        <w:rPr>
          <w:szCs w:val="20"/>
          <w:vertAlign w:val="superscript"/>
        </w:rPr>
        <w:fldChar w:fldCharType="end"/>
      </w:r>
      <w:r w:rsidR="00484158" w:rsidRPr="00434C3A">
        <w:rPr>
          <w:szCs w:val="20"/>
        </w:rPr>
        <w:t>.</w:t>
      </w:r>
    </w:p>
    <w:p w14:paraId="6D79F300" w14:textId="2492AB5A" w:rsidR="00484158" w:rsidRPr="00434C3A" w:rsidRDefault="00484158" w:rsidP="00484158">
      <w:pPr>
        <w:pStyle w:val="Titolo4"/>
      </w:pPr>
      <w:r w:rsidRPr="00434C3A">
        <w:t>2.3.1.</w:t>
      </w:r>
      <w:r w:rsidR="005053DA">
        <w:t xml:space="preserve">3 </w:t>
      </w:r>
      <w:r w:rsidRPr="00434C3A">
        <w:t>Thermogravimetric analysis (TGA)</w:t>
      </w:r>
    </w:p>
    <w:p w14:paraId="7A6C445A" w14:textId="77777777" w:rsidR="00484158" w:rsidRPr="00434C3A" w:rsidRDefault="00484158" w:rsidP="00484158">
      <w:pPr>
        <w:spacing w:after="0"/>
      </w:pPr>
      <w:r w:rsidRPr="00434C3A">
        <w:t xml:space="preserve">Thermal and </w:t>
      </w:r>
      <w:proofErr w:type="spellStart"/>
      <w:r w:rsidRPr="00434C3A">
        <w:t>thermoxidative</w:t>
      </w:r>
      <w:proofErr w:type="spellEnd"/>
      <w:r w:rsidRPr="00434C3A">
        <w:t xml:space="preserve"> </w:t>
      </w:r>
      <w:proofErr w:type="spellStart"/>
      <w:r w:rsidRPr="00434C3A">
        <w:t>behaviour</w:t>
      </w:r>
      <w:proofErr w:type="spellEnd"/>
      <w:r w:rsidRPr="00434C3A">
        <w:t xml:space="preserve"> of samples were assessed via thermogravimetric analysis (TGA), using a TG 209 F1 Libra, </w:t>
      </w:r>
      <w:proofErr w:type="spellStart"/>
      <w:r w:rsidRPr="00434C3A">
        <w:t>Netzsch</w:t>
      </w:r>
      <w:proofErr w:type="spellEnd"/>
      <w:r w:rsidRPr="00434C3A">
        <w:t xml:space="preserve">. The technique records the mass loss over the specified temperature range from which it is possible to obtain a compositional analysis of the sample. </w:t>
      </w:r>
      <w:proofErr w:type="gramStart"/>
      <w:r w:rsidRPr="00434C3A">
        <w:t>In particular, it</w:t>
      </w:r>
      <w:proofErr w:type="gramEnd"/>
      <w:r w:rsidRPr="00434C3A">
        <w:t xml:space="preserve"> is possible to evaluate the concentration of fillers e.g. flame retardants and plasticizers. For this reason, it is particularly interesting for polymers with specific additives and fillers e.g., PVC-insulated cables with plasticizers.</w:t>
      </w:r>
    </w:p>
    <w:p w14:paraId="26872C8E" w14:textId="77777777" w:rsidR="00484158" w:rsidRPr="00434C3A" w:rsidRDefault="00484158" w:rsidP="00484158">
      <w:r w:rsidRPr="00434C3A">
        <w:t>For the sake of this work, XLPE samples (10-12 mg) were placed into alumina crucibles and heated at a 20 °C/min rate, from room temperature (26-28 °C) to 700 °C, adding a final isothermal step of 15 min for residue evaluation. The samples underwent the same thermal treatment both under nitrogen (thermal degradation) and air (</w:t>
      </w:r>
      <w:proofErr w:type="spellStart"/>
      <w:r w:rsidRPr="00434C3A">
        <w:t>thermoxidative</w:t>
      </w:r>
      <w:proofErr w:type="spellEnd"/>
      <w:r w:rsidRPr="00434C3A">
        <w:t xml:space="preserve"> degradation) atmosphere.</w:t>
      </w:r>
    </w:p>
    <w:p w14:paraId="2AC500CE" w14:textId="68E7F8F9" w:rsidR="00484158" w:rsidRPr="00434C3A" w:rsidRDefault="00484158" w:rsidP="00484158">
      <w:r w:rsidRPr="00434C3A">
        <w:t xml:space="preserve">From the obtained thermograph, the temperatures corresponding to 5% and 50% of the weight loss are usually used as end-of-life point in various applications, including cables. Thus, these parameters will be discussed in the text with reference to the aging of </w:t>
      </w:r>
      <w:r w:rsidR="00DF0952" w:rsidRPr="00434C3A">
        <w:t>cables</w:t>
      </w:r>
      <w:r w:rsidRPr="00434C3A">
        <w:t>.</w:t>
      </w:r>
    </w:p>
    <w:p w14:paraId="2FEFF371" w14:textId="7B25B935" w:rsidR="00484158" w:rsidRPr="00434C3A" w:rsidRDefault="00484158" w:rsidP="00484158">
      <w:pPr>
        <w:pStyle w:val="Titolo3"/>
      </w:pPr>
      <w:r w:rsidRPr="00434C3A">
        <w:t>2.3.1 Electrical characterization</w:t>
      </w:r>
    </w:p>
    <w:p w14:paraId="1A035CFF" w14:textId="574BDD91" w:rsidR="00BA0C7C" w:rsidRPr="00434C3A" w:rsidRDefault="00BA0C7C" w:rsidP="00BA0C7C">
      <w:pPr>
        <w:rPr>
          <w:rFonts w:cs="Arial"/>
        </w:rPr>
      </w:pPr>
      <w:proofErr w:type="gramStart"/>
      <w:r w:rsidRPr="00434C3A">
        <w:t>In order to</w:t>
      </w:r>
      <w:proofErr w:type="gramEnd"/>
      <w:r w:rsidRPr="00434C3A">
        <w:t xml:space="preserve"> properly perform electrical tests on the primary insulation, layers #3,4,5 were removed from the cable before testing. In addition, a 10cm-long external copper wire braid was placed on the primary insulation, and it was used as signal electrode for electrical characterization tests. </w:t>
      </w:r>
      <w:r w:rsidRPr="00434C3A">
        <w:fldChar w:fldCharType="begin"/>
      </w:r>
      <w:r w:rsidRPr="00434C3A">
        <w:instrText xml:space="preserve"> REF _Ref184471152 \h </w:instrText>
      </w:r>
      <w:r w:rsidRPr="00434C3A">
        <w:fldChar w:fldCharType="separate"/>
      </w:r>
      <w:r w:rsidR="001D02A0" w:rsidRPr="00434C3A">
        <w:t xml:space="preserve">Figure </w:t>
      </w:r>
      <w:r w:rsidR="001D02A0">
        <w:rPr>
          <w:noProof/>
        </w:rPr>
        <w:t>5</w:t>
      </w:r>
      <w:r w:rsidRPr="00434C3A">
        <w:fldChar w:fldCharType="end"/>
      </w:r>
      <w:r>
        <w:t xml:space="preserve"> represents the schematics of the connections for the dielectric spectroscopy (</w:t>
      </w:r>
      <w:r w:rsidRPr="00434C3A">
        <w:fldChar w:fldCharType="begin"/>
      </w:r>
      <w:r w:rsidRPr="00434C3A">
        <w:instrText xml:space="preserve"> REF _Ref184471152 \h </w:instrText>
      </w:r>
      <w:r w:rsidRPr="00434C3A">
        <w:fldChar w:fldCharType="separate"/>
      </w:r>
      <w:r w:rsidR="001D02A0" w:rsidRPr="00434C3A">
        <w:t xml:space="preserve">Figure </w:t>
      </w:r>
      <w:r w:rsidR="001D02A0">
        <w:rPr>
          <w:noProof/>
        </w:rPr>
        <w:t>5</w:t>
      </w:r>
      <w:r w:rsidRPr="00434C3A">
        <w:fldChar w:fldCharType="end"/>
      </w:r>
      <w:r>
        <w:t>.a) and DC current (</w:t>
      </w:r>
      <w:r w:rsidRPr="00434C3A">
        <w:fldChar w:fldCharType="begin"/>
      </w:r>
      <w:r w:rsidRPr="00434C3A">
        <w:instrText xml:space="preserve"> REF _Ref184471152 \h </w:instrText>
      </w:r>
      <w:r w:rsidRPr="00434C3A">
        <w:fldChar w:fldCharType="separate"/>
      </w:r>
      <w:r w:rsidR="001D02A0" w:rsidRPr="00434C3A">
        <w:t xml:space="preserve">Figure </w:t>
      </w:r>
      <w:r w:rsidR="001D02A0">
        <w:rPr>
          <w:noProof/>
        </w:rPr>
        <w:t>5</w:t>
      </w:r>
      <w:r w:rsidRPr="00434C3A">
        <w:fldChar w:fldCharType="end"/>
      </w:r>
      <w:r>
        <w:t>.b) measurements.</w:t>
      </w:r>
    </w:p>
    <w:p w14:paraId="235AF9DD" w14:textId="1C82A166" w:rsidR="00484158" w:rsidRPr="00434C3A" w:rsidRDefault="00484158" w:rsidP="00484158">
      <w:pPr>
        <w:pStyle w:val="Titolo4"/>
      </w:pPr>
      <w:r w:rsidRPr="00434C3A">
        <w:t>2.3.2.1 Dielectric spectroscopy measurements</w:t>
      </w:r>
    </w:p>
    <w:p w14:paraId="7D4DBF08" w14:textId="463613E4" w:rsidR="00484158" w:rsidRPr="00DF0952" w:rsidRDefault="00484158" w:rsidP="00484158">
      <w:pPr>
        <w:rPr>
          <w:color w:val="000000" w:themeColor="text1"/>
        </w:rPr>
      </w:pPr>
      <w:r w:rsidRPr="00434C3A">
        <w:t>The dissipation factor (</w:t>
      </w:r>
      <w:proofErr w:type="spellStart"/>
      <w:r w:rsidRPr="00434C3A">
        <w:t>tan</w:t>
      </w:r>
      <w:r w:rsidRPr="00434C3A">
        <w:rPr>
          <w:rFonts w:ascii="Calibri" w:hAnsi="Calibri" w:cs="Calibri"/>
        </w:rPr>
        <w:t>δ</w:t>
      </w:r>
      <w:proofErr w:type="spellEnd"/>
      <w:r w:rsidRPr="00434C3A">
        <w:t xml:space="preserve">) of cables under test was measured by means of a </w:t>
      </w:r>
      <w:proofErr w:type="spellStart"/>
      <w:r w:rsidRPr="00434C3A">
        <w:t>Novocontrol</w:t>
      </w:r>
      <w:proofErr w:type="spellEnd"/>
      <w:r w:rsidRPr="00434C3A">
        <w:t xml:space="preserve"> Alpha Dielectric analyzer V2.2. Measurements were performed at room temperature with applied voltage of 3V</w:t>
      </w:r>
      <w:r w:rsidRPr="00434C3A">
        <w:rPr>
          <w:vertAlign w:val="subscript"/>
        </w:rPr>
        <w:t>rms</w:t>
      </w:r>
      <w:r w:rsidRPr="00434C3A">
        <w:t xml:space="preserve"> in the frequency region 1 </w:t>
      </w:r>
      <w:proofErr w:type="spellStart"/>
      <w:r w:rsidRPr="00434C3A">
        <w:t>mHz</w:t>
      </w:r>
      <w:proofErr w:type="spellEnd"/>
      <w:r w:rsidRPr="00434C3A">
        <w:t xml:space="preserve"> – 1 </w:t>
      </w:r>
      <w:proofErr w:type="spellStart"/>
      <w:r w:rsidRPr="00434C3A">
        <w:t>MHz.</w:t>
      </w:r>
      <w:proofErr w:type="spellEnd"/>
      <w:r w:rsidRPr="00434C3A">
        <w:t xml:space="preserve"> Reported results are averaged over three </w:t>
      </w:r>
      <w:proofErr w:type="gramStart"/>
      <w:r w:rsidR="005037F7" w:rsidRPr="00434C3A">
        <w:t xml:space="preserve">sequentially performed </w:t>
      </w:r>
      <w:r w:rsidRPr="00434C3A">
        <w:t>tests</w:t>
      </w:r>
      <w:proofErr w:type="gramEnd"/>
      <w:r w:rsidRPr="00434C3A">
        <w:t>.</w:t>
      </w:r>
      <w:r w:rsidR="006429B9">
        <w:t xml:space="preserve"> </w:t>
      </w:r>
      <w:r w:rsidR="009054D8" w:rsidRPr="00DF0952">
        <w:rPr>
          <w:color w:val="000000" w:themeColor="text1"/>
        </w:rPr>
        <w:t xml:space="preserve">Among the different parameters, it has been chosen to report the dissipation factor as it is invariant from </w:t>
      </w:r>
      <w:r w:rsidR="006E088F" w:rsidRPr="00DF0952">
        <w:rPr>
          <w:color w:val="000000" w:themeColor="text1"/>
        </w:rPr>
        <w:t>cable</w:t>
      </w:r>
      <w:r w:rsidR="009054D8" w:rsidRPr="00DF0952">
        <w:rPr>
          <w:color w:val="000000" w:themeColor="text1"/>
        </w:rPr>
        <w:t xml:space="preserve"> geometry which is usually </w:t>
      </w:r>
      <w:r w:rsidR="006E088F" w:rsidRPr="00DF0952">
        <w:rPr>
          <w:color w:val="000000" w:themeColor="text1"/>
        </w:rPr>
        <w:t xml:space="preserve">partly unknown in the case of </w:t>
      </w:r>
      <w:r w:rsidR="006E088F" w:rsidRPr="00DF0952">
        <w:rPr>
          <w:i/>
          <w:iCs/>
          <w:color w:val="000000" w:themeColor="text1"/>
        </w:rPr>
        <w:t xml:space="preserve">onsite </w:t>
      </w:r>
      <w:r w:rsidR="006E088F" w:rsidRPr="00DF0952">
        <w:rPr>
          <w:color w:val="000000" w:themeColor="text1"/>
        </w:rPr>
        <w:t>measurements in real environments.</w:t>
      </w:r>
    </w:p>
    <w:p w14:paraId="2AA68F84" w14:textId="0DC52C38" w:rsidR="00484158" w:rsidRPr="00434C3A" w:rsidRDefault="00484158" w:rsidP="00484158">
      <w:pPr>
        <w:pStyle w:val="Titolo4"/>
      </w:pPr>
      <w:r w:rsidRPr="00434C3A">
        <w:t>2.3.2.2 DC current measurements</w:t>
      </w:r>
    </w:p>
    <w:p w14:paraId="52DC8D4C" w14:textId="2B9B8341" w:rsidR="00484158" w:rsidRPr="00434C3A" w:rsidRDefault="00484158" w:rsidP="00484158">
      <w:r w:rsidRPr="00434C3A">
        <w:t xml:space="preserve">Insulation resistance measurements were performed on cables by means of a Keithley 2290E-5 5kV HVDC generator and a Keysight B2981A </w:t>
      </w:r>
      <w:proofErr w:type="spellStart"/>
      <w:r w:rsidRPr="00434C3A">
        <w:t>picoamperemeter</w:t>
      </w:r>
      <w:proofErr w:type="spellEnd"/>
      <w:r w:rsidRPr="00434C3A">
        <w:t>. The applied voltage was set at 2kV</w:t>
      </w:r>
      <w:r w:rsidRPr="00434C3A">
        <w:rPr>
          <w:vertAlign w:val="subscript"/>
        </w:rPr>
        <w:t>DC</w:t>
      </w:r>
      <w:r w:rsidRPr="00434C3A">
        <w:t xml:space="preserve">, which was verified </w:t>
      </w:r>
      <w:r w:rsidRPr="00434C3A">
        <w:lastRenderedPageBreak/>
        <w:t>to be enough to get reliable and stable values of current. Voltage has been applied to the inner conductor while current was acquired through the external copper wire braid used as signal electrode</w:t>
      </w:r>
      <w:r w:rsidR="00BA0C7C">
        <w:t xml:space="preserve"> (</w:t>
      </w:r>
      <w:r w:rsidR="00BA0C7C" w:rsidRPr="00434C3A">
        <w:fldChar w:fldCharType="begin"/>
      </w:r>
      <w:r w:rsidR="00BA0C7C" w:rsidRPr="00434C3A">
        <w:instrText xml:space="preserve"> REF _Ref184471152 \h </w:instrText>
      </w:r>
      <w:r w:rsidR="00BA0C7C" w:rsidRPr="00434C3A">
        <w:fldChar w:fldCharType="separate"/>
      </w:r>
      <w:r w:rsidR="001D02A0" w:rsidRPr="00434C3A">
        <w:t xml:space="preserve">Figure </w:t>
      </w:r>
      <w:r w:rsidR="001D02A0">
        <w:rPr>
          <w:noProof/>
        </w:rPr>
        <w:t>5</w:t>
      </w:r>
      <w:r w:rsidR="00BA0C7C" w:rsidRPr="00434C3A">
        <w:fldChar w:fldCharType="end"/>
      </w:r>
      <w:r w:rsidR="00BA0C7C">
        <w:t>.b).</w:t>
      </w:r>
    </w:p>
    <w:p w14:paraId="72258E59" w14:textId="06E7C892" w:rsidR="00484158" w:rsidRDefault="00484158" w:rsidP="00484158">
      <w:r w:rsidRPr="00434C3A">
        <w:t xml:space="preserve">Since the aim of this test was not to get the absolute value of insulation resistance but a comparison among the different aging conditions, tests were stopped after ~1h. </w:t>
      </w:r>
      <w:r w:rsidR="005037F7">
        <w:t xml:space="preserve">This time </w:t>
      </w:r>
      <w:proofErr w:type="gramStart"/>
      <w:r w:rsidR="005037F7">
        <w:t>showed</w:t>
      </w:r>
      <w:proofErr w:type="gramEnd"/>
      <w:r w:rsidR="005037F7">
        <w:t xml:space="preserve"> to be enough to get a reliable comparison among the different aging conditions</w:t>
      </w:r>
      <w:r w:rsidR="007A714E">
        <w:t>.</w:t>
      </w:r>
    </w:p>
    <w:tbl>
      <w:tblPr>
        <w:tblStyle w:val="Grigliatabella"/>
        <w:tblW w:w="0" w:type="auto"/>
        <w:tblLook w:val="04A0" w:firstRow="1" w:lastRow="0" w:firstColumn="1" w:lastColumn="0" w:noHBand="0" w:noVBand="1"/>
      </w:tblPr>
      <w:tblGrid>
        <w:gridCol w:w="4814"/>
        <w:gridCol w:w="4814"/>
      </w:tblGrid>
      <w:tr w:rsidR="00484158" w:rsidRPr="00434C3A" w14:paraId="76563465" w14:textId="77777777" w:rsidTr="000B24AE">
        <w:tc>
          <w:tcPr>
            <w:tcW w:w="4814" w:type="dxa"/>
          </w:tcPr>
          <w:p w14:paraId="25D2E232" w14:textId="77777777" w:rsidR="00484158" w:rsidRPr="00434C3A" w:rsidRDefault="00484158" w:rsidP="000B24AE">
            <w:pPr>
              <w:jc w:val="center"/>
            </w:pPr>
            <w:r w:rsidRPr="00434C3A">
              <w:rPr>
                <w:noProof/>
              </w:rPr>
              <w:drawing>
                <wp:inline distT="0" distB="0" distL="0" distR="0" wp14:anchorId="48AF745B" wp14:editId="0E0F9690">
                  <wp:extent cx="2892277" cy="1032830"/>
                  <wp:effectExtent l="0" t="0" r="3810" b="0"/>
                  <wp:docPr id="26230937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16720" cy="1041559"/>
                          </a:xfrm>
                          <a:prstGeom prst="rect">
                            <a:avLst/>
                          </a:prstGeom>
                          <a:noFill/>
                          <a:ln>
                            <a:noFill/>
                          </a:ln>
                        </pic:spPr>
                      </pic:pic>
                    </a:graphicData>
                  </a:graphic>
                </wp:inline>
              </w:drawing>
            </w:r>
          </w:p>
        </w:tc>
        <w:tc>
          <w:tcPr>
            <w:tcW w:w="4814" w:type="dxa"/>
          </w:tcPr>
          <w:p w14:paraId="263C675D" w14:textId="77777777" w:rsidR="00484158" w:rsidRPr="00434C3A" w:rsidRDefault="00484158" w:rsidP="000B24AE">
            <w:pPr>
              <w:jc w:val="center"/>
            </w:pPr>
            <w:r w:rsidRPr="00434C3A">
              <w:rPr>
                <w:noProof/>
              </w:rPr>
              <w:drawing>
                <wp:inline distT="0" distB="0" distL="0" distR="0" wp14:anchorId="070FBB14" wp14:editId="01889A8D">
                  <wp:extent cx="2581624" cy="1127052"/>
                  <wp:effectExtent l="0" t="0" r="0" b="0"/>
                  <wp:docPr id="82474089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06444" cy="1137887"/>
                          </a:xfrm>
                          <a:prstGeom prst="rect">
                            <a:avLst/>
                          </a:prstGeom>
                          <a:noFill/>
                          <a:ln>
                            <a:noFill/>
                          </a:ln>
                        </pic:spPr>
                      </pic:pic>
                    </a:graphicData>
                  </a:graphic>
                </wp:inline>
              </w:drawing>
            </w:r>
          </w:p>
        </w:tc>
      </w:tr>
      <w:tr w:rsidR="00484158" w:rsidRPr="00434C3A" w14:paraId="54F731FD" w14:textId="77777777" w:rsidTr="000B24AE">
        <w:tc>
          <w:tcPr>
            <w:tcW w:w="4814" w:type="dxa"/>
          </w:tcPr>
          <w:p w14:paraId="6425102F" w14:textId="77777777" w:rsidR="00484158" w:rsidRPr="00434C3A" w:rsidRDefault="00484158" w:rsidP="000B24AE">
            <w:pPr>
              <w:jc w:val="center"/>
              <w:rPr>
                <w:noProof/>
              </w:rPr>
            </w:pPr>
            <w:r w:rsidRPr="00434C3A">
              <w:rPr>
                <w:noProof/>
              </w:rPr>
              <w:t>(a)</w:t>
            </w:r>
          </w:p>
        </w:tc>
        <w:tc>
          <w:tcPr>
            <w:tcW w:w="4814" w:type="dxa"/>
          </w:tcPr>
          <w:p w14:paraId="7CEAC0E6" w14:textId="77777777" w:rsidR="00484158" w:rsidRPr="00434C3A" w:rsidRDefault="00484158" w:rsidP="000B24AE">
            <w:pPr>
              <w:keepNext/>
              <w:jc w:val="center"/>
              <w:rPr>
                <w:noProof/>
              </w:rPr>
            </w:pPr>
            <w:r w:rsidRPr="00434C3A">
              <w:rPr>
                <w:noProof/>
              </w:rPr>
              <w:t>(b)</w:t>
            </w:r>
          </w:p>
        </w:tc>
      </w:tr>
    </w:tbl>
    <w:p w14:paraId="2A458942" w14:textId="4E11560D" w:rsidR="00484158" w:rsidRPr="00434C3A" w:rsidRDefault="00484158" w:rsidP="00484158">
      <w:pPr>
        <w:pStyle w:val="Didascalia"/>
        <w:rPr>
          <w:lang w:val="en-US"/>
        </w:rPr>
      </w:pPr>
      <w:bookmarkStart w:id="5" w:name="_Ref184471152"/>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5</w:t>
      </w:r>
      <w:r w:rsidRPr="00434C3A">
        <w:rPr>
          <w:lang w:val="en-US"/>
        </w:rPr>
        <w:fldChar w:fldCharType="end"/>
      </w:r>
      <w:bookmarkEnd w:id="5"/>
      <w:r w:rsidRPr="00434C3A">
        <w:rPr>
          <w:lang w:val="en-US"/>
        </w:rPr>
        <w:t xml:space="preserve"> Schematics of the connections used for (a) dielectric spectroscopy measurements and (b) insulation resistance measurements.</w:t>
      </w:r>
    </w:p>
    <w:p w14:paraId="0D2EDB0E" w14:textId="21BE0315" w:rsidR="00AE5DEA" w:rsidRPr="00434C3A" w:rsidRDefault="00AE5DEA" w:rsidP="00383CBC">
      <w:pPr>
        <w:pStyle w:val="Titolo1"/>
        <w:numPr>
          <w:ilvl w:val="0"/>
          <w:numId w:val="5"/>
        </w:numPr>
        <w:spacing w:before="0"/>
        <w:rPr>
          <w:rFonts w:cs="Arial"/>
        </w:rPr>
      </w:pPr>
      <w:r w:rsidRPr="00434C3A">
        <w:rPr>
          <w:rFonts w:cs="Arial"/>
        </w:rPr>
        <w:t>Results</w:t>
      </w:r>
      <w:r w:rsidR="00B15F43" w:rsidRPr="00434C3A">
        <w:rPr>
          <w:rFonts w:cs="Arial"/>
        </w:rPr>
        <w:t xml:space="preserve"> and discussion</w:t>
      </w:r>
    </w:p>
    <w:p w14:paraId="0D410FB4" w14:textId="25E7E31D" w:rsidR="00131C45" w:rsidRDefault="00131C45" w:rsidP="005053DA">
      <w:pPr>
        <w:pStyle w:val="Titolo2"/>
        <w:numPr>
          <w:ilvl w:val="1"/>
          <w:numId w:val="5"/>
        </w:numPr>
        <w:rPr>
          <w:lang w:eastAsia="en-US"/>
        </w:rPr>
      </w:pPr>
      <w:r w:rsidRPr="00434C3A">
        <w:rPr>
          <w:lang w:eastAsia="en-US"/>
        </w:rPr>
        <w:t>Chemical characterization</w:t>
      </w:r>
    </w:p>
    <w:p w14:paraId="51DF7156" w14:textId="0DDC8D37" w:rsidR="005053DA" w:rsidRPr="00434C3A" w:rsidRDefault="005053DA" w:rsidP="005053DA">
      <w:pPr>
        <w:pStyle w:val="Titolo3"/>
      </w:pPr>
      <w:r w:rsidRPr="00434C3A">
        <w:t>3.1.</w:t>
      </w:r>
      <w:r>
        <w:t>1</w:t>
      </w:r>
      <w:r w:rsidRPr="00434C3A">
        <w:t xml:space="preserve"> FTIR spectroscopy results</w:t>
      </w:r>
    </w:p>
    <w:p w14:paraId="040BE18A" w14:textId="0484E70E" w:rsidR="005053DA" w:rsidRPr="00434C3A" w:rsidRDefault="005053DA" w:rsidP="005053DA">
      <w:r w:rsidRPr="00434C3A">
        <w:t xml:space="preserve">The presence of new </w:t>
      </w:r>
      <w:r>
        <w:t xml:space="preserve">chemical groups </w:t>
      </w:r>
      <w:r w:rsidRPr="00434C3A">
        <w:t>formed during aging may be analyzed through the FTIR spectroscopy. In general, the types and concentrations of degradation products vary depending on e.g., main polymer matrix, aging conditions, additives</w:t>
      </w:r>
      <w:r>
        <w:t xml:space="preserve">, </w:t>
      </w:r>
      <w:r w:rsidRPr="00434C3A">
        <w:t>etc</w:t>
      </w:r>
      <w:r>
        <w:t>.</w:t>
      </w:r>
      <w:r w:rsidR="00AA0B53">
        <w:t xml:space="preserve"> </w:t>
      </w:r>
      <w:r w:rsidR="00305BA0">
        <w:fldChar w:fldCharType="begin"/>
      </w:r>
      <w:r w:rsidR="00C64E22">
        <w:instrText xml:space="preserve"> ADDIN ZOTERO_ITEM CSL_CITATION {"citationID":"Y4WYVijE","properties":{"formattedCitation":"[16], [17], [18]","plainCitation":"[16], [17], [18]","noteIndex":0},"citationItems":[{"id":329,"uris":["http://zotero.org/users/6147595/items/H29AW7HM"],"itemData":{"id":329,"type":"article-journal","abstract":"The effects of radiation on polymeric materials are a topic of concern in a wide range of industries including the sterilization, and the nuclear power industry. While much work has concentrated on systems like polyoleﬁns that are radiation sterilized, some work has been done on epoxy systems. The epoxy system studied is an epoxy/amine paint which is representative of the paint that covers the inner surfaces of the French nuclear reactor containment buildings. In case of a severe accident on a Nuclear Power Plant, ﬁssion products can be released from the nuclear fuel to the reactor containment building. Among them, volatile iodine (I2) can be produced and can interact with the epoxy-paint. This paint is also subjected to gamma radiation damages (due to the high dose in the containment coming from radionuclides released from the fuel). So the epoxy-paint studied was exposed to gamma radiation under air atmosphere after being loaded with I2 or not.","container-title":"Analytica Chimica Acta","language":"en","page":"10","source":"Zotero","title":"A FTIR/chemometrics approach to characterize the gamma radiation effects on iodine/epoxy-paint interactions in Nuclear Power Plants","author":[{"family":"Colombani","given":"Juliette"}],"issued":{"date-parts":[["2017"]]}}},{"id":"QKt2LedQ/Fma6VAo3","uris":["http://zotero.org/users/6147595/items/9TDM5AES"],"itemData":{"id":1564,"type":"article-journal","abstract":"The effects on macromolecular structure brought about by accelerated ageing in linear and crosslinked polyethylenes were detected and quantitatively monitored by using the ATR-FTIR technique. The thermo-processing conditions used in the preparation of samples with various crosslinking levels lead to the formation of by products such as acetophenone and cumyl alcohol, and new groups such as hydroxyl, vinyl and carbonyl in the polymer chain. The main chemical modifications were carbonyl formation of various kinds, which were identified and quantified in the ATR-FTIR spectra of degraded polyethylene samples. The ATR-FTIR methodology provided a quantification of each carbonyl type/kg polyethylene, without any previous sample treatment, thus allowing a real evaluation of the effects of exposure conditions on the materials.","container-title":"Polymer Testing","DOI":"10.1016/j.polymertesting.2006.05.014","ISSN":"0142-9418","issue":"7","journalAbbreviation":"Polymer Testing","language":"en","note":"number: 7","page":"932-942","source":"ScienceDirect","title":"FTIR characterization of aged XLPE","volume":"25","author":[{"family":"Gulmine","given":"J. V."},{"family":"Akcelrud","given":"L."}],"issued":{"date-parts":[["2006",10,1]]}}},{"id":265,"uris":["http://zotero.org/users/6147595/items/8XCYZRE2"],"itemData":{"id":265,"type":"paper-conference","abstract":"Dielectric materials can be used in radiative environment that is why it is of major importance to determine their properties modifications with time. In this paper we focus our attention on PolyTetraFluoroEthylene (PTFE) films submitted to gamma radiations. We investigate the FTIR spectra and show that after exposure to Co60the crystallinity of the material is increasing. This result is confirmed by Differential Scanning Calorimetry (DSC) analysis. Some space charge distribution profiles obtained by the Pulse Electro Acoustic (PEA) method show that the irradiation favours the drift of injected charges toward the bulk. Obviously the dose of radiation must be carefully chosen in order to be able to perform electrical measurements. Indeed, we observed that if the radiation dose is too high the sample becomes fragile and most of the characterisation tools cannot be used.","container-title":"2018 IEEE Conference on Electrical Insulation and Dielectric Phenomena (CEIDP)","DOI":"10.1109/CEIDP.2018.8544841","event-title":"2018 IEEE Conference on Electrical Insulation and Dielectric Phenomena (CEIDP)","note":"ISSN: 0084-9162","page":"430-433","source":"IEEE Xplore","title":"Analysis of the Gamma Irradiation Effect on PTFE Films by FTIR and DSC","author":[{"family":"Saidi-Amroun","given":"N."},{"family":"Mouaci","given":"S."},{"family":"Mezouar","given":"A."},{"family":"Saidi","given":"M."},{"family":"Griseri","given":"V."},{"family":"Teyssèdre","given":"G."}],"issued":{"date-parts":[["2018",10]]}}}],"schema":"https://github.com/citation-style-language/schema/raw/master/csl-citation.json"} </w:instrText>
      </w:r>
      <w:r w:rsidR="00305BA0">
        <w:fldChar w:fldCharType="separate"/>
      </w:r>
      <w:r w:rsidR="00C64E22" w:rsidRPr="00C64E22">
        <w:rPr>
          <w:rFonts w:cs="Arial"/>
        </w:rPr>
        <w:t>[16], [17], [18]</w:t>
      </w:r>
      <w:r w:rsidR="00305BA0">
        <w:fldChar w:fldCharType="end"/>
      </w:r>
      <w:r w:rsidRPr="00434C3A">
        <w:t>. It is widely recognized that oxidation is one of the primary degradation mechanisms affecting polymers during aging. However, a comprehensive understanding of these degradation mechanisms is essential to accurately attribute the formation of new species to the degradation phenomen</w:t>
      </w:r>
      <w:r>
        <w:t>a</w:t>
      </w:r>
      <w:r w:rsidRPr="00434C3A">
        <w:t xml:space="preserve">. </w:t>
      </w:r>
    </w:p>
    <w:p w14:paraId="56D810D2" w14:textId="08484E21" w:rsidR="005053DA" w:rsidRDefault="005053DA" w:rsidP="005053DA">
      <w:pPr>
        <w:spacing w:after="0"/>
      </w:pPr>
      <w:r w:rsidRPr="00434C3A">
        <w:t>The main chemical groups, in terms of concentration, arising from oxidation are ketones, esters and alcohols. For this reason, it was chosen to report (</w:t>
      </w:r>
      <w:r w:rsidRPr="00434C3A">
        <w:fldChar w:fldCharType="begin"/>
      </w:r>
      <w:r w:rsidRPr="00434C3A">
        <w:instrText xml:space="preserve"> REF _Ref184482041 \h </w:instrText>
      </w:r>
      <w:r w:rsidRPr="00434C3A">
        <w:fldChar w:fldCharType="separate"/>
      </w:r>
      <w:r w:rsidR="001D02A0" w:rsidRPr="00434C3A">
        <w:t xml:space="preserve">Figure </w:t>
      </w:r>
      <w:r w:rsidR="001D02A0">
        <w:rPr>
          <w:noProof/>
        </w:rPr>
        <w:t>6</w:t>
      </w:r>
      <w:r w:rsidRPr="00434C3A">
        <w:fldChar w:fldCharType="end"/>
      </w:r>
      <w:r w:rsidRPr="00434C3A">
        <w:t>) the FTIR spectra related to the cables under test in the wavenumber region 1800-900 cm</w:t>
      </w:r>
      <w:r w:rsidRPr="00434C3A">
        <w:rPr>
          <w:vertAlign w:val="superscript"/>
        </w:rPr>
        <w:t>-1</w:t>
      </w:r>
      <w:r w:rsidRPr="00434C3A">
        <w:t xml:space="preserve"> related to these species, normalized by the -CH</w:t>
      </w:r>
      <w:r w:rsidRPr="00434C3A">
        <w:rPr>
          <w:vertAlign w:val="subscript"/>
        </w:rPr>
        <w:t>2</w:t>
      </w:r>
      <w:r w:rsidRPr="00434C3A">
        <w:t>- bond of the crystalline phase.</w:t>
      </w:r>
    </w:p>
    <w:p w14:paraId="3A0A3024" w14:textId="06EDEEF1" w:rsidR="005053DA" w:rsidRPr="00434C3A" w:rsidRDefault="005053DA" w:rsidP="005053DA">
      <w:r w:rsidRPr="00434C3A">
        <w:t>Focusing on the ketone part, one can notice that a peak occurring at ~1730 cm</w:t>
      </w:r>
      <w:r w:rsidRPr="00434C3A">
        <w:rPr>
          <w:vertAlign w:val="superscript"/>
        </w:rPr>
        <w:t xml:space="preserve">-1 </w:t>
      </w:r>
      <w:r w:rsidRPr="00434C3A">
        <w:t xml:space="preserve">is present also for the unaged sample. This was imputed to the primary antioxidant (phenol-based) which is </w:t>
      </w:r>
      <w:r w:rsidR="0024605E">
        <w:t>commonly added to</w:t>
      </w:r>
      <w:r w:rsidRPr="00434C3A">
        <w:t xml:space="preserve"> the </w:t>
      </w:r>
      <w:r w:rsidR="0024605E">
        <w:t xml:space="preserve">base insulating </w:t>
      </w:r>
      <w:r w:rsidRPr="00434C3A">
        <w:t>material</w:t>
      </w:r>
      <w:r w:rsidR="0024605E">
        <w:t xml:space="preserve"> to prevent oxidation</w:t>
      </w:r>
      <w:r w:rsidRPr="00434C3A">
        <w:t>, as seen in our previous works</w:t>
      </w:r>
      <w:r w:rsidR="00305BA0">
        <w:t xml:space="preserve"> </w:t>
      </w:r>
      <w:r w:rsidR="00305BA0">
        <w:fldChar w:fldCharType="begin"/>
      </w:r>
      <w:r w:rsidR="00551B93">
        <w:instrText xml:space="preserve"> ADDIN ZOTERO_ITEM CSL_CITATION {"citationID":"ssAIrBj0","properties":{"formattedCitation":"[10], [19], [20]","plainCitation":"[10], [19], [20]","noteIndex":0},"citationItems":[{"id":387,"uris":["http://zotero.org/users/6147595/items/WQS4NULR"],"itemData":{"id":387,"type":"article-journal","abstract":"In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id":6,"uris":["http://zotero.org/users/6147595/items/CTF7E6LU"],"itemData":{"id":6,"type":"article-journal","abstract":"The thermal ageing of a silane-crosslinked polyethylene stabilised with 1 wt% of distearyl thiodipropionate (Irganox PS802) was studied in air at three different temperatures: 87  C, 110  C, and 130  C. FTIR spectroscopy and DSC under O2 were used in a complementary way to monitor the antioxidant (AO) depletion during thermal ageing, but also to detect the polymer oxidation. In particular, at the three ageing temperatures under study, it was observed that the physical loss of AO is the main ageing mechanism and is controlled by AO evaporation. However, the contribution of the AO chemical consumption in the overall kinetics of AO depletion was also estimated. In addition, the temperature dependences of the evaporation constant and the rate constant of the chemical consumption of AO were approximated with the usual Arrhenius law in the temperature range under investigation. Although the corresponding activation energies must be considered with caution, due to the limited amount of data acquired in this study, they were found to be in good agreement with the few results available in the literature.","container-title":"Polymer Degradation and Stability","DOI":"10.1016/j.polymdegradstab.2020.109276","ISSN":"01413910","journalAbbreviation":"Polymer Degradation and Stability","language":"en","page":"109276","source":"DOI.org (Crossref)","title":"Thermal ageing of a silane-crosslinked polyethylene stabilised with a thiodipropionate antioxidant","volume":"181","author":[{"family":"Xu","given":"Anne"},{"family":"Roland","given":"Sébastien"},{"family":"Colin","given":"Xavier"}],"issued":{"date-parts":[["2020",11]]}}},{"id":131,"uris":["http://zotero.org/users/6147595/items/JZJLNI4K"],"itemData":{"id":131,"type":"article-journal","abstract":"This work focuses on the thermal ageing in air of a silane-crosslinked polyethylene stabilised with an excess of phenolic antioxidant (Irganox 1076®) in the temperature range between 87°C and 130°C. In such case, it was shown in previous works that the antioxidant is present in two physical states: dissolved in the polymer matrix and exuded at the sample surface under the form of crystals. The purpose was, in particular, to investigate the role of an antioxidant excess in the stabilisation process of the polymer. On this purpose, the pure antioxidant crystals (i.e. the commercial powder) and a polymer sample stabilised with only dissolved antioxidants (i.e. in a concentration lower than the solubility threshold) were investigated at 130°C to isolate and elucidate the thermal ageing behaviour of each antioxidant phase. For all the three studied samples, quinone methides and cinnamates species were formed through the chemical consumption of antioxidants. For both stabilised samples (with an excess, or not, of antioxidants), similar behaviours were observed in term of antioxidant depletion. In particular, it was shown that although some chemical consumption was also detected, the initial antioxidant depletion was essentially due to its physical loss through evaporation. In addition, in both cases, the polymer oxidation was observed after the almost total depletion of antioxidants and without any additional oxidation induction period. The comparison of the oxidation induction periods obtained at 130°C for these two samples showed that the antioxidant excess efficiently participates to polymer stabilisation during its thermal ageing, which could be due to a further solubilisation of the antioxidants during the thermal exposure.","container-title":"Polymer Degradation and Stability","DOI":"10.1016/j.polymdegradstab.2021.109597","ISSN":"0141-3910","journalAbbreviation":"Polymer Degradation and Stability","language":"en","page":"109597","source":"ScienceDirect","title":"Thermal ageing of a silane-crosslinked polyethylene stabilised with an excess of Irganox 1076®","author":[{"family":"Xu","given":"Anne"},{"family":"Roland","given":"Sébastien"},{"family":"Colin","given":"Xavier"}],"issued":{"date-parts":[["2021",4,21]]}}}],"schema":"https://github.com/citation-style-language/schema/raw/master/csl-citation.json"} </w:instrText>
      </w:r>
      <w:r w:rsidR="00305BA0">
        <w:fldChar w:fldCharType="separate"/>
      </w:r>
      <w:r w:rsidR="00551B93" w:rsidRPr="00551B93">
        <w:rPr>
          <w:rFonts w:cs="Arial"/>
        </w:rPr>
        <w:t>[10], [19], [20]</w:t>
      </w:r>
      <w:r w:rsidR="00305BA0">
        <w:fldChar w:fldCharType="end"/>
      </w:r>
      <w:r w:rsidRPr="00434C3A">
        <w:t>. Consumption of antioxidants due to aging causes the reduction of this peak, together with the formation of a new peak at ~1715 cm</w:t>
      </w:r>
      <w:r w:rsidRPr="00434C3A">
        <w:rPr>
          <w:vertAlign w:val="superscript"/>
        </w:rPr>
        <w:t>-1</w:t>
      </w:r>
      <w:r w:rsidRPr="00434C3A">
        <w:t>. This dual peak pattern is a characteristic indicator of the formation of different species of ketones</w:t>
      </w:r>
      <w:r>
        <w:t xml:space="preserve"> and carbonyls</w:t>
      </w:r>
      <w:r w:rsidRPr="00434C3A">
        <w:t xml:space="preserve">, also associated with oxidized species formed during radiation aging as seen in </w:t>
      </w:r>
      <w:r w:rsidR="00305BA0">
        <w:fldChar w:fldCharType="begin"/>
      </w:r>
      <w:r w:rsidR="00C64E22">
        <w:instrText xml:space="preserve"> ADDIN ZOTERO_ITEM CSL_CITATION {"citationID":"GzUjGhyU","properties":{"formattedCitation":"[21]","plainCitation":"[21]","noteIndex":0},"citationItems":[{"id":"QKt2LedQ/Hm9JqwPD","uris":["http://zotero.org/users/6147595/items/DGDTXURN"],"itemData":{"id":1731,"type":"article-journal","abstract":"Polymer aging under combined radiation-thermal oxidative conditions is intrinsically more convoluted than traditional thermal degradation. Accelerated aging methods for predictive purposes have to include thermal as well as radiative degradation pathways that initially may be regarded as independent parallel processes without additional synergism. Material aging is therefore represented as the sum of a thermal and radiative contribution. Data from accelerated aging may be available as dose to equivalent damage (DED) or degradation rates, yet they require different analytical approaches to yield the underlying temperature dependence and its activation energy. Further, kinetic models that embrace combined pathways can offer guidance for extrapolation of accelerated to ambient conditions, enabling the prediction of material aging behavior or remaining performance margins for requalification purposes. The existing theoretical approaches, their implications and an alternative option for globally fitting experimental data sets to kinetic aging models for combined environments are reviewed. This overview offers a pragmatic approach towards an expanded interpretation of oxidation rate and aging data properties for combined environments, all the way to time-dependence for rates and synergistic contributions. Further evidence is provided that for some material behaviors an additional Ea for the radiative term under high dose rate conditions could be beneficial, as similarly expressed by increases in a synergistic interaction parameter. Improved kinetic aging models are derived and applied to a comprehensive set of experimental oxidation rates for a chlorosulfonated polyethylene material. Emphasized is also the issue that initial oxidation rates versus superposition of oxidation levels (integrated rates) may result in slightly different thermal Ea values through added time dependency. Constant oxidation rates relate to an exponential decay in elongation at break data. Aging predictions can be improved through measured oxidation rates, a systematic understanding of material behavior over a large dose rate - temperature regime, and application of an appropriate aging model. The most general aging model will contain a radiative Ea, time-dependence of rate, and added synergism that may grow with temperature.","container-title":"Polymer Degradation and Stability","DOI":"10.1016/j.polymdegradstab.2019.06.007","ISSN":"0141-3910","journalAbbreviation":"Polymer Degradation and Stability","language":"en","page":"353-378","source":"ScienceDirect","title":"Overview of accelerated aging and polymer degradation kinetics for combined radiation-thermal environments","volume":"166","author":[{"family":"Celina","given":"Mathew"},{"family":"Linde","given":"Erik"},{"family":"Brunson","given":"Douglas"},{"family":"Quintana","given":"Adam"},{"family":"Giron","given":"Nicholas"}],"issued":{"date-parts":[["2019",8,1]]}}}],"schema":"https://github.com/citation-style-language/schema/raw/master/csl-citation.json"} </w:instrText>
      </w:r>
      <w:r w:rsidR="00305BA0">
        <w:fldChar w:fldCharType="separate"/>
      </w:r>
      <w:r w:rsidR="00C64E22" w:rsidRPr="00C64E22">
        <w:rPr>
          <w:rFonts w:cs="Arial"/>
        </w:rPr>
        <w:t>[21]</w:t>
      </w:r>
      <w:r w:rsidR="00305BA0">
        <w:fldChar w:fldCharType="end"/>
      </w:r>
      <w:r w:rsidRPr="00434C3A">
        <w:t>. Nonetheless, in terms of amplitude, these new peaks exhibit very low absorbance, highlighting that the contribution of oxidation in the case of RA and RA/TA aged cables is very limited. The reason for that may be linked to the very low concentration of oxygen inside the multilayer structure of the cables during aging</w:t>
      </w:r>
      <w:r>
        <w:t>, as already discussed in</w:t>
      </w:r>
      <w:r w:rsidR="00305BA0">
        <w:t xml:space="preserve"> </w:t>
      </w:r>
      <w:r w:rsidR="00305BA0">
        <w:fldChar w:fldCharType="begin"/>
      </w:r>
      <w:r w:rsidR="00551B93">
        <w:instrText xml:space="preserve"> ADDIN ZOTERO_ITEM CSL_CITATION {"citationID":"5psevMu8","properties":{"formattedCitation":"[10]","plainCitation":"[10]","noteIndex":0},"citationItems":[{"id":387,"uris":["http://zotero.org/users/6147595/items/WQS4NULR"],"itemData":{"id":387,"type":"article-journal","abstract":"In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Vincenzo"},{"family":"Fabiani","given":"Davide"},{"family":"Roland","given":"Sébastien"},{"family":"Colin","given":"Xavier"}],"issued":{"date-parts":[["2021",10]]}}}],"schema":"https://github.com/citation-style-language/schema/raw/master/csl-citation.json"} </w:instrText>
      </w:r>
      <w:r w:rsidR="00305BA0">
        <w:fldChar w:fldCharType="separate"/>
      </w:r>
      <w:r w:rsidR="00551B93" w:rsidRPr="00551B93">
        <w:rPr>
          <w:rFonts w:cs="Arial"/>
        </w:rPr>
        <w:t>[10]</w:t>
      </w:r>
      <w:r w:rsidR="00305BA0">
        <w:fldChar w:fldCharType="end"/>
      </w:r>
      <w:r w:rsidRPr="00434C3A">
        <w:t>.</w:t>
      </w:r>
    </w:p>
    <w:p w14:paraId="0463561A" w14:textId="77777777" w:rsidR="00BE0C07" w:rsidRDefault="005053DA" w:rsidP="005053DA">
      <w:r w:rsidRPr="00434C3A">
        <w:t xml:space="preserve">On the other hand, cables which faced the DBE simulation show extremely high increase of the absorbance </w:t>
      </w:r>
      <w:r>
        <w:t xml:space="preserve">of ketones with a </w:t>
      </w:r>
      <w:r w:rsidRPr="00434C3A">
        <w:t>unique peak.</w:t>
      </w:r>
    </w:p>
    <w:p w14:paraId="0D914C00" w14:textId="04BCBDCC" w:rsidR="00BE0C07" w:rsidRPr="00DF0952" w:rsidRDefault="00920FFB" w:rsidP="005053DA">
      <w:pPr>
        <w:rPr>
          <w:color w:val="000000" w:themeColor="text1"/>
        </w:rPr>
      </w:pPr>
      <w:r w:rsidRPr="00DF0952">
        <w:rPr>
          <w:color w:val="000000" w:themeColor="text1"/>
        </w:rPr>
        <w:t>At high dose rates</w:t>
      </w:r>
      <w:r w:rsidR="00ED0947" w:rsidRPr="00DF0952">
        <w:rPr>
          <w:color w:val="000000" w:themeColor="text1"/>
        </w:rPr>
        <w:t xml:space="preserve"> and high temperatures</w:t>
      </w:r>
      <w:r w:rsidRPr="00DF0952">
        <w:rPr>
          <w:color w:val="000000" w:themeColor="text1"/>
        </w:rPr>
        <w:t xml:space="preserve">, </w:t>
      </w:r>
      <w:r w:rsidR="00B268E0" w:rsidRPr="00DF0952">
        <w:rPr>
          <w:color w:val="000000" w:themeColor="text1"/>
        </w:rPr>
        <w:t>oxygen diffusion acts as a limiting factor</w:t>
      </w:r>
      <w:r w:rsidR="002943F2" w:rsidRPr="00DF0952">
        <w:rPr>
          <w:color w:val="000000" w:themeColor="text1"/>
        </w:rPr>
        <w:t xml:space="preserve">, </w:t>
      </w:r>
      <w:r w:rsidR="00B268E0" w:rsidRPr="00DF0952">
        <w:rPr>
          <w:color w:val="000000" w:themeColor="text1"/>
        </w:rPr>
        <w:t xml:space="preserve">resulting in oxidation predominantly occurring near the surface. </w:t>
      </w:r>
      <w:r w:rsidR="002943F2" w:rsidRPr="00DF0952">
        <w:rPr>
          <w:color w:val="000000" w:themeColor="text1"/>
        </w:rPr>
        <w:t>This phenomenon, called diffusion limited oxidation (DLO), causes the inhibition of</w:t>
      </w:r>
      <w:r w:rsidR="00BF1DAF" w:rsidRPr="00DF0952">
        <w:rPr>
          <w:color w:val="000000" w:themeColor="text1"/>
        </w:rPr>
        <w:t xml:space="preserve"> degradation in the material bulk as </w:t>
      </w:r>
      <w:r w:rsidR="002943F2" w:rsidRPr="00DF0952">
        <w:rPr>
          <w:color w:val="000000" w:themeColor="text1"/>
        </w:rPr>
        <w:t xml:space="preserve">oxidation </w:t>
      </w:r>
      <w:r w:rsidR="00BF1DAF" w:rsidRPr="00DF0952">
        <w:rPr>
          <w:color w:val="000000" w:themeColor="text1"/>
        </w:rPr>
        <w:t>is</w:t>
      </w:r>
      <w:r w:rsidR="002943F2" w:rsidRPr="00DF0952">
        <w:rPr>
          <w:color w:val="000000" w:themeColor="text1"/>
        </w:rPr>
        <w:t xml:space="preserve"> localized on the outmost layers of the insulation (external surface)</w:t>
      </w:r>
      <w:r w:rsidR="00BF1DAF" w:rsidRPr="00DF0952">
        <w:rPr>
          <w:color w:val="000000" w:themeColor="text1"/>
        </w:rPr>
        <w:t xml:space="preserve">, leading </w:t>
      </w:r>
      <w:r w:rsidR="002943F2" w:rsidRPr="00DF0952">
        <w:rPr>
          <w:color w:val="000000" w:themeColor="text1"/>
        </w:rPr>
        <w:t xml:space="preserve">to inhomogeneous degradation throughout the bulk of the insulation. Indeed, particularly inside a cable structure, oxygen concentration may be not enough to provide a stoichiometric ratio to the oxidation reaction scheme. In such a way, oxidized structures are formed only on the surface of the insulation, while the material bulk experiences reduced degradation. </w:t>
      </w:r>
      <w:r w:rsidR="00ED0947" w:rsidRPr="00DF0952">
        <w:rPr>
          <w:color w:val="000000" w:themeColor="text1"/>
        </w:rPr>
        <w:t>The DLO effect can result in a brittle, oxidized surface layer, which compromises the mechanical properties of the polymer.</w:t>
      </w:r>
    </w:p>
    <w:p w14:paraId="69F6CED1" w14:textId="371958AB" w:rsidR="0047379E" w:rsidRPr="00DF0952" w:rsidRDefault="008461B6" w:rsidP="005053DA">
      <w:pPr>
        <w:rPr>
          <w:color w:val="000000" w:themeColor="text1"/>
        </w:rPr>
      </w:pPr>
      <w:r w:rsidRPr="00DF0952">
        <w:rPr>
          <w:color w:val="000000" w:themeColor="text1"/>
        </w:rPr>
        <w:t>The maximum thickness beyond which a polymer is expected to experience DLO is derived by diffusion laws</w:t>
      </w:r>
      <w:r w:rsidR="00E24BAE" w:rsidRPr="00DF0952">
        <w:rPr>
          <w:color w:val="000000" w:themeColor="text1"/>
        </w:rPr>
        <w:t xml:space="preserve"> </w:t>
      </w:r>
      <w:r w:rsidR="00E24BAE" w:rsidRPr="00DF0952">
        <w:rPr>
          <w:color w:val="000000" w:themeColor="text1"/>
        </w:rPr>
        <w:fldChar w:fldCharType="begin"/>
      </w:r>
      <w:r w:rsidR="00C64E22" w:rsidRPr="00DF0952">
        <w:rPr>
          <w:color w:val="000000" w:themeColor="text1"/>
        </w:rPr>
        <w:instrText xml:space="preserve"> ADDIN ZOTERO_ITEM CSL_CITATION {"citationID":"U04hAepQ","properties":{"formattedCitation":"[22]","plainCitation":"[22]","noteIndex":0},"citationItems":[{"id":2243,"uris":["http://zotero.org/users/6147595/items/3Z4XQPY7"],"itemData":{"id":2243,"type":"article-journal","abstract":"Accelerated polymer aging under thermal oxidative conditions often involves heterogeneous degradation processes due to diffusion limited oxidation (DLO). DLO depends on geometrical shape and size, intrinsic oxidation rate and oxygen permeability of the material and occurs through the competition of simultaneous diffusional transport and reaction of oxygen. Definitions of the many parameters that describe polymer aging under DLO conditions are summarized for several applicable situations, which include the average oxidation rate, the oxidizing material fraction (i.e. fraction of the material oxidizing at a reference oxidation rate), and the depth of a specific flux reduction (i.e. generalized total oxidized layer (TOL)). Analytical and numerical solutions are derived for the prediction of spatially dependent oxidation behavior within a systematic framework for 1D to 3D geometries, multi-material situations and for a range of boundary conditions. Traditional mathematical approaches are expanded to embrace an arbitrary reaction domain through the finite element method (FEM). Concepts are also developed that address time dependent DLO profiles when the underlying oxidation rate or permeability may in itself depend on the evolving oxidation level. Understanding the occurrence of DLO and having the ability to predict spatially resolved oxidation reactions in polymers is critically important to determine when DLO (i.e. non uniform degradation) will interfere as part of accelerated aging studies, or to predict the aging behavior of multi-material polymer components of any geometry. This overview wishes to guide the polymer aging community towards embracing DLO phenomena and share newly developed computational approaches that facilitate comprehensive predictive modeling capabilities.","container-title":"Polymer Degradation and Stability","DOI":"10.1016/j.polymdegradstab.2017.11.014","ISSN":"0141-3910","journalAbbreviation":"Polymer Degradation and Stability","page":"173-191","source":"ScienceDirect","title":"Overview of DLO modeling and approaches to predict heterogeneous oxidative polymer degradation","volume":"149","author":[{"family":"Quintana","given":"Adam"},{"family":"Celina","given":"Mathew C."}],"issued":{"date-parts":[["2018",3,1]]}}}],"schema":"https://github.com/citation-style-language/schema/raw/master/csl-citation.json"} </w:instrText>
      </w:r>
      <w:r w:rsidR="00E24BAE" w:rsidRPr="00DF0952">
        <w:rPr>
          <w:color w:val="000000" w:themeColor="text1"/>
        </w:rPr>
        <w:fldChar w:fldCharType="separate"/>
      </w:r>
      <w:r w:rsidR="00C64E22" w:rsidRPr="00DF0952">
        <w:rPr>
          <w:rFonts w:cs="Arial"/>
          <w:color w:val="000000" w:themeColor="text1"/>
        </w:rPr>
        <w:t>[22]</w:t>
      </w:r>
      <w:r w:rsidR="00E24BAE" w:rsidRPr="00DF0952">
        <w:rPr>
          <w:color w:val="000000" w:themeColor="text1"/>
        </w:rPr>
        <w:fldChar w:fldCharType="end"/>
      </w:r>
      <w:r w:rsidRPr="00DF0952">
        <w:rPr>
          <w:color w:val="000000" w:themeColor="text1"/>
        </w:rPr>
        <w:t xml:space="preserve">. As an example, </w:t>
      </w:r>
      <w:r w:rsidR="007C6F85" w:rsidRPr="00DF0952">
        <w:rPr>
          <w:color w:val="000000" w:themeColor="text1"/>
        </w:rPr>
        <w:t xml:space="preserve">common </w:t>
      </w:r>
      <w:r w:rsidR="00E24BAE" w:rsidRPr="00DF0952">
        <w:rPr>
          <w:color w:val="000000" w:themeColor="text1"/>
        </w:rPr>
        <w:t>limit</w:t>
      </w:r>
      <w:r w:rsidRPr="00DF0952">
        <w:rPr>
          <w:color w:val="000000" w:themeColor="text1"/>
        </w:rPr>
        <w:t xml:space="preserve"> values for PE-based material</w:t>
      </w:r>
      <w:r w:rsidR="00B92940" w:rsidRPr="00DF0952">
        <w:rPr>
          <w:color w:val="000000" w:themeColor="text1"/>
        </w:rPr>
        <w:t xml:space="preserve"> are ~</w:t>
      </w:r>
      <w:r w:rsidRPr="00DF0952">
        <w:rPr>
          <w:color w:val="000000" w:themeColor="text1"/>
        </w:rPr>
        <w:t xml:space="preserve">110 Gy/h per </w:t>
      </w:r>
      <w:proofErr w:type="gramStart"/>
      <w:r w:rsidRPr="00DF0952">
        <w:rPr>
          <w:color w:val="000000" w:themeColor="text1"/>
        </w:rPr>
        <w:t>mm</w:t>
      </w:r>
      <w:proofErr w:type="gramEnd"/>
      <w:r w:rsidRPr="00DF0952">
        <w:rPr>
          <w:color w:val="000000" w:themeColor="text1"/>
        </w:rPr>
        <w:t xml:space="preserve"> (thickness). The limit in terms of temperature is found to be close to the melting peak of PE (110°C) so that it is difficult to distinguish contribution of oxygen diffusion from polymer re-crystallization and annealing.</w:t>
      </w:r>
    </w:p>
    <w:p w14:paraId="74C67C94" w14:textId="2FA490D7" w:rsidR="00DC3FA8" w:rsidRPr="00DF0952" w:rsidRDefault="00DC3FA8" w:rsidP="005053DA">
      <w:pPr>
        <w:rPr>
          <w:color w:val="000000" w:themeColor="text1"/>
        </w:rPr>
      </w:pPr>
      <w:proofErr w:type="gramStart"/>
      <w:r w:rsidRPr="00DF0952">
        <w:rPr>
          <w:color w:val="000000" w:themeColor="text1"/>
        </w:rPr>
        <w:lastRenderedPageBreak/>
        <w:t xml:space="preserve">This being said, </w:t>
      </w:r>
      <w:r w:rsidR="006604F2" w:rsidRPr="00DF0952">
        <w:rPr>
          <w:color w:val="000000" w:themeColor="text1"/>
        </w:rPr>
        <w:t>in</w:t>
      </w:r>
      <w:proofErr w:type="gramEnd"/>
      <w:r w:rsidR="006604F2" w:rsidRPr="00DF0952">
        <w:rPr>
          <w:color w:val="000000" w:themeColor="text1"/>
        </w:rPr>
        <w:t xml:space="preserve"> this work, </w:t>
      </w:r>
      <w:r w:rsidRPr="00DF0952">
        <w:rPr>
          <w:color w:val="000000" w:themeColor="text1"/>
        </w:rPr>
        <w:t xml:space="preserve">cables </w:t>
      </w:r>
      <w:r w:rsidR="006604F2" w:rsidRPr="00DF0952">
        <w:rPr>
          <w:color w:val="000000" w:themeColor="text1"/>
        </w:rPr>
        <w:t xml:space="preserve">which </w:t>
      </w:r>
      <w:r w:rsidR="00DF6DB3" w:rsidRPr="00DF0952">
        <w:rPr>
          <w:color w:val="000000" w:themeColor="text1"/>
        </w:rPr>
        <w:t>face</w:t>
      </w:r>
      <w:r w:rsidR="006604F2" w:rsidRPr="00DF0952">
        <w:rPr>
          <w:color w:val="000000" w:themeColor="text1"/>
        </w:rPr>
        <w:t xml:space="preserve"> DBE-LOCA simulation </w:t>
      </w:r>
      <w:r w:rsidRPr="00DF0952">
        <w:rPr>
          <w:color w:val="000000" w:themeColor="text1"/>
        </w:rPr>
        <w:t xml:space="preserve">are expected to experience </w:t>
      </w:r>
      <w:r w:rsidR="007D7644" w:rsidRPr="00DF0952">
        <w:rPr>
          <w:color w:val="000000" w:themeColor="text1"/>
        </w:rPr>
        <w:t>DLO</w:t>
      </w:r>
      <w:r w:rsidR="00DF6DB3" w:rsidRPr="00DF0952">
        <w:rPr>
          <w:color w:val="000000" w:themeColor="text1"/>
        </w:rPr>
        <w:t xml:space="preserve">. To investigate this phenomenon, </w:t>
      </w:r>
      <w:r w:rsidR="008177DA" w:rsidRPr="00DF0952">
        <w:rPr>
          <w:color w:val="000000" w:themeColor="text1"/>
        </w:rPr>
        <w:t xml:space="preserve">the use of surface analysis is needed. </w:t>
      </w:r>
      <w:r w:rsidR="00C931EA" w:rsidRPr="00DF0952">
        <w:rPr>
          <w:color w:val="000000" w:themeColor="text1"/>
        </w:rPr>
        <w:t>Al</w:t>
      </w:r>
      <w:r w:rsidR="008177DA" w:rsidRPr="00DF0952">
        <w:rPr>
          <w:color w:val="000000" w:themeColor="text1"/>
        </w:rPr>
        <w:t xml:space="preserve">though the use of ATR-FTIR may </w:t>
      </w:r>
      <w:r w:rsidR="00AD2BBF" w:rsidRPr="00DF0952">
        <w:rPr>
          <w:color w:val="000000" w:themeColor="text1"/>
        </w:rPr>
        <w:t>have limitations</w:t>
      </w:r>
      <w:r w:rsidR="008177DA" w:rsidRPr="00DF0952">
        <w:rPr>
          <w:color w:val="000000" w:themeColor="text1"/>
        </w:rPr>
        <w:t xml:space="preserve"> in terms of </w:t>
      </w:r>
      <w:r w:rsidR="00D1795C" w:rsidRPr="00DF0952">
        <w:rPr>
          <w:color w:val="000000" w:themeColor="text1"/>
        </w:rPr>
        <w:t xml:space="preserve">quantitative analysis of </w:t>
      </w:r>
      <w:r w:rsidR="00CA0B3B" w:rsidRPr="00DF0952">
        <w:rPr>
          <w:color w:val="000000" w:themeColor="text1"/>
        </w:rPr>
        <w:t xml:space="preserve">chemical </w:t>
      </w:r>
      <w:r w:rsidR="00D1795C" w:rsidRPr="00DF0952">
        <w:rPr>
          <w:color w:val="000000" w:themeColor="text1"/>
        </w:rPr>
        <w:t xml:space="preserve">species, it </w:t>
      </w:r>
      <w:r w:rsidR="002E0C04" w:rsidRPr="00DF0952">
        <w:rPr>
          <w:color w:val="000000" w:themeColor="text1"/>
        </w:rPr>
        <w:t>effectively highlights</w:t>
      </w:r>
      <w:r w:rsidR="00D1795C" w:rsidRPr="00DF0952">
        <w:rPr>
          <w:color w:val="000000" w:themeColor="text1"/>
        </w:rPr>
        <w:t xml:space="preserve"> the contribution of oxidation effect of the DBE-LOCA treatment on the cable under consideration. </w:t>
      </w:r>
    </w:p>
    <w:p w14:paraId="33E5A57A" w14:textId="71929D0B" w:rsidR="005053DA" w:rsidRPr="00434C3A" w:rsidRDefault="00D1795C" w:rsidP="005053DA">
      <w:r w:rsidRPr="00DF0952">
        <w:rPr>
          <w:color w:val="000000" w:themeColor="text1"/>
        </w:rPr>
        <w:t xml:space="preserve">Moreover, </w:t>
      </w:r>
      <w:r w:rsidR="007E2576" w:rsidRPr="00DF0952">
        <w:rPr>
          <w:color w:val="000000" w:themeColor="text1"/>
        </w:rPr>
        <w:t xml:space="preserve">during DBE-LOCA simulation, concentration of oxygen on the cable insulation surface may be increased due to the </w:t>
      </w:r>
      <w:r w:rsidR="005053DA" w:rsidRPr="00DF0952">
        <w:rPr>
          <w:color w:val="000000" w:themeColor="text1"/>
        </w:rPr>
        <w:t xml:space="preserve">presence of high pressure applied during the LOCA tests which </w:t>
      </w:r>
      <w:r w:rsidR="00BD01BE" w:rsidRPr="00DF0952">
        <w:rPr>
          <w:color w:val="000000" w:themeColor="text1"/>
        </w:rPr>
        <w:t>facilitate</w:t>
      </w:r>
      <w:r w:rsidR="005053DA" w:rsidRPr="00DF0952">
        <w:rPr>
          <w:color w:val="000000" w:themeColor="text1"/>
        </w:rPr>
        <w:t xml:space="preserve"> the permeation of oxygen in the cable structure. This phenomenon, along with the high temperatures (up to 150°C) catalyzes </w:t>
      </w:r>
      <w:r w:rsidR="005053DA" w:rsidRPr="00434C3A">
        <w:t xml:space="preserve">the oxidative reactions to occur. Moreover, the post-LOCA simulation over a long period of </w:t>
      </w:r>
      <w:r w:rsidR="005053DA">
        <w:t>one year</w:t>
      </w:r>
      <w:r w:rsidR="005053DA" w:rsidRPr="00434C3A">
        <w:t xml:space="preserve">, further facilitates the diffusion phenomena of the species, </w:t>
      </w:r>
      <w:r w:rsidR="005053DA">
        <w:t xml:space="preserve">enhancing </w:t>
      </w:r>
      <w:r w:rsidR="005053DA" w:rsidRPr="00434C3A">
        <w:t xml:space="preserve">additional degradation mechanisms due to the so-called post-irradiation effect </w:t>
      </w:r>
      <w:r w:rsidR="00305BA0">
        <w:fldChar w:fldCharType="begin"/>
      </w:r>
      <w:r w:rsidR="00C64E22">
        <w:instrText xml:space="preserve"> ADDIN ZOTERO_ITEM CSL_CITATION {"citationID":"7A0oCv6d","properties":{"formattedCitation":"[23], [24], [25]","plainCitation":"[23], [24], [25]","noteIndex":0},"citationItems":[{"id":289,"uris":["http://zotero.org/users/6147595/items/ZDNYM2K7"],"itemData":{"id":289,"type":"article-journal","abstract":"If a large amount of polymer free radicals remain trapped after irradiation of polymers, the postirradiation effects may result in a signiﬁcant alteration of physical properties during long-term shelf storage and use. In the case of polyethylenes (PEs) some failures are attributed to the post-irradiation oxidative degradation initiated by the reaction of residual free radicals (mainly trapped in crystal phase) with oxygen. Oxidation products such as carbonyl groups act as deep traps and introduce changes in carrier mobility and signiﬁcant deterioration in the PEs electrical insulating properties. The postirradiation behaviour of three different PEs, low density polyethylene (LDPE), linear low density polyethylene (LLDPE) and high density polyethylene (HDPE) was studied; previously, the postirradiation behaviour of the PEs was investigated after the irradiation in air (Suljovrujic, 2010). In this paper, in order to investigate the inﬂuence of different irradiation media on the post-irradiation behaviour, the samples were irradiated in air and nitrogen gas, to an absorbed dose of 300 kGy. The annealing treatment of irradiated PEs, which can substantially reduce the concentration of free radicals, is used in this study, too. Dielectric relaxation behaviour is related to the difference in the initial structure of PEs (such as branching, crystallinity etc.), to the changes induced by irradiation in different media and to the post-irradiation changes induced by storage of the samples in air. Electron spin resonance (ESR), differential scanning calorimetry (DSC), infra-red (IR) spectroscopy and gel measurements were used to determine the changes in the free radical concentration, crystal fraction, oxidation and degree of network formation, respectively.","container-title":"Radiation Physics and Chemistry","DOI":"10.1016/j.radphyschem.2013.04.003","ISSN":"0969806X","journalAbbreviation":"Radiation Physics and Chemistry","language":"en","page":"43-50","source":"DOI.org (Crossref)","title":"Post-irradiation effects in polyethylenes irradiated under various atmospheres","volume":"89","author":[{"family":"Suljovrujic","given":"E."}],"issued":{"date-parts":[["2013",8]]}}},{"id":256,"uris":["http://zotero.org/users/6147595/items/SNPA2QKV"],"itemData":{"id":256,"type":"paper-conference","abstract":"This paper investigates aging of low voltage cables used in nuclear power plants by the means of the dielectric spectroscopy technique. Aging has been performed on XLPE cables through high temperature and different dose rates in order to evaluate the electrical response under different aging conditions. Test have been carried out immediately after aging and years after the radiation source has been turned off. Significant changes in dielectric response have been observed due to post-irradiation effects, suggesting that degradation continues even after the aging source has been removed.","container-title":"2019 2nd International Conference on Electrical Materials and Power Equipment (ICEMPE)","DOI":"10.1109/ICEMPE.2019.8727281","event-title":"2019 2nd International Conference on Electrical Materials and Power Equipment (ICEMPE)","note":"ISSN: null","page":"53-56","source":"IEEE Xplore","title":"Post-irradiation effect analysis on XLPE-insulated LV cables used in nuclear power plants","author":[{"family":"Suraci","given":"Simone Vincenzo"},{"family":"Fabiani","given":"Davide"},{"family":"Li","given":"Chungyang"}],"issued":{"date-parts":[["2019",4]]}}},{"id":113,"uris":["http://zotero.org/users/6147595/items/2MT92SFE"],"itemData":{"id":113,"type":"article-journal","abstract":"This paper deals with the study of a non-destructive technique to detect the aging state of cable insulation used in a nuclear environment subjected to radiation and temperature aging. Cable samples were aged under dose rates ranging from 0.42 and 1.06 kGy/h at 55 and 85 °C. The imaginary part of the permittivity at 100 kHz is found to correlate well with mechanical properties, such as elongation at break, which is typically used to diagnose cable insulation, but it is a destructive property and cannot be used on field. It has been demonstrated also that a post-irradiation effect occurs even years after aging is stopped, increasing the imaginary permittivity and worsening mechanical properties due to the slow conversion of radicals into oxidized species. The main consequence is that when cable insulation is subjected to a nuclear accident, releasing a huge amount of radiation, the health of cable insulation must be followed also for a long time after the accident occurred, since aging due to oxidation progresses even when the radiation source is switched off.","container-title":"Polymers","DOI":"10.3390/polym13040494","issue":"4","language":"en","license":"http://creativecommons.org/licenses/by/3.0/","note":"number: 4\npublisher: Multidisciplinary Digital Publishing Institute","page":"494","source":"www.mdpi.com","title":"Broadband Dielectric Spectroscopy: A Viable Technique for Aging Assessment of Low-Voltage Cable Insulation Used in Nuclear Power Plants","title-short":"Broadband Dielectric Spectroscopy","volume":"13","author":[{"family":"Fabiani","given":"Davide"},{"family":"Suraci","given":"Simone Vincenzo"}],"issued":{"date-parts":[["2021",1]]}}}],"schema":"https://github.com/citation-style-language/schema/raw/master/csl-citation.json"} </w:instrText>
      </w:r>
      <w:r w:rsidR="00305BA0">
        <w:fldChar w:fldCharType="separate"/>
      </w:r>
      <w:r w:rsidR="00C64E22" w:rsidRPr="00C64E22">
        <w:rPr>
          <w:rFonts w:cs="Arial"/>
        </w:rPr>
        <w:t>[23], [24], [25]</w:t>
      </w:r>
      <w:r w:rsidR="00305BA0">
        <w:fldChar w:fldCharType="end"/>
      </w:r>
      <w:r w:rsidR="005053DA" w:rsidRPr="00434C3A">
        <w:t>. This phenomenon causes the continuation of degradation reactions even if the external environmental stresses (in this case high temperatures and radiation) are limited or stopped, leading to significant modification in the polymer properties over a long period of time. As an example, previous works</w:t>
      </w:r>
      <w:r w:rsidR="00305BA0">
        <w:t xml:space="preserve"> </w:t>
      </w:r>
      <w:r w:rsidR="00305BA0">
        <w:fldChar w:fldCharType="begin"/>
      </w:r>
      <w:r w:rsidR="00C64E22">
        <w:instrText xml:space="preserve"> ADDIN ZOTERO_ITEM CSL_CITATION {"citationID":"zdm92XDg","properties":{"formattedCitation":"[25]","plainCitation":"[25]","noteIndex":0},"citationItems":[{"id":113,"uris":["http://zotero.org/users/6147595/items/2MT92SFE"],"itemData":{"id":113,"type":"article-journal","abstract":"This paper deals with the study of a non-destructive technique to detect the aging state of cable insulation used in a nuclear environment subjected to radiation and temperature aging. Cable samples were aged under dose rates ranging from 0.42 and 1.06 kGy/h at 55 and 85 °C. The imaginary part of the permittivity at 100 kHz is found to correlate well with mechanical properties, such as elongation at break, which is typically used to diagnose cable insulation, but it is a destructive property and cannot be used on field. It has been demonstrated also that a post-irradiation effect occurs even years after aging is stopped, increasing the imaginary permittivity and worsening mechanical properties due to the slow conversion of radicals into oxidized species. The main consequence is that when cable insulation is subjected to a nuclear accident, releasing a huge amount of radiation, the health of cable insulation must be followed also for a long time after the accident occurred, since aging due to oxidation progresses even when the radiation source is switched off.","container-title":"Polymers","DOI":"10.3390/polym13040494","issue":"4","language":"en","license":"http://creativecommons.org/licenses/by/3.0/","note":"number: 4\npublisher: Multidisciplinary Digital Publishing Institute","page":"494","source":"www.mdpi.com","title":"Broadband Dielectric Spectroscopy: A Viable Technique for Aging Assessment of Low-Voltage Cable Insulation Used in Nuclear Power Plants","title-short":"Broadband Dielectric Spectroscopy","volume":"13","author":[{"family":"Fabiani","given":"Davide"},{"family":"Suraci","given":"Simone Vincenzo"}],"issued":{"date-parts":[["2021",1]]}}}],"schema":"https://github.com/citation-style-language/schema/raw/master/csl-citation.json"} </w:instrText>
      </w:r>
      <w:r w:rsidR="00305BA0">
        <w:fldChar w:fldCharType="separate"/>
      </w:r>
      <w:r w:rsidR="00C64E22" w:rsidRPr="00C64E22">
        <w:rPr>
          <w:rFonts w:cs="Arial"/>
        </w:rPr>
        <w:t>[25]</w:t>
      </w:r>
      <w:r w:rsidR="00305BA0">
        <w:fldChar w:fldCharType="end"/>
      </w:r>
      <w:r w:rsidR="005053DA" w:rsidRPr="00434C3A">
        <w:t xml:space="preserve"> show how modifications may be recorded up to after 5 years from the turning off the irradiation source.</w:t>
      </w:r>
    </w:p>
    <w:p w14:paraId="0C0A0F57" w14:textId="43DA6282" w:rsidR="005053DA" w:rsidRPr="00434C3A" w:rsidRDefault="005053DA" w:rsidP="005053DA">
      <w:r w:rsidRPr="00434C3A">
        <w:t xml:space="preserve">Finally, </w:t>
      </w:r>
      <w:r>
        <w:t xml:space="preserve">despite the same post-irradiation treatment, </w:t>
      </w:r>
      <w:r w:rsidRPr="00434C3A">
        <w:t xml:space="preserve">it is worth noting that the highest peak is recorded for the cables which previously faced combined (TA/RA) aging, </w:t>
      </w:r>
      <w:r w:rsidR="00875864">
        <w:t>while</w:t>
      </w:r>
      <w:r w:rsidR="00875864" w:rsidRPr="00434C3A">
        <w:t xml:space="preserve"> </w:t>
      </w:r>
      <w:r w:rsidRPr="00434C3A">
        <w:t xml:space="preserve">the peak height of the radiation-only aged cables </w:t>
      </w:r>
      <w:r w:rsidR="00875864">
        <w:t>exhibits</w:t>
      </w:r>
      <w:r w:rsidR="00875864" w:rsidRPr="00434C3A">
        <w:t xml:space="preserve"> </w:t>
      </w:r>
      <w:r w:rsidRPr="00434C3A">
        <w:t xml:space="preserve">lower amplitudes. This may be likely imputed </w:t>
      </w:r>
      <w:proofErr w:type="gramStart"/>
      <w:r w:rsidRPr="00434C3A">
        <w:t>to</w:t>
      </w:r>
      <w:proofErr w:type="gramEnd"/>
      <w:r w:rsidRPr="00434C3A">
        <w:t xml:space="preserve"> the additional radicals formed in the crystalline area during the previous aging phase. These radicals require the </w:t>
      </w:r>
      <w:proofErr w:type="gramStart"/>
      <w:r w:rsidRPr="00434C3A">
        <w:t>aforementioned diffusion</w:t>
      </w:r>
      <w:proofErr w:type="gramEnd"/>
      <w:r w:rsidRPr="00434C3A">
        <w:t xml:space="preserve"> processes to occur in order to properly react, due to the post-irradiation effect.</w:t>
      </w:r>
    </w:p>
    <w:p w14:paraId="78FB4429" w14:textId="77777777" w:rsidR="005053DA" w:rsidRPr="00434C3A" w:rsidRDefault="005053DA" w:rsidP="005053DA">
      <w:r w:rsidRPr="00434C3A">
        <w:t xml:space="preserve">Similar reasoning may be extended to the peaks related to the other degradation groups (esters and alcohols), which are predominant in the samples after the DBE simulation. However, it is noteworthy </w:t>
      </w:r>
      <w:proofErr w:type="gramStart"/>
      <w:r w:rsidRPr="00434C3A">
        <w:t>that,</w:t>
      </w:r>
      <w:proofErr w:type="gramEnd"/>
      <w:r w:rsidRPr="00434C3A">
        <w:t xml:space="preserve"> these </w:t>
      </w:r>
      <w:r>
        <w:t xml:space="preserve">groups, </w:t>
      </w:r>
      <w:r w:rsidRPr="00434C3A">
        <w:t>even if likely related to aging, may be also created by the interaction of the chemical species (used in the spray and in the bath of phases #3 and 4) with the cable during the LOCA e post-LOCA treatment.</w:t>
      </w:r>
    </w:p>
    <w:p w14:paraId="5A72C4A4" w14:textId="6214572D" w:rsidR="005053DA" w:rsidRPr="00434C3A" w:rsidRDefault="00595E96" w:rsidP="005053DA">
      <w:pPr>
        <w:keepNext/>
        <w:jc w:val="center"/>
      </w:pPr>
      <w:r>
        <w:rPr>
          <w:noProof/>
          <w:snapToGrid/>
          <w14:ligatures w14:val="standardContextual"/>
        </w:rPr>
        <w:drawing>
          <wp:inline distT="0" distB="0" distL="0" distR="0" wp14:anchorId="41613835" wp14:editId="48F9D875">
            <wp:extent cx="2638269" cy="1978702"/>
            <wp:effectExtent l="0" t="0" r="0" b="2540"/>
            <wp:docPr id="4222201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22017" name=""/>
                    <pic:cNvPicPr/>
                  </pic:nvPicPr>
                  <pic:blipFill>
                    <a:blip r:embed="rId14">
                      <a:extLst>
                        <a:ext uri="{96DAC541-7B7A-43D3-8B79-37D633B846F1}">
                          <asvg:svgBlip xmlns:asvg="http://schemas.microsoft.com/office/drawing/2016/SVG/main" r:embed="rId15"/>
                        </a:ext>
                      </a:extLst>
                    </a:blip>
                    <a:stretch>
                      <a:fillRect/>
                    </a:stretch>
                  </pic:blipFill>
                  <pic:spPr>
                    <a:xfrm>
                      <a:off x="0" y="0"/>
                      <a:ext cx="2650426" cy="1987820"/>
                    </a:xfrm>
                    <a:prstGeom prst="rect">
                      <a:avLst/>
                    </a:prstGeom>
                  </pic:spPr>
                </pic:pic>
              </a:graphicData>
            </a:graphic>
          </wp:inline>
        </w:drawing>
      </w:r>
    </w:p>
    <w:p w14:paraId="5384BA32" w14:textId="2C6E2B5F" w:rsidR="005053DA" w:rsidRPr="005053DA" w:rsidRDefault="005053DA" w:rsidP="005053DA">
      <w:pPr>
        <w:pStyle w:val="Didascalia"/>
        <w:rPr>
          <w:lang w:val="en-US"/>
        </w:rPr>
      </w:pPr>
      <w:bookmarkStart w:id="6" w:name="_Ref184482041"/>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6</w:t>
      </w:r>
      <w:r w:rsidRPr="00434C3A">
        <w:rPr>
          <w:lang w:val="en-US"/>
        </w:rPr>
        <w:fldChar w:fldCharType="end"/>
      </w:r>
      <w:bookmarkEnd w:id="6"/>
      <w:r w:rsidRPr="00434C3A">
        <w:rPr>
          <w:lang w:val="en-US"/>
        </w:rPr>
        <w:t xml:space="preserve"> Normalized FTIR spectra related to Ketones, Esters and Alcohols groups for the different aging levels.</w:t>
      </w:r>
    </w:p>
    <w:p w14:paraId="40E623AB" w14:textId="761000AA" w:rsidR="00484158" w:rsidRPr="00434C3A" w:rsidRDefault="00484158" w:rsidP="00484158">
      <w:pPr>
        <w:pStyle w:val="Titolo3"/>
        <w:rPr>
          <w:lang w:eastAsia="en-US"/>
        </w:rPr>
      </w:pPr>
      <w:r w:rsidRPr="00434C3A">
        <w:rPr>
          <w:lang w:eastAsia="en-US"/>
        </w:rPr>
        <w:t>3.</w:t>
      </w:r>
      <w:r w:rsidR="00131C45" w:rsidRPr="00434C3A">
        <w:rPr>
          <w:lang w:eastAsia="en-US"/>
        </w:rPr>
        <w:t>1</w:t>
      </w:r>
      <w:r w:rsidRPr="00434C3A">
        <w:rPr>
          <w:lang w:eastAsia="en-US"/>
        </w:rPr>
        <w:t>.</w:t>
      </w:r>
      <w:r w:rsidR="005053DA">
        <w:rPr>
          <w:lang w:eastAsia="en-US"/>
        </w:rPr>
        <w:t>2</w:t>
      </w:r>
      <w:r w:rsidRPr="00434C3A">
        <w:rPr>
          <w:lang w:eastAsia="en-US"/>
        </w:rPr>
        <w:t xml:space="preserve"> DSC results</w:t>
      </w:r>
    </w:p>
    <w:p w14:paraId="6C55254F" w14:textId="43D3EC83" w:rsidR="00D60216" w:rsidRPr="00DF0952" w:rsidRDefault="00484158" w:rsidP="00484158">
      <w:pPr>
        <w:rPr>
          <w:color w:val="000000" w:themeColor="text1"/>
          <w:lang w:eastAsia="en-US"/>
        </w:rPr>
      </w:pPr>
      <w:r w:rsidRPr="00DF0952">
        <w:rPr>
          <w:color w:val="000000" w:themeColor="text1"/>
          <w:lang w:eastAsia="en-US"/>
        </w:rPr>
        <w:fldChar w:fldCharType="begin"/>
      </w:r>
      <w:r w:rsidRPr="00DF0952">
        <w:rPr>
          <w:color w:val="000000" w:themeColor="text1"/>
          <w:lang w:eastAsia="en-US"/>
        </w:rPr>
        <w:instrText xml:space="preserve"> REF _Ref184629476 \h </w:instrText>
      </w:r>
      <w:r w:rsidRPr="00DF0952">
        <w:rPr>
          <w:color w:val="000000" w:themeColor="text1"/>
          <w:lang w:eastAsia="en-US"/>
        </w:rPr>
      </w:r>
      <w:r w:rsidRPr="00DF0952">
        <w:rPr>
          <w:color w:val="000000" w:themeColor="text1"/>
          <w:lang w:eastAsia="en-US"/>
        </w:rPr>
        <w:fldChar w:fldCharType="separate"/>
      </w:r>
      <w:r w:rsidR="001D02A0" w:rsidRPr="00434C3A">
        <w:t xml:space="preserve">Figure </w:t>
      </w:r>
      <w:r w:rsidR="001D02A0">
        <w:rPr>
          <w:noProof/>
        </w:rPr>
        <w:t>7</w:t>
      </w:r>
      <w:r w:rsidRPr="00DF0952">
        <w:rPr>
          <w:color w:val="000000" w:themeColor="text1"/>
          <w:lang w:eastAsia="en-US"/>
        </w:rPr>
        <w:fldChar w:fldCharType="end"/>
      </w:r>
      <w:r w:rsidRPr="00DF0952">
        <w:rPr>
          <w:color w:val="000000" w:themeColor="text1"/>
          <w:lang w:eastAsia="en-US"/>
        </w:rPr>
        <w:t xml:space="preserve"> reports the thermograms obtained through DSC tests as a function of the different aging conditions</w:t>
      </w:r>
      <w:r w:rsidR="008D13A6" w:rsidRPr="00DF0952">
        <w:rPr>
          <w:color w:val="000000" w:themeColor="text1"/>
          <w:lang w:eastAsia="en-US"/>
        </w:rPr>
        <w:t>, for the first (</w:t>
      </w:r>
      <w:r w:rsidR="008D13A6" w:rsidRPr="00DF0952">
        <w:rPr>
          <w:color w:val="000000" w:themeColor="text1"/>
          <w:lang w:eastAsia="en-US"/>
        </w:rPr>
        <w:fldChar w:fldCharType="begin"/>
      </w:r>
      <w:r w:rsidR="008D13A6" w:rsidRPr="00DF0952">
        <w:rPr>
          <w:color w:val="000000" w:themeColor="text1"/>
          <w:lang w:eastAsia="en-US"/>
        </w:rPr>
        <w:instrText xml:space="preserve"> REF _Ref184629476 \h </w:instrText>
      </w:r>
      <w:r w:rsidR="008D13A6" w:rsidRPr="00DF0952">
        <w:rPr>
          <w:color w:val="000000" w:themeColor="text1"/>
          <w:lang w:eastAsia="en-US"/>
        </w:rPr>
      </w:r>
      <w:r w:rsidR="008D13A6" w:rsidRPr="00DF0952">
        <w:rPr>
          <w:color w:val="000000" w:themeColor="text1"/>
          <w:lang w:eastAsia="en-US"/>
        </w:rPr>
        <w:fldChar w:fldCharType="separate"/>
      </w:r>
      <w:r w:rsidR="001D02A0" w:rsidRPr="00434C3A">
        <w:t xml:space="preserve">Figure </w:t>
      </w:r>
      <w:r w:rsidR="001D02A0">
        <w:rPr>
          <w:noProof/>
        </w:rPr>
        <w:t>7</w:t>
      </w:r>
      <w:r w:rsidR="008D13A6" w:rsidRPr="00DF0952">
        <w:rPr>
          <w:color w:val="000000" w:themeColor="text1"/>
          <w:lang w:eastAsia="en-US"/>
        </w:rPr>
        <w:fldChar w:fldCharType="end"/>
      </w:r>
      <w:r w:rsidR="008D13A6" w:rsidRPr="00DF0952">
        <w:rPr>
          <w:color w:val="000000" w:themeColor="text1"/>
          <w:lang w:eastAsia="en-US"/>
        </w:rPr>
        <w:t>.a) and second (</w:t>
      </w:r>
      <w:r w:rsidR="008D13A6" w:rsidRPr="00DF0952">
        <w:rPr>
          <w:color w:val="000000" w:themeColor="text1"/>
          <w:lang w:eastAsia="en-US"/>
        </w:rPr>
        <w:fldChar w:fldCharType="begin"/>
      </w:r>
      <w:r w:rsidR="008D13A6" w:rsidRPr="00DF0952">
        <w:rPr>
          <w:color w:val="000000" w:themeColor="text1"/>
          <w:lang w:eastAsia="en-US"/>
        </w:rPr>
        <w:instrText xml:space="preserve"> REF _Ref184629476 \h </w:instrText>
      </w:r>
      <w:r w:rsidR="008D13A6" w:rsidRPr="00DF0952">
        <w:rPr>
          <w:color w:val="000000" w:themeColor="text1"/>
          <w:lang w:eastAsia="en-US"/>
        </w:rPr>
      </w:r>
      <w:r w:rsidR="008D13A6" w:rsidRPr="00DF0952">
        <w:rPr>
          <w:color w:val="000000" w:themeColor="text1"/>
          <w:lang w:eastAsia="en-US"/>
        </w:rPr>
        <w:fldChar w:fldCharType="separate"/>
      </w:r>
      <w:r w:rsidR="001D02A0" w:rsidRPr="00434C3A">
        <w:t xml:space="preserve">Figure </w:t>
      </w:r>
      <w:r w:rsidR="001D02A0">
        <w:rPr>
          <w:noProof/>
        </w:rPr>
        <w:t>7</w:t>
      </w:r>
      <w:r w:rsidR="008D13A6" w:rsidRPr="00DF0952">
        <w:rPr>
          <w:color w:val="000000" w:themeColor="text1"/>
          <w:lang w:eastAsia="en-US"/>
        </w:rPr>
        <w:fldChar w:fldCharType="end"/>
      </w:r>
      <w:r w:rsidR="008D13A6" w:rsidRPr="00DF0952">
        <w:rPr>
          <w:color w:val="000000" w:themeColor="text1"/>
          <w:lang w:eastAsia="en-US"/>
        </w:rPr>
        <w:t>.b)</w:t>
      </w:r>
      <w:r w:rsidR="00D60216" w:rsidRPr="00DF0952">
        <w:rPr>
          <w:color w:val="000000" w:themeColor="text1"/>
          <w:lang w:eastAsia="en-US"/>
        </w:rPr>
        <w:t xml:space="preserve"> heating scans.</w:t>
      </w:r>
      <w:r w:rsidR="001131F7" w:rsidRPr="00DF0952">
        <w:rPr>
          <w:color w:val="000000" w:themeColor="text1"/>
          <w:lang w:eastAsia="en-US"/>
        </w:rPr>
        <w:t xml:space="preserve"> </w:t>
      </w:r>
    </w:p>
    <w:p w14:paraId="2386C526" w14:textId="4E5C3E77" w:rsidR="001131F7" w:rsidRPr="00DF0952" w:rsidRDefault="001131F7" w:rsidP="001131F7">
      <w:pPr>
        <w:rPr>
          <w:color w:val="000000" w:themeColor="text1"/>
          <w:lang w:eastAsia="en-US"/>
        </w:rPr>
      </w:pPr>
      <w:r w:rsidRPr="00DF0952">
        <w:rPr>
          <w:color w:val="000000" w:themeColor="text1"/>
          <w:lang w:eastAsia="en-US"/>
        </w:rPr>
        <w:t xml:space="preserve">For the sake of this work, it has been chosen to </w:t>
      </w:r>
      <w:r w:rsidR="00192EF2" w:rsidRPr="00DF0952">
        <w:rPr>
          <w:color w:val="000000" w:themeColor="text1"/>
          <w:lang w:eastAsia="en-US"/>
        </w:rPr>
        <w:t>provide</w:t>
      </w:r>
      <w:r w:rsidR="00C85FF0" w:rsidRPr="00DF0952">
        <w:rPr>
          <w:color w:val="000000" w:themeColor="text1"/>
          <w:lang w:eastAsia="en-US"/>
        </w:rPr>
        <w:t xml:space="preserve"> more detailed analysis on the thermographs related to the first scan</w:t>
      </w:r>
      <w:r w:rsidRPr="00DF0952">
        <w:rPr>
          <w:color w:val="000000" w:themeColor="text1"/>
          <w:lang w:eastAsia="en-US"/>
        </w:rPr>
        <w:t xml:space="preserve">, which, as reported in the experimental setup section, </w:t>
      </w:r>
      <w:r w:rsidR="00C85FF0" w:rsidRPr="00DF0952">
        <w:rPr>
          <w:color w:val="000000" w:themeColor="text1"/>
          <w:lang w:eastAsia="en-US"/>
        </w:rPr>
        <w:t>refers</w:t>
      </w:r>
      <w:r w:rsidRPr="00DF0952">
        <w:rPr>
          <w:color w:val="000000" w:themeColor="text1"/>
          <w:lang w:eastAsia="en-US"/>
        </w:rPr>
        <w:t xml:space="preserve"> to both permanent and nonpermanent modifications within the material. </w:t>
      </w:r>
      <w:r w:rsidR="00C85FF0" w:rsidRPr="00DF0952">
        <w:rPr>
          <w:color w:val="000000" w:themeColor="text1"/>
          <w:lang w:eastAsia="en-US"/>
        </w:rPr>
        <w:t xml:space="preserve">This reasoning stands </w:t>
      </w:r>
      <w:r w:rsidR="008F0495" w:rsidRPr="00DF0952">
        <w:rPr>
          <w:color w:val="000000" w:themeColor="text1"/>
          <w:lang w:eastAsia="en-US"/>
        </w:rPr>
        <w:t xml:space="preserve">as the aim of this article is to investigate the aging development of cable materials. Nonetheless, </w:t>
      </w:r>
      <w:r w:rsidR="00117ED1" w:rsidRPr="00DF0952">
        <w:rPr>
          <w:color w:val="000000" w:themeColor="text1"/>
          <w:lang w:eastAsia="en-US"/>
        </w:rPr>
        <w:t xml:space="preserve">information arising from the </w:t>
      </w:r>
      <w:r w:rsidR="00F01E43" w:rsidRPr="00DF0952">
        <w:rPr>
          <w:color w:val="000000" w:themeColor="text1"/>
          <w:lang w:eastAsia="en-US"/>
        </w:rPr>
        <w:t xml:space="preserve">second heating scan </w:t>
      </w:r>
      <w:r w:rsidR="00121ECA" w:rsidRPr="00DF0952">
        <w:rPr>
          <w:color w:val="000000" w:themeColor="text1"/>
          <w:lang w:eastAsia="en-US"/>
        </w:rPr>
        <w:t xml:space="preserve">may highlight the contribution of permanent modifications due to aging. This is of particular interest in the case of radiation aging, as </w:t>
      </w:r>
      <w:r w:rsidR="008029FD" w:rsidRPr="00DF0952">
        <w:rPr>
          <w:color w:val="000000" w:themeColor="text1"/>
          <w:lang w:eastAsia="en-US"/>
        </w:rPr>
        <w:t>one o</w:t>
      </w:r>
      <w:r w:rsidR="00C90440" w:rsidRPr="00DF0952">
        <w:rPr>
          <w:color w:val="000000" w:themeColor="text1"/>
          <w:lang w:eastAsia="en-US"/>
        </w:rPr>
        <w:t xml:space="preserve">f its main </w:t>
      </w:r>
      <w:r w:rsidR="003D5277" w:rsidRPr="00DF0952">
        <w:rPr>
          <w:color w:val="000000" w:themeColor="text1"/>
          <w:lang w:eastAsia="en-US"/>
        </w:rPr>
        <w:t>effects</w:t>
      </w:r>
      <w:r w:rsidR="00C90440" w:rsidRPr="00DF0952">
        <w:rPr>
          <w:color w:val="000000" w:themeColor="text1"/>
          <w:lang w:eastAsia="en-US"/>
        </w:rPr>
        <w:t xml:space="preserve"> is </w:t>
      </w:r>
      <w:r w:rsidR="00C26204" w:rsidRPr="00DF0952">
        <w:rPr>
          <w:color w:val="000000" w:themeColor="text1"/>
          <w:lang w:eastAsia="en-US"/>
        </w:rPr>
        <w:t>crystal</w:t>
      </w:r>
      <w:r w:rsidR="00C90440" w:rsidRPr="00DF0952">
        <w:rPr>
          <w:color w:val="000000" w:themeColor="text1"/>
          <w:lang w:eastAsia="en-US"/>
        </w:rPr>
        <w:t xml:space="preserve"> destruction due to the high transfer of energy.</w:t>
      </w:r>
    </w:p>
    <w:p w14:paraId="57F33A53" w14:textId="5EA28C67" w:rsidR="00484158" w:rsidRPr="00434C3A" w:rsidRDefault="00484158" w:rsidP="00484158">
      <w:pPr>
        <w:rPr>
          <w:lang w:eastAsia="en-US"/>
        </w:rPr>
      </w:pPr>
      <w:r w:rsidRPr="00DF0952">
        <w:rPr>
          <w:color w:val="000000" w:themeColor="text1"/>
          <w:lang w:eastAsia="en-US"/>
        </w:rPr>
        <w:t>From the figure</w:t>
      </w:r>
      <w:r w:rsidR="001131F7" w:rsidRPr="00DF0952">
        <w:rPr>
          <w:color w:val="000000" w:themeColor="text1"/>
          <w:lang w:eastAsia="en-US"/>
        </w:rPr>
        <w:t xml:space="preserve"> related to the first heating</w:t>
      </w:r>
      <w:r w:rsidRPr="00DF0952">
        <w:rPr>
          <w:color w:val="000000" w:themeColor="text1"/>
          <w:lang w:eastAsia="en-US"/>
        </w:rPr>
        <w:t xml:space="preserve">, it is evident how the aging treatment deeply </w:t>
      </w:r>
      <w:r w:rsidR="00D63F9C" w:rsidRPr="00DF0952">
        <w:rPr>
          <w:color w:val="000000" w:themeColor="text1"/>
          <w:lang w:eastAsia="en-US"/>
        </w:rPr>
        <w:t>influences</w:t>
      </w:r>
      <w:r w:rsidRPr="00DF0952">
        <w:rPr>
          <w:color w:val="000000" w:themeColor="text1"/>
          <w:lang w:eastAsia="en-US"/>
        </w:rPr>
        <w:t xml:space="preserve"> </w:t>
      </w:r>
      <w:r w:rsidR="001131F7" w:rsidRPr="00DF0952">
        <w:rPr>
          <w:color w:val="000000" w:themeColor="text1"/>
          <w:lang w:eastAsia="en-US"/>
        </w:rPr>
        <w:t>crystalline</w:t>
      </w:r>
      <w:r w:rsidRPr="00DF0952">
        <w:rPr>
          <w:color w:val="000000" w:themeColor="text1"/>
          <w:lang w:eastAsia="en-US"/>
        </w:rPr>
        <w:t xml:space="preserve"> arrangement within the polymer matrix. As an example, for the unaged material, one can highlight the contribution of three main peaks </w:t>
      </w:r>
      <w:r w:rsidR="002345D2" w:rsidRPr="00DF0952">
        <w:rPr>
          <w:color w:val="000000" w:themeColor="text1"/>
          <w:lang w:eastAsia="en-US"/>
        </w:rPr>
        <w:t xml:space="preserve">occurring </w:t>
      </w:r>
      <w:r w:rsidRPr="00DF0952">
        <w:rPr>
          <w:color w:val="000000" w:themeColor="text1"/>
          <w:lang w:eastAsia="en-US"/>
        </w:rPr>
        <w:t xml:space="preserve">at ~50°C, 100°C and 120°C. This suggests that </w:t>
      </w:r>
      <w:r w:rsidR="00366F85" w:rsidRPr="00DF0952">
        <w:rPr>
          <w:color w:val="000000" w:themeColor="text1"/>
          <w:lang w:eastAsia="en-US"/>
        </w:rPr>
        <w:t xml:space="preserve">either </w:t>
      </w:r>
      <w:r w:rsidRPr="00DF0952">
        <w:rPr>
          <w:color w:val="000000" w:themeColor="text1"/>
          <w:lang w:eastAsia="en-US"/>
        </w:rPr>
        <w:t xml:space="preserve">the polymer matrix features a complex crystalline structure with </w:t>
      </w:r>
      <w:proofErr w:type="gramStart"/>
      <w:r w:rsidRPr="00DF0952">
        <w:rPr>
          <w:color w:val="000000" w:themeColor="text1"/>
          <w:lang w:eastAsia="en-US"/>
        </w:rPr>
        <w:t>crystallites</w:t>
      </w:r>
      <w:proofErr w:type="gramEnd"/>
      <w:r w:rsidRPr="00DF0952">
        <w:rPr>
          <w:color w:val="000000" w:themeColor="text1"/>
          <w:lang w:eastAsia="en-US"/>
        </w:rPr>
        <w:t xml:space="preserve"> of different </w:t>
      </w:r>
      <w:proofErr w:type="gramStart"/>
      <w:r w:rsidRPr="00DF0952">
        <w:rPr>
          <w:color w:val="000000" w:themeColor="text1"/>
          <w:lang w:eastAsia="en-US"/>
        </w:rPr>
        <w:t>sizes</w:t>
      </w:r>
      <w:proofErr w:type="gramEnd"/>
      <w:r w:rsidR="00366F85" w:rsidRPr="00DF0952">
        <w:rPr>
          <w:color w:val="000000" w:themeColor="text1"/>
          <w:lang w:eastAsia="en-US"/>
        </w:rPr>
        <w:t xml:space="preserve"> or</w:t>
      </w:r>
      <w:r w:rsidR="00C26D34" w:rsidRPr="00DF0952">
        <w:rPr>
          <w:color w:val="000000" w:themeColor="text1"/>
          <w:lang w:eastAsia="en-US"/>
        </w:rPr>
        <w:t xml:space="preserve"> the polymer underwent a dynamic reorganization effect during the first heating</w:t>
      </w:r>
      <w:r w:rsidR="00A0689D" w:rsidRPr="00DF0952">
        <w:rPr>
          <w:color w:val="000000" w:themeColor="text1"/>
          <w:lang w:eastAsia="en-US"/>
        </w:rPr>
        <w:t xml:space="preserve"> ramp</w:t>
      </w:r>
      <w:r w:rsidRPr="00DF0952">
        <w:rPr>
          <w:color w:val="000000" w:themeColor="text1"/>
          <w:lang w:eastAsia="en-US"/>
        </w:rPr>
        <w:t xml:space="preserve">. </w:t>
      </w:r>
      <w:r w:rsidR="00D63F9C" w:rsidRPr="00DF0952">
        <w:rPr>
          <w:color w:val="000000" w:themeColor="text1"/>
          <w:lang w:eastAsia="en-US"/>
        </w:rPr>
        <w:t>In the case of radiation-only (RA) aging, t</w:t>
      </w:r>
      <w:r w:rsidRPr="00DF0952">
        <w:rPr>
          <w:color w:val="000000" w:themeColor="text1"/>
          <w:lang w:eastAsia="en-US"/>
        </w:rPr>
        <w:t>hese peaks are then convoluted into a unique peak modifying the heat flow trend over temperatures.</w:t>
      </w:r>
      <w:r w:rsidR="00D63F9C" w:rsidRPr="00DF0952">
        <w:rPr>
          <w:color w:val="000000" w:themeColor="text1"/>
          <w:lang w:eastAsia="en-US"/>
        </w:rPr>
        <w:t xml:space="preserve"> </w:t>
      </w:r>
      <w:r w:rsidR="00896490" w:rsidRPr="00DF0952">
        <w:rPr>
          <w:color w:val="000000" w:themeColor="text1"/>
          <w:lang w:eastAsia="en-US"/>
        </w:rPr>
        <w:t xml:space="preserve">The </w:t>
      </w:r>
      <w:r w:rsidR="00BD7A5F" w:rsidRPr="00DF0952">
        <w:rPr>
          <w:color w:val="000000" w:themeColor="text1"/>
          <w:lang w:eastAsia="en-US"/>
        </w:rPr>
        <w:t>co</w:t>
      </w:r>
      <w:r w:rsidR="00BD7A5F">
        <w:rPr>
          <w:lang w:eastAsia="en-US"/>
        </w:rPr>
        <w:t xml:space="preserve">mbined effect of temperature and radiation </w:t>
      </w:r>
      <w:r w:rsidR="00896490">
        <w:rPr>
          <w:lang w:eastAsia="en-US"/>
        </w:rPr>
        <w:t xml:space="preserve">(TA/RA) further modifies the trend over temperatures showing </w:t>
      </w:r>
      <w:r w:rsidR="00013EB9">
        <w:rPr>
          <w:lang w:eastAsia="en-US"/>
        </w:rPr>
        <w:t xml:space="preserve">a different convolution of peaks with a sharper shape. This suggests that the </w:t>
      </w:r>
      <w:r w:rsidR="00AC4704">
        <w:rPr>
          <w:lang w:eastAsia="en-US"/>
        </w:rPr>
        <w:t xml:space="preserve">distribution </w:t>
      </w:r>
      <w:r w:rsidR="00B170B0">
        <w:rPr>
          <w:lang w:eastAsia="en-US"/>
        </w:rPr>
        <w:t xml:space="preserve">in size </w:t>
      </w:r>
      <w:r w:rsidR="00AC4704">
        <w:rPr>
          <w:lang w:eastAsia="en-US"/>
        </w:rPr>
        <w:t xml:space="preserve">of crystallites </w:t>
      </w:r>
      <w:r w:rsidR="00B170B0">
        <w:rPr>
          <w:lang w:eastAsia="en-US"/>
        </w:rPr>
        <w:t>is</w:t>
      </w:r>
      <w:r w:rsidR="00AC4704">
        <w:rPr>
          <w:lang w:eastAsia="en-US"/>
        </w:rPr>
        <w:t xml:space="preserve"> more homogenous</w:t>
      </w:r>
      <w:r w:rsidR="00B170B0">
        <w:rPr>
          <w:lang w:eastAsia="en-US"/>
        </w:rPr>
        <w:t>.</w:t>
      </w:r>
    </w:p>
    <w:p w14:paraId="29116EE0" w14:textId="30825166" w:rsidR="00484158" w:rsidRPr="00DF0952" w:rsidRDefault="00DE2A0C" w:rsidP="00484158">
      <w:pPr>
        <w:rPr>
          <w:color w:val="000000" w:themeColor="text1"/>
          <w:lang w:eastAsia="en-US"/>
        </w:rPr>
      </w:pPr>
      <w:r>
        <w:rPr>
          <w:lang w:eastAsia="en-US"/>
        </w:rPr>
        <w:lastRenderedPageBreak/>
        <w:t xml:space="preserve">The modification of the crystallite distribution is likely imputable to the </w:t>
      </w:r>
      <w:proofErr w:type="spellStart"/>
      <w:r>
        <w:rPr>
          <w:lang w:eastAsia="en-US"/>
        </w:rPr>
        <w:t>c</w:t>
      </w:r>
      <w:r w:rsidR="00484158" w:rsidRPr="00434C3A">
        <w:rPr>
          <w:lang w:eastAsia="en-US"/>
        </w:rPr>
        <w:t>hemi</w:t>
      </w:r>
      <w:proofErr w:type="spellEnd"/>
      <w:r w:rsidR="00484158" w:rsidRPr="00434C3A">
        <w:rPr>
          <w:lang w:eastAsia="en-US"/>
        </w:rPr>
        <w:t>-crystallization</w:t>
      </w:r>
      <w:r w:rsidR="00CB62AC">
        <w:rPr>
          <w:lang w:eastAsia="en-US"/>
        </w:rPr>
        <w:t xml:space="preserve"> </w:t>
      </w:r>
      <w:r w:rsidR="00CB62AC">
        <w:rPr>
          <w:lang w:eastAsia="en-US"/>
        </w:rPr>
        <w:fldChar w:fldCharType="begin"/>
      </w:r>
      <w:r w:rsidR="00C64E22">
        <w:rPr>
          <w:lang w:eastAsia="en-US"/>
        </w:rPr>
        <w:instrText xml:space="preserve"> ADDIN ZOTERO_ITEM CSL_CITATION {"citationID":"KLgsHuK4","properties":{"formattedCitation":"[26]","plainCitation":"[26]","noteIndex":0},"citationItems":[{"id":69,"uris":["http://zotero.org/users/6147595/items/5J5RVCVE"],"itemData":{"id":69,"type":"article-journal","abstract":"Injection moulded bars have been made from virgin polypropylene and from blends containing recycled photo-degraded polypropylene, then subjected to further ultraviolet (UV) exposure. Crystallinity measurements have been made at different depths from the exposed surface using X-ray diffraction and differential scanning calorimetry. Strong evidence for chemi-crystallization is provided for the photo-degraded samples. The crystallinity results are interpreted in terms of molecular scission and photo-initiated molecular defects. Scission leads to greater crystallizability and accounts for the observed chemi-crystallization. Molecular defects inhibit crystallization and eventually limit chemi-crystallization, as observed with a blend containing 75% virgin material and 25% recycled photo-degraded polymer after further UV exposure.","container-title":"Polymer","DOI":"10.1016/j.polymer.2004.11.019","ISSN":"00323861","issue":"2","journalAbbreviation":"Polymer","language":"en","page":"505-512","source":"DOI.org (Crossref)","title":"Crystallization and chemi-crystallization of recycled photo-degraded polypropylene","volume":"46","author":[{"family":"Craig","given":"I.H."},{"family":"White","given":"J.R."},{"family":"Kin","given":"Phua Chai"}],"issued":{"date-parts":[["2005",1]]}}}],"schema":"https://github.com/citation-style-language/schema/raw/master/csl-citation.json"} </w:instrText>
      </w:r>
      <w:r w:rsidR="00CB62AC">
        <w:rPr>
          <w:lang w:eastAsia="en-US"/>
        </w:rPr>
        <w:fldChar w:fldCharType="separate"/>
      </w:r>
      <w:r w:rsidR="00C64E22" w:rsidRPr="00C64E22">
        <w:rPr>
          <w:rFonts w:cs="Arial"/>
        </w:rPr>
        <w:t>[26]</w:t>
      </w:r>
      <w:r w:rsidR="00CB62AC">
        <w:rPr>
          <w:lang w:eastAsia="en-US"/>
        </w:rPr>
        <w:fldChar w:fldCharType="end"/>
      </w:r>
      <w:r>
        <w:rPr>
          <w:lang w:eastAsia="en-US"/>
        </w:rPr>
        <w:t xml:space="preserve">. </w:t>
      </w:r>
      <w:r w:rsidR="00875864">
        <w:rPr>
          <w:lang w:eastAsia="en-US"/>
        </w:rPr>
        <w:t xml:space="preserve">Indeed this </w:t>
      </w:r>
      <w:r w:rsidR="00484158" w:rsidRPr="00434C3A">
        <w:rPr>
          <w:lang w:eastAsia="en-US"/>
        </w:rPr>
        <w:t xml:space="preserve"> is one of the </w:t>
      </w:r>
      <w:r w:rsidR="00484158" w:rsidRPr="00DF0952">
        <w:rPr>
          <w:color w:val="000000" w:themeColor="text1"/>
          <w:lang w:eastAsia="en-US"/>
        </w:rPr>
        <w:t>main phenomena to consider</w:t>
      </w:r>
      <w:r w:rsidRPr="00DF0952">
        <w:rPr>
          <w:color w:val="000000" w:themeColor="text1"/>
          <w:lang w:eastAsia="en-US"/>
        </w:rPr>
        <w:t xml:space="preserve"> in the case of radiation aging</w:t>
      </w:r>
      <w:r w:rsidR="00484158" w:rsidRPr="00DF0952">
        <w:rPr>
          <w:color w:val="000000" w:themeColor="text1"/>
          <w:lang w:eastAsia="en-US"/>
        </w:rPr>
        <w:t xml:space="preserve">, as microstructural modifications </w:t>
      </w:r>
      <w:r w:rsidR="00875864" w:rsidRPr="00DF0952">
        <w:rPr>
          <w:color w:val="000000" w:themeColor="text1"/>
          <w:lang w:eastAsia="en-US"/>
        </w:rPr>
        <w:t xml:space="preserve">occurs more frequently </w:t>
      </w:r>
      <w:r w:rsidR="00484158" w:rsidRPr="00DF0952">
        <w:rPr>
          <w:color w:val="000000" w:themeColor="text1"/>
          <w:lang w:eastAsia="en-US"/>
        </w:rPr>
        <w:t xml:space="preserve">than </w:t>
      </w:r>
      <w:r w:rsidR="00875864" w:rsidRPr="00DF0952">
        <w:rPr>
          <w:color w:val="000000" w:themeColor="text1"/>
          <w:lang w:eastAsia="en-US"/>
        </w:rPr>
        <w:t xml:space="preserve">with </w:t>
      </w:r>
      <w:r w:rsidR="00484158" w:rsidRPr="00DF0952">
        <w:rPr>
          <w:color w:val="000000" w:themeColor="text1"/>
          <w:lang w:eastAsia="en-US"/>
        </w:rPr>
        <w:t>thermo-oxidation</w:t>
      </w:r>
      <w:r w:rsidR="00305BA0" w:rsidRPr="00DF0952">
        <w:rPr>
          <w:color w:val="000000" w:themeColor="text1"/>
          <w:lang w:eastAsia="en-US"/>
        </w:rPr>
        <w:t xml:space="preserve"> </w:t>
      </w:r>
      <w:r w:rsidR="00305BA0" w:rsidRPr="00DF0952">
        <w:rPr>
          <w:color w:val="000000" w:themeColor="text1"/>
          <w:lang w:eastAsia="en-US"/>
        </w:rPr>
        <w:fldChar w:fldCharType="begin"/>
      </w:r>
      <w:r w:rsidR="00C64E22" w:rsidRPr="00DF0952">
        <w:rPr>
          <w:color w:val="000000" w:themeColor="text1"/>
          <w:lang w:eastAsia="en-US"/>
        </w:rPr>
        <w:instrText xml:space="preserve"> ADDIN ZOTERO_ITEM CSL_CITATION {"citationID":"MH6t5g80","properties":{"formattedCitation":"[21], [27]","plainCitation":"[21], [27]","noteIndex":0},"citationItems":[{"id":"QKt2LedQ/Hm9JqwPD","uris":["http://zotero.org/users/6147595/items/DGDTXURN"],"itemData":{"id":1731,"type":"article-journal","abstract":"Polymer aging under combined radiation-thermal oxidative conditions is intrinsically more convoluted than traditional thermal degradation. Accelerated aging methods for predictive purposes have to include thermal as well as radiative degradation pathways that initially may be regarded as independent parallel processes without additional synergism. Material aging is therefore represented as the sum of a thermal and radiative contribution. Data from accelerated aging may be available as dose to equivalent damage (DED) or degradation rates, yet they require different analytical approaches to yield the underlying temperature dependence and its activation energy. Further, kinetic models that embrace combined pathways can offer guidance for extrapolation of accelerated to ambient conditions, enabling the prediction of material aging behavior or remaining performance margins for requalification purposes. The existing theoretical approaches, their implications and an alternative option for globally fitting experimental data sets to kinetic aging models for combined environments are reviewed. This overview offers a pragmatic approach towards an expanded interpretation of oxidation rate and aging data properties for combined environments, all the way to time-dependence for rates and synergistic contributions. Further evidence is provided that for some material behaviors an additional Ea for the radiative term under high dose rate conditions could be beneficial, as similarly expressed by increases in a synergistic interaction parameter. Improved kinetic aging models are derived and applied to a comprehensive set of experimental oxidation rates for a chlorosulfonated polyethylene material. Emphasized is also the issue that initial oxidation rates versus superposition of oxidation levels (integrated rates) may result in slightly different thermal Ea values through added time dependency. Constant oxidation rates relate to an exponential decay in elongation at break data. Aging predictions can be improved through measured oxidation rates, a systematic understanding of material behavior over a large dose rate - temperature regime, and application of an appropriate aging model. The most general aging model will contain a radiative Ea, time-dependence of rate, and added synergism that may grow with temperature.","container-title":"Polymer Degradation and Stability","DOI":"10.1016/j.polymdegradstab.2019.06.007","ISSN":"0141-3910","journalAbbreviation":"Polymer Degradation and Stability","language":"en","page":"353-378","source":"ScienceDirect","title":"Overview of accelerated aging and polymer degradation kinetics for combined radiation-thermal environments","volume":"166","author":[{"family":"Celina","given":"Mathew"},{"family":"Linde","given":"Erik"},{"family":"Brunson","given":"Douglas"},{"family":"Quintana","given":"Adam"},{"family":"Giron","given":"Nicholas"}],"issued":{"date-parts":[["2019",8,1]]}}},{"id":144,"uris":["http://zotero.org/users/6147595/items/K85XR6FV"],"itemData":{"id":144,"type":"article-journal","container-title":"Radiation Physics and Chemistry","DOI":"10.1016/j.radphyschem.2021.109486","ISSN":"0969806X","journalAbbreviation":"Radiation Physics and Chemistry","language":"en","page":"109486","source":"DOI.org (Crossref)","title":"Aging Mechanisms of Filled Cross-linked Polyethylene (XLPE) Cable Insulation Material Exposed to Simultaneous Thermal and Gamma Radiation","author":[{"family":"Liu","given":"Shuaishuai"},{"family":"Fifield","given":"Leonard S."},{"family":"Bowler","given":"Nicola"}],"issued":{"date-parts":[["2021",4]]}}}],"schema":"https://github.com/citation-style-language/schema/raw/master/csl-citation.json"} </w:instrText>
      </w:r>
      <w:r w:rsidR="00305BA0" w:rsidRPr="00DF0952">
        <w:rPr>
          <w:color w:val="000000" w:themeColor="text1"/>
          <w:lang w:eastAsia="en-US"/>
        </w:rPr>
        <w:fldChar w:fldCharType="separate"/>
      </w:r>
      <w:r w:rsidR="00C64E22" w:rsidRPr="00DF0952">
        <w:rPr>
          <w:rFonts w:cs="Arial"/>
          <w:color w:val="000000" w:themeColor="text1"/>
        </w:rPr>
        <w:t>[21], [27]</w:t>
      </w:r>
      <w:r w:rsidR="00305BA0" w:rsidRPr="00DF0952">
        <w:rPr>
          <w:color w:val="000000" w:themeColor="text1"/>
          <w:lang w:eastAsia="en-US"/>
        </w:rPr>
        <w:fldChar w:fldCharType="end"/>
      </w:r>
      <w:r w:rsidR="00484158" w:rsidRPr="00DF0952">
        <w:rPr>
          <w:color w:val="000000" w:themeColor="text1"/>
          <w:lang w:eastAsia="en-US"/>
        </w:rPr>
        <w:t xml:space="preserve">. The reason for that is usually found in the low interaction time within the active particles and radicals which tend to quickly bond together rather than </w:t>
      </w:r>
      <w:r w:rsidR="00D15771" w:rsidRPr="00DF0952">
        <w:rPr>
          <w:color w:val="000000" w:themeColor="text1"/>
          <w:lang w:eastAsia="en-US"/>
        </w:rPr>
        <w:t>bond</w:t>
      </w:r>
      <w:r w:rsidR="00484158" w:rsidRPr="00DF0952">
        <w:rPr>
          <w:color w:val="000000" w:themeColor="text1"/>
          <w:lang w:eastAsia="en-US"/>
        </w:rPr>
        <w:t xml:space="preserve"> with environmental oxygen. During </w:t>
      </w:r>
      <w:proofErr w:type="spellStart"/>
      <w:r w:rsidR="00484158" w:rsidRPr="00DF0952">
        <w:rPr>
          <w:color w:val="000000" w:themeColor="text1"/>
          <w:lang w:eastAsia="en-US"/>
        </w:rPr>
        <w:t>chemi</w:t>
      </w:r>
      <w:proofErr w:type="spellEnd"/>
      <w:r w:rsidR="00484158" w:rsidRPr="00DF0952">
        <w:rPr>
          <w:color w:val="000000" w:themeColor="text1"/>
          <w:lang w:eastAsia="en-US"/>
        </w:rPr>
        <w:t xml:space="preserve">-crystallization, the broken chains arising from the chain scission tend to accumulate close to crystallites which act as </w:t>
      </w:r>
      <w:r w:rsidR="00484158" w:rsidRPr="00DF0952">
        <w:rPr>
          <w:i/>
          <w:iCs/>
          <w:color w:val="000000" w:themeColor="text1"/>
          <w:lang w:eastAsia="en-US"/>
        </w:rPr>
        <w:t>nucleating agents</w:t>
      </w:r>
      <w:r w:rsidR="00484158" w:rsidRPr="00DF0952">
        <w:rPr>
          <w:color w:val="000000" w:themeColor="text1"/>
          <w:lang w:eastAsia="en-US"/>
        </w:rPr>
        <w:t xml:space="preserve">, resulting in </w:t>
      </w:r>
      <w:r w:rsidR="00356966" w:rsidRPr="00DF0952">
        <w:rPr>
          <w:color w:val="000000" w:themeColor="text1"/>
          <w:lang w:eastAsia="en-US"/>
        </w:rPr>
        <w:t>an</w:t>
      </w:r>
      <w:r w:rsidR="00484158" w:rsidRPr="00DF0952">
        <w:rPr>
          <w:color w:val="000000" w:themeColor="text1"/>
          <w:lang w:eastAsia="en-US"/>
        </w:rPr>
        <w:t xml:space="preserve"> increase of crystal sizes. </w:t>
      </w:r>
      <w:r w:rsidR="00356966" w:rsidRPr="00DF0952">
        <w:rPr>
          <w:color w:val="000000" w:themeColor="text1"/>
          <w:lang w:eastAsia="en-US"/>
        </w:rPr>
        <w:t xml:space="preserve">On a larger scale, this leads to a decline in the polymer's plastic properties and causes it to become mechanically brittle. </w:t>
      </w:r>
      <w:r w:rsidR="00484158" w:rsidRPr="00DF0952">
        <w:rPr>
          <w:color w:val="000000" w:themeColor="text1"/>
          <w:lang w:eastAsia="en-US"/>
        </w:rPr>
        <w:t xml:space="preserve">As a result, a polymer which underwent radiation aging usually exhibits higher values of crystallinity than the value of the unaged material </w:t>
      </w:r>
      <w:r w:rsidR="00305BA0" w:rsidRPr="00DF0952">
        <w:rPr>
          <w:color w:val="000000" w:themeColor="text1"/>
          <w:lang w:eastAsia="en-US"/>
        </w:rPr>
        <w:fldChar w:fldCharType="begin"/>
      </w:r>
      <w:r w:rsidR="00C64E22" w:rsidRPr="00DF0952">
        <w:rPr>
          <w:color w:val="000000" w:themeColor="text1"/>
          <w:lang w:eastAsia="en-US"/>
        </w:rPr>
        <w:instrText xml:space="preserve"> ADDIN ZOTERO_ITEM CSL_CITATION {"citationID":"7v9TWUpg","properties":{"formattedCitation":"[28]","plainCitation":"[28]","noteIndex":0},"citationItems":[{"id":176,"uris":["http://zotero.org/users/6147595/items/RF2NCTQM"],"itemData":{"id":176,"type":"article-journal","container-title":"Polymer Degradation and Stability","DOI":"10.1016/j.polymdegradstab.2021.109492","ISSN":"01413910","journalAbbreviation":"Polymer Degradation and Stability","language":"en","page":"109492","source":"DOI.org (Crossref)","title":"A new analytical model for predicting the radio-thermal oxidation kinetics and the lifetime of electric cable insulation in nuclear power plants. application to silane cross-linked polyethylene","volume":"185","author":[{"family":"Hettal","given":"Sarah"},{"family":"Roland","given":"Sébastien"},{"family":"Sipila","given":"Konsta"},{"family":"Joki","given":"Harri"},{"family":"Colin","given":"Xavier"}],"issued":{"date-parts":[["2021",3]]}}}],"schema":"https://github.com/citation-style-language/schema/raw/master/csl-citation.json"} </w:instrText>
      </w:r>
      <w:r w:rsidR="00305BA0" w:rsidRPr="00DF0952">
        <w:rPr>
          <w:color w:val="000000" w:themeColor="text1"/>
          <w:lang w:eastAsia="en-US"/>
        </w:rPr>
        <w:fldChar w:fldCharType="separate"/>
      </w:r>
      <w:r w:rsidR="00C64E22" w:rsidRPr="00DF0952">
        <w:rPr>
          <w:rFonts w:cs="Arial"/>
          <w:color w:val="000000" w:themeColor="text1"/>
        </w:rPr>
        <w:t>[28]</w:t>
      </w:r>
      <w:r w:rsidR="00305BA0" w:rsidRPr="00DF0952">
        <w:rPr>
          <w:color w:val="000000" w:themeColor="text1"/>
          <w:lang w:eastAsia="en-US"/>
        </w:rPr>
        <w:fldChar w:fldCharType="end"/>
      </w:r>
      <w:r w:rsidR="00484158" w:rsidRPr="00DF0952">
        <w:rPr>
          <w:color w:val="000000" w:themeColor="text1"/>
          <w:lang w:eastAsia="en-US"/>
        </w:rPr>
        <w:t xml:space="preserve">. Normally, this would not </w:t>
      </w:r>
      <w:r w:rsidR="0037452D" w:rsidRPr="00DF0952">
        <w:rPr>
          <w:color w:val="000000" w:themeColor="text1"/>
          <w:lang w:eastAsia="en-US"/>
        </w:rPr>
        <w:t>impact on</w:t>
      </w:r>
      <w:r w:rsidR="00484158" w:rsidRPr="00DF0952">
        <w:rPr>
          <w:color w:val="000000" w:themeColor="text1"/>
          <w:lang w:eastAsia="en-US"/>
        </w:rPr>
        <w:t xml:space="preserve"> the thermal stability of the crystalline phase, keeping the melting point close to the unaged value. This reasoning perfectly fits with the results obtained by analyzing the thermograms (</w:t>
      </w:r>
      <w:r w:rsidR="00484158" w:rsidRPr="00DF0952">
        <w:rPr>
          <w:color w:val="000000" w:themeColor="text1"/>
          <w:lang w:eastAsia="en-US"/>
        </w:rPr>
        <w:fldChar w:fldCharType="begin"/>
      </w:r>
      <w:r w:rsidR="00484158" w:rsidRPr="00DF0952">
        <w:rPr>
          <w:color w:val="000000" w:themeColor="text1"/>
          <w:lang w:eastAsia="en-US"/>
        </w:rPr>
        <w:instrText xml:space="preserve"> REF _Ref184630344 \h </w:instrText>
      </w:r>
      <w:r w:rsidR="00484158" w:rsidRPr="00DF0952">
        <w:rPr>
          <w:color w:val="000000" w:themeColor="text1"/>
          <w:lang w:eastAsia="en-US"/>
        </w:rPr>
      </w:r>
      <w:r w:rsidR="00484158" w:rsidRPr="00DF0952">
        <w:rPr>
          <w:color w:val="000000" w:themeColor="text1"/>
          <w:lang w:eastAsia="en-US"/>
        </w:rPr>
        <w:fldChar w:fldCharType="separate"/>
      </w:r>
      <w:r w:rsidR="001D02A0" w:rsidRPr="00434C3A">
        <w:t xml:space="preserve">Table </w:t>
      </w:r>
      <w:r w:rsidR="001D02A0">
        <w:rPr>
          <w:noProof/>
        </w:rPr>
        <w:t>2</w:t>
      </w:r>
      <w:r w:rsidR="00484158" w:rsidRPr="00DF0952">
        <w:rPr>
          <w:color w:val="000000" w:themeColor="text1"/>
          <w:lang w:eastAsia="en-US"/>
        </w:rPr>
        <w:fldChar w:fldCharType="end"/>
      </w:r>
      <w:r w:rsidR="00484158" w:rsidRPr="00DF0952">
        <w:rPr>
          <w:color w:val="000000" w:themeColor="text1"/>
          <w:lang w:eastAsia="en-US"/>
        </w:rPr>
        <w:t>), where the crystalline ratio is increased (up to 45%) and the melting temperature is kept constant among the considered conditions.</w:t>
      </w:r>
    </w:p>
    <w:p w14:paraId="03BCF882" w14:textId="21D0DDB0" w:rsidR="000A292E" w:rsidRPr="00DF0952" w:rsidRDefault="000A292E" w:rsidP="000A292E">
      <w:pPr>
        <w:rPr>
          <w:color w:val="000000" w:themeColor="text1"/>
          <w:lang w:eastAsia="en-US"/>
        </w:rPr>
      </w:pPr>
      <w:r w:rsidRPr="00DF0952">
        <w:rPr>
          <w:color w:val="000000" w:themeColor="text1"/>
          <w:lang w:eastAsia="en-US"/>
        </w:rPr>
        <w:t xml:space="preserve">It's noteworthy that at high radiation doses, this phenomenon is often masked by the destruction of crystals caused by radiolysis events, which </w:t>
      </w:r>
      <w:r w:rsidR="001778F6" w:rsidRPr="00DF0952">
        <w:rPr>
          <w:color w:val="000000" w:themeColor="text1"/>
          <w:lang w:eastAsia="en-US"/>
        </w:rPr>
        <w:t>are</w:t>
      </w:r>
      <w:r w:rsidRPr="00DF0952">
        <w:rPr>
          <w:color w:val="000000" w:themeColor="text1"/>
          <w:lang w:eastAsia="en-US"/>
        </w:rPr>
        <w:t xml:space="preserve"> not observed in thermo-oxidation. Therefore, tracking the increase in crystal size during the aging process becomes challenging due to these concurrent effects.</w:t>
      </w:r>
    </w:p>
    <w:p w14:paraId="1CD7505C" w14:textId="2D1EC96A" w:rsidR="00484158" w:rsidRPr="00DF0952" w:rsidRDefault="00484158" w:rsidP="00484158">
      <w:pPr>
        <w:rPr>
          <w:color w:val="000000" w:themeColor="text1"/>
          <w:lang w:eastAsia="en-US"/>
        </w:rPr>
      </w:pPr>
      <w:r w:rsidRPr="00DF0952">
        <w:rPr>
          <w:color w:val="000000" w:themeColor="text1"/>
          <w:lang w:eastAsia="en-US"/>
        </w:rPr>
        <w:t>Materials undergoing the DBE simulation exhibit opposite behavior, showing a</w:t>
      </w:r>
      <w:r w:rsidR="00875864" w:rsidRPr="00DF0952">
        <w:rPr>
          <w:color w:val="000000" w:themeColor="text1"/>
          <w:lang w:eastAsia="en-US"/>
        </w:rPr>
        <w:t xml:space="preserve"> significant</w:t>
      </w:r>
      <w:r w:rsidRPr="00DF0952">
        <w:rPr>
          <w:color w:val="000000" w:themeColor="text1"/>
          <w:lang w:eastAsia="en-US"/>
        </w:rPr>
        <w:t xml:space="preserve"> decrease of the crystallinity ratio (-5%) and of the melting temperature (-10 °C)</w:t>
      </w:r>
      <w:r w:rsidR="00356966" w:rsidRPr="00DF0952">
        <w:rPr>
          <w:color w:val="000000" w:themeColor="text1"/>
          <w:lang w:eastAsia="en-US"/>
        </w:rPr>
        <w:t xml:space="preserve">, due to the possible </w:t>
      </w:r>
      <w:r w:rsidR="007F403A" w:rsidRPr="00DF0952">
        <w:rPr>
          <w:color w:val="000000" w:themeColor="text1"/>
          <w:lang w:eastAsia="en-US"/>
        </w:rPr>
        <w:t xml:space="preserve">crystal destruction </w:t>
      </w:r>
      <w:r w:rsidR="004A481B" w:rsidRPr="00DF0952">
        <w:rPr>
          <w:color w:val="000000" w:themeColor="text1"/>
          <w:lang w:eastAsia="en-US"/>
        </w:rPr>
        <w:t xml:space="preserve">during </w:t>
      </w:r>
      <w:r w:rsidR="007F403A" w:rsidRPr="00DF0952">
        <w:rPr>
          <w:color w:val="000000" w:themeColor="text1"/>
          <w:lang w:eastAsia="en-US"/>
        </w:rPr>
        <w:t>radiation</w:t>
      </w:r>
      <w:r w:rsidR="004A481B" w:rsidRPr="00DF0952">
        <w:rPr>
          <w:color w:val="000000" w:themeColor="text1"/>
          <w:lang w:eastAsia="en-US"/>
        </w:rPr>
        <w:t xml:space="preserve"> aging</w:t>
      </w:r>
      <w:r w:rsidRPr="00DF0952">
        <w:rPr>
          <w:color w:val="000000" w:themeColor="text1"/>
          <w:lang w:eastAsia="en-US"/>
        </w:rPr>
        <w:t xml:space="preserve">. Moreover, the thermograms show a peak distribution closer to the one of the unaged </w:t>
      </w:r>
      <w:r w:rsidR="007C0CB6" w:rsidRPr="00DF0952">
        <w:rPr>
          <w:color w:val="000000" w:themeColor="text1"/>
          <w:lang w:eastAsia="en-US"/>
        </w:rPr>
        <w:t>polymers</w:t>
      </w:r>
      <w:r w:rsidRPr="00DF0952">
        <w:rPr>
          <w:color w:val="000000" w:themeColor="text1"/>
          <w:lang w:eastAsia="en-US"/>
        </w:rPr>
        <w:t xml:space="preserve">, with the reorganization of the crystalline phase resulting </w:t>
      </w:r>
      <w:r w:rsidR="007C0CB6" w:rsidRPr="00DF0952">
        <w:rPr>
          <w:color w:val="000000" w:themeColor="text1"/>
          <w:lang w:eastAsia="en-US"/>
        </w:rPr>
        <w:t>in</w:t>
      </w:r>
      <w:r w:rsidRPr="00DF0952">
        <w:rPr>
          <w:color w:val="000000" w:themeColor="text1"/>
          <w:lang w:eastAsia="en-US"/>
        </w:rPr>
        <w:t xml:space="preserve"> three peaks. The reason for this may be possibly </w:t>
      </w:r>
      <w:r w:rsidR="007C0CB6" w:rsidRPr="00DF0952">
        <w:rPr>
          <w:color w:val="000000" w:themeColor="text1"/>
          <w:lang w:eastAsia="en-US"/>
        </w:rPr>
        <w:t>found</w:t>
      </w:r>
      <w:r w:rsidRPr="00DF0952">
        <w:rPr>
          <w:color w:val="000000" w:themeColor="text1"/>
          <w:lang w:eastAsia="en-US"/>
        </w:rPr>
        <w:t xml:space="preserve"> into the diffusion phenomenon occurring during the post-LOCA treatment, where, thanks to the higher temperatures (65°C), the smaller crystallites are kept into their molten state, helping the diffusion and crystallization towards the initial </w:t>
      </w:r>
      <w:r w:rsidR="00CA1758" w:rsidRPr="00DF0952">
        <w:rPr>
          <w:color w:val="000000" w:themeColor="text1"/>
          <w:lang w:eastAsia="en-US"/>
        </w:rPr>
        <w:t xml:space="preserve">stable </w:t>
      </w:r>
      <w:r w:rsidRPr="00DF0952">
        <w:rPr>
          <w:color w:val="000000" w:themeColor="text1"/>
          <w:lang w:eastAsia="en-US"/>
        </w:rPr>
        <w:t>polymer state.</w:t>
      </w:r>
    </w:p>
    <w:p w14:paraId="28331788" w14:textId="607C9006" w:rsidR="003D5277" w:rsidRPr="00DF0952" w:rsidRDefault="00267862" w:rsidP="00484158">
      <w:pPr>
        <w:rPr>
          <w:color w:val="000000" w:themeColor="text1"/>
          <w:lang w:eastAsia="en-US"/>
        </w:rPr>
      </w:pPr>
      <w:r w:rsidRPr="00DF0952">
        <w:rPr>
          <w:color w:val="000000" w:themeColor="text1"/>
          <w:lang w:eastAsia="en-US"/>
        </w:rPr>
        <w:t xml:space="preserve">Regarding the permanent crystalline structure after aging, which is related to the second heating scan, </w:t>
      </w:r>
      <w:r w:rsidR="00616753" w:rsidRPr="00DF0952">
        <w:rPr>
          <w:color w:val="000000" w:themeColor="text1"/>
          <w:lang w:eastAsia="en-US"/>
        </w:rPr>
        <w:t>one can observe a homogenization of the shape of the melting peak. This is characterized by a unique peak at ~115°C with an extremely broad shape, implying a broad distribution of crystals of different sizes within the material (centered in the area ~100-120°C).  In addition, the melting temperature is slightly modified with the radiation-only aging leading to the shifting towards higher temperatures. On the other hand, when thermal aging is present, a shift in the other direction is observable. Despite being little, these modifications suggest that thermal aging brings to the formation of smaller crystals, possibly due to the different chemical species formed during the initial aging treatment. This can be explained by the fact that radiation aging causes mainly chain scission not leading to chemically-modifies molecules. Smaller chains are more prone to agglomerate and increase crystal sizes. On the contrary, thermal aging causes the arising of oxidized species which do not concur with the increase in crystalline size, leading to smaller crystals and shifting of the peak towards lower temperatures.</w:t>
      </w:r>
    </w:p>
    <w:tbl>
      <w:tblPr>
        <w:tblStyle w:val="Grigliatabella"/>
        <w:tblW w:w="0" w:type="auto"/>
        <w:tblLook w:val="04A0" w:firstRow="1" w:lastRow="0" w:firstColumn="1" w:lastColumn="0" w:noHBand="0" w:noVBand="1"/>
      </w:tblPr>
      <w:tblGrid>
        <w:gridCol w:w="4814"/>
        <w:gridCol w:w="4814"/>
      </w:tblGrid>
      <w:tr w:rsidR="008D13A6" w14:paraId="3C0C6229" w14:textId="77777777" w:rsidTr="008D13A6">
        <w:tc>
          <w:tcPr>
            <w:tcW w:w="4814" w:type="dxa"/>
          </w:tcPr>
          <w:p w14:paraId="2A0A0939" w14:textId="412BCC20" w:rsidR="008D13A6" w:rsidRDefault="004D5B4E" w:rsidP="00EC356D">
            <w:pPr>
              <w:keepNext/>
              <w:jc w:val="center"/>
            </w:pPr>
            <w:r>
              <w:rPr>
                <w:noProof/>
                <w:snapToGrid/>
                <w14:ligatures w14:val="standardContextual"/>
              </w:rPr>
              <w:drawing>
                <wp:inline distT="0" distB="0" distL="0" distR="0" wp14:anchorId="4842C00A" wp14:editId="70AFA3F1">
                  <wp:extent cx="2727741" cy="1939475"/>
                  <wp:effectExtent l="0" t="0" r="0" b="3810"/>
                  <wp:docPr id="1794828999"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828999" name=""/>
                          <pic:cNvPicPr/>
                        </pic:nvPicPr>
                        <pic:blipFill>
                          <a:blip r:embed="rId16">
                            <a:extLst>
                              <a:ext uri="{96DAC541-7B7A-43D3-8B79-37D633B846F1}">
                                <asvg:svgBlip xmlns:asvg="http://schemas.microsoft.com/office/drawing/2016/SVG/main" r:embed="rId17"/>
                              </a:ext>
                            </a:extLst>
                          </a:blip>
                          <a:stretch>
                            <a:fillRect/>
                          </a:stretch>
                        </pic:blipFill>
                        <pic:spPr>
                          <a:xfrm>
                            <a:off x="0" y="0"/>
                            <a:ext cx="2743829" cy="1950914"/>
                          </a:xfrm>
                          <a:prstGeom prst="rect">
                            <a:avLst/>
                          </a:prstGeom>
                        </pic:spPr>
                      </pic:pic>
                    </a:graphicData>
                  </a:graphic>
                </wp:inline>
              </w:drawing>
            </w:r>
          </w:p>
        </w:tc>
        <w:tc>
          <w:tcPr>
            <w:tcW w:w="4814" w:type="dxa"/>
          </w:tcPr>
          <w:p w14:paraId="5E108D5F" w14:textId="4C6E4DAF" w:rsidR="008D13A6" w:rsidRDefault="009A3FFF" w:rsidP="00EC356D">
            <w:pPr>
              <w:keepNext/>
              <w:jc w:val="center"/>
            </w:pPr>
            <w:r>
              <w:rPr>
                <w:noProof/>
                <w:snapToGrid/>
                <w14:ligatures w14:val="standardContextual"/>
              </w:rPr>
              <w:drawing>
                <wp:inline distT="0" distB="0" distL="0" distR="0" wp14:anchorId="3EA71D59" wp14:editId="16FBE93A">
                  <wp:extent cx="2749498" cy="1954945"/>
                  <wp:effectExtent l="0" t="0" r="0" b="7620"/>
                  <wp:docPr id="153755469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554698"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2755755" cy="1959394"/>
                          </a:xfrm>
                          <a:prstGeom prst="rect">
                            <a:avLst/>
                          </a:prstGeom>
                        </pic:spPr>
                      </pic:pic>
                    </a:graphicData>
                  </a:graphic>
                </wp:inline>
              </w:drawing>
            </w:r>
          </w:p>
        </w:tc>
      </w:tr>
      <w:tr w:rsidR="008D13A6" w14:paraId="7B69BB40" w14:textId="77777777" w:rsidTr="008D13A6">
        <w:tc>
          <w:tcPr>
            <w:tcW w:w="4814" w:type="dxa"/>
          </w:tcPr>
          <w:p w14:paraId="421E80E8" w14:textId="3C31EFE7" w:rsidR="008D13A6" w:rsidRDefault="008D13A6" w:rsidP="00EC356D">
            <w:pPr>
              <w:keepNext/>
              <w:jc w:val="center"/>
            </w:pPr>
            <w:r>
              <w:t>(a)</w:t>
            </w:r>
          </w:p>
        </w:tc>
        <w:tc>
          <w:tcPr>
            <w:tcW w:w="4814" w:type="dxa"/>
          </w:tcPr>
          <w:p w14:paraId="27441F19" w14:textId="3910CE2D" w:rsidR="003B5EA7" w:rsidRDefault="008D13A6" w:rsidP="009A3FFF">
            <w:pPr>
              <w:keepNext/>
              <w:jc w:val="center"/>
            </w:pPr>
            <w:r>
              <w:t>(b)</w:t>
            </w:r>
          </w:p>
        </w:tc>
      </w:tr>
    </w:tbl>
    <w:p w14:paraId="2CDB6AA9" w14:textId="507F907E" w:rsidR="00484158" w:rsidRPr="00434C3A" w:rsidRDefault="00484158" w:rsidP="00EE2E52">
      <w:pPr>
        <w:pStyle w:val="Didascalia"/>
        <w:rPr>
          <w:lang w:val="en-US"/>
        </w:rPr>
      </w:pPr>
      <w:bookmarkStart w:id="7" w:name="_Ref184629476"/>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7</w:t>
      </w:r>
      <w:r w:rsidRPr="00434C3A">
        <w:rPr>
          <w:lang w:val="en-US"/>
        </w:rPr>
        <w:fldChar w:fldCharType="end"/>
      </w:r>
      <w:bookmarkEnd w:id="7"/>
      <w:r w:rsidRPr="00434C3A">
        <w:rPr>
          <w:lang w:val="en-US"/>
        </w:rPr>
        <w:t xml:space="preserve"> DSC thermograms for the different </w:t>
      </w:r>
      <w:r w:rsidR="00EC356D" w:rsidRPr="00434C3A">
        <w:rPr>
          <w:lang w:val="en-US"/>
        </w:rPr>
        <w:t>materials investigated</w:t>
      </w:r>
      <w:r w:rsidRPr="00434C3A">
        <w:rPr>
          <w:lang w:val="en-US"/>
        </w:rPr>
        <w:t>. Exo up.</w:t>
      </w:r>
      <w:r w:rsidR="00EC356D">
        <w:rPr>
          <w:lang w:val="en-US"/>
        </w:rPr>
        <w:t xml:space="preserve"> (a) First </w:t>
      </w:r>
      <w:r w:rsidR="008D13A6">
        <w:rPr>
          <w:lang w:val="en-US"/>
        </w:rPr>
        <w:t>heating scan, (b) Second heating scan.</w:t>
      </w:r>
    </w:p>
    <w:p w14:paraId="78979C0C" w14:textId="166C5683" w:rsidR="00484158" w:rsidRPr="00434C3A" w:rsidRDefault="00484158" w:rsidP="00484158">
      <w:pPr>
        <w:pStyle w:val="Didascalia"/>
        <w:keepNext/>
        <w:rPr>
          <w:lang w:val="en-US"/>
        </w:rPr>
      </w:pPr>
      <w:bookmarkStart w:id="8" w:name="_Ref184630344"/>
      <w:r w:rsidRPr="00434C3A">
        <w:rPr>
          <w:lang w:val="en-US"/>
        </w:rPr>
        <w:t xml:space="preserve">Table </w:t>
      </w:r>
      <w:r w:rsidRPr="00434C3A">
        <w:rPr>
          <w:lang w:val="en-US"/>
        </w:rPr>
        <w:fldChar w:fldCharType="begin"/>
      </w:r>
      <w:r w:rsidRPr="00434C3A">
        <w:rPr>
          <w:lang w:val="en-US"/>
        </w:rPr>
        <w:instrText xml:space="preserve"> SEQ Table \* ARABIC </w:instrText>
      </w:r>
      <w:r w:rsidRPr="00434C3A">
        <w:rPr>
          <w:lang w:val="en-US"/>
        </w:rPr>
        <w:fldChar w:fldCharType="separate"/>
      </w:r>
      <w:r w:rsidR="001D02A0">
        <w:rPr>
          <w:noProof/>
          <w:lang w:val="en-US"/>
        </w:rPr>
        <w:t>2</w:t>
      </w:r>
      <w:r w:rsidRPr="00434C3A">
        <w:rPr>
          <w:lang w:val="en-US"/>
        </w:rPr>
        <w:fldChar w:fldCharType="end"/>
      </w:r>
      <w:bookmarkEnd w:id="8"/>
      <w:r w:rsidRPr="00434C3A">
        <w:rPr>
          <w:lang w:val="en-US"/>
        </w:rPr>
        <w:t xml:space="preserve"> DSC properties for the different </w:t>
      </w:r>
      <w:r w:rsidR="00D60216" w:rsidRPr="00434C3A">
        <w:rPr>
          <w:lang w:val="en-US"/>
        </w:rPr>
        <w:t>materials investigated</w:t>
      </w:r>
    </w:p>
    <w:tbl>
      <w:tblPr>
        <w:tblStyle w:val="Tabellasemplice-3"/>
        <w:tblW w:w="0" w:type="auto"/>
        <w:tblLook w:val="04A0" w:firstRow="1" w:lastRow="0" w:firstColumn="1" w:lastColumn="0" w:noHBand="0" w:noVBand="1"/>
      </w:tblPr>
      <w:tblGrid>
        <w:gridCol w:w="3209"/>
        <w:gridCol w:w="3209"/>
        <w:gridCol w:w="3210"/>
      </w:tblGrid>
      <w:tr w:rsidR="00484158" w:rsidRPr="00434C3A" w14:paraId="7CE3D7DE" w14:textId="77777777" w:rsidTr="006E0BE5">
        <w:trPr>
          <w:cnfStyle w:val="100000000000" w:firstRow="1" w:lastRow="0" w:firstColumn="0" w:lastColumn="0" w:oddVBand="0" w:evenVBand="0" w:oddHBand="0" w:evenHBand="0" w:firstRowFirstColumn="0" w:firstRowLastColumn="0" w:lastRowFirstColumn="0" w:lastRowLastColumn="0"/>
          <w:trHeight w:val="46"/>
        </w:trPr>
        <w:tc>
          <w:tcPr>
            <w:cnfStyle w:val="001000000100" w:firstRow="0" w:lastRow="0" w:firstColumn="1" w:lastColumn="0" w:oddVBand="0" w:evenVBand="0" w:oddHBand="0" w:evenHBand="0" w:firstRowFirstColumn="1" w:firstRowLastColumn="0" w:lastRowFirstColumn="0" w:lastRowLastColumn="0"/>
            <w:tcW w:w="3209" w:type="dxa"/>
          </w:tcPr>
          <w:p w14:paraId="6B4A8393" w14:textId="77777777" w:rsidR="00484158" w:rsidRPr="00434C3A" w:rsidRDefault="00484158" w:rsidP="006E0BE5">
            <w:pPr>
              <w:spacing w:after="0"/>
              <w:jc w:val="center"/>
              <w:rPr>
                <w:lang w:eastAsia="en-US"/>
              </w:rPr>
            </w:pPr>
            <w:r w:rsidRPr="00434C3A">
              <w:rPr>
                <w:lang w:eastAsia="en-US"/>
              </w:rPr>
              <w:t>Material</w:t>
            </w:r>
          </w:p>
        </w:tc>
        <w:tc>
          <w:tcPr>
            <w:tcW w:w="3209" w:type="dxa"/>
          </w:tcPr>
          <w:p w14:paraId="24A68B20" w14:textId="77777777" w:rsidR="00484158" w:rsidRPr="00434C3A" w:rsidRDefault="00484158" w:rsidP="006E0BE5">
            <w:pPr>
              <w:spacing w:after="0"/>
              <w:jc w:val="center"/>
              <w:cnfStyle w:val="100000000000" w:firstRow="1" w:lastRow="0" w:firstColumn="0" w:lastColumn="0" w:oddVBand="0" w:evenVBand="0" w:oddHBand="0" w:evenHBand="0" w:firstRowFirstColumn="0" w:firstRowLastColumn="0" w:lastRowFirstColumn="0" w:lastRowLastColumn="0"/>
              <w:rPr>
                <w:lang w:eastAsia="en-US"/>
              </w:rPr>
            </w:pPr>
            <w:r w:rsidRPr="00434C3A">
              <w:rPr>
                <w:lang w:eastAsia="en-US"/>
              </w:rPr>
              <w:t>Melting temperature (°C)</w:t>
            </w:r>
          </w:p>
        </w:tc>
        <w:tc>
          <w:tcPr>
            <w:tcW w:w="3210" w:type="dxa"/>
          </w:tcPr>
          <w:p w14:paraId="243413AF" w14:textId="77777777" w:rsidR="00484158" w:rsidRPr="00434C3A" w:rsidRDefault="00484158" w:rsidP="006E0BE5">
            <w:pPr>
              <w:spacing w:after="0"/>
              <w:jc w:val="center"/>
              <w:cnfStyle w:val="100000000000" w:firstRow="1" w:lastRow="0" w:firstColumn="0" w:lastColumn="0" w:oddVBand="0" w:evenVBand="0" w:oddHBand="0" w:evenHBand="0" w:firstRowFirstColumn="0" w:firstRowLastColumn="0" w:lastRowFirstColumn="0" w:lastRowLastColumn="0"/>
              <w:rPr>
                <w:lang w:eastAsia="en-US"/>
              </w:rPr>
            </w:pPr>
            <w:r w:rsidRPr="00434C3A">
              <w:rPr>
                <w:lang w:eastAsia="en-US"/>
              </w:rPr>
              <w:t>Crystallinity ratio (%)</w:t>
            </w:r>
          </w:p>
        </w:tc>
      </w:tr>
      <w:tr w:rsidR="00484158" w:rsidRPr="00434C3A" w14:paraId="4116FA05" w14:textId="77777777" w:rsidTr="006E0BE5">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3209" w:type="dxa"/>
          </w:tcPr>
          <w:p w14:paraId="4BDD61CC" w14:textId="77777777" w:rsidR="00484158" w:rsidRPr="00434C3A" w:rsidRDefault="00484158" w:rsidP="006E0BE5">
            <w:pPr>
              <w:spacing w:after="0"/>
              <w:jc w:val="center"/>
              <w:rPr>
                <w:lang w:eastAsia="en-US"/>
              </w:rPr>
            </w:pPr>
            <w:r w:rsidRPr="00434C3A">
              <w:rPr>
                <w:lang w:eastAsia="en-US"/>
              </w:rPr>
              <w:t>Unaged</w:t>
            </w:r>
          </w:p>
        </w:tc>
        <w:tc>
          <w:tcPr>
            <w:tcW w:w="3209" w:type="dxa"/>
          </w:tcPr>
          <w:p w14:paraId="06FDBC95"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120</w:t>
            </w:r>
          </w:p>
        </w:tc>
        <w:tc>
          <w:tcPr>
            <w:tcW w:w="3210" w:type="dxa"/>
          </w:tcPr>
          <w:p w14:paraId="4F386211"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42</w:t>
            </w:r>
          </w:p>
        </w:tc>
      </w:tr>
      <w:tr w:rsidR="00484158" w:rsidRPr="00434C3A" w14:paraId="5559A071" w14:textId="77777777" w:rsidTr="006E0BE5">
        <w:tc>
          <w:tcPr>
            <w:cnfStyle w:val="001000000000" w:firstRow="0" w:lastRow="0" w:firstColumn="1" w:lastColumn="0" w:oddVBand="0" w:evenVBand="0" w:oddHBand="0" w:evenHBand="0" w:firstRowFirstColumn="0" w:firstRowLastColumn="0" w:lastRowFirstColumn="0" w:lastRowLastColumn="0"/>
            <w:tcW w:w="3209" w:type="dxa"/>
          </w:tcPr>
          <w:p w14:paraId="29827579" w14:textId="77777777" w:rsidR="00484158" w:rsidRPr="00434C3A" w:rsidRDefault="00484158" w:rsidP="006E0BE5">
            <w:pPr>
              <w:spacing w:after="0"/>
              <w:jc w:val="center"/>
              <w:rPr>
                <w:lang w:eastAsia="en-US"/>
              </w:rPr>
            </w:pPr>
            <w:r w:rsidRPr="00434C3A">
              <w:rPr>
                <w:lang w:eastAsia="en-US"/>
              </w:rPr>
              <w:t>RA</w:t>
            </w:r>
          </w:p>
        </w:tc>
        <w:tc>
          <w:tcPr>
            <w:tcW w:w="3209" w:type="dxa"/>
          </w:tcPr>
          <w:p w14:paraId="0CE16CC4" w14:textId="77777777" w:rsidR="00484158" w:rsidRPr="00434C3A" w:rsidRDefault="00484158" w:rsidP="006E0BE5">
            <w:pPr>
              <w:spacing w:after="0"/>
              <w:jc w:val="center"/>
              <w:cnfStyle w:val="000000000000" w:firstRow="0" w:lastRow="0" w:firstColumn="0" w:lastColumn="0" w:oddVBand="0" w:evenVBand="0" w:oddHBand="0" w:evenHBand="0" w:firstRowFirstColumn="0" w:firstRowLastColumn="0" w:lastRowFirstColumn="0" w:lastRowLastColumn="0"/>
              <w:rPr>
                <w:lang w:eastAsia="en-US"/>
              </w:rPr>
            </w:pPr>
            <w:r w:rsidRPr="00434C3A">
              <w:rPr>
                <w:lang w:eastAsia="en-US"/>
              </w:rPr>
              <w:t>122</w:t>
            </w:r>
          </w:p>
        </w:tc>
        <w:tc>
          <w:tcPr>
            <w:tcW w:w="3210" w:type="dxa"/>
          </w:tcPr>
          <w:p w14:paraId="3F164B75" w14:textId="77777777" w:rsidR="00484158" w:rsidRPr="00434C3A" w:rsidRDefault="00484158" w:rsidP="006E0BE5">
            <w:pPr>
              <w:spacing w:after="0"/>
              <w:jc w:val="center"/>
              <w:cnfStyle w:val="000000000000" w:firstRow="0" w:lastRow="0" w:firstColumn="0" w:lastColumn="0" w:oddVBand="0" w:evenVBand="0" w:oddHBand="0" w:evenHBand="0" w:firstRowFirstColumn="0" w:firstRowLastColumn="0" w:lastRowFirstColumn="0" w:lastRowLastColumn="0"/>
              <w:rPr>
                <w:lang w:eastAsia="en-US"/>
              </w:rPr>
            </w:pPr>
            <w:r w:rsidRPr="00434C3A">
              <w:rPr>
                <w:lang w:eastAsia="en-US"/>
              </w:rPr>
              <w:t>43</w:t>
            </w:r>
          </w:p>
        </w:tc>
      </w:tr>
      <w:tr w:rsidR="00484158" w:rsidRPr="00434C3A" w14:paraId="25E1571E" w14:textId="77777777" w:rsidTr="006E0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9" w:type="dxa"/>
          </w:tcPr>
          <w:p w14:paraId="6A6D0031" w14:textId="77777777" w:rsidR="00484158" w:rsidRPr="00434C3A" w:rsidRDefault="00484158" w:rsidP="006E0BE5">
            <w:pPr>
              <w:spacing w:after="0"/>
              <w:jc w:val="center"/>
              <w:rPr>
                <w:lang w:eastAsia="en-US"/>
              </w:rPr>
            </w:pPr>
            <w:r w:rsidRPr="00434C3A">
              <w:rPr>
                <w:lang w:eastAsia="en-US"/>
              </w:rPr>
              <w:t>RA + LOCA</w:t>
            </w:r>
          </w:p>
        </w:tc>
        <w:tc>
          <w:tcPr>
            <w:tcW w:w="3209" w:type="dxa"/>
          </w:tcPr>
          <w:p w14:paraId="72AD3C47"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111</w:t>
            </w:r>
          </w:p>
        </w:tc>
        <w:tc>
          <w:tcPr>
            <w:tcW w:w="3210" w:type="dxa"/>
          </w:tcPr>
          <w:p w14:paraId="7AEE5FE2"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41</w:t>
            </w:r>
          </w:p>
        </w:tc>
      </w:tr>
      <w:tr w:rsidR="00484158" w:rsidRPr="00434C3A" w14:paraId="5A150766" w14:textId="77777777" w:rsidTr="006E0BE5">
        <w:trPr>
          <w:trHeight w:val="82"/>
        </w:trPr>
        <w:tc>
          <w:tcPr>
            <w:cnfStyle w:val="001000000000" w:firstRow="0" w:lastRow="0" w:firstColumn="1" w:lastColumn="0" w:oddVBand="0" w:evenVBand="0" w:oddHBand="0" w:evenHBand="0" w:firstRowFirstColumn="0" w:firstRowLastColumn="0" w:lastRowFirstColumn="0" w:lastRowLastColumn="0"/>
            <w:tcW w:w="3209" w:type="dxa"/>
          </w:tcPr>
          <w:p w14:paraId="50D7D0AC" w14:textId="77777777" w:rsidR="00484158" w:rsidRPr="00434C3A" w:rsidRDefault="00484158" w:rsidP="006E0BE5">
            <w:pPr>
              <w:spacing w:after="0"/>
              <w:jc w:val="center"/>
              <w:rPr>
                <w:lang w:eastAsia="en-US"/>
              </w:rPr>
            </w:pPr>
            <w:r w:rsidRPr="00434C3A">
              <w:rPr>
                <w:lang w:eastAsia="en-US"/>
              </w:rPr>
              <w:t>TA/RA</w:t>
            </w:r>
          </w:p>
        </w:tc>
        <w:tc>
          <w:tcPr>
            <w:tcW w:w="3209" w:type="dxa"/>
          </w:tcPr>
          <w:p w14:paraId="026D27DC" w14:textId="77777777" w:rsidR="00484158" w:rsidRPr="00434C3A" w:rsidRDefault="00484158" w:rsidP="006E0BE5">
            <w:pPr>
              <w:spacing w:after="0"/>
              <w:jc w:val="center"/>
              <w:cnfStyle w:val="000000000000" w:firstRow="0" w:lastRow="0" w:firstColumn="0" w:lastColumn="0" w:oddVBand="0" w:evenVBand="0" w:oddHBand="0" w:evenHBand="0" w:firstRowFirstColumn="0" w:firstRowLastColumn="0" w:lastRowFirstColumn="0" w:lastRowLastColumn="0"/>
              <w:rPr>
                <w:lang w:eastAsia="en-US"/>
              </w:rPr>
            </w:pPr>
            <w:r w:rsidRPr="00434C3A">
              <w:rPr>
                <w:lang w:eastAsia="en-US"/>
              </w:rPr>
              <w:t>122</w:t>
            </w:r>
          </w:p>
        </w:tc>
        <w:tc>
          <w:tcPr>
            <w:tcW w:w="3210" w:type="dxa"/>
          </w:tcPr>
          <w:p w14:paraId="309EE070" w14:textId="77777777" w:rsidR="00484158" w:rsidRPr="00434C3A" w:rsidRDefault="00484158" w:rsidP="006E0BE5">
            <w:pPr>
              <w:spacing w:after="0"/>
              <w:jc w:val="center"/>
              <w:cnfStyle w:val="000000000000" w:firstRow="0" w:lastRow="0" w:firstColumn="0" w:lastColumn="0" w:oddVBand="0" w:evenVBand="0" w:oddHBand="0" w:evenHBand="0" w:firstRowFirstColumn="0" w:firstRowLastColumn="0" w:lastRowFirstColumn="0" w:lastRowLastColumn="0"/>
              <w:rPr>
                <w:lang w:eastAsia="en-US"/>
              </w:rPr>
            </w:pPr>
            <w:r w:rsidRPr="00434C3A">
              <w:rPr>
                <w:lang w:eastAsia="en-US"/>
              </w:rPr>
              <w:t>45</w:t>
            </w:r>
          </w:p>
        </w:tc>
      </w:tr>
      <w:tr w:rsidR="00484158" w:rsidRPr="00434C3A" w14:paraId="7F3D6D04" w14:textId="77777777" w:rsidTr="006E0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09" w:type="dxa"/>
          </w:tcPr>
          <w:p w14:paraId="73C9B54F" w14:textId="77777777" w:rsidR="00484158" w:rsidRPr="00434C3A" w:rsidRDefault="00484158" w:rsidP="006E0BE5">
            <w:pPr>
              <w:spacing w:after="0"/>
              <w:jc w:val="center"/>
              <w:rPr>
                <w:lang w:eastAsia="en-US"/>
              </w:rPr>
            </w:pPr>
            <w:r w:rsidRPr="00434C3A">
              <w:rPr>
                <w:lang w:eastAsia="en-US"/>
              </w:rPr>
              <w:t>TA/RA + LOCA</w:t>
            </w:r>
          </w:p>
        </w:tc>
        <w:tc>
          <w:tcPr>
            <w:tcW w:w="3209" w:type="dxa"/>
          </w:tcPr>
          <w:p w14:paraId="1C3D8F10"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112</w:t>
            </w:r>
          </w:p>
        </w:tc>
        <w:tc>
          <w:tcPr>
            <w:tcW w:w="3210" w:type="dxa"/>
          </w:tcPr>
          <w:p w14:paraId="00A619EE" w14:textId="77777777" w:rsidR="00484158" w:rsidRPr="00434C3A" w:rsidRDefault="00484158" w:rsidP="006E0BE5">
            <w:pPr>
              <w:spacing w:after="0"/>
              <w:jc w:val="center"/>
              <w:cnfStyle w:val="000000100000" w:firstRow="0" w:lastRow="0" w:firstColumn="0" w:lastColumn="0" w:oddVBand="0" w:evenVBand="0" w:oddHBand="1" w:evenHBand="0" w:firstRowFirstColumn="0" w:firstRowLastColumn="0" w:lastRowFirstColumn="0" w:lastRowLastColumn="0"/>
              <w:rPr>
                <w:lang w:eastAsia="en-US"/>
              </w:rPr>
            </w:pPr>
            <w:r w:rsidRPr="00434C3A">
              <w:rPr>
                <w:lang w:eastAsia="en-US"/>
              </w:rPr>
              <w:t>37</w:t>
            </w:r>
          </w:p>
        </w:tc>
      </w:tr>
    </w:tbl>
    <w:p w14:paraId="728C1D13" w14:textId="77777777" w:rsidR="00484158" w:rsidRPr="00434C3A" w:rsidRDefault="00484158" w:rsidP="00484158">
      <w:pPr>
        <w:rPr>
          <w:lang w:eastAsia="en-US"/>
        </w:rPr>
      </w:pPr>
    </w:p>
    <w:p w14:paraId="04445991" w14:textId="2F19767B" w:rsidR="00484158" w:rsidRPr="00434C3A" w:rsidRDefault="00484158" w:rsidP="00484158">
      <w:pPr>
        <w:pStyle w:val="Titolo3"/>
        <w:rPr>
          <w:lang w:eastAsia="en-US"/>
        </w:rPr>
      </w:pPr>
      <w:r w:rsidRPr="00434C3A">
        <w:rPr>
          <w:lang w:eastAsia="en-US"/>
        </w:rPr>
        <w:t>3.</w:t>
      </w:r>
      <w:r w:rsidR="00131C45" w:rsidRPr="00434C3A">
        <w:rPr>
          <w:lang w:eastAsia="en-US"/>
        </w:rPr>
        <w:t>1</w:t>
      </w:r>
      <w:r w:rsidRPr="00434C3A">
        <w:rPr>
          <w:lang w:eastAsia="en-US"/>
        </w:rPr>
        <w:t>.</w:t>
      </w:r>
      <w:r w:rsidR="005053DA">
        <w:rPr>
          <w:lang w:eastAsia="en-US"/>
        </w:rPr>
        <w:t>3</w:t>
      </w:r>
      <w:r w:rsidRPr="00434C3A">
        <w:rPr>
          <w:lang w:eastAsia="en-US"/>
        </w:rPr>
        <w:t xml:space="preserve"> TGA results</w:t>
      </w:r>
    </w:p>
    <w:p w14:paraId="284764D6" w14:textId="6728FB6E" w:rsidR="00CC1D79" w:rsidRPr="00DF0952" w:rsidRDefault="00484158" w:rsidP="00484158">
      <w:pPr>
        <w:rPr>
          <w:color w:val="000000" w:themeColor="text1"/>
          <w:lang w:eastAsia="en-US"/>
        </w:rPr>
      </w:pPr>
      <w:r w:rsidRPr="00434C3A">
        <w:rPr>
          <w:lang w:eastAsia="en-US"/>
        </w:rPr>
        <w:fldChar w:fldCharType="begin"/>
      </w:r>
      <w:r w:rsidRPr="00434C3A">
        <w:rPr>
          <w:lang w:eastAsia="en-US"/>
        </w:rPr>
        <w:instrText xml:space="preserve"> REF _Ref184631161 \h </w:instrText>
      </w:r>
      <w:r w:rsidRPr="00434C3A">
        <w:rPr>
          <w:lang w:eastAsia="en-US"/>
        </w:rPr>
      </w:r>
      <w:r w:rsidRPr="00434C3A">
        <w:rPr>
          <w:lang w:eastAsia="en-US"/>
        </w:rPr>
        <w:fldChar w:fldCharType="separate"/>
      </w:r>
      <w:r w:rsidR="001D02A0" w:rsidRPr="00434C3A">
        <w:t xml:space="preserve">Figure </w:t>
      </w:r>
      <w:r w:rsidR="001D02A0">
        <w:rPr>
          <w:noProof/>
        </w:rPr>
        <w:t>8</w:t>
      </w:r>
      <w:r w:rsidRPr="00434C3A">
        <w:rPr>
          <w:lang w:eastAsia="en-US"/>
        </w:rPr>
        <w:fldChar w:fldCharType="end"/>
      </w:r>
      <w:r w:rsidRPr="00434C3A">
        <w:rPr>
          <w:lang w:eastAsia="en-US"/>
        </w:rPr>
        <w:t xml:space="preserve"> reports the thermograms obtained by the TGA under inert atmosphere (nitrogen) for the different analyzed materials. As expected, XLPE-based materials start their degradation at ~460°C, temperature beyond which more than 90</w:t>
      </w:r>
      <w:r w:rsidR="002576A8">
        <w:rPr>
          <w:lang w:eastAsia="en-US"/>
        </w:rPr>
        <w:t>%</w:t>
      </w:r>
      <w:r w:rsidRPr="00434C3A">
        <w:rPr>
          <w:lang w:eastAsia="en-US"/>
        </w:rPr>
        <w:t xml:space="preserve"> of the sample weight is lost. Interestingly, </w:t>
      </w:r>
      <w:r w:rsidR="00975F72" w:rsidRPr="00975F72">
        <w:rPr>
          <w:lang w:eastAsia="en-US"/>
        </w:rPr>
        <w:t>materials exposed to varying aging conditions exhibit notably distinct behaviors.</w:t>
      </w:r>
      <w:r w:rsidR="00975F72">
        <w:rPr>
          <w:lang w:eastAsia="en-US"/>
        </w:rPr>
        <w:t xml:space="preserve"> </w:t>
      </w:r>
      <w:r w:rsidRPr="00434C3A">
        <w:rPr>
          <w:lang w:eastAsia="en-US"/>
        </w:rPr>
        <w:t xml:space="preserve">Firstly, the unaged and TA/RA-aged samples do not reach 0% weight even at 700°C, </w:t>
      </w:r>
      <w:r w:rsidRPr="00DF0952">
        <w:rPr>
          <w:color w:val="000000" w:themeColor="text1"/>
          <w:lang w:eastAsia="en-US"/>
        </w:rPr>
        <w:t>suggesting that part of undegradable materials are present within the matrix</w:t>
      </w:r>
      <w:r w:rsidR="00B16F43" w:rsidRPr="00DF0952">
        <w:rPr>
          <w:color w:val="000000" w:themeColor="text1"/>
          <w:lang w:eastAsia="en-US"/>
        </w:rPr>
        <w:t xml:space="preserve">, </w:t>
      </w:r>
      <w:r w:rsidR="00BB67BA" w:rsidRPr="00DF0952">
        <w:rPr>
          <w:color w:val="000000" w:themeColor="text1"/>
          <w:lang w:eastAsia="en-US"/>
        </w:rPr>
        <w:t>as in the case of unaged samples</w:t>
      </w:r>
      <w:r w:rsidRPr="00DF0952">
        <w:rPr>
          <w:color w:val="000000" w:themeColor="text1"/>
          <w:lang w:eastAsia="en-US"/>
        </w:rPr>
        <w:t xml:space="preserve">. This weight amount is brought to zero by means of an additional treatment into oxidizing atmosphere at 700°C. </w:t>
      </w:r>
    </w:p>
    <w:p w14:paraId="06BFA30C" w14:textId="031350B7" w:rsidR="0032388F" w:rsidRPr="00DF0952" w:rsidRDefault="0032388F" w:rsidP="0032388F">
      <w:pPr>
        <w:rPr>
          <w:color w:val="000000" w:themeColor="text1"/>
          <w:lang w:eastAsia="en-US"/>
        </w:rPr>
      </w:pPr>
      <w:r w:rsidRPr="00DF0952">
        <w:rPr>
          <w:color w:val="000000" w:themeColor="text1"/>
          <w:lang w:eastAsia="en-US"/>
        </w:rPr>
        <w:t xml:space="preserve">This behavior can be attributed to the combined effects of temperature and radiation, potentially causing both increased chain scission and the formation of degradation species. Specifically, moderate temperatures (around 90°C in this case) may overcome any limitations related to diffusion-limited oxidation (DLO), leading to the formation of chemically stable degradation species. As a result, the polymer's stability is </w:t>
      </w:r>
      <w:proofErr w:type="gramStart"/>
      <w:r w:rsidRPr="00DF0952">
        <w:rPr>
          <w:color w:val="000000" w:themeColor="text1"/>
          <w:lang w:eastAsia="en-US"/>
        </w:rPr>
        <w:t>similar to</w:t>
      </w:r>
      <w:proofErr w:type="gramEnd"/>
      <w:r w:rsidRPr="00DF0952">
        <w:rPr>
          <w:color w:val="000000" w:themeColor="text1"/>
          <w:lang w:eastAsia="en-US"/>
        </w:rPr>
        <w:t xml:space="preserve"> that of the unaged material, which shows a residual mass of approximately 10%.</w:t>
      </w:r>
    </w:p>
    <w:p w14:paraId="00DEB6D7" w14:textId="77777777" w:rsidR="0032388F" w:rsidRPr="00DF0952" w:rsidRDefault="0032388F" w:rsidP="0032388F">
      <w:pPr>
        <w:rPr>
          <w:color w:val="000000" w:themeColor="text1"/>
          <w:lang w:eastAsia="en-US"/>
        </w:rPr>
      </w:pPr>
      <w:r w:rsidRPr="00DF0952">
        <w:rPr>
          <w:color w:val="000000" w:themeColor="text1"/>
          <w:lang w:eastAsia="en-US"/>
        </w:rPr>
        <w:t>Following LOCA, the same material (TA/RA+LOCA) experiences severe radiation aging. In this scenario, the two degradation mechanisms are not concurrent; instead, radiation predominates, exceeding any potential stability arising from thermal degradation.</w:t>
      </w:r>
    </w:p>
    <w:p w14:paraId="4D2CC64C" w14:textId="3855DB30" w:rsidR="00484158" w:rsidRPr="00DF0952" w:rsidRDefault="00484158" w:rsidP="00484158">
      <w:pPr>
        <w:rPr>
          <w:color w:val="000000" w:themeColor="text1"/>
          <w:lang w:eastAsia="en-US"/>
        </w:rPr>
      </w:pPr>
      <w:proofErr w:type="gramStart"/>
      <w:r w:rsidRPr="00DF0952">
        <w:rPr>
          <w:color w:val="000000" w:themeColor="text1"/>
          <w:lang w:eastAsia="en-US"/>
        </w:rPr>
        <w:t>In order to</w:t>
      </w:r>
      <w:proofErr w:type="gramEnd"/>
      <w:r w:rsidRPr="00DF0952">
        <w:rPr>
          <w:color w:val="000000" w:themeColor="text1"/>
          <w:lang w:eastAsia="en-US"/>
        </w:rPr>
        <w:t xml:space="preserve"> better analyze the behavior with aging, it is also </w:t>
      </w:r>
      <w:proofErr w:type="gramStart"/>
      <w:r w:rsidRPr="00DF0952">
        <w:rPr>
          <w:color w:val="000000" w:themeColor="text1"/>
          <w:lang w:eastAsia="en-US"/>
        </w:rPr>
        <w:t>reported</w:t>
      </w:r>
      <w:proofErr w:type="gramEnd"/>
      <w:r w:rsidRPr="00DF0952">
        <w:rPr>
          <w:color w:val="000000" w:themeColor="text1"/>
          <w:lang w:eastAsia="en-US"/>
        </w:rPr>
        <w:t xml:space="preserve"> an insight (</w:t>
      </w:r>
      <w:r w:rsidRPr="00DF0952">
        <w:rPr>
          <w:color w:val="000000" w:themeColor="text1"/>
          <w:lang w:eastAsia="en-US"/>
        </w:rPr>
        <w:fldChar w:fldCharType="begin"/>
      </w:r>
      <w:r w:rsidRPr="00DF0952">
        <w:rPr>
          <w:color w:val="000000" w:themeColor="text1"/>
          <w:lang w:eastAsia="en-US"/>
        </w:rPr>
        <w:instrText xml:space="preserve"> REF _Ref184631161 \h </w:instrText>
      </w:r>
      <w:r w:rsidRPr="00DF0952">
        <w:rPr>
          <w:color w:val="000000" w:themeColor="text1"/>
          <w:lang w:eastAsia="en-US"/>
        </w:rPr>
      </w:r>
      <w:r w:rsidRPr="00DF0952">
        <w:rPr>
          <w:color w:val="000000" w:themeColor="text1"/>
          <w:lang w:eastAsia="en-US"/>
        </w:rPr>
        <w:fldChar w:fldCharType="separate"/>
      </w:r>
      <w:r w:rsidR="001D02A0" w:rsidRPr="00434C3A">
        <w:t xml:space="preserve">Figure </w:t>
      </w:r>
      <w:r w:rsidR="001D02A0">
        <w:rPr>
          <w:noProof/>
        </w:rPr>
        <w:t>8</w:t>
      </w:r>
      <w:r w:rsidRPr="00DF0952">
        <w:rPr>
          <w:color w:val="000000" w:themeColor="text1"/>
          <w:lang w:eastAsia="en-US"/>
        </w:rPr>
        <w:fldChar w:fldCharType="end"/>
      </w:r>
      <w:r w:rsidRPr="00DF0952">
        <w:rPr>
          <w:color w:val="000000" w:themeColor="text1"/>
          <w:lang w:eastAsia="en-US"/>
        </w:rPr>
        <w:t>.b) centered on 50% mass</w:t>
      </w:r>
      <w:r w:rsidR="000C7E54" w:rsidRPr="00DF0952">
        <w:rPr>
          <w:color w:val="000000" w:themeColor="text1"/>
          <w:lang w:eastAsia="en-US"/>
        </w:rPr>
        <w:t xml:space="preserve"> loss</w:t>
      </w:r>
      <w:r w:rsidRPr="00DF0952">
        <w:rPr>
          <w:color w:val="000000" w:themeColor="text1"/>
          <w:lang w:eastAsia="en-US"/>
        </w:rPr>
        <w:t>. This value is sometimes used as a reference value for the evaluation of the stability of the soft matters, as seen in</w:t>
      </w:r>
      <w:r w:rsidR="00FB01E0" w:rsidRPr="00DF0952">
        <w:rPr>
          <w:color w:val="000000" w:themeColor="text1"/>
          <w:lang w:eastAsia="en-US"/>
        </w:rPr>
        <w:t xml:space="preserve"> </w:t>
      </w:r>
      <w:r w:rsidR="00FB01E0" w:rsidRPr="00DF0952">
        <w:rPr>
          <w:color w:val="000000" w:themeColor="text1"/>
          <w:lang w:eastAsia="en-US"/>
        </w:rPr>
        <w:fldChar w:fldCharType="begin"/>
      </w:r>
      <w:r w:rsidR="00C64E22" w:rsidRPr="00DF0952">
        <w:rPr>
          <w:color w:val="000000" w:themeColor="text1"/>
          <w:lang w:eastAsia="en-US"/>
        </w:rPr>
        <w:instrText xml:space="preserve"> ADDIN ZOTERO_ITEM CSL_CITATION {"citationID":"ZNAfrngB","properties":{"formattedCitation":"[29]","plainCitation":"[29]","noteIndex":0},"citationItems":[{"id":2225,"uris":["http://zotero.org/users/6147595/items/JPBYRJ39"],"itemData":{"id":2225,"type":"article-journal","abstract":"Poly(methyl methacrylate) (PMMA)/copper hydroxy methacrylate (CHM) composites were prepared via solution blending and bulk polymerization. Addition of 3% by weight of the CHM additive using solution blending resulted in a significant increment (</w:instrText>
      </w:r>
      <w:r w:rsidR="00C64E22" w:rsidRPr="00DF0952">
        <w:rPr>
          <w:rFonts w:ascii="Cambria Math" w:hAnsi="Cambria Math" w:cs="Cambria Math"/>
          <w:color w:val="000000" w:themeColor="text1"/>
          <w:lang w:eastAsia="en-US"/>
        </w:rPr>
        <w:instrText>∼</w:instrText>
      </w:r>
      <w:r w:rsidR="00C64E22" w:rsidRPr="00DF0952">
        <w:rPr>
          <w:color w:val="000000" w:themeColor="text1"/>
          <w:lang w:eastAsia="en-US"/>
        </w:rPr>
        <w:instrText>45</w:instrText>
      </w:r>
      <w:r w:rsidR="00C64E22" w:rsidRPr="00DF0952">
        <w:rPr>
          <w:rFonts w:cs="Arial"/>
          <w:color w:val="000000" w:themeColor="text1"/>
          <w:lang w:eastAsia="en-US"/>
        </w:rPr>
        <w:instrText>°</w:instrText>
      </w:r>
      <w:r w:rsidR="00C64E22" w:rsidRPr="00DF0952">
        <w:rPr>
          <w:color w:val="000000" w:themeColor="text1"/>
          <w:lang w:eastAsia="en-US"/>
        </w:rPr>
        <w:instrText>C) in thermogravimetric analysis (TGA) T50, the temperature at which 50% of the original polymeric mass is lost. The value T50 increased by 30</w:instrText>
      </w:r>
      <w:r w:rsidR="00C64E22" w:rsidRPr="00DF0952">
        <w:rPr>
          <w:rFonts w:cs="Arial"/>
          <w:color w:val="000000" w:themeColor="text1"/>
          <w:lang w:eastAsia="en-US"/>
        </w:rPr>
        <w:instrText>°</w:instrText>
      </w:r>
      <w:r w:rsidR="00C64E22" w:rsidRPr="00DF0952">
        <w:rPr>
          <w:color w:val="000000" w:themeColor="text1"/>
          <w:lang w:eastAsia="en-US"/>
        </w:rPr>
        <w:instrText>C for a PMMA composite with 4% CHM, synthesized via bulk polymerization. Activation energies, Ea, were calculated as a function of conversion fractions (TGA decomposition profile) for the polymeric materials. Analysis of multiple heating rate data using the Flynn</w:instrText>
      </w:r>
      <w:r w:rsidR="00C64E22" w:rsidRPr="00DF0952">
        <w:rPr>
          <w:rFonts w:cs="Arial"/>
          <w:color w:val="000000" w:themeColor="text1"/>
          <w:lang w:eastAsia="en-US"/>
        </w:rPr>
        <w:instrText>–</w:instrText>
      </w:r>
      <w:r w:rsidR="00C64E22" w:rsidRPr="00DF0952">
        <w:rPr>
          <w:color w:val="000000" w:themeColor="text1"/>
          <w:lang w:eastAsia="en-US"/>
        </w:rPr>
        <w:instrText>Wall</w:instrText>
      </w:r>
      <w:r w:rsidR="00C64E22" w:rsidRPr="00DF0952">
        <w:rPr>
          <w:rFonts w:cs="Arial"/>
          <w:color w:val="000000" w:themeColor="text1"/>
          <w:lang w:eastAsia="en-US"/>
        </w:rPr>
        <w:instrText>–</w:instrText>
      </w:r>
      <w:r w:rsidR="00C64E22" w:rsidRPr="00DF0952">
        <w:rPr>
          <w:color w:val="000000" w:themeColor="text1"/>
          <w:lang w:eastAsia="en-US"/>
        </w:rPr>
        <w:instrText>Ozawa method resulted in Ea values that were 50 kJ mol</w:instrText>
      </w:r>
      <w:r w:rsidR="00C64E22" w:rsidRPr="00DF0952">
        <w:rPr>
          <w:rFonts w:cs="Arial"/>
          <w:color w:val="000000" w:themeColor="text1"/>
          <w:lang w:eastAsia="en-US"/>
        </w:rPr>
        <w:instrText>−</w:instrText>
      </w:r>
      <w:r w:rsidR="00C64E22" w:rsidRPr="00DF0952">
        <w:rPr>
          <w:color w:val="000000" w:themeColor="text1"/>
          <w:lang w:eastAsia="en-US"/>
        </w:rPr>
        <w:instrText xml:space="preserve">1 higher for conversions above 0.5 in the solution blended composite compared to a reference sample of pure PMMA recrystallized from the same solvent. Similar results were obtained for bulk polymerization process with differences in Ea values &gt; 30 kJ mol−1 relative to pure PMMA. However, in contrast to previous studies of bulk polymerized samples, the solution-blended composite exhibited no improvement in cone calorimetry determination of total heat release as compared with the reference PMMA sample. Copyright © 2006 John Wiley &amp; Sons, Ltd.","container-title":"Polymers for Advanced Technologies","DOI":"10.1002/pat.681","ISSN":"1099-1581","issue":"4","language":"en","license":"Copyright © 2006 John Wiley &amp; Sons, Ltd.","note":"_eprint: https://onlinelibrary.wiley.com/doi/pdf/10.1002/pat.681","page":"312-319","source":"Wiley Online Library","title":"Thermal stability and degradation kinetics of poly(methyl methacrylate)/layered copper hydroxy methacrylate composites","volume":"17","author":[{"family":"Kandare","given":"Everson"},{"family":"Deng","given":"Hongmei"},{"family":"Wang","given":"Dongyan"},{"family":"Hossenlopp","given":"Jeanne M."}],"issued":{"date-parts":[["2006"]]}}}],"schema":"https://github.com/citation-style-language/schema/raw/master/csl-citation.json"} </w:instrText>
      </w:r>
      <w:r w:rsidR="00FB01E0" w:rsidRPr="00DF0952">
        <w:rPr>
          <w:color w:val="000000" w:themeColor="text1"/>
          <w:lang w:eastAsia="en-US"/>
        </w:rPr>
        <w:fldChar w:fldCharType="separate"/>
      </w:r>
      <w:r w:rsidR="00C64E22" w:rsidRPr="00DF0952">
        <w:rPr>
          <w:rFonts w:cs="Arial"/>
          <w:color w:val="000000" w:themeColor="text1"/>
        </w:rPr>
        <w:t>[29]</w:t>
      </w:r>
      <w:r w:rsidR="00FB01E0" w:rsidRPr="00DF0952">
        <w:rPr>
          <w:color w:val="000000" w:themeColor="text1"/>
          <w:lang w:eastAsia="en-US"/>
        </w:rPr>
        <w:fldChar w:fldCharType="end"/>
      </w:r>
      <w:r w:rsidRPr="00DF0952">
        <w:rPr>
          <w:color w:val="000000" w:themeColor="text1"/>
          <w:lang w:eastAsia="en-US"/>
        </w:rPr>
        <w:t>.</w:t>
      </w:r>
    </w:p>
    <w:p w14:paraId="49C03B68" w14:textId="56F31C39" w:rsidR="00484158" w:rsidRDefault="00484158" w:rsidP="00484158">
      <w:pPr>
        <w:rPr>
          <w:lang w:eastAsia="en-US"/>
        </w:rPr>
      </w:pPr>
      <w:r w:rsidRPr="00434C3A">
        <w:rPr>
          <w:lang w:eastAsia="en-US"/>
        </w:rPr>
        <w:t xml:space="preserve">Results indicate that all aged materials exhibit lower degradation temperatures compared to the unaged material. Notably, the temperature at which 50% degradation occurs (temperature-to-50%) is </w:t>
      </w:r>
      <w:r w:rsidR="00BD75A3">
        <w:rPr>
          <w:lang w:eastAsia="en-US"/>
        </w:rPr>
        <w:t xml:space="preserve">almost the same </w:t>
      </w:r>
      <w:r w:rsidRPr="00434C3A">
        <w:rPr>
          <w:lang w:eastAsia="en-US"/>
        </w:rPr>
        <w:t>between the RA and TA/RA materials. Nonetheless, the</w:t>
      </w:r>
      <w:r w:rsidR="00BD75A3">
        <w:rPr>
          <w:lang w:eastAsia="en-US"/>
        </w:rPr>
        <w:t xml:space="preserve"> weight loss trend appears</w:t>
      </w:r>
      <w:r w:rsidRPr="00434C3A">
        <w:rPr>
          <w:lang w:eastAsia="en-US"/>
        </w:rPr>
        <w:t xml:space="preserve"> to be different, with a faster degradation in the case of radiation-only </w:t>
      </w:r>
      <w:r w:rsidR="00BD75A3">
        <w:rPr>
          <w:lang w:eastAsia="en-US"/>
        </w:rPr>
        <w:t xml:space="preserve">(RA) </w:t>
      </w:r>
      <w:r w:rsidRPr="00434C3A">
        <w:rPr>
          <w:lang w:eastAsia="en-US"/>
        </w:rPr>
        <w:t>aging.</w:t>
      </w:r>
    </w:p>
    <w:p w14:paraId="6EB3F0E6" w14:textId="503FCCBE" w:rsidR="00484158" w:rsidRDefault="00484158" w:rsidP="00484158">
      <w:pPr>
        <w:keepNext/>
        <w:rPr>
          <w:lang w:eastAsia="en-US"/>
        </w:rPr>
      </w:pPr>
      <w:r w:rsidRPr="00434C3A">
        <w:rPr>
          <w:lang w:eastAsia="en-US"/>
        </w:rPr>
        <w:t xml:space="preserve">Similar results can be observed when analyzing materials post-DBE event. As anticipated, the DBE simulation further diminishes polymer stability. Interestingly, materials aged under RA + </w:t>
      </w:r>
      <w:proofErr w:type="gramStart"/>
      <w:r w:rsidRPr="00434C3A">
        <w:rPr>
          <w:lang w:eastAsia="en-US"/>
        </w:rPr>
        <w:t>LOCA conditions</w:t>
      </w:r>
      <w:proofErr w:type="gramEnd"/>
      <w:r w:rsidRPr="00434C3A">
        <w:rPr>
          <w:lang w:eastAsia="en-US"/>
        </w:rPr>
        <w:t xml:space="preserve"> exhibit the lowest temperature-to-50%, indicating a more degraded and less stable material. Consequently, it can be concluded that thermal treatment enhances polymer stability, likely due to the formation of different species </w:t>
      </w:r>
      <w:r w:rsidR="00D86FEA">
        <w:rPr>
          <w:lang w:eastAsia="en-US"/>
        </w:rPr>
        <w:t>with aging</w:t>
      </w:r>
      <w:r w:rsidR="00412E31" w:rsidRPr="00434C3A">
        <w:rPr>
          <w:lang w:eastAsia="en-US"/>
        </w:rPr>
        <w:t>.</w:t>
      </w:r>
    </w:p>
    <w:p w14:paraId="3F3B8169" w14:textId="1D6DE4BF" w:rsidR="00002967" w:rsidRPr="00434C3A" w:rsidRDefault="00002967" w:rsidP="00002967">
      <w:pPr>
        <w:rPr>
          <w:lang w:eastAsia="en-US"/>
        </w:rPr>
      </w:pPr>
      <w:r>
        <w:rPr>
          <w:lang w:eastAsia="en-US"/>
        </w:rPr>
        <w:t>Th</w:t>
      </w:r>
      <w:r w:rsidR="00D86FEA">
        <w:rPr>
          <w:lang w:eastAsia="en-US"/>
        </w:rPr>
        <w:t>ese</w:t>
      </w:r>
      <w:r>
        <w:rPr>
          <w:lang w:eastAsia="en-US"/>
        </w:rPr>
        <w:t xml:space="preserve"> result</w:t>
      </w:r>
      <w:r w:rsidR="00D86FEA">
        <w:rPr>
          <w:lang w:eastAsia="en-US"/>
        </w:rPr>
        <w:t>s are</w:t>
      </w:r>
      <w:r>
        <w:rPr>
          <w:lang w:eastAsia="en-US"/>
        </w:rPr>
        <w:t xml:space="preserve"> consistent with the degradation mechanisms</w:t>
      </w:r>
      <w:r w:rsidR="00D023EB">
        <w:rPr>
          <w:lang w:eastAsia="en-US"/>
        </w:rPr>
        <w:t xml:space="preserve"> occurring during radiation and combined aging. Indeed, the presence of shorter chains within the polymer matrix </w:t>
      </w:r>
      <w:r w:rsidR="00AF41D1">
        <w:rPr>
          <w:lang w:eastAsia="en-US"/>
        </w:rPr>
        <w:t xml:space="preserve">usually </w:t>
      </w:r>
      <w:r w:rsidR="00150254">
        <w:rPr>
          <w:lang w:eastAsia="en-US"/>
        </w:rPr>
        <w:t>needs</w:t>
      </w:r>
      <w:r w:rsidR="00AF41D1">
        <w:rPr>
          <w:lang w:eastAsia="en-US"/>
        </w:rPr>
        <w:t xml:space="preserve"> lower temperatures to degrade</w:t>
      </w:r>
      <w:r w:rsidR="00150254">
        <w:rPr>
          <w:lang w:eastAsia="en-US"/>
        </w:rPr>
        <w:t xml:space="preserve">. This </w:t>
      </w:r>
      <w:proofErr w:type="gramStart"/>
      <w:r w:rsidR="00150254">
        <w:rPr>
          <w:lang w:eastAsia="en-US"/>
        </w:rPr>
        <w:t>is in agreement</w:t>
      </w:r>
      <w:proofErr w:type="gramEnd"/>
      <w:r w:rsidR="00150254">
        <w:rPr>
          <w:lang w:eastAsia="en-US"/>
        </w:rPr>
        <w:t xml:space="preserve"> with the reported results, being the chain scission the main mechanism in radiation aging. On the contrary, thermo-oxidation causes the formation of different products which are shown to be slightly more stable with temperature, leading to the need of higher temperature to </w:t>
      </w:r>
      <w:r w:rsidR="0026129D">
        <w:rPr>
          <w:lang w:eastAsia="en-US"/>
        </w:rPr>
        <w:t>achieve</w:t>
      </w:r>
      <w:r w:rsidR="00150254">
        <w:rPr>
          <w:lang w:eastAsia="en-US"/>
        </w:rPr>
        <w:t xml:space="preserve"> the same degradation </w:t>
      </w:r>
      <w:r w:rsidR="0026129D">
        <w:rPr>
          <w:lang w:eastAsia="en-US"/>
        </w:rPr>
        <w:t>level.</w:t>
      </w:r>
    </w:p>
    <w:tbl>
      <w:tblPr>
        <w:tblStyle w:val="Grigliatabella"/>
        <w:tblW w:w="0" w:type="auto"/>
        <w:tblLook w:val="04A0" w:firstRow="1" w:lastRow="0" w:firstColumn="1" w:lastColumn="0" w:noHBand="0" w:noVBand="1"/>
      </w:tblPr>
      <w:tblGrid>
        <w:gridCol w:w="4809"/>
        <w:gridCol w:w="4819"/>
      </w:tblGrid>
      <w:tr w:rsidR="00850E3F" w:rsidRPr="00434C3A" w14:paraId="4217C936" w14:textId="77777777" w:rsidTr="005053DA">
        <w:tc>
          <w:tcPr>
            <w:tcW w:w="4794" w:type="dxa"/>
            <w:vAlign w:val="center"/>
          </w:tcPr>
          <w:p w14:paraId="7BEABFEC" w14:textId="4668DE88" w:rsidR="00EE2E52" w:rsidRPr="00434C3A" w:rsidRDefault="00C1192F" w:rsidP="006E0BE5">
            <w:pPr>
              <w:jc w:val="center"/>
            </w:pPr>
            <w:r>
              <w:rPr>
                <w:noProof/>
                <w:snapToGrid/>
                <w14:ligatures w14:val="standardContextual"/>
              </w:rPr>
              <w:drawing>
                <wp:inline distT="0" distB="0" distL="0" distR="0" wp14:anchorId="402DD029" wp14:editId="6A63FF3C">
                  <wp:extent cx="2946400" cy="2209800"/>
                  <wp:effectExtent l="0" t="0" r="6350" b="0"/>
                  <wp:docPr id="85966195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661951" name=""/>
                          <pic:cNvPicPr/>
                        </pic:nvPicPr>
                        <pic:blipFill>
                          <a:blip r:embed="rId20">
                            <a:extLst>
                              <a:ext uri="{96DAC541-7B7A-43D3-8B79-37D633B846F1}">
                                <asvg:svgBlip xmlns:asvg="http://schemas.microsoft.com/office/drawing/2016/SVG/main" r:embed="rId21"/>
                              </a:ext>
                            </a:extLst>
                          </a:blip>
                          <a:stretch>
                            <a:fillRect/>
                          </a:stretch>
                        </pic:blipFill>
                        <pic:spPr>
                          <a:xfrm>
                            <a:off x="0" y="0"/>
                            <a:ext cx="2954932" cy="2216199"/>
                          </a:xfrm>
                          <a:prstGeom prst="rect">
                            <a:avLst/>
                          </a:prstGeom>
                        </pic:spPr>
                      </pic:pic>
                    </a:graphicData>
                  </a:graphic>
                </wp:inline>
              </w:drawing>
            </w:r>
          </w:p>
        </w:tc>
        <w:tc>
          <w:tcPr>
            <w:tcW w:w="4834" w:type="dxa"/>
            <w:vAlign w:val="center"/>
          </w:tcPr>
          <w:p w14:paraId="77D1AE47" w14:textId="0064E707" w:rsidR="00EE2E52" w:rsidRPr="00434C3A" w:rsidRDefault="00850E3F" w:rsidP="006E0BE5">
            <w:pPr>
              <w:jc w:val="center"/>
            </w:pPr>
            <w:r>
              <w:rPr>
                <w:noProof/>
                <w:snapToGrid/>
                <w14:ligatures w14:val="standardContextual"/>
              </w:rPr>
              <w:drawing>
                <wp:inline distT="0" distB="0" distL="0" distR="0" wp14:anchorId="39FFA314" wp14:editId="21B0546E">
                  <wp:extent cx="2959100" cy="2219325"/>
                  <wp:effectExtent l="0" t="0" r="0" b="9525"/>
                  <wp:docPr id="18040973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09737" name=""/>
                          <pic:cNvPicPr/>
                        </pic:nvPicPr>
                        <pic:blipFill>
                          <a:blip r:embed="rId22">
                            <a:extLst>
                              <a:ext uri="{96DAC541-7B7A-43D3-8B79-37D633B846F1}">
                                <asvg:svgBlip xmlns:asvg="http://schemas.microsoft.com/office/drawing/2016/SVG/main" r:embed="rId23"/>
                              </a:ext>
                            </a:extLst>
                          </a:blip>
                          <a:stretch>
                            <a:fillRect/>
                          </a:stretch>
                        </pic:blipFill>
                        <pic:spPr>
                          <a:xfrm>
                            <a:off x="0" y="0"/>
                            <a:ext cx="2966503" cy="2224877"/>
                          </a:xfrm>
                          <a:prstGeom prst="rect">
                            <a:avLst/>
                          </a:prstGeom>
                        </pic:spPr>
                      </pic:pic>
                    </a:graphicData>
                  </a:graphic>
                </wp:inline>
              </w:drawing>
            </w:r>
          </w:p>
        </w:tc>
      </w:tr>
      <w:tr w:rsidR="00850E3F" w:rsidRPr="00434C3A" w14:paraId="6FA0F20D" w14:textId="77777777" w:rsidTr="005053DA">
        <w:tc>
          <w:tcPr>
            <w:tcW w:w="4794" w:type="dxa"/>
            <w:vAlign w:val="center"/>
          </w:tcPr>
          <w:p w14:paraId="258EFA5B" w14:textId="77777777" w:rsidR="00EE2E52" w:rsidRPr="00434C3A" w:rsidRDefault="00EE2E52" w:rsidP="006E0BE5">
            <w:pPr>
              <w:jc w:val="center"/>
              <w:rPr>
                <w:noProof/>
                <w:snapToGrid/>
                <w14:ligatures w14:val="standardContextual"/>
              </w:rPr>
            </w:pPr>
            <w:r w:rsidRPr="00434C3A">
              <w:rPr>
                <w:noProof/>
                <w:snapToGrid/>
                <w14:ligatures w14:val="standardContextual"/>
              </w:rPr>
              <w:t>(a)</w:t>
            </w:r>
          </w:p>
        </w:tc>
        <w:tc>
          <w:tcPr>
            <w:tcW w:w="4834" w:type="dxa"/>
            <w:vAlign w:val="center"/>
          </w:tcPr>
          <w:p w14:paraId="79273173" w14:textId="77777777" w:rsidR="00EE2E52" w:rsidRPr="00434C3A" w:rsidRDefault="00EE2E52" w:rsidP="006E0BE5">
            <w:pPr>
              <w:keepNext/>
              <w:jc w:val="center"/>
              <w:rPr>
                <w:noProof/>
                <w:snapToGrid/>
                <w14:ligatures w14:val="standardContextual"/>
              </w:rPr>
            </w:pPr>
            <w:r w:rsidRPr="00434C3A">
              <w:rPr>
                <w:noProof/>
                <w:snapToGrid/>
                <w14:ligatures w14:val="standardContextual"/>
              </w:rPr>
              <w:t>(b)</w:t>
            </w:r>
          </w:p>
        </w:tc>
      </w:tr>
    </w:tbl>
    <w:p w14:paraId="5B27A82F" w14:textId="001EA1E2" w:rsidR="00484158" w:rsidRPr="00434C3A" w:rsidRDefault="00484158" w:rsidP="002F2587">
      <w:pPr>
        <w:pStyle w:val="Didascalia"/>
        <w:spacing w:before="240"/>
        <w:rPr>
          <w:lang w:val="en-US"/>
        </w:rPr>
      </w:pPr>
      <w:bookmarkStart w:id="9" w:name="_Ref184631161"/>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8</w:t>
      </w:r>
      <w:r w:rsidRPr="00434C3A">
        <w:rPr>
          <w:lang w:val="en-US"/>
        </w:rPr>
        <w:fldChar w:fldCharType="end"/>
      </w:r>
      <w:bookmarkEnd w:id="9"/>
      <w:r w:rsidRPr="00434C3A">
        <w:rPr>
          <w:lang w:val="en-US"/>
        </w:rPr>
        <w:t xml:space="preserve"> TGA thermograms for the different </w:t>
      </w:r>
      <w:r w:rsidR="002F2587" w:rsidRPr="00434C3A">
        <w:rPr>
          <w:lang w:val="en-US"/>
        </w:rPr>
        <w:t>materials investigated</w:t>
      </w:r>
      <w:r w:rsidRPr="00434C3A">
        <w:rPr>
          <w:lang w:val="en-US"/>
        </w:rPr>
        <w:t>. (a) Full scale, (b) Insight close to 50% weight loss.</w:t>
      </w:r>
    </w:p>
    <w:p w14:paraId="6249D854" w14:textId="324AA4A4" w:rsidR="008A61F3" w:rsidRPr="00434C3A" w:rsidRDefault="008A61F3" w:rsidP="008A61F3">
      <w:pPr>
        <w:pStyle w:val="Titolo2"/>
      </w:pPr>
      <w:r w:rsidRPr="00434C3A">
        <w:lastRenderedPageBreak/>
        <w:t>3.</w:t>
      </w:r>
      <w:r w:rsidR="00131C45" w:rsidRPr="00434C3A">
        <w:t>2</w:t>
      </w:r>
      <w:r w:rsidRPr="00434C3A">
        <w:t xml:space="preserve"> Electrical characterization results</w:t>
      </w:r>
    </w:p>
    <w:p w14:paraId="59964E99" w14:textId="79CBB4F4" w:rsidR="00AE5DEA" w:rsidRPr="00434C3A" w:rsidRDefault="008A61F3" w:rsidP="008A61F3">
      <w:pPr>
        <w:pStyle w:val="Titolo3"/>
      </w:pPr>
      <w:r w:rsidRPr="00434C3A">
        <w:t>3.</w:t>
      </w:r>
      <w:r w:rsidR="00131C45" w:rsidRPr="00434C3A">
        <w:t>2</w:t>
      </w:r>
      <w:r w:rsidRPr="00434C3A">
        <w:t xml:space="preserve">.1 </w:t>
      </w:r>
      <w:r w:rsidR="00AE5DEA" w:rsidRPr="00434C3A">
        <w:t>Dielectric spectroscopy results</w:t>
      </w:r>
    </w:p>
    <w:tbl>
      <w:tblPr>
        <w:tblStyle w:val="Grigliatabella"/>
        <w:tblW w:w="0" w:type="auto"/>
        <w:tblLook w:val="04A0" w:firstRow="1" w:lastRow="0" w:firstColumn="1" w:lastColumn="0" w:noHBand="0" w:noVBand="1"/>
      </w:tblPr>
      <w:tblGrid>
        <w:gridCol w:w="4814"/>
        <w:gridCol w:w="4814"/>
      </w:tblGrid>
      <w:tr w:rsidR="001A35EB" w:rsidRPr="00434C3A" w14:paraId="23661091" w14:textId="77777777" w:rsidTr="001A35EB">
        <w:tc>
          <w:tcPr>
            <w:tcW w:w="4814" w:type="dxa"/>
            <w:vAlign w:val="center"/>
          </w:tcPr>
          <w:p w14:paraId="077030AB" w14:textId="05C7F1C9" w:rsidR="001A35EB" w:rsidRPr="00434C3A" w:rsidRDefault="001A35EB" w:rsidP="001A35EB">
            <w:pPr>
              <w:jc w:val="center"/>
            </w:pPr>
            <w:r w:rsidRPr="00434C3A">
              <w:rPr>
                <w:noProof/>
                <w:snapToGrid/>
                <w14:ligatures w14:val="standardContextual"/>
              </w:rPr>
              <w:drawing>
                <wp:inline distT="0" distB="0" distL="0" distR="0" wp14:anchorId="629353F4" wp14:editId="4908B0B9">
                  <wp:extent cx="2818708" cy="2130677"/>
                  <wp:effectExtent l="0" t="0" r="1270" b="3175"/>
                  <wp:docPr id="28300562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005626" name=""/>
                          <pic:cNvPicPr/>
                        </pic:nvPicPr>
                        <pic:blipFill>
                          <a:blip r:embed="rId24">
                            <a:extLst>
                              <a:ext uri="{96DAC541-7B7A-43D3-8B79-37D633B846F1}">
                                <asvg:svgBlip xmlns:asvg="http://schemas.microsoft.com/office/drawing/2016/SVG/main" r:embed="rId25"/>
                              </a:ext>
                            </a:extLst>
                          </a:blip>
                          <a:stretch>
                            <a:fillRect/>
                          </a:stretch>
                        </pic:blipFill>
                        <pic:spPr>
                          <a:xfrm>
                            <a:off x="0" y="0"/>
                            <a:ext cx="2824677" cy="2135189"/>
                          </a:xfrm>
                          <a:prstGeom prst="rect">
                            <a:avLst/>
                          </a:prstGeom>
                        </pic:spPr>
                      </pic:pic>
                    </a:graphicData>
                  </a:graphic>
                </wp:inline>
              </w:drawing>
            </w:r>
          </w:p>
        </w:tc>
        <w:tc>
          <w:tcPr>
            <w:tcW w:w="4814" w:type="dxa"/>
            <w:vAlign w:val="center"/>
          </w:tcPr>
          <w:p w14:paraId="7607C6E4" w14:textId="65C7900A" w:rsidR="001A35EB" w:rsidRPr="00434C3A" w:rsidRDefault="001A35EB" w:rsidP="001A35EB">
            <w:pPr>
              <w:jc w:val="center"/>
            </w:pPr>
            <w:r w:rsidRPr="00434C3A">
              <w:rPr>
                <w:noProof/>
                <w:snapToGrid/>
                <w14:ligatures w14:val="standardContextual"/>
              </w:rPr>
              <w:drawing>
                <wp:inline distT="0" distB="0" distL="0" distR="0" wp14:anchorId="33EDC1F9" wp14:editId="43374E57">
                  <wp:extent cx="2839941" cy="2129957"/>
                  <wp:effectExtent l="0" t="0" r="0" b="3810"/>
                  <wp:docPr id="982461650"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461650" name=""/>
                          <pic:cNvPicPr/>
                        </pic:nvPicPr>
                        <pic:blipFill>
                          <a:blip r:embed="rId26">
                            <a:extLst>
                              <a:ext uri="{96DAC541-7B7A-43D3-8B79-37D633B846F1}">
                                <asvg:svgBlip xmlns:asvg="http://schemas.microsoft.com/office/drawing/2016/SVG/main" r:embed="rId27"/>
                              </a:ext>
                            </a:extLst>
                          </a:blip>
                          <a:stretch>
                            <a:fillRect/>
                          </a:stretch>
                        </pic:blipFill>
                        <pic:spPr>
                          <a:xfrm>
                            <a:off x="0" y="0"/>
                            <a:ext cx="2858289" cy="2143718"/>
                          </a:xfrm>
                          <a:prstGeom prst="rect">
                            <a:avLst/>
                          </a:prstGeom>
                        </pic:spPr>
                      </pic:pic>
                    </a:graphicData>
                  </a:graphic>
                </wp:inline>
              </w:drawing>
            </w:r>
          </w:p>
        </w:tc>
      </w:tr>
      <w:tr w:rsidR="001A35EB" w:rsidRPr="00434C3A" w14:paraId="07195793" w14:textId="77777777" w:rsidTr="001A35EB">
        <w:tc>
          <w:tcPr>
            <w:tcW w:w="4814" w:type="dxa"/>
            <w:vAlign w:val="center"/>
          </w:tcPr>
          <w:p w14:paraId="5F9E7325" w14:textId="477F1C5E" w:rsidR="001A35EB" w:rsidRPr="00434C3A" w:rsidRDefault="001A35EB" w:rsidP="001A35EB">
            <w:pPr>
              <w:jc w:val="center"/>
              <w:rPr>
                <w:noProof/>
                <w:snapToGrid/>
                <w14:ligatures w14:val="standardContextual"/>
              </w:rPr>
            </w:pPr>
            <w:r w:rsidRPr="00434C3A">
              <w:rPr>
                <w:noProof/>
                <w:snapToGrid/>
                <w14:ligatures w14:val="standardContextual"/>
              </w:rPr>
              <w:t>(a)</w:t>
            </w:r>
          </w:p>
        </w:tc>
        <w:tc>
          <w:tcPr>
            <w:tcW w:w="4814" w:type="dxa"/>
            <w:vAlign w:val="center"/>
          </w:tcPr>
          <w:p w14:paraId="5CB42C6E" w14:textId="571A01A3" w:rsidR="001A35EB" w:rsidRPr="00434C3A" w:rsidRDefault="001A35EB" w:rsidP="001A35EB">
            <w:pPr>
              <w:keepNext/>
              <w:jc w:val="center"/>
              <w:rPr>
                <w:noProof/>
                <w:snapToGrid/>
                <w14:ligatures w14:val="standardContextual"/>
              </w:rPr>
            </w:pPr>
            <w:r w:rsidRPr="00434C3A">
              <w:rPr>
                <w:noProof/>
                <w:snapToGrid/>
                <w14:ligatures w14:val="standardContextual"/>
              </w:rPr>
              <w:t>(b)</w:t>
            </w:r>
          </w:p>
        </w:tc>
      </w:tr>
    </w:tbl>
    <w:p w14:paraId="495631DA" w14:textId="15BC4E6C" w:rsidR="00AE5DEA" w:rsidRPr="00434C3A" w:rsidRDefault="001A35EB" w:rsidP="001A35EB">
      <w:pPr>
        <w:pStyle w:val="Didascalia"/>
        <w:rPr>
          <w:lang w:val="en-US"/>
        </w:rPr>
      </w:pPr>
      <w:bookmarkStart w:id="10" w:name="_Ref184472218"/>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9</w:t>
      </w:r>
      <w:r w:rsidRPr="00434C3A">
        <w:rPr>
          <w:lang w:val="en-US"/>
        </w:rPr>
        <w:fldChar w:fldCharType="end"/>
      </w:r>
      <w:bookmarkEnd w:id="10"/>
      <w:r w:rsidRPr="00434C3A">
        <w:rPr>
          <w:lang w:val="en-US"/>
        </w:rPr>
        <w:t xml:space="preserve"> (a) Trend of </w:t>
      </w:r>
      <w:proofErr w:type="spellStart"/>
      <w:r w:rsidRPr="00434C3A">
        <w:rPr>
          <w:lang w:val="en-US"/>
        </w:rPr>
        <w:t>tan</w:t>
      </w:r>
      <w:r w:rsidR="00D75DC0" w:rsidRPr="00434C3A">
        <w:rPr>
          <w:rFonts w:ascii="Times New Roman" w:hAnsi="Times New Roman"/>
          <w:lang w:val="en-US"/>
        </w:rPr>
        <w:t>δ</w:t>
      </w:r>
      <w:proofErr w:type="spellEnd"/>
      <w:r w:rsidRPr="00434C3A">
        <w:rPr>
          <w:lang w:val="en-US"/>
        </w:rPr>
        <w:t xml:space="preserve"> as a function of frequency for the different cables. (b) Relative increase of </w:t>
      </w:r>
      <w:proofErr w:type="spellStart"/>
      <w:r w:rsidRPr="00434C3A">
        <w:rPr>
          <w:lang w:val="en-US"/>
        </w:rPr>
        <w:t>tan</w:t>
      </w:r>
      <w:r w:rsidR="00D75DC0" w:rsidRPr="00434C3A">
        <w:rPr>
          <w:rFonts w:ascii="Times New Roman" w:hAnsi="Times New Roman"/>
          <w:lang w:val="en-US"/>
        </w:rPr>
        <w:t>δ</w:t>
      </w:r>
      <w:proofErr w:type="spellEnd"/>
      <w:r w:rsidRPr="00434C3A">
        <w:rPr>
          <w:lang w:val="en-US"/>
        </w:rPr>
        <w:t xml:space="preserve"> at 100 kHz</w:t>
      </w:r>
      <w:r w:rsidR="00D75DC0" w:rsidRPr="00434C3A">
        <w:rPr>
          <w:lang w:val="en-US"/>
        </w:rPr>
        <w:t xml:space="preserve"> </w:t>
      </w:r>
      <w:r w:rsidRPr="00434C3A">
        <w:rPr>
          <w:lang w:val="en-US"/>
        </w:rPr>
        <w:t>as a function of aging conditions</w:t>
      </w:r>
    </w:p>
    <w:p w14:paraId="169A7A9D" w14:textId="0DE6AB8B" w:rsidR="001A35EB" w:rsidRPr="00434C3A" w:rsidRDefault="001A35EB" w:rsidP="00AE5DEA">
      <w:r w:rsidRPr="00434C3A">
        <w:fldChar w:fldCharType="begin"/>
      </w:r>
      <w:r w:rsidRPr="00434C3A">
        <w:instrText xml:space="preserve"> REF _Ref184472218 \h </w:instrText>
      </w:r>
      <w:r w:rsidRPr="00434C3A">
        <w:fldChar w:fldCharType="separate"/>
      </w:r>
      <w:r w:rsidR="001D02A0" w:rsidRPr="00434C3A">
        <w:t xml:space="preserve">Figure </w:t>
      </w:r>
      <w:r w:rsidR="001D02A0">
        <w:rPr>
          <w:noProof/>
        </w:rPr>
        <w:t>9</w:t>
      </w:r>
      <w:r w:rsidRPr="00434C3A">
        <w:fldChar w:fldCharType="end"/>
      </w:r>
      <w:r w:rsidRPr="00434C3A">
        <w:t xml:space="preserve">.a shows the trend of the dissipation factor as a function of frequency for the different aging conditions considered. </w:t>
      </w:r>
      <w:r w:rsidR="00D475B3" w:rsidRPr="00434C3A">
        <w:t xml:space="preserve">The unaged cable depicts the lowest dielectric losses of the bench, as expected, and a unique peak in the highest frequency region, related to the dipolar polarization. Most likely, this peak is associated with the antioxidants within the polymer matrix which are shown to have quite </w:t>
      </w:r>
      <w:r w:rsidR="00FB01E0" w:rsidRPr="00434C3A">
        <w:t>a high</w:t>
      </w:r>
      <w:r w:rsidR="00D475B3" w:rsidRPr="00434C3A">
        <w:t xml:space="preserve"> dipole moment, in our previous works </w:t>
      </w:r>
      <w:r w:rsidR="00FB01E0">
        <w:fldChar w:fldCharType="begin"/>
      </w:r>
      <w:r w:rsidR="00C64E22">
        <w:instrText xml:space="preserve"> ADDIN ZOTERO_ITEM CSL_CITATION {"citationID":"3kAeFPCW","properties":{"formattedCitation":"[30]","plainCitation":"[30]","noteIndex":0},"citationItems":[{"id":478,"uris":["http://zotero.org/users/6147595/items/MWUXXLEG"],"itemData":{"id":478,"type":"article-journal","abstract":"In this article, the impact of two different antioxidants (Irganox®1076 and PS802) on the electrical properties of a cross-linked polyethylene (XLPE) matrix is investigated and discussed. Materials were tested by means of dielectric spectroscopy, thermally stimulated depolarization currents (TSDC) and DC conductivity measurements to provide a comprehensive analysis for their applications under AC and DC electric fields. Results reveal that electrical properties are notably modified by the introduction of additives and the amplitude of variation is somehow proportional to the concentration of the additive with respect to the polymer matrix. In particular, TSDC measurements claim that antioxidants introduce deep traps (&gt;1 eV) inside the base material and the density of these traps increases in accordance with antioxidant concentration. Moreover, due to the polar properties of these species, the complex permittivity raises with respect to base XLPE, and it adequately follows the antioxidant concentration. On the contrary, negligible variations in terms of DC conductivity are recorded.","container-title":"IEEE Access","DOI":"10.1109/ACCESS.2023.3297495","ISSN":"2169-3536","note":"event-title: IEEE Access","page":"76132-76141","source":"IEEE Xplore","title":"Impact of Antioxidants on DC and AC Electrical Properties of XLPE-Based Insulation Systems","volume":"11","author":[{"family":"Suraci","given":"Simone Vincenzo"},{"family":"Mariani","given":"Daniele"},{"family":"Fabiani","given":"Davide"}],"issued":{"date-parts":[["2023"]]}}}],"schema":"https://github.com/citation-style-language/schema/raw/master/csl-citation.json"} </w:instrText>
      </w:r>
      <w:r w:rsidR="00FB01E0">
        <w:fldChar w:fldCharType="separate"/>
      </w:r>
      <w:r w:rsidR="00C64E22" w:rsidRPr="00C64E22">
        <w:rPr>
          <w:rFonts w:cs="Arial"/>
        </w:rPr>
        <w:t>[30]</w:t>
      </w:r>
      <w:r w:rsidR="00FB01E0">
        <w:fldChar w:fldCharType="end"/>
      </w:r>
      <w:r w:rsidR="00D475B3" w:rsidRPr="00434C3A">
        <w:t>.</w:t>
      </w:r>
    </w:p>
    <w:p w14:paraId="3EB81606" w14:textId="7779C39F" w:rsidR="00D475B3" w:rsidRPr="00434C3A" w:rsidRDefault="00D475B3" w:rsidP="00AE5DEA">
      <w:r w:rsidRPr="00434C3A">
        <w:t xml:space="preserve">Aged materials show higher values of dielectric losses, whose amplitude is somehow proportional to the aging severity with some peculiarities. </w:t>
      </w:r>
      <w:proofErr w:type="gramStart"/>
      <w:r w:rsidRPr="00434C3A">
        <w:t>In particular, radiation</w:t>
      </w:r>
      <w:proofErr w:type="gramEnd"/>
      <w:r w:rsidRPr="00434C3A">
        <w:t xml:space="preserve"> aging (RA) exhibits an increasing trend lowering the frequenc</w:t>
      </w:r>
      <w:r w:rsidR="00217504">
        <w:t>ies</w:t>
      </w:r>
      <w:r w:rsidRPr="00434C3A">
        <w:t xml:space="preserve"> (interfacial polarization area), which is not present among the other materials. </w:t>
      </w:r>
      <w:proofErr w:type="gramStart"/>
      <w:r w:rsidRPr="00434C3A">
        <w:t>As a consequence</w:t>
      </w:r>
      <w:proofErr w:type="gramEnd"/>
      <w:r w:rsidRPr="00434C3A">
        <w:t xml:space="preserve">, this trend is likely imputable to the species specifically formed during the radiation aging without the interaction with </w:t>
      </w:r>
      <w:r w:rsidR="00E81840" w:rsidRPr="00434C3A">
        <w:t>thermall</w:t>
      </w:r>
      <w:r w:rsidR="00E81840">
        <w:t>y induced</w:t>
      </w:r>
      <w:r w:rsidRPr="00434C3A">
        <w:t xml:space="preserve"> phenomena. These being the formation of free radicals and charges, </w:t>
      </w:r>
      <w:r w:rsidR="00A5576A" w:rsidRPr="00434C3A">
        <w:t xml:space="preserve">which are formed in high concentration during radiation aging and, due to the fast kinetics of radiation aging, are unable to recombine and de-activate themselves. The response of these free species </w:t>
      </w:r>
      <w:r w:rsidRPr="00434C3A">
        <w:t xml:space="preserve">to the alternating electric field </w:t>
      </w:r>
      <w:r w:rsidR="00A5576A" w:rsidRPr="00434C3A">
        <w:t>causes</w:t>
      </w:r>
      <w:r w:rsidRPr="00434C3A">
        <w:t xml:space="preserve"> the uncontrolled increase of the dissipation factor towards the lower frequency region</w:t>
      </w:r>
      <w:r w:rsidR="00A5576A" w:rsidRPr="00434C3A">
        <w:t xml:space="preserve"> due to the so-called Quasi-DC conduction (Q-DC) </w:t>
      </w:r>
      <w:r w:rsidR="00FB01E0">
        <w:fldChar w:fldCharType="begin"/>
      </w:r>
      <w:r w:rsidR="00C64E22">
        <w:instrText xml:space="preserve"> ADDIN ZOTERO_ITEM CSL_CITATION {"citationID":"Gql9PeZv","properties":{"formattedCitation":"[31]","plainCitation":"[31]","noteIndex":0},"citationItems":[{"id":200,"uris":["http://zotero.org/users/6147595/items/E62L2NQR"],"itemData":{"id":200,"type":"paper-conference","abstract":"The development of High Voltage Direct Current (HVDC) cables requires design according to specific criteria and materials with appropriate properties. Cross-linked polyethylene (XLPE) has established itself over the past 20 years as the most used insulation material for HVAC cables, but also more recently for HVDC cables. If the electrical properties of this polymer have been widely studied under AC stress, the behavior of these materials under high DC stress is less known and needs thorough investigation. It is well known that, in DC conditions, the electric field distribution is highly dependent on operating conditions (thermal gradient and electric field) and can be affected by electric charges trapped in the insulation. The resulting space charge accumulation is able to increase significantly the local electric field, thus accelerating ageing and increasing the risk of breakdown. Consequently, the influence of electrical and thermal stresses on the material properties could be a key parameter on the ageing law for HVDC insulating material. The purpose of the present work is to investigate the dielectric behavior of XLPE insulation under different combined thermal and DC electrical stresses. The first step is to evaluate the volume electrical conduction and interface injection mechanisms by using current versus voltage (I-V) measurements. The second step is to investigate the development of space charges by using a non-destructive space charge measurement technique (the Thermal Step Method).","container-title":"2014 IEEE Conference on Electrical Insulation and Dielectric Phenomena (CEIDP)","DOI":"10.1109/CEIDP.2014.6995877","event-title":"2014 IEEE Conference on Electrical Insulation and Dielectric Phenomena (CEIDP)","note":"ISSN: 0084-9162","page":"530-533","source":"IEEE Xplore","title":"Study and analysis of conduction mechanisms and space charge accumulation phenomena under high applied DC electric field in XLPE for HVDC cable application","author":[{"family":"Hascoat","given":"A."},{"family":"Castellon","given":"J."},{"family":"Agnel","given":"S."},{"family":"Frelin","given":"W."},{"family":"Egrot","given":"P."},{"family":"Hondaa","given":"P."},{"family":"Ammi","given":"S."},{"family":"Roux","given":"D. Le"}],"issued":{"date-parts":[["2014",10]]}}}],"schema":"https://github.com/citation-style-language/schema/raw/master/csl-citation.json"} </w:instrText>
      </w:r>
      <w:r w:rsidR="00FB01E0">
        <w:fldChar w:fldCharType="separate"/>
      </w:r>
      <w:r w:rsidR="00C64E22" w:rsidRPr="00C64E22">
        <w:rPr>
          <w:rFonts w:cs="Arial"/>
        </w:rPr>
        <w:t>[31]</w:t>
      </w:r>
      <w:r w:rsidR="00FB01E0">
        <w:fldChar w:fldCharType="end"/>
      </w:r>
      <w:r w:rsidR="00A5576A" w:rsidRPr="00434C3A">
        <w:t xml:space="preserve">, </w:t>
      </w:r>
      <w:r w:rsidR="00E81840">
        <w:t xml:space="preserve">possibly </w:t>
      </w:r>
      <w:r w:rsidR="00A5576A" w:rsidRPr="00434C3A">
        <w:t>justifying the shown behavior.</w:t>
      </w:r>
    </w:p>
    <w:p w14:paraId="4BBDB68B" w14:textId="28DF9BB4" w:rsidR="00A5576A" w:rsidRPr="00434C3A" w:rsidRDefault="00DA74B0" w:rsidP="00AE5DEA">
      <w:r w:rsidRPr="00434C3A">
        <w:t>Further</w:t>
      </w:r>
      <w:r w:rsidR="00A5576A" w:rsidRPr="00434C3A">
        <w:t xml:space="preserve"> confirmation of this reasoning may be found by considering the response of the same cables under radiation and higher temperatures (TA/RA). Here, the dielectric losses at high frequencies are higher than RA and no increasing trend is recorded at lower frequencies. Firstly, the higher values in the dipolar polarization area are expected due to the increase of dipolar species </w:t>
      </w:r>
      <w:r w:rsidR="007C0B32" w:rsidRPr="00434C3A">
        <w:t>rising</w:t>
      </w:r>
      <w:r w:rsidR="00A5576A" w:rsidRPr="00434C3A">
        <w:t xml:space="preserve"> from oxidation mechanisms due to aging, which in this case, is catalyzed by </w:t>
      </w:r>
      <w:r w:rsidR="00877EC6" w:rsidRPr="00434C3A">
        <w:t>synergistic</w:t>
      </w:r>
      <w:r w:rsidR="00A5576A" w:rsidRPr="00434C3A">
        <w:t xml:space="preserve"> </w:t>
      </w:r>
      <w:r w:rsidR="00877EC6">
        <w:t>effect of combined aging</w:t>
      </w:r>
      <w:r w:rsidR="00A5576A" w:rsidRPr="00434C3A">
        <w:t xml:space="preserve">. Secondly, the effect of temperature </w:t>
      </w:r>
      <w:r w:rsidR="00877EC6">
        <w:t>may be twofold</w:t>
      </w:r>
      <w:r w:rsidR="00D641BC">
        <w:t xml:space="preserve">. On the one hand, </w:t>
      </w:r>
      <w:r w:rsidR="00512019">
        <w:t>it increases</w:t>
      </w:r>
      <w:r w:rsidR="00EC37FA">
        <w:t xml:space="preserve"> the energy of free charges which may, in this case, recombine, </w:t>
      </w:r>
      <w:r w:rsidR="00713627">
        <w:t xml:space="preserve">thus reducing </w:t>
      </w:r>
      <w:r w:rsidR="00E873BB">
        <w:t>the conductivity effect at low frequency</w:t>
      </w:r>
      <w:r w:rsidR="00EC37FA">
        <w:t xml:space="preserve">. On the other hand, the </w:t>
      </w:r>
      <w:r w:rsidR="00512019">
        <w:t>presence</w:t>
      </w:r>
      <w:r w:rsidR="00EC37FA">
        <w:t xml:space="preserve"> of temperature leads most likely to thermo-oxidation, as presented, which causes the inactivation of radicals </w:t>
      </w:r>
      <w:r w:rsidR="00512019">
        <w:t>with</w:t>
      </w:r>
      <w:r w:rsidR="00EC37FA">
        <w:t xml:space="preserve"> the formation of different degradation species.</w:t>
      </w:r>
      <w:r w:rsidR="00512019">
        <w:t xml:space="preserve"> </w:t>
      </w:r>
    </w:p>
    <w:p w14:paraId="750DA9C6" w14:textId="30B187B5" w:rsidR="00A5576A" w:rsidRPr="00434C3A" w:rsidRDefault="001466E8" w:rsidP="00AE5DEA">
      <w:r w:rsidRPr="00434C3A">
        <w:t xml:space="preserve">The subsequent DBE simulation aging on RA cables deeply modifies the trend over frequencies. Again, this is likely </w:t>
      </w:r>
      <w:r w:rsidR="00E873BB">
        <w:t>attributed</w:t>
      </w:r>
      <w:r w:rsidR="00E873BB" w:rsidRPr="00434C3A">
        <w:t xml:space="preserve"> </w:t>
      </w:r>
      <w:r w:rsidRPr="00434C3A">
        <w:t xml:space="preserve">to the effect of </w:t>
      </w:r>
      <w:r w:rsidR="00BD7A5F" w:rsidRPr="00434C3A">
        <w:t>temperature</w:t>
      </w:r>
      <w:r w:rsidRPr="00434C3A">
        <w:t xml:space="preserve"> present in the </w:t>
      </w:r>
      <w:r w:rsidR="007C0B32">
        <w:rPr>
          <w:i/>
          <w:iCs/>
        </w:rPr>
        <w:t>p</w:t>
      </w:r>
      <w:r w:rsidRPr="00434C3A">
        <w:rPr>
          <w:i/>
          <w:iCs/>
        </w:rPr>
        <w:t xml:space="preserve">ost-LOCA simulation </w:t>
      </w:r>
      <w:r w:rsidRPr="00434C3A">
        <w:t xml:space="preserve">phase, leading to the possible recombination of the free charges and the consequent disappearance of the low-frequency behavior. In general, the DBE simulation causes </w:t>
      </w:r>
      <w:r w:rsidR="00DA74B0" w:rsidRPr="00434C3A">
        <w:t>a</w:t>
      </w:r>
      <w:r w:rsidRPr="00434C3A">
        <w:t xml:space="preserve"> further increase of the dielectric losses, as expected, due to the additional radio-thermal aging performed during the simulation. This is particularly evident in the highest frequency region (~100 kHz) where the values of dissipation factor follow the just described aging severity, depicting the highest recorded value for the TA/RA+LOCA sample, as expected. </w:t>
      </w:r>
    </w:p>
    <w:p w14:paraId="3AB11E97" w14:textId="2A647626" w:rsidR="00AE5DEA" w:rsidRPr="00434C3A" w:rsidRDefault="00AE5DEA" w:rsidP="00AE5DEA">
      <w:pPr>
        <w:spacing w:after="0"/>
      </w:pPr>
      <w:r w:rsidRPr="00434C3A">
        <w:t xml:space="preserve">For an easier comparison among cables, it was chosen to report the values of </w:t>
      </w:r>
      <w:proofErr w:type="spellStart"/>
      <w:r w:rsidRPr="00434C3A">
        <w:t>tan</w:t>
      </w:r>
      <w:r w:rsidRPr="00434C3A">
        <w:rPr>
          <w:rFonts w:ascii="Calibri" w:hAnsi="Calibri" w:cs="Calibri"/>
        </w:rPr>
        <w:t>δ</w:t>
      </w:r>
      <w:proofErr w:type="spellEnd"/>
      <w:r w:rsidRPr="00434C3A">
        <w:t xml:space="preserve"> at 100 kHz</w:t>
      </w:r>
      <w:r w:rsidR="00512019">
        <w:t>, normalized by the initial value related to the unaged cable,</w:t>
      </w:r>
      <w:r w:rsidRPr="00434C3A">
        <w:t xml:space="preserve"> </w:t>
      </w:r>
      <w:r w:rsidR="001466E8" w:rsidRPr="00434C3A">
        <w:t xml:space="preserve">in </w:t>
      </w:r>
      <w:r w:rsidR="001466E8" w:rsidRPr="00434C3A">
        <w:fldChar w:fldCharType="begin"/>
      </w:r>
      <w:r w:rsidR="001466E8" w:rsidRPr="00434C3A">
        <w:instrText xml:space="preserve"> REF _Ref184472218 \h </w:instrText>
      </w:r>
      <w:r w:rsidR="001466E8" w:rsidRPr="00434C3A">
        <w:fldChar w:fldCharType="separate"/>
      </w:r>
      <w:r w:rsidR="001D02A0" w:rsidRPr="00434C3A">
        <w:t xml:space="preserve">Figure </w:t>
      </w:r>
      <w:r w:rsidR="001D02A0">
        <w:rPr>
          <w:noProof/>
        </w:rPr>
        <w:t>9</w:t>
      </w:r>
      <w:r w:rsidR="001466E8" w:rsidRPr="00434C3A">
        <w:fldChar w:fldCharType="end"/>
      </w:r>
      <w:r w:rsidR="001466E8" w:rsidRPr="00434C3A">
        <w:t xml:space="preserve">.b. The choice of this particular frequency finds its basis in </w:t>
      </w:r>
      <w:r w:rsidRPr="00434C3A">
        <w:t>our previous works</w:t>
      </w:r>
      <w:r w:rsidR="00FB01E0">
        <w:t xml:space="preserve"> </w:t>
      </w:r>
      <w:r w:rsidR="00FB01E0">
        <w:fldChar w:fldCharType="begin"/>
      </w:r>
      <w:r w:rsidR="00551B93">
        <w:instrText xml:space="preserve"> ADDIN ZOTERO_ITEM CSL_CITATION {"citationID":"ym1CpesN","properties":{"formattedCitation":"[10], [10], [11]","plainCitation":"[10], [10], [11]","noteIndex":0},"citationItems":[{"id":387,"uris":["http://zotero.org/users/6147595/items/WQS4NULR"],"itemData":{"id":387,"type":"article-journal","abstract":"In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id":387,"uris":["http://zotero.org/users/6147595/items/WQS4NULR"],"itemData":{"id":387,"type":"article-journal","abstract":"In this article, the aging behavior of nuclear-grade low voltage cables, characterized by different geometries and insulation compositions, is investigated. Cables were subjected to radio-chemical aging at different dose rates (7 Gy/h, 66 Gy/h and 400 Gy/h), in order to simulate typical aging environments inside nuclear plants. The changes of insulation properties due to aging are investigated at different scales, aiming at highlighting possible correlations between molecular-scale properties and global macroscopic material behavior (e.g., mechanical and electrical ones). Microscale material behavior is investigated by means of FTIR spectroscopy and oxidation in­ duction time (OIT) measurements, in order to evaluate material composition changes and material resistance to oxidation, respectively. On the other side, mechanical and electrical macroscopical properties are examined through tensile stress and dielectric spectroscopy measurements. It is found that aging is deeply influenced by the effect of additives (e.g. antioxidants) inside the insulation. In particular, the presence of antioxidants delays oxidation process allowing material modifications during the early aging states to be evaluated. Dielectric spectroscopy is demonstrated to properly follow all the stages of the degradation process, confirming its appropriateness as a non-destructive condition monitoring technique for cables. Finally, the evolution with aging of the dielectric response is associated with the variations of the considered chemical and mechanical properties, allowing the derivation of correlation master curves.","container-title":"Polymer Testing","DOI":"10.1016/j.polymertesting.2021.107352","ISSN":"01429418","journalAbbreviation":"Polymer Testing","language":"en","page":"107352","source":"DOI.org (Crossref)","title":"Multi scale aging assessment of low-voltage cables subjected to radio-chemical aging: Towards an electrical diagnostic technique","title-short":"Multi scale aging assessment of low-voltage cables subjected to radio-chemical aging","author":[{"family":"Suraci","given":"Simone Vincenzo"},{"family":"Fabiani","given":"Davide"},{"family":"Roland","given":"Sébastien"},{"family":"Colin","given":"Xavier"}],"issued":{"date-parts":[["2021",10]]}}},{"id":512,"uris":["http://zotero.org/users/6147595/items/RRTLFND4"],"itemData":{"id":512,"type":"paper-conference","abstract":"This article presents an innovative and easy way for the calculation of the real part of permittivity for some of the most common insulating materials used for electrical applications, namely: polyethylene (PE), polypropylene (PP), polytetrafluorethylene (PTFE), ethylene-propylene diene monomer (EPDM), polyamide-imide (PAI), and epoxy resin (EP). This is achieved by the implementation and validation of the additivity approach for polarizability, along with the derivation of molecular volumes by means of chemical calculations involving real density of the considered materials. The proposed approach significantly reduces the computational time and effort for the calculation of macroscopic permittivity. Simulated values show good accordance with experimental results, thus validating the approach.","container-title":"2022 IEEE 4th International Conference on Dielectrics (ICD)","DOI":"10.1109/ICD53806.2022.9863508","event-title":"2022 IEEE 4th International Conference on Dielectrics (ICD)","page":"437-440","source":"IEEE Xplore","title":"Multiscale properties of polymeric insulating materials: from microscale polarizability to macroscale permittivity","title-short":"Multiscale properties of polymeric insulating materials","author":[{"family":"Suraci","given":"Simone Vincenzo"},{"family":"Fabiani","given":"Davide"}],"issued":{"date-parts":[["2022",7]]}}}],"schema":"https://github.com/citation-style-language/schema/raw/master/csl-citation.json"} </w:instrText>
      </w:r>
      <w:r w:rsidR="00FB01E0">
        <w:fldChar w:fldCharType="separate"/>
      </w:r>
      <w:r w:rsidR="00551B93" w:rsidRPr="00551B93">
        <w:rPr>
          <w:rFonts w:cs="Arial"/>
        </w:rPr>
        <w:t>[10], [10], [11]</w:t>
      </w:r>
      <w:r w:rsidR="00FB01E0">
        <w:fldChar w:fldCharType="end"/>
      </w:r>
      <w:r w:rsidR="001466E8" w:rsidRPr="00434C3A">
        <w:t>, where it was proved</w:t>
      </w:r>
      <w:r w:rsidRPr="00434C3A">
        <w:t xml:space="preserve"> to be linked to the degradation state of the polymer.</w:t>
      </w:r>
    </w:p>
    <w:p w14:paraId="37EF5B86" w14:textId="50777E1C" w:rsidR="00AE5DEA" w:rsidRPr="00434C3A" w:rsidRDefault="001466E8" w:rsidP="00AE5DEA">
      <w:pPr>
        <w:spacing w:after="0"/>
      </w:pPr>
      <w:r w:rsidRPr="00434C3A">
        <w:t>In terms of amplitude, f</w:t>
      </w:r>
      <w:r w:rsidR="00AE5DEA" w:rsidRPr="00434C3A">
        <w:t xml:space="preserve">rom </w:t>
      </w:r>
      <w:r w:rsidRPr="00434C3A">
        <w:fldChar w:fldCharType="begin"/>
      </w:r>
      <w:r w:rsidRPr="00434C3A">
        <w:instrText xml:space="preserve"> REF _Ref184472218 \h </w:instrText>
      </w:r>
      <w:r w:rsidRPr="00434C3A">
        <w:fldChar w:fldCharType="separate"/>
      </w:r>
      <w:r w:rsidR="001D02A0" w:rsidRPr="00434C3A">
        <w:t xml:space="preserve">Figure </w:t>
      </w:r>
      <w:r w:rsidR="001D02A0">
        <w:rPr>
          <w:noProof/>
        </w:rPr>
        <w:t>9</w:t>
      </w:r>
      <w:r w:rsidRPr="00434C3A">
        <w:fldChar w:fldCharType="end"/>
      </w:r>
      <w:r w:rsidRPr="00434C3A">
        <w:t xml:space="preserve">.b, </w:t>
      </w:r>
      <w:r w:rsidR="00AE5DEA" w:rsidRPr="00434C3A">
        <w:t xml:space="preserve">it can be noticed that radiation aging causes a little increase of the property (~ +20% from the unaged value) while aging under higher temperatures cause a significant raise of </w:t>
      </w:r>
      <w:proofErr w:type="spellStart"/>
      <w:r w:rsidR="00AE5DEA" w:rsidRPr="00434C3A">
        <w:t>tan</w:t>
      </w:r>
      <w:r w:rsidR="00AE5DEA" w:rsidRPr="00434C3A">
        <w:rPr>
          <w:rFonts w:ascii="Calibri" w:hAnsi="Calibri" w:cs="Calibri"/>
        </w:rPr>
        <w:t>δ</w:t>
      </w:r>
      <w:proofErr w:type="spellEnd"/>
      <w:r w:rsidR="00AE5DEA" w:rsidRPr="00434C3A">
        <w:t xml:space="preserve"> value (&gt;160%</w:t>
      </w:r>
      <w:r w:rsidR="00BA0DBB" w:rsidRPr="00434C3A">
        <w:t>, reaching up to +220% in presence of the DBE simulation</w:t>
      </w:r>
      <w:r w:rsidR="00AE5DEA" w:rsidRPr="00434C3A">
        <w:t xml:space="preserve">). </w:t>
      </w:r>
    </w:p>
    <w:p w14:paraId="242A7FC4" w14:textId="5D61F3ED" w:rsidR="00C008D3" w:rsidRPr="00434C3A" w:rsidRDefault="00C008D3" w:rsidP="00AE5DEA">
      <w:pPr>
        <w:pStyle w:val="Didascalia"/>
        <w:rPr>
          <w:lang w:val="en-US"/>
        </w:rPr>
      </w:pPr>
    </w:p>
    <w:p w14:paraId="60FE582D" w14:textId="277CDE90" w:rsidR="00AE5DEA" w:rsidRPr="00434C3A" w:rsidRDefault="008A61F3" w:rsidP="00AE5DEA">
      <w:pPr>
        <w:pStyle w:val="Titolo3"/>
      </w:pPr>
      <w:r w:rsidRPr="00434C3A">
        <w:t>3.</w:t>
      </w:r>
      <w:r w:rsidR="00131C45" w:rsidRPr="00434C3A">
        <w:t>2</w:t>
      </w:r>
      <w:r w:rsidRPr="00434C3A">
        <w:t xml:space="preserve">.2 </w:t>
      </w:r>
      <w:r w:rsidR="00AE5DEA" w:rsidRPr="00434C3A">
        <w:t>DC Current results</w:t>
      </w:r>
    </w:p>
    <w:tbl>
      <w:tblPr>
        <w:tblStyle w:val="Grigliatabella"/>
        <w:tblW w:w="0" w:type="auto"/>
        <w:tblLook w:val="04A0" w:firstRow="1" w:lastRow="0" w:firstColumn="1" w:lastColumn="0" w:noHBand="0" w:noVBand="1"/>
      </w:tblPr>
      <w:tblGrid>
        <w:gridCol w:w="4814"/>
        <w:gridCol w:w="4814"/>
      </w:tblGrid>
      <w:tr w:rsidR="00BA0DBB" w:rsidRPr="00434C3A" w14:paraId="6D413DE3" w14:textId="77777777" w:rsidTr="00BA0DBB">
        <w:tc>
          <w:tcPr>
            <w:tcW w:w="4814" w:type="dxa"/>
          </w:tcPr>
          <w:p w14:paraId="6FCD5C44" w14:textId="471A4458" w:rsidR="00BA0DBB" w:rsidRPr="00434C3A" w:rsidRDefault="00BA0DBB" w:rsidP="00BA0DBB">
            <w:pPr>
              <w:jc w:val="center"/>
            </w:pPr>
            <w:r w:rsidRPr="00434C3A">
              <w:rPr>
                <w:noProof/>
                <w:snapToGrid/>
                <w14:ligatures w14:val="standardContextual"/>
              </w:rPr>
              <w:drawing>
                <wp:inline distT="0" distB="0" distL="0" distR="0" wp14:anchorId="55BCBC29" wp14:editId="448B42B7">
                  <wp:extent cx="2803585" cy="2102689"/>
                  <wp:effectExtent l="0" t="0" r="0" b="0"/>
                  <wp:docPr id="168227587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275871" name=""/>
                          <pic:cNvPicPr/>
                        </pic:nvPicPr>
                        <pic:blipFill>
                          <a:blip r:embed="rId28">
                            <a:extLst>
                              <a:ext uri="{96DAC541-7B7A-43D3-8B79-37D633B846F1}">
                                <asvg:svgBlip xmlns:asvg="http://schemas.microsoft.com/office/drawing/2016/SVG/main" r:embed="rId29"/>
                              </a:ext>
                            </a:extLst>
                          </a:blip>
                          <a:stretch>
                            <a:fillRect/>
                          </a:stretch>
                        </pic:blipFill>
                        <pic:spPr>
                          <a:xfrm>
                            <a:off x="0" y="0"/>
                            <a:ext cx="2818870" cy="2114153"/>
                          </a:xfrm>
                          <a:prstGeom prst="rect">
                            <a:avLst/>
                          </a:prstGeom>
                        </pic:spPr>
                      </pic:pic>
                    </a:graphicData>
                  </a:graphic>
                </wp:inline>
              </w:drawing>
            </w:r>
          </w:p>
        </w:tc>
        <w:tc>
          <w:tcPr>
            <w:tcW w:w="4814" w:type="dxa"/>
          </w:tcPr>
          <w:p w14:paraId="34599F4E" w14:textId="0D92229E" w:rsidR="00BA0DBB" w:rsidRPr="00434C3A" w:rsidRDefault="00BA0DBB" w:rsidP="00BA0DBB">
            <w:pPr>
              <w:jc w:val="center"/>
            </w:pPr>
            <w:r w:rsidRPr="00434C3A">
              <w:rPr>
                <w:noProof/>
                <w:snapToGrid/>
                <w14:ligatures w14:val="standardContextual"/>
              </w:rPr>
              <w:drawing>
                <wp:inline distT="0" distB="0" distL="0" distR="0" wp14:anchorId="3A46B1BC" wp14:editId="451D44D3">
                  <wp:extent cx="2752725" cy="2064544"/>
                  <wp:effectExtent l="0" t="0" r="0" b="0"/>
                  <wp:docPr id="279098516"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098516" name=""/>
                          <pic:cNvPicPr/>
                        </pic:nvPicPr>
                        <pic:blipFill>
                          <a:blip r:embed="rId30">
                            <a:extLst>
                              <a:ext uri="{96DAC541-7B7A-43D3-8B79-37D633B846F1}">
                                <asvg:svgBlip xmlns:asvg="http://schemas.microsoft.com/office/drawing/2016/SVG/main" r:embed="rId31"/>
                              </a:ext>
                            </a:extLst>
                          </a:blip>
                          <a:stretch>
                            <a:fillRect/>
                          </a:stretch>
                        </pic:blipFill>
                        <pic:spPr>
                          <a:xfrm>
                            <a:off x="0" y="0"/>
                            <a:ext cx="2758775" cy="2069081"/>
                          </a:xfrm>
                          <a:prstGeom prst="rect">
                            <a:avLst/>
                          </a:prstGeom>
                        </pic:spPr>
                      </pic:pic>
                    </a:graphicData>
                  </a:graphic>
                </wp:inline>
              </w:drawing>
            </w:r>
          </w:p>
        </w:tc>
      </w:tr>
      <w:tr w:rsidR="00BA0DBB" w:rsidRPr="00434C3A" w14:paraId="140BBBEF" w14:textId="77777777" w:rsidTr="00BA0DBB">
        <w:tc>
          <w:tcPr>
            <w:tcW w:w="4814" w:type="dxa"/>
          </w:tcPr>
          <w:p w14:paraId="7AF02366" w14:textId="4C9C5C8E" w:rsidR="00BA0DBB" w:rsidRPr="00434C3A" w:rsidRDefault="00BA0DBB" w:rsidP="00BA0DBB">
            <w:pPr>
              <w:jc w:val="center"/>
            </w:pPr>
            <w:r w:rsidRPr="00434C3A">
              <w:t>(a)</w:t>
            </w:r>
          </w:p>
        </w:tc>
        <w:tc>
          <w:tcPr>
            <w:tcW w:w="4814" w:type="dxa"/>
          </w:tcPr>
          <w:p w14:paraId="698AFCA9" w14:textId="7FF03929" w:rsidR="00BA0DBB" w:rsidRPr="00434C3A" w:rsidRDefault="00BA0DBB" w:rsidP="00BA0DBB">
            <w:pPr>
              <w:keepNext/>
              <w:jc w:val="center"/>
            </w:pPr>
            <w:r w:rsidRPr="00434C3A">
              <w:t>(b)</w:t>
            </w:r>
          </w:p>
        </w:tc>
      </w:tr>
    </w:tbl>
    <w:p w14:paraId="58672940" w14:textId="1B21AC01" w:rsidR="00AE5DEA" w:rsidRPr="00434C3A" w:rsidRDefault="00BA0DBB" w:rsidP="00BA0DBB">
      <w:pPr>
        <w:pStyle w:val="Didascalia"/>
        <w:rPr>
          <w:lang w:val="en-US"/>
        </w:rPr>
      </w:pPr>
      <w:bookmarkStart w:id="11" w:name="_Ref184474302"/>
      <w:r w:rsidRPr="00434C3A">
        <w:rPr>
          <w:lang w:val="en-US"/>
        </w:rPr>
        <w:t xml:space="preserve">Figure </w:t>
      </w:r>
      <w:r w:rsidRPr="00434C3A">
        <w:rPr>
          <w:lang w:val="en-US"/>
        </w:rPr>
        <w:fldChar w:fldCharType="begin"/>
      </w:r>
      <w:r w:rsidRPr="00434C3A">
        <w:rPr>
          <w:lang w:val="en-US"/>
        </w:rPr>
        <w:instrText xml:space="preserve"> SEQ Figure \* ARABIC </w:instrText>
      </w:r>
      <w:r w:rsidRPr="00434C3A">
        <w:rPr>
          <w:lang w:val="en-US"/>
        </w:rPr>
        <w:fldChar w:fldCharType="separate"/>
      </w:r>
      <w:r w:rsidR="001D02A0">
        <w:rPr>
          <w:noProof/>
          <w:lang w:val="en-US"/>
        </w:rPr>
        <w:t>10</w:t>
      </w:r>
      <w:r w:rsidRPr="00434C3A">
        <w:rPr>
          <w:lang w:val="en-US"/>
        </w:rPr>
        <w:fldChar w:fldCharType="end"/>
      </w:r>
      <w:bookmarkEnd w:id="11"/>
      <w:r w:rsidRPr="00434C3A">
        <w:rPr>
          <w:lang w:val="en-US"/>
        </w:rPr>
        <w:t xml:space="preserve"> (a) Recorded current for the tested cables. (b) Current values after 1h of polarization.</w:t>
      </w:r>
    </w:p>
    <w:p w14:paraId="7D4FB4ED" w14:textId="2DF3908D" w:rsidR="00BA0DBB" w:rsidRPr="00DF0952" w:rsidRDefault="00BA0DBB" w:rsidP="00BA0DBB">
      <w:pPr>
        <w:rPr>
          <w:rFonts w:cs="Arial"/>
          <w:color w:val="000000" w:themeColor="text1"/>
          <w:lang w:eastAsia="en-US"/>
        </w:rPr>
      </w:pPr>
      <w:r w:rsidRPr="00434C3A">
        <w:rPr>
          <w:lang w:eastAsia="en-US"/>
        </w:rPr>
        <w:fldChar w:fldCharType="begin"/>
      </w:r>
      <w:r w:rsidRPr="00434C3A">
        <w:rPr>
          <w:lang w:eastAsia="en-US"/>
        </w:rPr>
        <w:instrText xml:space="preserve"> REF _Ref184474302 \h </w:instrText>
      </w:r>
      <w:r w:rsidRPr="00434C3A">
        <w:rPr>
          <w:lang w:eastAsia="en-US"/>
        </w:rPr>
      </w:r>
      <w:r w:rsidRPr="00434C3A">
        <w:rPr>
          <w:lang w:eastAsia="en-US"/>
        </w:rPr>
        <w:fldChar w:fldCharType="separate"/>
      </w:r>
      <w:r w:rsidR="001D02A0" w:rsidRPr="00434C3A">
        <w:t xml:space="preserve">Figure </w:t>
      </w:r>
      <w:r w:rsidR="001D02A0">
        <w:rPr>
          <w:noProof/>
        </w:rPr>
        <w:t>10</w:t>
      </w:r>
      <w:r w:rsidRPr="00434C3A">
        <w:rPr>
          <w:lang w:eastAsia="en-US"/>
        </w:rPr>
        <w:fldChar w:fldCharType="end"/>
      </w:r>
      <w:r w:rsidRPr="00434C3A">
        <w:rPr>
          <w:lang w:eastAsia="en-US"/>
        </w:rPr>
        <w:t>.a</w:t>
      </w:r>
      <w:r w:rsidR="000005CF" w:rsidRPr="00434C3A">
        <w:rPr>
          <w:lang w:eastAsia="en-US"/>
        </w:rPr>
        <w:t xml:space="preserve"> and </w:t>
      </w:r>
      <w:r w:rsidRPr="00434C3A">
        <w:rPr>
          <w:lang w:eastAsia="en-US"/>
        </w:rPr>
        <w:t xml:space="preserve">b report the recorded value of </w:t>
      </w:r>
      <w:r w:rsidR="00E873BB">
        <w:rPr>
          <w:lang w:eastAsia="en-US"/>
        </w:rPr>
        <w:t xml:space="preserve">conduction </w:t>
      </w:r>
      <w:r w:rsidRPr="00434C3A">
        <w:rPr>
          <w:lang w:eastAsia="en-US"/>
        </w:rPr>
        <w:t xml:space="preserve">current </w:t>
      </w:r>
      <w:r w:rsidR="00E873BB">
        <w:rPr>
          <w:lang w:eastAsia="en-US"/>
        </w:rPr>
        <w:t>across</w:t>
      </w:r>
      <w:r w:rsidRPr="00434C3A">
        <w:rPr>
          <w:lang w:eastAsia="en-US"/>
        </w:rPr>
        <w:t xml:space="preserve"> the primary insulation as a function of polarization time (a) and after 1h of polarization</w:t>
      </w:r>
      <w:r w:rsidR="00FF3FA5">
        <w:rPr>
          <w:lang w:eastAsia="en-US"/>
        </w:rPr>
        <w:t xml:space="preserve"> (b)</w:t>
      </w:r>
      <w:r w:rsidRPr="00434C3A">
        <w:rPr>
          <w:lang w:eastAsia="en-US"/>
        </w:rPr>
        <w:t xml:space="preserve">. </w:t>
      </w:r>
      <w:r w:rsidR="000005CF" w:rsidRPr="00434C3A">
        <w:rPr>
          <w:lang w:eastAsia="en-US"/>
        </w:rPr>
        <w:t>F</w:t>
      </w:r>
      <w:r w:rsidRPr="00434C3A">
        <w:rPr>
          <w:lang w:eastAsia="en-US"/>
        </w:rPr>
        <w:t>rom the trend of current with polarization time,</w:t>
      </w:r>
      <w:r w:rsidR="000005CF" w:rsidRPr="00434C3A">
        <w:rPr>
          <w:lang w:eastAsia="en-US"/>
        </w:rPr>
        <w:t xml:space="preserve"> it is evident how currents related to aged cables </w:t>
      </w:r>
      <w:r w:rsidR="000005CF" w:rsidRPr="00DF0952">
        <w:rPr>
          <w:color w:val="000000" w:themeColor="text1"/>
          <w:lang w:eastAsia="en-US"/>
        </w:rPr>
        <w:t xml:space="preserve">are </w:t>
      </w:r>
      <w:r w:rsidR="00543F31" w:rsidRPr="00DF0952">
        <w:rPr>
          <w:color w:val="000000" w:themeColor="text1"/>
          <w:lang w:eastAsia="en-US"/>
        </w:rPr>
        <w:t xml:space="preserve">lower than the </w:t>
      </w:r>
      <w:r w:rsidR="000005CF" w:rsidRPr="00DF0952">
        <w:rPr>
          <w:color w:val="000000" w:themeColor="text1"/>
          <w:lang w:eastAsia="en-US"/>
        </w:rPr>
        <w:t xml:space="preserve">one of the unaged </w:t>
      </w:r>
      <w:r w:rsidR="00FB01E0" w:rsidRPr="00DF0952">
        <w:rPr>
          <w:color w:val="000000" w:themeColor="text1"/>
          <w:lang w:eastAsia="en-US"/>
        </w:rPr>
        <w:t>specimens</w:t>
      </w:r>
      <w:r w:rsidR="000005CF" w:rsidRPr="00DF0952">
        <w:rPr>
          <w:color w:val="000000" w:themeColor="text1"/>
          <w:lang w:eastAsia="en-US"/>
        </w:rPr>
        <w:t xml:space="preserve">. </w:t>
      </w:r>
      <w:r w:rsidR="00252B27" w:rsidRPr="00DF0952">
        <w:rPr>
          <w:color w:val="000000" w:themeColor="text1"/>
          <w:lang w:eastAsia="en-US"/>
        </w:rPr>
        <w:t xml:space="preserve">The resulting current decreases by up to 1.5 orders of magnitude. This reduction could be attributed to two potential phenomena. Firstly, it may be due to the formation of less conductive species during aging. Secondly, it could be linked to the deepening of existing traps or the formation of new ones, which may hinder the conduction mechanisms and, consequently, result in a lower recorded current. </w:t>
      </w:r>
      <w:r w:rsidR="000005CF" w:rsidRPr="00DF0952">
        <w:rPr>
          <w:rFonts w:cs="Arial"/>
          <w:color w:val="000000" w:themeColor="text1"/>
          <w:lang w:eastAsia="en-US"/>
        </w:rPr>
        <w:t>More</w:t>
      </w:r>
      <w:r w:rsidRPr="00DF0952">
        <w:rPr>
          <w:rFonts w:cs="Arial"/>
          <w:color w:val="000000" w:themeColor="text1"/>
          <w:lang w:eastAsia="en-US"/>
        </w:rPr>
        <w:t xml:space="preserve"> significant information may be derived from the trend shown in </w:t>
      </w:r>
      <w:r w:rsidRPr="00DF0952">
        <w:rPr>
          <w:rFonts w:cs="Arial"/>
          <w:color w:val="000000" w:themeColor="text1"/>
          <w:lang w:eastAsia="en-US"/>
        </w:rPr>
        <w:fldChar w:fldCharType="begin"/>
      </w:r>
      <w:r w:rsidRPr="00DF0952">
        <w:rPr>
          <w:rFonts w:cs="Arial"/>
          <w:color w:val="000000" w:themeColor="text1"/>
          <w:lang w:eastAsia="en-US"/>
        </w:rPr>
        <w:instrText xml:space="preserve"> REF _Ref184474302 \h </w:instrText>
      </w:r>
      <w:r w:rsidR="000005CF" w:rsidRPr="00DF0952">
        <w:rPr>
          <w:rFonts w:cs="Arial"/>
          <w:color w:val="000000" w:themeColor="text1"/>
          <w:lang w:eastAsia="en-US"/>
        </w:rPr>
        <w:instrText xml:space="preserve"> \* MERGEFORMAT </w:instrText>
      </w:r>
      <w:r w:rsidRPr="00DF0952">
        <w:rPr>
          <w:rFonts w:cs="Arial"/>
          <w:color w:val="000000" w:themeColor="text1"/>
          <w:lang w:eastAsia="en-US"/>
        </w:rPr>
      </w:r>
      <w:r w:rsidRPr="00DF0952">
        <w:rPr>
          <w:rFonts w:cs="Arial"/>
          <w:color w:val="000000" w:themeColor="text1"/>
          <w:lang w:eastAsia="en-US"/>
        </w:rPr>
        <w:fldChar w:fldCharType="separate"/>
      </w:r>
      <w:r w:rsidR="001D02A0" w:rsidRPr="001D02A0">
        <w:rPr>
          <w:rFonts w:cs="Arial"/>
          <w:color w:val="000000" w:themeColor="text1"/>
        </w:rPr>
        <w:t xml:space="preserve">Figure </w:t>
      </w:r>
      <w:r w:rsidR="001D02A0" w:rsidRPr="001D02A0">
        <w:rPr>
          <w:rFonts w:cs="Arial"/>
          <w:noProof/>
          <w:color w:val="000000" w:themeColor="text1"/>
        </w:rPr>
        <w:t>10</w:t>
      </w:r>
      <w:r w:rsidRPr="00DF0952">
        <w:rPr>
          <w:rFonts w:cs="Arial"/>
          <w:color w:val="000000" w:themeColor="text1"/>
          <w:lang w:eastAsia="en-US"/>
        </w:rPr>
        <w:fldChar w:fldCharType="end"/>
      </w:r>
      <w:r w:rsidRPr="00DF0952">
        <w:rPr>
          <w:rFonts w:cs="Arial"/>
          <w:color w:val="000000" w:themeColor="text1"/>
          <w:lang w:eastAsia="en-US"/>
        </w:rPr>
        <w:t>.b. In particular,</w:t>
      </w:r>
      <w:r w:rsidR="00806DDE" w:rsidRPr="00DF0952">
        <w:rPr>
          <w:rFonts w:cs="Arial"/>
          <w:color w:val="000000" w:themeColor="text1"/>
          <w:lang w:eastAsia="en-US"/>
        </w:rPr>
        <w:t xml:space="preserve"> </w:t>
      </w:r>
      <w:r w:rsidR="000005CF" w:rsidRPr="00DF0952">
        <w:rPr>
          <w:rFonts w:cs="Arial"/>
          <w:color w:val="000000" w:themeColor="text1"/>
          <w:lang w:eastAsia="en-US"/>
        </w:rPr>
        <w:t xml:space="preserve">the </w:t>
      </w:r>
      <w:r w:rsidR="00E873BB" w:rsidRPr="00DF0952">
        <w:rPr>
          <w:rFonts w:cs="Arial"/>
          <w:color w:val="000000" w:themeColor="text1"/>
          <w:lang w:eastAsia="en-US"/>
        </w:rPr>
        <w:t xml:space="preserve">current </w:t>
      </w:r>
      <w:r w:rsidR="000005CF" w:rsidRPr="00DF0952">
        <w:rPr>
          <w:rFonts w:cs="Arial"/>
          <w:color w:val="000000" w:themeColor="text1"/>
          <w:lang w:eastAsia="en-US"/>
        </w:rPr>
        <w:t xml:space="preserve">value of </w:t>
      </w:r>
      <w:r w:rsidR="00E873BB" w:rsidRPr="00DF0952">
        <w:rPr>
          <w:rFonts w:cs="Arial"/>
          <w:color w:val="000000" w:themeColor="text1"/>
          <w:lang w:eastAsia="en-US"/>
        </w:rPr>
        <w:t xml:space="preserve">the </w:t>
      </w:r>
      <w:r w:rsidR="000005CF" w:rsidRPr="00DF0952">
        <w:rPr>
          <w:rFonts w:cs="Arial"/>
          <w:color w:val="000000" w:themeColor="text1"/>
          <w:lang w:eastAsia="en-US"/>
        </w:rPr>
        <w:t xml:space="preserve">RA </w:t>
      </w:r>
      <w:r w:rsidR="00E873BB" w:rsidRPr="00DF0952">
        <w:rPr>
          <w:rFonts w:cs="Arial"/>
          <w:color w:val="000000" w:themeColor="text1"/>
          <w:lang w:eastAsia="en-US"/>
        </w:rPr>
        <w:t xml:space="preserve">specimen </w:t>
      </w:r>
      <w:r w:rsidR="000005CF" w:rsidRPr="00DF0952">
        <w:rPr>
          <w:rFonts w:cs="Arial"/>
          <w:color w:val="000000" w:themeColor="text1"/>
          <w:lang w:eastAsia="en-US"/>
        </w:rPr>
        <w:t xml:space="preserve">is, by far, the highest among the aged samples, with values </w:t>
      </w:r>
      <w:proofErr w:type="gramStart"/>
      <w:r w:rsidR="000005CF" w:rsidRPr="00DF0952">
        <w:rPr>
          <w:rFonts w:cs="Arial"/>
          <w:color w:val="000000" w:themeColor="text1"/>
          <w:lang w:eastAsia="en-US"/>
        </w:rPr>
        <w:t>similar to</w:t>
      </w:r>
      <w:proofErr w:type="gramEnd"/>
      <w:r w:rsidR="000005CF" w:rsidRPr="00DF0952">
        <w:rPr>
          <w:rFonts w:cs="Arial"/>
          <w:color w:val="000000" w:themeColor="text1"/>
          <w:lang w:eastAsia="en-US"/>
        </w:rPr>
        <w:t xml:space="preserve"> the unaged cable. This further confirms the reasoning done in the previous section with reference to the </w:t>
      </w:r>
      <w:proofErr w:type="spellStart"/>
      <w:r w:rsidR="000005CF" w:rsidRPr="00DF0952">
        <w:rPr>
          <w:rFonts w:cs="Arial"/>
          <w:color w:val="000000" w:themeColor="text1"/>
          <w:lang w:eastAsia="en-US"/>
        </w:rPr>
        <w:t>tanδ</w:t>
      </w:r>
      <w:proofErr w:type="spellEnd"/>
      <w:r w:rsidR="000005CF" w:rsidRPr="00DF0952">
        <w:rPr>
          <w:rFonts w:cs="Arial"/>
          <w:color w:val="000000" w:themeColor="text1"/>
          <w:lang w:eastAsia="en-US"/>
        </w:rPr>
        <w:t xml:space="preserve"> at low frequency. Indeed, the forecasted presence of free charges due to radiation aging</w:t>
      </w:r>
      <w:r w:rsidR="000F3F06" w:rsidRPr="00DF0952">
        <w:rPr>
          <w:rFonts w:cs="Arial"/>
          <w:color w:val="000000" w:themeColor="text1"/>
          <w:lang w:eastAsia="en-US"/>
        </w:rPr>
        <w:t xml:space="preserve"> </w:t>
      </w:r>
      <w:r w:rsidR="00EB36AA" w:rsidRPr="00DF0952">
        <w:rPr>
          <w:rFonts w:cs="Arial"/>
          <w:color w:val="000000" w:themeColor="text1"/>
          <w:lang w:eastAsia="en-US"/>
        </w:rPr>
        <w:t>enhances</w:t>
      </w:r>
      <w:r w:rsidR="000F3F06" w:rsidRPr="00DF0952">
        <w:rPr>
          <w:rFonts w:cs="Arial"/>
          <w:color w:val="000000" w:themeColor="text1"/>
          <w:lang w:eastAsia="en-US"/>
        </w:rPr>
        <w:t xml:space="preserve"> the conduction mechanisms within the material, leading to </w:t>
      </w:r>
      <w:proofErr w:type="gramStart"/>
      <w:r w:rsidR="000F3F06" w:rsidRPr="00DF0952">
        <w:rPr>
          <w:rFonts w:cs="Arial"/>
          <w:color w:val="000000" w:themeColor="text1"/>
          <w:lang w:eastAsia="en-US"/>
        </w:rPr>
        <w:t>the</w:t>
      </w:r>
      <w:proofErr w:type="gramEnd"/>
      <w:r w:rsidR="000F3F06" w:rsidRPr="00DF0952">
        <w:rPr>
          <w:rFonts w:cs="Arial"/>
          <w:color w:val="000000" w:themeColor="text1"/>
          <w:lang w:eastAsia="en-US"/>
        </w:rPr>
        <w:t xml:space="preserve"> increase of the recorded </w:t>
      </w:r>
      <w:r w:rsidR="000005CF" w:rsidRPr="00DF0952">
        <w:rPr>
          <w:rFonts w:cs="Arial"/>
          <w:color w:val="000000" w:themeColor="text1"/>
          <w:lang w:eastAsia="en-US"/>
        </w:rPr>
        <w:t xml:space="preserve">polarization </w:t>
      </w:r>
      <w:r w:rsidR="000F3F06" w:rsidRPr="00DF0952">
        <w:rPr>
          <w:rFonts w:cs="Arial"/>
          <w:color w:val="000000" w:themeColor="text1"/>
          <w:lang w:eastAsia="en-US"/>
        </w:rPr>
        <w:t>current.</w:t>
      </w:r>
    </w:p>
    <w:p w14:paraId="0EC02517" w14:textId="72EF0199" w:rsidR="000F3F06" w:rsidRPr="00DF0952" w:rsidRDefault="00EB36AA" w:rsidP="00BA0DBB">
      <w:pPr>
        <w:rPr>
          <w:rFonts w:cs="Arial"/>
          <w:color w:val="000000" w:themeColor="text1"/>
          <w:lang w:eastAsia="en-US"/>
        </w:rPr>
      </w:pPr>
      <w:r w:rsidRPr="00DF0952">
        <w:rPr>
          <w:rFonts w:cs="Arial"/>
          <w:color w:val="000000" w:themeColor="text1"/>
          <w:lang w:eastAsia="en-US"/>
        </w:rPr>
        <w:t>Following the same</w:t>
      </w:r>
      <w:r w:rsidR="000F3F06" w:rsidRPr="00DF0952">
        <w:rPr>
          <w:rFonts w:cs="Arial"/>
          <w:color w:val="000000" w:themeColor="text1"/>
          <w:lang w:eastAsia="en-US"/>
        </w:rPr>
        <w:t xml:space="preserve"> </w:t>
      </w:r>
      <w:r w:rsidRPr="00DF0952">
        <w:rPr>
          <w:rFonts w:cs="Arial"/>
          <w:color w:val="000000" w:themeColor="text1"/>
          <w:lang w:eastAsia="en-US"/>
        </w:rPr>
        <w:t>hypothesis</w:t>
      </w:r>
      <w:r w:rsidR="000F3F06" w:rsidRPr="00DF0952">
        <w:rPr>
          <w:rFonts w:cs="Arial"/>
          <w:color w:val="000000" w:themeColor="text1"/>
          <w:lang w:eastAsia="en-US"/>
        </w:rPr>
        <w:t>, the presence of thermal treatment may decrease the concentration of the free charges leading to the reduction of conduction current.</w:t>
      </w:r>
      <w:r w:rsidR="00530E19" w:rsidRPr="00DF0952">
        <w:rPr>
          <w:rFonts w:cs="Arial"/>
          <w:color w:val="000000" w:themeColor="text1"/>
          <w:lang w:eastAsia="en-US"/>
        </w:rPr>
        <w:t xml:space="preserve"> Further modifications may be recorded among the aging conditions due to the</w:t>
      </w:r>
      <w:r w:rsidR="000F3F06" w:rsidRPr="00DF0952">
        <w:rPr>
          <w:rFonts w:cs="Arial"/>
          <w:color w:val="000000" w:themeColor="text1"/>
          <w:lang w:eastAsia="en-US"/>
        </w:rPr>
        <w:t xml:space="preserve"> different degradation species possibly arising during the treatment</w:t>
      </w:r>
      <w:r w:rsidR="00CF1C57" w:rsidRPr="00DF0952">
        <w:rPr>
          <w:rFonts w:cs="Arial"/>
          <w:color w:val="000000" w:themeColor="text1"/>
          <w:lang w:eastAsia="en-US"/>
        </w:rPr>
        <w:t>s</w:t>
      </w:r>
      <w:r w:rsidR="000F3F06" w:rsidRPr="00DF0952">
        <w:rPr>
          <w:rFonts w:cs="Arial"/>
          <w:color w:val="000000" w:themeColor="text1"/>
          <w:lang w:eastAsia="en-US"/>
        </w:rPr>
        <w:t>.</w:t>
      </w:r>
    </w:p>
    <w:p w14:paraId="3F9FB669" w14:textId="3AF8182E" w:rsidR="000F3F06" w:rsidRPr="00DF0952" w:rsidRDefault="000F3F06" w:rsidP="00BA0DBB">
      <w:pPr>
        <w:rPr>
          <w:rFonts w:cs="Arial"/>
          <w:color w:val="000000" w:themeColor="text1"/>
          <w:lang w:eastAsia="en-US"/>
        </w:rPr>
      </w:pPr>
      <w:r w:rsidRPr="00DF0952">
        <w:rPr>
          <w:rFonts w:cs="Arial"/>
          <w:color w:val="000000" w:themeColor="text1"/>
          <w:lang w:eastAsia="en-US"/>
        </w:rPr>
        <w:t xml:space="preserve">As a result, the lowest </w:t>
      </w:r>
      <w:r w:rsidR="00CF1C57" w:rsidRPr="00DF0952">
        <w:rPr>
          <w:rFonts w:cs="Arial"/>
          <w:color w:val="000000" w:themeColor="text1"/>
          <w:lang w:eastAsia="en-US"/>
        </w:rPr>
        <w:t>value</w:t>
      </w:r>
      <w:r w:rsidRPr="00DF0952">
        <w:rPr>
          <w:rFonts w:cs="Arial"/>
          <w:color w:val="000000" w:themeColor="text1"/>
          <w:lang w:eastAsia="en-US"/>
        </w:rPr>
        <w:t xml:space="preserve"> of current is recorded for the materials subjected to DBE simulation</w:t>
      </w:r>
      <w:r w:rsidR="00F417F1" w:rsidRPr="00DF0952">
        <w:rPr>
          <w:rFonts w:cs="Arial"/>
          <w:color w:val="000000" w:themeColor="text1"/>
          <w:lang w:eastAsia="en-US"/>
        </w:rPr>
        <w:t xml:space="preserve">. </w:t>
      </w:r>
      <w:r w:rsidR="007E4151" w:rsidRPr="00DF0952">
        <w:rPr>
          <w:rFonts w:cs="Arial"/>
          <w:color w:val="000000" w:themeColor="text1"/>
          <w:lang w:eastAsia="en-US"/>
        </w:rPr>
        <w:t xml:space="preserve">This again can be attributed to the two </w:t>
      </w:r>
      <w:proofErr w:type="gramStart"/>
      <w:r w:rsidR="007E4151" w:rsidRPr="00DF0952">
        <w:rPr>
          <w:rFonts w:cs="Arial"/>
          <w:color w:val="000000" w:themeColor="text1"/>
          <w:lang w:eastAsia="en-US"/>
        </w:rPr>
        <w:t>aforementioned phenomena</w:t>
      </w:r>
      <w:proofErr w:type="gramEnd"/>
      <w:r w:rsidR="007E4151" w:rsidRPr="00DF0952">
        <w:rPr>
          <w:rFonts w:cs="Arial"/>
          <w:color w:val="000000" w:themeColor="text1"/>
          <w:lang w:eastAsia="en-US"/>
        </w:rPr>
        <w:t>, along with the possible recombination of free species formed during the aging treatment.</w:t>
      </w:r>
      <w:r w:rsidR="00C411C2" w:rsidRPr="00DF0952">
        <w:rPr>
          <w:rFonts w:cs="Arial"/>
          <w:color w:val="000000" w:themeColor="text1"/>
          <w:lang w:eastAsia="en-US"/>
        </w:rPr>
        <w:t xml:space="preserve"> </w:t>
      </w:r>
      <w:r w:rsidRPr="00DF0952">
        <w:rPr>
          <w:rFonts w:cs="Arial"/>
          <w:color w:val="000000" w:themeColor="text1"/>
          <w:lang w:eastAsia="en-US"/>
        </w:rPr>
        <w:t xml:space="preserve"> </w:t>
      </w:r>
    </w:p>
    <w:p w14:paraId="5830D582" w14:textId="34D0EB92" w:rsidR="00AE5DEA" w:rsidRPr="00434C3A" w:rsidRDefault="00AE5DEA" w:rsidP="00EE2E52">
      <w:pPr>
        <w:pStyle w:val="Titolo1"/>
        <w:numPr>
          <w:ilvl w:val="0"/>
          <w:numId w:val="5"/>
        </w:numPr>
      </w:pPr>
      <w:r w:rsidRPr="00434C3A">
        <w:t>Conclusions</w:t>
      </w:r>
    </w:p>
    <w:p w14:paraId="758ABE2E" w14:textId="0FA796A1" w:rsidR="00163A4B" w:rsidRPr="00DF0952" w:rsidRDefault="00AE5DEA" w:rsidP="000238CB">
      <w:pPr>
        <w:rPr>
          <w:color w:val="000000" w:themeColor="text1"/>
        </w:rPr>
      </w:pPr>
      <w:r w:rsidRPr="00434C3A">
        <w:rPr>
          <w:rFonts w:cs="Arial"/>
        </w:rPr>
        <w:t>This article presented some of the most significant electrical properties for the LV I&amp;C cables during normal and accidental conditions.</w:t>
      </w:r>
      <w:r w:rsidR="000238CB" w:rsidRPr="00434C3A">
        <w:rPr>
          <w:rFonts w:cs="Arial"/>
        </w:rPr>
        <w:t xml:space="preserve"> </w:t>
      </w:r>
      <w:r w:rsidRPr="00434C3A">
        <w:rPr>
          <w:rFonts w:cs="Arial"/>
        </w:rPr>
        <w:t xml:space="preserve">The characterization of the aged materials was performed </w:t>
      </w:r>
      <w:r w:rsidR="000238CB" w:rsidRPr="00434C3A">
        <w:rPr>
          <w:rFonts w:cs="Arial"/>
        </w:rPr>
        <w:t>considering</w:t>
      </w:r>
      <w:r w:rsidRPr="00434C3A">
        <w:rPr>
          <w:rFonts w:cs="Arial"/>
        </w:rPr>
        <w:t xml:space="preserve"> both the </w:t>
      </w:r>
      <w:r w:rsidR="00174779" w:rsidRPr="00434C3A">
        <w:rPr>
          <w:rFonts w:cs="Arial"/>
        </w:rPr>
        <w:t>physical-</w:t>
      </w:r>
      <w:r w:rsidRPr="00434C3A">
        <w:rPr>
          <w:rFonts w:cs="Arial"/>
        </w:rPr>
        <w:t>chemical and electrical properties of the insulating material.</w:t>
      </w:r>
      <w:r w:rsidR="00174779" w:rsidRPr="00434C3A">
        <w:rPr>
          <w:rFonts w:cs="Arial"/>
        </w:rPr>
        <w:t xml:space="preserve"> The </w:t>
      </w:r>
      <w:proofErr w:type="gramStart"/>
      <w:r w:rsidR="00174779" w:rsidRPr="00434C3A">
        <w:rPr>
          <w:rFonts w:cs="Arial"/>
        </w:rPr>
        <w:t>investigated properties showed</w:t>
      </w:r>
      <w:proofErr w:type="gramEnd"/>
      <w:r w:rsidR="00174779" w:rsidRPr="00434C3A">
        <w:rPr>
          <w:rFonts w:cs="Arial"/>
        </w:rPr>
        <w:t xml:space="preserve"> that the different treatments deeply </w:t>
      </w:r>
      <w:r w:rsidR="00174779" w:rsidRPr="00DF0952">
        <w:rPr>
          <w:rFonts w:cs="Arial"/>
          <w:color w:val="000000" w:themeColor="text1"/>
        </w:rPr>
        <w:t xml:space="preserve">modify the performance of the </w:t>
      </w:r>
      <w:r w:rsidR="00580FAD" w:rsidRPr="00DF0952">
        <w:rPr>
          <w:rFonts w:cs="Arial"/>
          <w:color w:val="000000" w:themeColor="text1"/>
        </w:rPr>
        <w:t xml:space="preserve">base polymer. </w:t>
      </w:r>
      <w:r w:rsidR="00F25273" w:rsidRPr="00DF0952">
        <w:rPr>
          <w:rFonts w:cs="Arial"/>
          <w:color w:val="000000" w:themeColor="text1"/>
        </w:rPr>
        <w:t>Specifically</w:t>
      </w:r>
      <w:r w:rsidR="00580FAD" w:rsidRPr="00DF0952">
        <w:rPr>
          <w:rFonts w:cs="Arial"/>
          <w:color w:val="000000" w:themeColor="text1"/>
        </w:rPr>
        <w:t xml:space="preserve">, </w:t>
      </w:r>
      <w:r w:rsidR="00AA7A4A" w:rsidRPr="00DF0952">
        <w:rPr>
          <w:rFonts w:cs="Arial"/>
          <w:color w:val="000000" w:themeColor="text1"/>
        </w:rPr>
        <w:t>modifications in the microscale-related properties e.g., crystallin</w:t>
      </w:r>
      <w:r w:rsidR="0068255D" w:rsidRPr="00DF0952">
        <w:rPr>
          <w:rFonts w:cs="Arial"/>
          <w:color w:val="000000" w:themeColor="text1"/>
        </w:rPr>
        <w:t xml:space="preserve">ity and polar chemical species, </w:t>
      </w:r>
      <w:r w:rsidR="004D4031" w:rsidRPr="00DF0952">
        <w:rPr>
          <w:rFonts w:cs="Arial"/>
          <w:color w:val="000000" w:themeColor="text1"/>
        </w:rPr>
        <w:t>also affect</w:t>
      </w:r>
      <w:r w:rsidR="005E5766" w:rsidRPr="00DF0952">
        <w:rPr>
          <w:rFonts w:cs="Arial"/>
          <w:color w:val="000000" w:themeColor="text1"/>
        </w:rPr>
        <w:t>ed</w:t>
      </w:r>
      <w:r w:rsidR="0068255D" w:rsidRPr="00DF0952">
        <w:rPr>
          <w:rFonts w:cs="Arial"/>
          <w:color w:val="000000" w:themeColor="text1"/>
        </w:rPr>
        <w:t xml:space="preserve"> the macroscale electrical properties</w:t>
      </w:r>
      <w:r w:rsidR="00E12F87" w:rsidRPr="00DF0952">
        <w:rPr>
          <w:rFonts w:cs="Arial"/>
          <w:color w:val="000000" w:themeColor="text1"/>
        </w:rPr>
        <w:t>, modifying the conduction mechanisms and the dielectric losses of the insulation system.</w:t>
      </w:r>
    </w:p>
    <w:p w14:paraId="33B42478" w14:textId="248484FE" w:rsidR="00B4100E" w:rsidRPr="00434C3A" w:rsidRDefault="00B4100E" w:rsidP="000238CB">
      <w:pPr>
        <w:rPr>
          <w:rFonts w:cs="Arial"/>
        </w:rPr>
      </w:pPr>
      <w:r w:rsidRPr="00DF0952">
        <w:rPr>
          <w:rFonts w:cs="Arial"/>
          <w:color w:val="000000" w:themeColor="text1"/>
        </w:rPr>
        <w:t>It has been demonstrated that t</w:t>
      </w:r>
      <w:r w:rsidR="00163A4B" w:rsidRPr="00DF0952">
        <w:rPr>
          <w:rFonts w:cs="Arial"/>
          <w:color w:val="000000" w:themeColor="text1"/>
        </w:rPr>
        <w:t xml:space="preserve">he main degradation mechanisms </w:t>
      </w:r>
      <w:r w:rsidR="00B70D01" w:rsidRPr="00DF0952">
        <w:rPr>
          <w:rFonts w:cs="Arial"/>
          <w:color w:val="000000" w:themeColor="text1"/>
        </w:rPr>
        <w:t>resulting from</w:t>
      </w:r>
      <w:r w:rsidR="00163A4B" w:rsidRPr="00DF0952">
        <w:rPr>
          <w:rFonts w:cs="Arial"/>
          <w:color w:val="000000" w:themeColor="text1"/>
        </w:rPr>
        <w:t xml:space="preserve"> radiation aging</w:t>
      </w:r>
      <w:r w:rsidR="00FB7F2B" w:rsidRPr="00DF0952">
        <w:rPr>
          <w:rFonts w:cs="Arial"/>
          <w:color w:val="000000" w:themeColor="text1"/>
        </w:rPr>
        <w:t xml:space="preserve"> involve </w:t>
      </w:r>
      <w:r w:rsidR="00163A4B" w:rsidRPr="00DF0952">
        <w:rPr>
          <w:rFonts w:cs="Arial"/>
          <w:color w:val="000000" w:themeColor="text1"/>
        </w:rPr>
        <w:t>the formation of highly reactive radicals and charged species which mainly alter the structure of the PE matrix</w:t>
      </w:r>
      <w:r w:rsidR="00982E95" w:rsidRPr="00DF0952">
        <w:rPr>
          <w:rFonts w:cs="Arial"/>
          <w:color w:val="000000" w:themeColor="text1"/>
        </w:rPr>
        <w:t>, rather than</w:t>
      </w:r>
      <w:r w:rsidR="00B900B0" w:rsidRPr="00DF0952">
        <w:rPr>
          <w:rFonts w:cs="Arial"/>
          <w:color w:val="000000" w:themeColor="text1"/>
        </w:rPr>
        <w:t xml:space="preserve"> </w:t>
      </w:r>
      <w:r w:rsidR="00E25EBA" w:rsidRPr="00DF0952">
        <w:rPr>
          <w:rFonts w:cs="Arial"/>
          <w:color w:val="000000" w:themeColor="text1"/>
        </w:rPr>
        <w:t>generate new chemical degradation species. Due to the very fast reaction kinetics, these species have limited formation</w:t>
      </w:r>
      <w:r w:rsidR="004F40DB" w:rsidRPr="00DF0952">
        <w:rPr>
          <w:rFonts w:cs="Arial"/>
          <w:color w:val="000000" w:themeColor="text1"/>
        </w:rPr>
        <w:t xml:space="preserve"> as broken chains, arising from radiation, </w:t>
      </w:r>
      <w:r w:rsidR="00D4276D" w:rsidRPr="00DF0952">
        <w:rPr>
          <w:rFonts w:cs="Arial"/>
          <w:color w:val="000000" w:themeColor="text1"/>
        </w:rPr>
        <w:t>tend</w:t>
      </w:r>
      <w:r w:rsidR="00E25EBA" w:rsidRPr="00DF0952">
        <w:rPr>
          <w:rFonts w:cs="Arial"/>
          <w:color w:val="000000" w:themeColor="text1"/>
        </w:rPr>
        <w:t xml:space="preserve"> not</w:t>
      </w:r>
      <w:r w:rsidR="00D4276D" w:rsidRPr="00DF0952">
        <w:rPr>
          <w:rFonts w:cs="Arial"/>
          <w:color w:val="000000" w:themeColor="text1"/>
        </w:rPr>
        <w:t xml:space="preserve"> to</w:t>
      </w:r>
      <w:r w:rsidR="00E25EBA" w:rsidRPr="00DF0952">
        <w:rPr>
          <w:rFonts w:cs="Arial"/>
          <w:color w:val="000000" w:themeColor="text1"/>
        </w:rPr>
        <w:t xml:space="preserve"> bond with environmental oxygen</w:t>
      </w:r>
      <w:r w:rsidR="00D4276D" w:rsidRPr="00DF0952">
        <w:rPr>
          <w:rFonts w:cs="Arial"/>
          <w:color w:val="000000" w:themeColor="text1"/>
        </w:rPr>
        <w:t xml:space="preserve">. </w:t>
      </w:r>
      <w:r w:rsidR="00E25EBA" w:rsidRPr="00DF0952">
        <w:rPr>
          <w:rFonts w:cs="Arial"/>
          <w:color w:val="000000" w:themeColor="text1"/>
        </w:rPr>
        <w:t xml:space="preserve">Consequently, microstructural modifications, such as chain scission and crosslinking, may be considered as the predominant </w:t>
      </w:r>
      <w:r w:rsidR="002A6D7B" w:rsidRPr="00DF0952">
        <w:rPr>
          <w:rFonts w:cs="Arial"/>
          <w:color w:val="000000" w:themeColor="text1"/>
        </w:rPr>
        <w:t xml:space="preserve">ones </w:t>
      </w:r>
      <w:r w:rsidR="00E25EBA" w:rsidRPr="00DF0952">
        <w:rPr>
          <w:rFonts w:cs="Arial"/>
          <w:color w:val="000000" w:themeColor="text1"/>
        </w:rPr>
        <w:t xml:space="preserve">in radiation aging. </w:t>
      </w:r>
      <w:r w:rsidR="00082BD6" w:rsidRPr="00DF0952">
        <w:rPr>
          <w:rFonts w:cs="Arial"/>
          <w:color w:val="000000" w:themeColor="text1"/>
        </w:rPr>
        <w:t>This was reflected</w:t>
      </w:r>
      <w:r w:rsidR="00543EE0" w:rsidRPr="00DF0952">
        <w:rPr>
          <w:rFonts w:cs="Arial"/>
          <w:color w:val="000000" w:themeColor="text1"/>
        </w:rPr>
        <w:t xml:space="preserve"> in a mild increase of the oxidized species from FTIR</w:t>
      </w:r>
      <w:r w:rsidR="00D015E5" w:rsidRPr="00DF0952">
        <w:rPr>
          <w:rFonts w:cs="Arial"/>
          <w:color w:val="000000" w:themeColor="text1"/>
        </w:rPr>
        <w:t xml:space="preserve">, </w:t>
      </w:r>
      <w:r w:rsidR="00CB7096" w:rsidRPr="00DF0952">
        <w:rPr>
          <w:rFonts w:cs="Arial"/>
          <w:color w:val="000000" w:themeColor="text1"/>
        </w:rPr>
        <w:t>a more homogenous</w:t>
      </w:r>
      <w:r w:rsidR="00D015E5" w:rsidRPr="00DF0952">
        <w:rPr>
          <w:rFonts w:cs="Arial"/>
          <w:color w:val="000000" w:themeColor="text1"/>
        </w:rPr>
        <w:t xml:space="preserve"> and unique</w:t>
      </w:r>
      <w:r w:rsidR="00CB7096" w:rsidRPr="00DF0952">
        <w:rPr>
          <w:rFonts w:cs="Arial"/>
          <w:color w:val="000000" w:themeColor="text1"/>
        </w:rPr>
        <w:t xml:space="preserve"> melting peak in the DSC analyses</w:t>
      </w:r>
      <w:r w:rsidR="00B830CC" w:rsidRPr="00DF0952">
        <w:rPr>
          <w:rFonts w:cs="Arial"/>
          <w:color w:val="000000" w:themeColor="text1"/>
        </w:rPr>
        <w:t xml:space="preserve"> </w:t>
      </w:r>
      <w:r w:rsidR="00D015E5" w:rsidRPr="00DF0952">
        <w:rPr>
          <w:rFonts w:cs="Arial"/>
          <w:color w:val="000000" w:themeColor="text1"/>
        </w:rPr>
        <w:t>and a lower temperature-to-50% degradation from the TGA</w:t>
      </w:r>
      <w:r w:rsidR="00515029" w:rsidRPr="00DF0952">
        <w:rPr>
          <w:rFonts w:cs="Arial"/>
          <w:color w:val="000000" w:themeColor="text1"/>
        </w:rPr>
        <w:t>. E</w:t>
      </w:r>
      <w:r w:rsidR="00B830CC" w:rsidRPr="00DF0952">
        <w:rPr>
          <w:rFonts w:cs="Arial"/>
          <w:color w:val="000000" w:themeColor="text1"/>
        </w:rPr>
        <w:t>lectrically,</w:t>
      </w:r>
      <w:r w:rsidR="00082BD6" w:rsidRPr="00DF0952">
        <w:rPr>
          <w:rFonts w:cs="Arial"/>
          <w:color w:val="000000" w:themeColor="text1"/>
        </w:rPr>
        <w:t xml:space="preserve"> </w:t>
      </w:r>
      <w:r w:rsidR="00515029" w:rsidRPr="00DF0952">
        <w:rPr>
          <w:rFonts w:cs="Arial"/>
          <w:color w:val="000000" w:themeColor="text1"/>
        </w:rPr>
        <w:t xml:space="preserve">the </w:t>
      </w:r>
      <w:r w:rsidR="00514EA3" w:rsidRPr="00DF0952">
        <w:rPr>
          <w:rFonts w:cs="Arial"/>
          <w:color w:val="000000" w:themeColor="text1"/>
        </w:rPr>
        <w:t>formation</w:t>
      </w:r>
      <w:r w:rsidR="00515029" w:rsidRPr="00DF0952">
        <w:rPr>
          <w:rFonts w:cs="Arial"/>
          <w:color w:val="000000" w:themeColor="text1"/>
        </w:rPr>
        <w:t xml:space="preserve"> </w:t>
      </w:r>
      <w:r w:rsidR="00515029" w:rsidRPr="00434C3A">
        <w:rPr>
          <w:rFonts w:cs="Arial"/>
        </w:rPr>
        <w:t xml:space="preserve">of charged species caused </w:t>
      </w:r>
      <w:r w:rsidR="00163622">
        <w:rPr>
          <w:rFonts w:cs="Arial"/>
        </w:rPr>
        <w:t xml:space="preserve">by RA lead to </w:t>
      </w:r>
      <w:r w:rsidR="00515029" w:rsidRPr="00434C3A">
        <w:rPr>
          <w:rFonts w:cs="Arial"/>
        </w:rPr>
        <w:t xml:space="preserve">the </w:t>
      </w:r>
      <w:r w:rsidR="00163622">
        <w:rPr>
          <w:rFonts w:cs="Arial"/>
        </w:rPr>
        <w:t>appearance</w:t>
      </w:r>
      <w:r w:rsidR="00163622" w:rsidRPr="00434C3A">
        <w:rPr>
          <w:rFonts w:cs="Arial"/>
        </w:rPr>
        <w:t xml:space="preserve"> </w:t>
      </w:r>
      <w:r w:rsidR="00082BD6" w:rsidRPr="00434C3A">
        <w:rPr>
          <w:rFonts w:cs="Arial"/>
        </w:rPr>
        <w:t>of Q-DC conduction phenomena</w:t>
      </w:r>
      <w:r w:rsidR="00B830CC" w:rsidRPr="00434C3A">
        <w:rPr>
          <w:rFonts w:cs="Arial"/>
        </w:rPr>
        <w:t xml:space="preserve"> </w:t>
      </w:r>
      <w:r w:rsidR="00085331" w:rsidRPr="00434C3A">
        <w:rPr>
          <w:rFonts w:cs="Arial"/>
        </w:rPr>
        <w:t>and</w:t>
      </w:r>
      <w:r w:rsidR="00163622">
        <w:rPr>
          <w:rFonts w:cs="Arial"/>
        </w:rPr>
        <w:t xml:space="preserve"> a remarkable increase in</w:t>
      </w:r>
      <w:r w:rsidR="00085331" w:rsidRPr="00434C3A">
        <w:rPr>
          <w:rFonts w:cs="Arial"/>
        </w:rPr>
        <w:t xml:space="preserve"> </w:t>
      </w:r>
      <w:r w:rsidR="00290FC2">
        <w:rPr>
          <w:rFonts w:cs="Arial"/>
        </w:rPr>
        <w:t>polarization current</w:t>
      </w:r>
      <w:r w:rsidR="00163622">
        <w:rPr>
          <w:rFonts w:cs="Arial"/>
        </w:rPr>
        <w:t>s</w:t>
      </w:r>
      <w:r w:rsidR="00085331" w:rsidRPr="00434C3A">
        <w:rPr>
          <w:rFonts w:cs="Arial"/>
        </w:rPr>
        <w:t xml:space="preserve">. </w:t>
      </w:r>
    </w:p>
    <w:p w14:paraId="6A9C5848" w14:textId="2D54703F" w:rsidR="00694306" w:rsidRPr="00DF0952" w:rsidRDefault="00515029" w:rsidP="000238CB">
      <w:pPr>
        <w:rPr>
          <w:rFonts w:cs="Arial"/>
          <w:color w:val="000000" w:themeColor="text1"/>
        </w:rPr>
      </w:pPr>
      <w:r w:rsidRPr="00434C3A">
        <w:rPr>
          <w:rFonts w:cs="Arial"/>
        </w:rPr>
        <w:t xml:space="preserve">The </w:t>
      </w:r>
      <w:r w:rsidR="00163622">
        <w:rPr>
          <w:rFonts w:cs="Arial"/>
        </w:rPr>
        <w:t>combination</w:t>
      </w:r>
      <w:r w:rsidR="00163622" w:rsidRPr="00434C3A">
        <w:rPr>
          <w:rFonts w:cs="Arial"/>
        </w:rPr>
        <w:t xml:space="preserve"> </w:t>
      </w:r>
      <w:r w:rsidRPr="00434C3A">
        <w:rPr>
          <w:rFonts w:cs="Arial"/>
        </w:rPr>
        <w:t xml:space="preserve">of </w:t>
      </w:r>
      <w:r w:rsidR="00163622">
        <w:rPr>
          <w:rFonts w:cs="Arial"/>
        </w:rPr>
        <w:t>high temperatures</w:t>
      </w:r>
      <w:r w:rsidRPr="00434C3A">
        <w:rPr>
          <w:rFonts w:cs="Arial"/>
        </w:rPr>
        <w:t>,</w:t>
      </w:r>
      <w:r w:rsidR="00A92F91" w:rsidRPr="00434C3A">
        <w:rPr>
          <w:rFonts w:cs="Arial"/>
        </w:rPr>
        <w:t xml:space="preserve"> like in the case of TA/RA aging, caused the inception of the thermo-</w:t>
      </w:r>
      <w:r w:rsidR="00A92F91" w:rsidRPr="00434C3A">
        <w:rPr>
          <w:rFonts w:cs="Arial"/>
        </w:rPr>
        <w:lastRenderedPageBreak/>
        <w:t xml:space="preserve">oxidation </w:t>
      </w:r>
      <w:r w:rsidR="00290FC2">
        <w:rPr>
          <w:rFonts w:cs="Arial"/>
        </w:rPr>
        <w:t xml:space="preserve">degradation mechanism, </w:t>
      </w:r>
      <w:r w:rsidR="002C4F0E" w:rsidRPr="00434C3A">
        <w:rPr>
          <w:rFonts w:cs="Arial"/>
        </w:rPr>
        <w:t>characterized</w:t>
      </w:r>
      <w:r w:rsidR="00E21AA2" w:rsidRPr="00434C3A">
        <w:rPr>
          <w:rFonts w:cs="Arial"/>
        </w:rPr>
        <w:t xml:space="preserve"> by lower kinetics, which caused the disappearance of Q-DC conduction phenomenon and lower</w:t>
      </w:r>
      <w:r w:rsidR="00BF7563">
        <w:rPr>
          <w:rFonts w:cs="Arial"/>
        </w:rPr>
        <w:t>ed the</w:t>
      </w:r>
      <w:r w:rsidR="00E21AA2" w:rsidRPr="00434C3A">
        <w:rPr>
          <w:rFonts w:cs="Arial"/>
        </w:rPr>
        <w:t xml:space="preserve"> values of conductivity, suggesting the </w:t>
      </w:r>
      <w:r w:rsidR="002C4F0E" w:rsidRPr="00434C3A">
        <w:rPr>
          <w:rFonts w:cs="Arial"/>
        </w:rPr>
        <w:t>abrupt decrease of the presence of charged species.</w:t>
      </w:r>
      <w:r w:rsidR="006B4389" w:rsidRPr="00434C3A">
        <w:rPr>
          <w:rFonts w:cs="Arial"/>
        </w:rPr>
        <w:t xml:space="preserve"> </w:t>
      </w:r>
      <w:r w:rsidR="006B4389" w:rsidRPr="00DF0952">
        <w:rPr>
          <w:rFonts w:cs="Arial"/>
          <w:color w:val="000000" w:themeColor="text1"/>
        </w:rPr>
        <w:t xml:space="preserve">Notably, negligible differences from radiation-only aging may be highlighted with reference to </w:t>
      </w:r>
      <w:r w:rsidR="001253C2" w:rsidRPr="00DF0952">
        <w:rPr>
          <w:rFonts w:cs="Arial"/>
          <w:color w:val="000000" w:themeColor="text1"/>
        </w:rPr>
        <w:t>microstructural</w:t>
      </w:r>
      <w:r w:rsidR="006B4389" w:rsidRPr="00DF0952">
        <w:rPr>
          <w:rFonts w:cs="Arial"/>
          <w:color w:val="000000" w:themeColor="text1"/>
        </w:rPr>
        <w:t xml:space="preserve"> modifications.</w:t>
      </w:r>
      <w:r w:rsidR="001253C2" w:rsidRPr="00DF0952">
        <w:rPr>
          <w:rFonts w:cs="Arial"/>
          <w:color w:val="000000" w:themeColor="text1"/>
        </w:rPr>
        <w:t xml:space="preserve"> </w:t>
      </w:r>
      <w:r w:rsidR="00462007" w:rsidRPr="00DF0952">
        <w:rPr>
          <w:rFonts w:cs="Arial"/>
          <w:color w:val="000000" w:themeColor="text1"/>
        </w:rPr>
        <w:t xml:space="preserve">For example, </w:t>
      </w:r>
      <w:r w:rsidR="001253C2" w:rsidRPr="00DF0952">
        <w:rPr>
          <w:rFonts w:cs="Arial"/>
          <w:color w:val="000000" w:themeColor="text1"/>
        </w:rPr>
        <w:t>the contribution of oxidation</w:t>
      </w:r>
      <w:r w:rsidR="00462007" w:rsidRPr="00DF0952">
        <w:rPr>
          <w:rFonts w:cs="Arial"/>
          <w:color w:val="000000" w:themeColor="text1"/>
        </w:rPr>
        <w:t>, valued through FTIR analyses,</w:t>
      </w:r>
      <w:r w:rsidR="001253C2" w:rsidRPr="00DF0952">
        <w:rPr>
          <w:rFonts w:cs="Arial"/>
          <w:color w:val="000000" w:themeColor="text1"/>
        </w:rPr>
        <w:t xml:space="preserve"> in the case of </w:t>
      </w:r>
      <w:r w:rsidR="00BF7563" w:rsidRPr="00DF0952">
        <w:rPr>
          <w:rFonts w:cs="Arial"/>
          <w:color w:val="000000" w:themeColor="text1"/>
        </w:rPr>
        <w:t xml:space="preserve">both </w:t>
      </w:r>
      <w:r w:rsidR="001253C2" w:rsidRPr="00DF0952">
        <w:rPr>
          <w:rFonts w:cs="Arial"/>
          <w:color w:val="000000" w:themeColor="text1"/>
        </w:rPr>
        <w:t xml:space="preserve">RA and RA/TA aged cables is very limited. The reason for that </w:t>
      </w:r>
      <w:r w:rsidR="00462007" w:rsidRPr="00DF0952">
        <w:rPr>
          <w:rFonts w:cs="Arial"/>
          <w:color w:val="000000" w:themeColor="text1"/>
        </w:rPr>
        <w:t xml:space="preserve">was </w:t>
      </w:r>
      <w:r w:rsidR="00BF7563" w:rsidRPr="00DF0952">
        <w:rPr>
          <w:rFonts w:cs="Arial"/>
          <w:color w:val="000000" w:themeColor="text1"/>
        </w:rPr>
        <w:t xml:space="preserve">likely </w:t>
      </w:r>
      <w:r w:rsidR="00462007" w:rsidRPr="00DF0952">
        <w:rPr>
          <w:rFonts w:cs="Arial"/>
          <w:color w:val="000000" w:themeColor="text1"/>
        </w:rPr>
        <w:t>linked to the low</w:t>
      </w:r>
      <w:r w:rsidR="001253C2" w:rsidRPr="00DF0952">
        <w:rPr>
          <w:rFonts w:cs="Arial"/>
          <w:color w:val="000000" w:themeColor="text1"/>
        </w:rPr>
        <w:t xml:space="preserve"> concentration of oxygen inside the multilayer structure of the cables.</w:t>
      </w:r>
    </w:p>
    <w:p w14:paraId="7BD09A8B" w14:textId="07F598F9" w:rsidR="00B4100E" w:rsidRDefault="001253C2" w:rsidP="000238CB">
      <w:pPr>
        <w:rPr>
          <w:rFonts w:cs="Arial"/>
        </w:rPr>
      </w:pPr>
      <w:r w:rsidRPr="00DF0952">
        <w:rPr>
          <w:rFonts w:cs="Arial"/>
          <w:color w:val="000000" w:themeColor="text1"/>
        </w:rPr>
        <w:t>On the other hand,</w:t>
      </w:r>
      <w:r w:rsidR="00694306" w:rsidRPr="00DF0952">
        <w:rPr>
          <w:rFonts w:cs="Arial"/>
          <w:color w:val="000000" w:themeColor="text1"/>
        </w:rPr>
        <w:t xml:space="preserve"> </w:t>
      </w:r>
      <w:r w:rsidR="004D5B4E" w:rsidRPr="00DF0952">
        <w:rPr>
          <w:rFonts w:cs="Arial"/>
          <w:color w:val="000000" w:themeColor="text1"/>
        </w:rPr>
        <w:t xml:space="preserve">despite the </w:t>
      </w:r>
      <w:r w:rsidR="00CF2C2D" w:rsidRPr="00DF0952">
        <w:rPr>
          <w:rFonts w:cs="Arial"/>
          <w:color w:val="000000" w:themeColor="text1"/>
        </w:rPr>
        <w:t xml:space="preserve">possible DLO effect, </w:t>
      </w:r>
      <w:r w:rsidR="00694306" w:rsidRPr="00DF0952">
        <w:rPr>
          <w:rFonts w:cs="Arial"/>
          <w:color w:val="000000" w:themeColor="text1"/>
        </w:rPr>
        <w:t xml:space="preserve">cables aged after the DBE </w:t>
      </w:r>
      <w:r w:rsidR="00CC5FA0" w:rsidRPr="00DF0952">
        <w:rPr>
          <w:rFonts w:cs="Arial"/>
          <w:color w:val="000000" w:themeColor="text1"/>
        </w:rPr>
        <w:t>simulation</w:t>
      </w:r>
      <w:r w:rsidR="00694306" w:rsidRPr="00DF0952">
        <w:rPr>
          <w:rFonts w:cs="Arial"/>
          <w:color w:val="000000" w:themeColor="text1"/>
        </w:rPr>
        <w:t xml:space="preserve"> show a significant presence of oxidized species which </w:t>
      </w:r>
      <w:r w:rsidR="00CC5FA0" w:rsidRPr="00DF0952">
        <w:rPr>
          <w:rFonts w:cs="Arial"/>
          <w:color w:val="000000" w:themeColor="text1"/>
        </w:rPr>
        <w:t xml:space="preserve">was linked to the easier permeation of oxygen within the cable by </w:t>
      </w:r>
      <w:r w:rsidRPr="00DF0952">
        <w:rPr>
          <w:rFonts w:cs="Arial"/>
          <w:color w:val="000000" w:themeColor="text1"/>
        </w:rPr>
        <w:t>the presence of high pressure applied in the LOCA tests. This phenomenon, along with the high temperatures (up to 150°C) catalyze</w:t>
      </w:r>
      <w:r w:rsidR="00BF7563" w:rsidRPr="00DF0952">
        <w:rPr>
          <w:rFonts w:cs="Arial"/>
          <w:color w:val="000000" w:themeColor="text1"/>
        </w:rPr>
        <w:t>d</w:t>
      </w:r>
      <w:r w:rsidRPr="00DF0952">
        <w:rPr>
          <w:rFonts w:cs="Arial"/>
          <w:color w:val="000000" w:themeColor="text1"/>
        </w:rPr>
        <w:t xml:space="preserve"> the </w:t>
      </w:r>
      <w:r w:rsidR="00BF7563" w:rsidRPr="00DF0952">
        <w:rPr>
          <w:rFonts w:cs="Arial"/>
          <w:color w:val="000000" w:themeColor="text1"/>
        </w:rPr>
        <w:t xml:space="preserve">occurrence </w:t>
      </w:r>
      <w:r w:rsidR="005053DA" w:rsidRPr="00DF0952">
        <w:rPr>
          <w:rFonts w:cs="Arial"/>
          <w:color w:val="000000" w:themeColor="text1"/>
        </w:rPr>
        <w:t xml:space="preserve">of </w:t>
      </w:r>
      <w:r w:rsidRPr="00DF0952">
        <w:rPr>
          <w:rFonts w:cs="Arial"/>
          <w:color w:val="000000" w:themeColor="text1"/>
        </w:rPr>
        <w:t>oxidative reaction</w:t>
      </w:r>
      <w:r w:rsidR="005053DA" w:rsidRPr="00DF0952">
        <w:rPr>
          <w:rFonts w:cs="Arial"/>
          <w:color w:val="000000" w:themeColor="text1"/>
        </w:rPr>
        <w:t xml:space="preserve"> within the polymer</w:t>
      </w:r>
      <w:r w:rsidRPr="00DF0952">
        <w:rPr>
          <w:rFonts w:cs="Arial"/>
          <w:color w:val="000000" w:themeColor="text1"/>
        </w:rPr>
        <w:t>.</w:t>
      </w:r>
      <w:r w:rsidR="00F96E73" w:rsidRPr="00DF0952">
        <w:rPr>
          <w:rFonts w:cs="Arial"/>
          <w:color w:val="000000" w:themeColor="text1"/>
        </w:rPr>
        <w:t xml:space="preserve"> The DBE treatment significantly reduced the quantity of crystallites within the </w:t>
      </w:r>
      <w:r w:rsidR="00F96E73" w:rsidRPr="00434C3A">
        <w:rPr>
          <w:rFonts w:cs="Arial"/>
        </w:rPr>
        <w:t>material</w:t>
      </w:r>
      <w:r w:rsidR="003F5D45" w:rsidRPr="00434C3A">
        <w:rPr>
          <w:rFonts w:cs="Arial"/>
        </w:rPr>
        <w:t>, also leading to a significant decrease (-10°C) of the melting point of the polymer.</w:t>
      </w:r>
      <w:r w:rsidRPr="00434C3A">
        <w:rPr>
          <w:rFonts w:cs="Arial"/>
        </w:rPr>
        <w:t xml:space="preserve"> </w:t>
      </w:r>
      <w:r w:rsidR="00784C64" w:rsidRPr="00434C3A">
        <w:rPr>
          <w:rFonts w:cs="Arial"/>
        </w:rPr>
        <w:t>From the electrical point of view, this caused the increase of the dielectric losses</w:t>
      </w:r>
      <w:r w:rsidR="00C54631" w:rsidRPr="00434C3A">
        <w:rPr>
          <w:rFonts w:cs="Arial"/>
        </w:rPr>
        <w:t xml:space="preserve"> (+230% from the unaged value)</w:t>
      </w:r>
      <w:r w:rsidR="00784C64" w:rsidRPr="00434C3A">
        <w:rPr>
          <w:rFonts w:cs="Arial"/>
        </w:rPr>
        <w:t xml:space="preserve"> and the decrease of conduction current, </w:t>
      </w:r>
      <w:r w:rsidR="006D6BFB" w:rsidRPr="00434C3A">
        <w:rPr>
          <w:rFonts w:cs="Arial"/>
        </w:rPr>
        <w:t>suggesting the arising of less-conducting species.</w:t>
      </w:r>
    </w:p>
    <w:p w14:paraId="3D44F02D" w14:textId="7E00DA15" w:rsidR="00160ECC" w:rsidRDefault="00160ECC" w:rsidP="00AE5DEA">
      <w:pPr>
        <w:rPr>
          <w:rFonts w:cs="Arial"/>
        </w:rPr>
      </w:pPr>
      <w:r w:rsidRPr="00160ECC">
        <w:rPr>
          <w:rFonts w:cs="Arial"/>
        </w:rPr>
        <w:t>Focusing on the dielectric spectroscopy technique, it has been shown that this method effectively tracks aging development, with a consistent increase in dielectric losses as aging severity increases. Specifically, the high-frequency dielectric response, particularly around the frequency of ~100 kHz, mirrors the aging severity. This behavior is attributed to the chemical species formed during aging, mainly oxidized species, which are highly dipolar. Thanks to its strong correlation with insulation degradation, this technique is recommended as an effective nondestructive condition monitoring method for assessing cable condition in real environments.</w:t>
      </w:r>
    </w:p>
    <w:p w14:paraId="235E1A98" w14:textId="21B52479" w:rsidR="00AE5DEA" w:rsidRPr="00434C3A" w:rsidRDefault="00AE5DEA" w:rsidP="00AE5DEA">
      <w:pPr>
        <w:rPr>
          <w:rFonts w:cs="Arial"/>
        </w:rPr>
      </w:pPr>
      <w:r w:rsidRPr="00434C3A">
        <w:rPr>
          <w:rFonts w:cs="Arial"/>
        </w:rPr>
        <w:t>Future works on this topic will include additional physical-chemical characterization of the cables subjected to the DBE i.e., oxidation induction time and tensile stress tests</w:t>
      </w:r>
      <w:r w:rsidR="002C6490" w:rsidRPr="00434C3A">
        <w:rPr>
          <w:rFonts w:cs="Arial"/>
        </w:rPr>
        <w:t>.</w:t>
      </w:r>
      <w:r w:rsidR="003F0E85" w:rsidRPr="00434C3A">
        <w:rPr>
          <w:rFonts w:cs="Arial"/>
        </w:rPr>
        <w:t xml:space="preserve"> These investigations will provide valuable insights into the long-term reliability and durability of </w:t>
      </w:r>
      <w:proofErr w:type="gramStart"/>
      <w:r w:rsidR="003F0E85" w:rsidRPr="00434C3A">
        <w:rPr>
          <w:rFonts w:cs="Arial"/>
        </w:rPr>
        <w:t>the cables</w:t>
      </w:r>
      <w:proofErr w:type="gramEnd"/>
      <w:r w:rsidR="003F0E85" w:rsidRPr="00434C3A">
        <w:rPr>
          <w:rFonts w:cs="Arial"/>
        </w:rPr>
        <w:t>, enhancing the overall safety and efficiency of nuclear power plant operations.</w:t>
      </w:r>
    </w:p>
    <w:p w14:paraId="6C2F01F9" w14:textId="77777777" w:rsidR="00AE5DEA" w:rsidRPr="00434C3A" w:rsidRDefault="00AE5DEA" w:rsidP="00AE5DEA">
      <w:pPr>
        <w:tabs>
          <w:tab w:val="left" w:pos="-1020"/>
          <w:tab w:val="left" w:pos="-300"/>
        </w:tabs>
        <w:spacing w:before="240"/>
        <w:rPr>
          <w:rStyle w:val="Bold"/>
        </w:rPr>
      </w:pPr>
      <w:r w:rsidRPr="00434C3A">
        <w:rPr>
          <w:rStyle w:val="Bold"/>
        </w:rPr>
        <w:t>ACKNOWLEDGMENTS</w:t>
      </w:r>
    </w:p>
    <w:p w14:paraId="626B959B" w14:textId="478139DD" w:rsidR="00AE5DEA" w:rsidRPr="00434C3A" w:rsidRDefault="00AE5DEA" w:rsidP="00AE5DEA">
      <w:pPr>
        <w:tabs>
          <w:tab w:val="left" w:pos="-1020"/>
          <w:tab w:val="left" w:pos="-300"/>
          <w:tab w:val="left" w:pos="366"/>
          <w:tab w:val="left" w:pos="5448"/>
        </w:tabs>
        <w:rPr>
          <w:rFonts w:cs="Arial"/>
        </w:rPr>
      </w:pPr>
      <w:r w:rsidRPr="00434C3A">
        <w:rPr>
          <w:rFonts w:cs="Arial"/>
        </w:rPr>
        <w:t>The authors are grateful to the UJV Research group for performing the DBE simulation</w:t>
      </w:r>
      <w:r w:rsidR="001766EA" w:rsidRPr="00434C3A">
        <w:rPr>
          <w:rFonts w:cs="Arial"/>
        </w:rPr>
        <w:t xml:space="preserve"> and to Emanuele </w:t>
      </w:r>
      <w:proofErr w:type="spellStart"/>
      <w:r w:rsidR="001766EA" w:rsidRPr="00434C3A">
        <w:rPr>
          <w:rFonts w:cs="Arial"/>
        </w:rPr>
        <w:t>Maccaferri</w:t>
      </w:r>
      <w:proofErr w:type="spellEnd"/>
      <w:r w:rsidR="001766EA" w:rsidRPr="00434C3A">
        <w:rPr>
          <w:rFonts w:cs="Arial"/>
        </w:rPr>
        <w:t xml:space="preserve"> </w:t>
      </w:r>
      <w:r w:rsidR="0083043E" w:rsidRPr="00434C3A">
        <w:rPr>
          <w:rFonts w:cs="Arial"/>
        </w:rPr>
        <w:t>for the DSC and TGA analyses.</w:t>
      </w:r>
    </w:p>
    <w:p w14:paraId="2967A431" w14:textId="77777777" w:rsidR="009D1697" w:rsidRDefault="00AE5DEA" w:rsidP="009D1697">
      <w:pPr>
        <w:spacing w:after="0"/>
      </w:pPr>
      <w:r w:rsidRPr="00434C3A">
        <w:rPr>
          <w:noProof/>
        </w:rPr>
        <w:drawing>
          <wp:anchor distT="0" distB="0" distL="114300" distR="114300" simplePos="0" relativeHeight="251658240" behindDoc="0" locked="0" layoutInCell="1" allowOverlap="1" wp14:anchorId="71E8A2D3" wp14:editId="04BB5DA9">
            <wp:simplePos x="0" y="0"/>
            <wp:positionH relativeFrom="column">
              <wp:posOffset>38100</wp:posOffset>
            </wp:positionH>
            <wp:positionV relativeFrom="paragraph">
              <wp:posOffset>22860</wp:posOffset>
            </wp:positionV>
            <wp:extent cx="647700" cy="510540"/>
            <wp:effectExtent l="0" t="0" r="0" b="0"/>
            <wp:wrapSquare wrapText="bothSides"/>
            <wp:docPr id="5" name="Immagine 7" descr="https://ec.europa.eu/inea/sites/inea/files/ceflogos/en_square_cef_logo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https://ec.europa.eu/inea/sites/inea/files/ceflogos/en_square_cef_logo_0.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7700" cy="510540"/>
                    </a:xfrm>
                    <a:prstGeom prst="rect">
                      <a:avLst/>
                    </a:prstGeom>
                    <a:noFill/>
                  </pic:spPr>
                </pic:pic>
              </a:graphicData>
            </a:graphic>
            <wp14:sizeRelH relativeFrom="page">
              <wp14:pctWidth>0</wp14:pctWidth>
            </wp14:sizeRelH>
            <wp14:sizeRelV relativeFrom="page">
              <wp14:pctHeight>0</wp14:pctHeight>
            </wp14:sizeRelV>
          </wp:anchor>
        </w:drawing>
      </w:r>
      <w:r w:rsidRPr="00434C3A">
        <w:t xml:space="preserve">The project leading to this application has received funding from the Euratom research and training </w:t>
      </w:r>
      <w:proofErr w:type="spellStart"/>
      <w:r w:rsidRPr="00434C3A">
        <w:t>programme</w:t>
      </w:r>
      <w:proofErr w:type="spellEnd"/>
      <w:r w:rsidRPr="00434C3A">
        <w:t xml:space="preserve"> 2014-2018 under grant agreement No 755183</w:t>
      </w:r>
      <w:r w:rsidR="00DE3CD3">
        <w:t xml:space="preserve"> and </w:t>
      </w:r>
      <w:r w:rsidR="009D1697" w:rsidRPr="009D1697">
        <w:t xml:space="preserve">from the National Recovery and Resilience Plan (NRRP), Mission 04 Component 2 Investment 1.5 – </w:t>
      </w:r>
      <w:proofErr w:type="spellStart"/>
      <w:r w:rsidR="009D1697" w:rsidRPr="009D1697">
        <w:t>NextGenerationEU</w:t>
      </w:r>
      <w:proofErr w:type="spellEnd"/>
      <w:r w:rsidR="009D1697" w:rsidRPr="009D1697">
        <w:t>, Call for tender n. 3277 Award Number:  0001052</w:t>
      </w:r>
      <w:r w:rsidRPr="00434C3A">
        <w:t>.</w:t>
      </w:r>
    </w:p>
    <w:p w14:paraId="545747BB" w14:textId="4DA0B5B4" w:rsidR="00AE5DEA" w:rsidRPr="00434C3A" w:rsidRDefault="00AE5DEA" w:rsidP="00AE5DEA">
      <w:pPr>
        <w:spacing w:after="240"/>
      </w:pPr>
      <w:r w:rsidRPr="00434C3A">
        <w:t xml:space="preserve">This publication reflects only the authors’ </w:t>
      </w:r>
      <w:proofErr w:type="gramStart"/>
      <w:r w:rsidRPr="00434C3A">
        <w:t>view</w:t>
      </w:r>
      <w:proofErr w:type="gramEnd"/>
      <w:r w:rsidRPr="00434C3A">
        <w:t xml:space="preserve"> and the European Commission is not responsible for any use that may be made of the information it contains.</w:t>
      </w:r>
    </w:p>
    <w:p w14:paraId="3367A468" w14:textId="77777777" w:rsidR="00AE5DEA" w:rsidRPr="00434C3A" w:rsidRDefault="00AE5DEA" w:rsidP="00AE5DEA">
      <w:pPr>
        <w:tabs>
          <w:tab w:val="left" w:pos="-1020"/>
          <w:tab w:val="left" w:pos="-300"/>
        </w:tabs>
        <w:rPr>
          <w:rStyle w:val="Bold"/>
        </w:rPr>
      </w:pPr>
      <w:r w:rsidRPr="00434C3A">
        <w:rPr>
          <w:rStyle w:val="Bold"/>
        </w:rPr>
        <w:t>REFERENCES</w:t>
      </w:r>
    </w:p>
    <w:p w14:paraId="55AE4244" w14:textId="77777777" w:rsidR="00551B93" w:rsidRPr="00551B93" w:rsidRDefault="00AE5DEA" w:rsidP="00551B93">
      <w:pPr>
        <w:pStyle w:val="Bibliografia"/>
        <w:rPr>
          <w:rFonts w:cs="Arial"/>
        </w:rPr>
      </w:pPr>
      <w:r w:rsidRPr="00434C3A">
        <w:fldChar w:fldCharType="begin"/>
      </w:r>
      <w:r w:rsidRPr="00434C3A">
        <w:instrText xml:space="preserve"> ADDIN ZOTERO_BIBL {"uncited":[],"omitted":[],"custom":[]} CSL_BIBLIOGRAPHY </w:instrText>
      </w:r>
      <w:r w:rsidRPr="00434C3A">
        <w:fldChar w:fldCharType="separate"/>
      </w:r>
      <w:r w:rsidR="00551B93" w:rsidRPr="00551B93">
        <w:rPr>
          <w:rFonts w:cs="Arial"/>
        </w:rPr>
        <w:t>[1]</w:t>
      </w:r>
      <w:r w:rsidR="00551B93" w:rsidRPr="00551B93">
        <w:rPr>
          <w:rFonts w:cs="Arial"/>
        </w:rPr>
        <w:tab/>
        <w:t xml:space="preserve">A. Watanabe, M. Ikeda, T. Minakawa, N. Hirai, e Y. Ohki, «Insulation Performance of Safety-Related Electrical Penetrations for Pressurized Water Reactors under Simulated Severe Accident Conditions», </w:t>
      </w:r>
      <w:r w:rsidR="00551B93" w:rsidRPr="00551B93">
        <w:rPr>
          <w:rFonts w:cs="Arial"/>
          <w:i/>
          <w:iCs/>
        </w:rPr>
        <w:t>IEEJ Trans. Fundam. Mater.</w:t>
      </w:r>
      <w:r w:rsidR="00551B93" w:rsidRPr="00551B93">
        <w:rPr>
          <w:rFonts w:cs="Arial"/>
        </w:rPr>
        <w:t>, vol. 141, fasc. 10, pp. 552–559, 2021, doi: 10.1541/ieejfms.141.552.</w:t>
      </w:r>
    </w:p>
    <w:p w14:paraId="19310F8F" w14:textId="77777777" w:rsidR="00551B93" w:rsidRPr="00551B93" w:rsidRDefault="00551B93" w:rsidP="00551B93">
      <w:pPr>
        <w:pStyle w:val="Bibliografia"/>
        <w:rPr>
          <w:rFonts w:cs="Arial"/>
        </w:rPr>
      </w:pPr>
      <w:r w:rsidRPr="00551B93">
        <w:rPr>
          <w:rFonts w:cs="Arial"/>
        </w:rPr>
        <w:t>[2]</w:t>
      </w:r>
      <w:r w:rsidRPr="00551B93">
        <w:rPr>
          <w:rFonts w:cs="Arial"/>
        </w:rPr>
        <w:tab/>
        <w:t xml:space="preserve">T. Seguchi, K. Arakawa, M. Ito, N. Hayakawa, e S. Machi, «Radiation induced oxidative degradation of polymers—III: Effect of radiation on mechanical properties», </w:t>
      </w:r>
      <w:r w:rsidRPr="00551B93">
        <w:rPr>
          <w:rFonts w:cs="Arial"/>
          <w:i/>
          <w:iCs/>
        </w:rPr>
        <w:t>Radiat. Phys. Chem. 1977</w:t>
      </w:r>
      <w:r w:rsidRPr="00551B93">
        <w:rPr>
          <w:rFonts w:cs="Arial"/>
        </w:rPr>
        <w:t>, vol. 21, fasc. 6, pp. 495–501, gen. 1983, doi: 10.1016/0146-5724(83)90004-3.</w:t>
      </w:r>
    </w:p>
    <w:p w14:paraId="0A2EA729" w14:textId="77777777" w:rsidR="00551B93" w:rsidRPr="00551B93" w:rsidRDefault="00551B93" w:rsidP="00551B93">
      <w:pPr>
        <w:pStyle w:val="Bibliografia"/>
        <w:rPr>
          <w:rFonts w:cs="Arial"/>
        </w:rPr>
      </w:pPr>
      <w:r w:rsidRPr="00551B93">
        <w:rPr>
          <w:rFonts w:cs="Arial"/>
        </w:rPr>
        <w:t>[3]</w:t>
      </w:r>
      <w:r w:rsidRPr="00551B93">
        <w:rPr>
          <w:rFonts w:cs="Arial"/>
        </w:rPr>
        <w:tab/>
        <w:t xml:space="preserve">M. Klauck </w:t>
      </w:r>
      <w:r w:rsidRPr="00551B93">
        <w:rPr>
          <w:rFonts w:cs="Arial"/>
          <w:i/>
          <w:iCs/>
        </w:rPr>
        <w:t>et al.</w:t>
      </w:r>
      <w:r w:rsidRPr="00551B93">
        <w:rPr>
          <w:rFonts w:cs="Arial"/>
        </w:rPr>
        <w:t xml:space="preserve">, «Experimental investigation on the impact of cable fire products from flame-retardant cables on catalysts used in passive auto-catalytic recombiners», </w:t>
      </w:r>
      <w:r w:rsidRPr="00551B93">
        <w:rPr>
          <w:rFonts w:cs="Arial"/>
          <w:i/>
          <w:iCs/>
        </w:rPr>
        <w:t>Prog. Nucl. Energy</w:t>
      </w:r>
      <w:r w:rsidRPr="00551B93">
        <w:rPr>
          <w:rFonts w:cs="Arial"/>
        </w:rPr>
        <w:t>, vol. 152, p. 104365, ott. 2022, doi: 10.1016/j.pnucene.2022.104365.</w:t>
      </w:r>
    </w:p>
    <w:p w14:paraId="3ACF8AF0" w14:textId="77777777" w:rsidR="00551B93" w:rsidRPr="00551B93" w:rsidRDefault="00551B93" w:rsidP="00551B93">
      <w:pPr>
        <w:pStyle w:val="Bibliografia"/>
        <w:rPr>
          <w:rFonts w:cs="Arial"/>
        </w:rPr>
      </w:pPr>
      <w:r w:rsidRPr="00551B93">
        <w:rPr>
          <w:rFonts w:cs="Arial"/>
        </w:rPr>
        <w:t>[4]</w:t>
      </w:r>
      <w:r w:rsidRPr="00551B93">
        <w:rPr>
          <w:rFonts w:cs="Arial"/>
        </w:rPr>
        <w:tab/>
        <w:t xml:space="preserve">R. S. A. Afia, M. Ehtasham, e Z. Á. Tamus, «Electrical and Mechanical Condition Assessment of Low Voltage Unshielded Nuclear Power Cables Under Simultaneous Thermal and Mechanical Stresses: Application of Non-Destructive Test Techniques», </w:t>
      </w:r>
      <w:r w:rsidRPr="00551B93">
        <w:rPr>
          <w:rFonts w:cs="Arial"/>
          <w:i/>
          <w:iCs/>
        </w:rPr>
        <w:t>IEEE Access</w:t>
      </w:r>
      <w:r w:rsidRPr="00551B93">
        <w:rPr>
          <w:rFonts w:cs="Arial"/>
        </w:rPr>
        <w:t>, vol. 9, pp. 4531–4541, 2021, doi: 10.1109/ACCESS.2020.3048189.</w:t>
      </w:r>
    </w:p>
    <w:p w14:paraId="4711F81F" w14:textId="77777777" w:rsidR="00551B93" w:rsidRPr="00551B93" w:rsidRDefault="00551B93" w:rsidP="00551B93">
      <w:pPr>
        <w:pStyle w:val="Bibliografia"/>
        <w:rPr>
          <w:rFonts w:cs="Arial"/>
        </w:rPr>
      </w:pPr>
      <w:r w:rsidRPr="00551B93">
        <w:rPr>
          <w:rFonts w:cs="Arial"/>
        </w:rPr>
        <w:t>[5]</w:t>
      </w:r>
      <w:r w:rsidRPr="00551B93">
        <w:rPr>
          <w:rFonts w:cs="Arial"/>
        </w:rPr>
        <w:tab/>
        <w:t xml:space="preserve">G. T. Andreou e D. P. Labridis, «Electrical Parameters of Low-Voltage Power Distribution Cables Used for Power-Line Communications», </w:t>
      </w:r>
      <w:r w:rsidRPr="00551B93">
        <w:rPr>
          <w:rFonts w:cs="Arial"/>
          <w:i/>
          <w:iCs/>
        </w:rPr>
        <w:t>IEEE Trans. Power Deliv.</w:t>
      </w:r>
      <w:r w:rsidRPr="00551B93">
        <w:rPr>
          <w:rFonts w:cs="Arial"/>
        </w:rPr>
        <w:t>, vol. 22, fasc. 2, pp. 879–886, apr. 2007, doi: 10.1109/TPWRD.2006.881577.</w:t>
      </w:r>
    </w:p>
    <w:p w14:paraId="17689C6C" w14:textId="77777777" w:rsidR="00551B93" w:rsidRPr="00551B93" w:rsidRDefault="00551B93" w:rsidP="00551B93">
      <w:pPr>
        <w:pStyle w:val="Bibliografia"/>
        <w:rPr>
          <w:rFonts w:cs="Arial"/>
        </w:rPr>
      </w:pPr>
      <w:r w:rsidRPr="00551B93">
        <w:rPr>
          <w:rFonts w:cs="Arial"/>
        </w:rPr>
        <w:t>[6]</w:t>
      </w:r>
      <w:r w:rsidRPr="00551B93">
        <w:rPr>
          <w:rFonts w:cs="Arial"/>
        </w:rPr>
        <w:tab/>
        <w:t xml:space="preserve">«IEEE Standard for Qualifying Electric Cables and Splices for Nuclear Facilities», </w:t>
      </w:r>
      <w:r w:rsidRPr="00551B93">
        <w:rPr>
          <w:rFonts w:cs="Arial"/>
          <w:i/>
          <w:iCs/>
        </w:rPr>
        <w:t>IEEE Std 383-2015 Revis. IEEE Std 383-2003</w:t>
      </w:r>
      <w:r w:rsidRPr="00551B93">
        <w:rPr>
          <w:rFonts w:cs="Arial"/>
        </w:rPr>
        <w:t>, pp. 1–27, ott. 2015, doi: 10.1109/IEEESTD.2015.7287711.</w:t>
      </w:r>
    </w:p>
    <w:p w14:paraId="2345A8F0" w14:textId="77777777" w:rsidR="00551B93" w:rsidRPr="00551B93" w:rsidRDefault="00551B93" w:rsidP="00551B93">
      <w:pPr>
        <w:pStyle w:val="Bibliografia"/>
        <w:rPr>
          <w:rFonts w:cs="Arial"/>
        </w:rPr>
      </w:pPr>
      <w:r w:rsidRPr="00551B93">
        <w:rPr>
          <w:rFonts w:cs="Arial"/>
        </w:rPr>
        <w:t>[7]</w:t>
      </w:r>
      <w:r w:rsidRPr="00551B93">
        <w:rPr>
          <w:rFonts w:cs="Arial"/>
        </w:rPr>
        <w:tab/>
      </w:r>
      <w:r w:rsidRPr="00551B93">
        <w:rPr>
          <w:rFonts w:cs="Arial"/>
          <w:i/>
          <w:iCs/>
        </w:rPr>
        <w:t>Nuclear power plants. Instrumentation, control and electrical power systems important to safety. Categorization of functions and classification of systems</w:t>
      </w:r>
      <w:r w:rsidRPr="00551B93">
        <w:rPr>
          <w:rFonts w:cs="Arial"/>
        </w:rPr>
        <w:t>. London: British Standards Institution, 2021.</w:t>
      </w:r>
    </w:p>
    <w:p w14:paraId="426EC086" w14:textId="77777777" w:rsidR="00551B93" w:rsidRPr="00551B93" w:rsidRDefault="00551B93" w:rsidP="00551B93">
      <w:pPr>
        <w:pStyle w:val="Bibliografia"/>
        <w:rPr>
          <w:rFonts w:cs="Arial"/>
        </w:rPr>
      </w:pPr>
      <w:r w:rsidRPr="00551B93">
        <w:rPr>
          <w:rFonts w:cs="Arial"/>
        </w:rPr>
        <w:t>[8]</w:t>
      </w:r>
      <w:r w:rsidRPr="00551B93">
        <w:rPr>
          <w:rFonts w:cs="Arial"/>
        </w:rPr>
        <w:tab/>
        <w:t xml:space="preserve">F. Yu, «A Review of Nondestructive Evaluation Technologies for Cable System Integrity», </w:t>
      </w:r>
      <w:r w:rsidRPr="00551B93">
        <w:rPr>
          <w:rFonts w:cs="Arial"/>
          <w:i/>
          <w:iCs/>
        </w:rPr>
        <w:t>Electr. Power Res. Inst. EPRI</w:t>
      </w:r>
      <w:r w:rsidRPr="00551B93">
        <w:rPr>
          <w:rFonts w:cs="Arial"/>
        </w:rPr>
        <w:t>, p. 82, 2013.</w:t>
      </w:r>
    </w:p>
    <w:p w14:paraId="2DDCBD81" w14:textId="77777777" w:rsidR="00551B93" w:rsidRPr="00551B93" w:rsidRDefault="00551B93" w:rsidP="00551B93">
      <w:pPr>
        <w:pStyle w:val="Bibliografia"/>
        <w:rPr>
          <w:rFonts w:cs="Arial"/>
        </w:rPr>
      </w:pPr>
      <w:r w:rsidRPr="00551B93">
        <w:rPr>
          <w:rFonts w:cs="Arial"/>
        </w:rPr>
        <w:lastRenderedPageBreak/>
        <w:t>[9]</w:t>
      </w:r>
      <w:r w:rsidRPr="00551B93">
        <w:rPr>
          <w:rFonts w:cs="Arial"/>
        </w:rPr>
        <w:tab/>
        <w:t xml:space="preserve">Z. Šaršounová, P. Žák, e D. Dragoun, «Comparison of accelerated and non-accelerated post-LOCA simulation», </w:t>
      </w:r>
      <w:r w:rsidRPr="00551B93">
        <w:rPr>
          <w:rFonts w:cs="Arial"/>
          <w:i/>
          <w:iCs/>
        </w:rPr>
        <w:t>Nucl. Eng. Des.</w:t>
      </w:r>
      <w:r w:rsidRPr="00551B93">
        <w:rPr>
          <w:rFonts w:cs="Arial"/>
        </w:rPr>
        <w:t>, vol. 418, p. 112903, mar. 2024, doi: 10.1016/j.nucengdes.2024.112903.</w:t>
      </w:r>
    </w:p>
    <w:p w14:paraId="085EDC20" w14:textId="77777777" w:rsidR="00551B93" w:rsidRPr="00551B93" w:rsidRDefault="00551B93" w:rsidP="00551B93">
      <w:pPr>
        <w:pStyle w:val="Bibliografia"/>
        <w:rPr>
          <w:rFonts w:cs="Arial"/>
        </w:rPr>
      </w:pPr>
      <w:r w:rsidRPr="00551B93">
        <w:rPr>
          <w:rFonts w:cs="Arial"/>
        </w:rPr>
        <w:t>[10]</w:t>
      </w:r>
      <w:r w:rsidRPr="00551B93">
        <w:rPr>
          <w:rFonts w:cs="Arial"/>
        </w:rPr>
        <w:tab/>
        <w:t xml:space="preserve">S. V. Suraci, D. Fabiani, S. Roland, e X. Colin, «Multi scale aging assessment of low-voltage cables subjected to radio-chemical aging: Towards an electrical diagnostic technique», </w:t>
      </w:r>
      <w:r w:rsidRPr="00551B93">
        <w:rPr>
          <w:rFonts w:cs="Arial"/>
          <w:i/>
          <w:iCs/>
        </w:rPr>
        <w:t>Polym. Test.</w:t>
      </w:r>
      <w:r w:rsidRPr="00551B93">
        <w:rPr>
          <w:rFonts w:cs="Arial"/>
        </w:rPr>
        <w:t>, p. 107352, ott. 2021, doi: 10.1016/j.polymertesting.2021.107352.</w:t>
      </w:r>
    </w:p>
    <w:p w14:paraId="3A2F7E6F" w14:textId="77777777" w:rsidR="00551B93" w:rsidRPr="00551B93" w:rsidRDefault="00551B93" w:rsidP="00551B93">
      <w:pPr>
        <w:pStyle w:val="Bibliografia"/>
        <w:rPr>
          <w:rFonts w:cs="Arial"/>
        </w:rPr>
      </w:pPr>
      <w:r w:rsidRPr="00551B93">
        <w:rPr>
          <w:rFonts w:cs="Arial"/>
        </w:rPr>
        <w:t>[11]</w:t>
      </w:r>
      <w:r w:rsidRPr="00551B93">
        <w:rPr>
          <w:rFonts w:cs="Arial"/>
        </w:rPr>
        <w:tab/>
        <w:t xml:space="preserve">S. V. Suraci e D. Fabiani, «Multiscale properties of polymeric insulating materials: from microscale polarizability to macroscale permittivity», in </w:t>
      </w:r>
      <w:r w:rsidRPr="00551B93">
        <w:rPr>
          <w:rFonts w:cs="Arial"/>
          <w:i/>
          <w:iCs/>
        </w:rPr>
        <w:t>2022 IEEE 4th International Conference on Dielectrics (ICD)</w:t>
      </w:r>
      <w:r w:rsidRPr="00551B93">
        <w:rPr>
          <w:rFonts w:cs="Arial"/>
        </w:rPr>
        <w:t>, lug. 2022, pp. 437–440. doi: 10.1109/ICD53806.2022.9863508.</w:t>
      </w:r>
    </w:p>
    <w:p w14:paraId="4B1234C0" w14:textId="77777777" w:rsidR="00551B93" w:rsidRPr="00551B93" w:rsidRDefault="00551B93" w:rsidP="00551B93">
      <w:pPr>
        <w:pStyle w:val="Bibliografia"/>
        <w:rPr>
          <w:rFonts w:cs="Arial"/>
        </w:rPr>
      </w:pPr>
      <w:r w:rsidRPr="00551B93">
        <w:rPr>
          <w:rFonts w:cs="Arial"/>
        </w:rPr>
        <w:t>[12]</w:t>
      </w:r>
      <w:r w:rsidRPr="00551B93">
        <w:rPr>
          <w:rFonts w:cs="Arial"/>
        </w:rPr>
        <w:tab/>
        <w:t xml:space="preserve">X. Colin, C. Monchy-Leroy, L. Audouin, e J. Verdu, «Lifetime prediction of polyethylene in nuclear plants», </w:t>
      </w:r>
      <w:r w:rsidRPr="00551B93">
        <w:rPr>
          <w:rFonts w:cs="Arial"/>
          <w:i/>
          <w:iCs/>
        </w:rPr>
        <w:t>Nucl. Instrum. Methods Phys. Res. Sect. B Beam Interact. Mater. At.</w:t>
      </w:r>
      <w:r w:rsidRPr="00551B93">
        <w:rPr>
          <w:rFonts w:cs="Arial"/>
        </w:rPr>
        <w:t>, vol. 265, fasc. 1, pp. 251–255, dic. 2007, doi: 10.1016/j.nimb.2007.08.086.</w:t>
      </w:r>
    </w:p>
    <w:p w14:paraId="147E8E15" w14:textId="77777777" w:rsidR="00551B93" w:rsidRPr="00551B93" w:rsidRDefault="00551B93" w:rsidP="00551B93">
      <w:pPr>
        <w:pStyle w:val="Bibliografia"/>
        <w:rPr>
          <w:rFonts w:cs="Arial"/>
          <w:lang w:val="it-IT"/>
        </w:rPr>
      </w:pPr>
      <w:r w:rsidRPr="00551B93">
        <w:rPr>
          <w:rFonts w:cs="Arial"/>
        </w:rPr>
        <w:t>[13]</w:t>
      </w:r>
      <w:r w:rsidRPr="00551B93">
        <w:rPr>
          <w:rFonts w:cs="Arial"/>
        </w:rPr>
        <w:tab/>
        <w:t xml:space="preserve">«TeaM Cables H2020 Euratom research project - Home», TeaM CABLES. </w:t>
      </w:r>
      <w:r w:rsidRPr="00551B93">
        <w:rPr>
          <w:rFonts w:cs="Arial"/>
          <w:lang w:val="it-IT"/>
        </w:rPr>
        <w:t>Consultato: 3 maggio 2023. [Online]. Disponibile su: https://www.team-cables.eu/</w:t>
      </w:r>
    </w:p>
    <w:p w14:paraId="561D776C" w14:textId="77777777" w:rsidR="00551B93" w:rsidRPr="00551B93" w:rsidRDefault="00551B93" w:rsidP="00551B93">
      <w:pPr>
        <w:pStyle w:val="Bibliografia"/>
        <w:rPr>
          <w:rFonts w:cs="Arial"/>
        </w:rPr>
      </w:pPr>
      <w:r w:rsidRPr="00551B93">
        <w:rPr>
          <w:rFonts w:cs="Arial"/>
        </w:rPr>
        <w:t>[14]</w:t>
      </w:r>
      <w:r w:rsidRPr="00551B93">
        <w:rPr>
          <w:rFonts w:cs="Arial"/>
        </w:rPr>
        <w:tab/>
        <w:t xml:space="preserve">A. Charlesby e Al., «Comparison of alpha and gamma radiation effects in polyethylene», </w:t>
      </w:r>
      <w:r w:rsidRPr="00551B93">
        <w:rPr>
          <w:rFonts w:cs="Arial"/>
          <w:i/>
          <w:iCs/>
        </w:rPr>
        <w:t>Proc. R. Soc. Lond. Ser. Math. Phys. Sci.</w:t>
      </w:r>
      <w:r w:rsidRPr="00551B93">
        <w:rPr>
          <w:rFonts w:cs="Arial"/>
        </w:rPr>
        <w:t>, vol. 277, fasc. 1370, pp. 348–364, feb. 1964, doi: 10.1098/rspa.1964.0027.</w:t>
      </w:r>
    </w:p>
    <w:p w14:paraId="437B4220" w14:textId="77777777" w:rsidR="00551B93" w:rsidRPr="00551B93" w:rsidRDefault="00551B93" w:rsidP="00551B93">
      <w:pPr>
        <w:pStyle w:val="Bibliografia"/>
        <w:rPr>
          <w:rFonts w:cs="Arial"/>
        </w:rPr>
      </w:pPr>
      <w:r w:rsidRPr="00551B93">
        <w:rPr>
          <w:rFonts w:cs="Arial"/>
        </w:rPr>
        <w:t>[15]</w:t>
      </w:r>
      <w:r w:rsidRPr="00551B93">
        <w:rPr>
          <w:rFonts w:cs="Arial"/>
        </w:rPr>
        <w:tab/>
        <w:t xml:space="preserve">Bruno Fayolle, E. Richaud, X. Colin, e J. Verdu, «Review: degradation-induced embrittlement in semi-crystalline polymers having their amorphous phase in rubbery state», </w:t>
      </w:r>
      <w:r w:rsidRPr="00551B93">
        <w:rPr>
          <w:rFonts w:cs="Arial"/>
          <w:i/>
          <w:iCs/>
        </w:rPr>
        <w:t>J. Mater. Sci.</w:t>
      </w:r>
      <w:r w:rsidRPr="00551B93">
        <w:rPr>
          <w:rFonts w:cs="Arial"/>
        </w:rPr>
        <w:t>, vol. 43, fasc. 22, pp. 6999–7012, nov. 2008, doi: 10.1007/s10853-008-3005-3.</w:t>
      </w:r>
    </w:p>
    <w:p w14:paraId="6AA4A1EF" w14:textId="77777777" w:rsidR="00551B93" w:rsidRPr="00551B93" w:rsidRDefault="00551B93" w:rsidP="00551B93">
      <w:pPr>
        <w:pStyle w:val="Bibliografia"/>
        <w:rPr>
          <w:rFonts w:cs="Arial"/>
        </w:rPr>
      </w:pPr>
      <w:r w:rsidRPr="00551B93">
        <w:rPr>
          <w:rFonts w:cs="Arial"/>
        </w:rPr>
        <w:t>[16]</w:t>
      </w:r>
      <w:r w:rsidRPr="00551B93">
        <w:rPr>
          <w:rFonts w:cs="Arial"/>
        </w:rPr>
        <w:tab/>
        <w:t xml:space="preserve">J. Colombani, «A FTIR/chemometrics approach to characterize the gamma radiation effects on iodine/epoxy-paint interactions in Nuclear Power Plants», </w:t>
      </w:r>
      <w:r w:rsidRPr="00551B93">
        <w:rPr>
          <w:rFonts w:cs="Arial"/>
          <w:i/>
          <w:iCs/>
        </w:rPr>
        <w:t>Anal. Chim. Acta</w:t>
      </w:r>
      <w:r w:rsidRPr="00551B93">
        <w:rPr>
          <w:rFonts w:cs="Arial"/>
        </w:rPr>
        <w:t>, p. 10, 2017.</w:t>
      </w:r>
    </w:p>
    <w:p w14:paraId="48E545A2" w14:textId="77777777" w:rsidR="00551B93" w:rsidRPr="00551B93" w:rsidRDefault="00551B93" w:rsidP="00551B93">
      <w:pPr>
        <w:pStyle w:val="Bibliografia"/>
        <w:rPr>
          <w:rFonts w:cs="Arial"/>
        </w:rPr>
      </w:pPr>
      <w:r w:rsidRPr="00551B93">
        <w:rPr>
          <w:rFonts w:cs="Arial"/>
        </w:rPr>
        <w:t>[17]</w:t>
      </w:r>
      <w:r w:rsidRPr="00551B93">
        <w:rPr>
          <w:rFonts w:cs="Arial"/>
        </w:rPr>
        <w:tab/>
        <w:t xml:space="preserve">J. V. Gulmine e L. Akcelrud, «FTIR characterization of aged XLPE», </w:t>
      </w:r>
      <w:r w:rsidRPr="00551B93">
        <w:rPr>
          <w:rFonts w:cs="Arial"/>
          <w:i/>
          <w:iCs/>
        </w:rPr>
        <w:t>Polym. Test.</w:t>
      </w:r>
      <w:r w:rsidRPr="00551B93">
        <w:rPr>
          <w:rFonts w:cs="Arial"/>
        </w:rPr>
        <w:t>, vol. 25, fasc. 7, Art. fasc. 7, ott. 2006, doi: 10.1016/j.polymertesting.2006.05.014.</w:t>
      </w:r>
    </w:p>
    <w:p w14:paraId="1EAD42B4" w14:textId="77777777" w:rsidR="00551B93" w:rsidRPr="00551B93" w:rsidRDefault="00551B93" w:rsidP="00551B93">
      <w:pPr>
        <w:pStyle w:val="Bibliografia"/>
        <w:rPr>
          <w:rFonts w:cs="Arial"/>
        </w:rPr>
      </w:pPr>
      <w:r w:rsidRPr="00551B93">
        <w:rPr>
          <w:rFonts w:cs="Arial"/>
        </w:rPr>
        <w:t>[18]</w:t>
      </w:r>
      <w:r w:rsidRPr="00551B93">
        <w:rPr>
          <w:rFonts w:cs="Arial"/>
        </w:rPr>
        <w:tab/>
        <w:t xml:space="preserve">N. Saidi-Amroun, S. Mouaci, A. Mezouar, M. Saidi, V. Griseri, e G. Teyssèdre, «Analysis of the Gamma Irradiation Effect on PTFE Films by FTIR and DSC», in </w:t>
      </w:r>
      <w:r w:rsidRPr="00551B93">
        <w:rPr>
          <w:rFonts w:cs="Arial"/>
          <w:i/>
          <w:iCs/>
        </w:rPr>
        <w:t>2018 IEEE Conference on Electrical Insulation and Dielectric Phenomena (CEIDP)</w:t>
      </w:r>
      <w:r w:rsidRPr="00551B93">
        <w:rPr>
          <w:rFonts w:cs="Arial"/>
        </w:rPr>
        <w:t>, ott. 2018, pp. 430–433. doi: 10.1109/CEIDP.2018.8544841.</w:t>
      </w:r>
    </w:p>
    <w:p w14:paraId="77E4A79D" w14:textId="77777777" w:rsidR="00551B93" w:rsidRPr="00551B93" w:rsidRDefault="00551B93" w:rsidP="00551B93">
      <w:pPr>
        <w:pStyle w:val="Bibliografia"/>
        <w:rPr>
          <w:rFonts w:cs="Arial"/>
        </w:rPr>
      </w:pPr>
      <w:r w:rsidRPr="00551B93">
        <w:rPr>
          <w:rFonts w:cs="Arial"/>
        </w:rPr>
        <w:t>[19]</w:t>
      </w:r>
      <w:r w:rsidRPr="00551B93">
        <w:rPr>
          <w:rFonts w:cs="Arial"/>
        </w:rPr>
        <w:tab/>
        <w:t xml:space="preserve">A. Xu, S. Roland, e X. Colin, «Thermal ageing of a silane-crosslinked polyethylene stabilised with a thiodipropionate antioxidant», </w:t>
      </w:r>
      <w:r w:rsidRPr="00551B93">
        <w:rPr>
          <w:rFonts w:cs="Arial"/>
          <w:i/>
          <w:iCs/>
        </w:rPr>
        <w:t>Polym. Degrad. Stab.</w:t>
      </w:r>
      <w:r w:rsidRPr="00551B93">
        <w:rPr>
          <w:rFonts w:cs="Arial"/>
        </w:rPr>
        <w:t>, vol. 181, p. 109276, nov. 2020, doi: 10.1016/j.polymdegradstab.2020.109276.</w:t>
      </w:r>
    </w:p>
    <w:p w14:paraId="19FF2308" w14:textId="77777777" w:rsidR="00551B93" w:rsidRPr="00551B93" w:rsidRDefault="00551B93" w:rsidP="00551B93">
      <w:pPr>
        <w:pStyle w:val="Bibliografia"/>
        <w:rPr>
          <w:rFonts w:cs="Arial"/>
        </w:rPr>
      </w:pPr>
      <w:r w:rsidRPr="00551B93">
        <w:rPr>
          <w:rFonts w:cs="Arial"/>
        </w:rPr>
        <w:t>[20]</w:t>
      </w:r>
      <w:r w:rsidRPr="00551B93">
        <w:rPr>
          <w:rFonts w:cs="Arial"/>
        </w:rPr>
        <w:tab/>
        <w:t xml:space="preserve">A. Xu, S. Roland, e X. Colin, «Thermal ageing of a silane-crosslinked polyethylene stabilised with an excess of Irganox 1076®», </w:t>
      </w:r>
      <w:r w:rsidRPr="00551B93">
        <w:rPr>
          <w:rFonts w:cs="Arial"/>
          <w:i/>
          <w:iCs/>
        </w:rPr>
        <w:t>Polym. Degrad. Stab.</w:t>
      </w:r>
      <w:r w:rsidRPr="00551B93">
        <w:rPr>
          <w:rFonts w:cs="Arial"/>
        </w:rPr>
        <w:t>, p. 109597, apr. 2021, doi: 10.1016/j.polymdegradstab.2021.109597.</w:t>
      </w:r>
    </w:p>
    <w:p w14:paraId="6BEF9A15" w14:textId="77777777" w:rsidR="00551B93" w:rsidRPr="00551B93" w:rsidRDefault="00551B93" w:rsidP="00551B93">
      <w:pPr>
        <w:pStyle w:val="Bibliografia"/>
        <w:rPr>
          <w:rFonts w:cs="Arial"/>
        </w:rPr>
      </w:pPr>
      <w:r w:rsidRPr="00551B93">
        <w:rPr>
          <w:rFonts w:cs="Arial"/>
        </w:rPr>
        <w:t>[21]</w:t>
      </w:r>
      <w:r w:rsidRPr="00551B93">
        <w:rPr>
          <w:rFonts w:cs="Arial"/>
        </w:rPr>
        <w:tab/>
        <w:t xml:space="preserve">M. Celina, E. Linde, D. Brunson, A. Quintana, e N. Giron, «Overview of accelerated aging and polymer degradation kinetics for combined radiation-thermal environments», </w:t>
      </w:r>
      <w:r w:rsidRPr="00551B93">
        <w:rPr>
          <w:rFonts w:cs="Arial"/>
          <w:i/>
          <w:iCs/>
        </w:rPr>
        <w:t>Polym. Degrad. Stab.</w:t>
      </w:r>
      <w:r w:rsidRPr="00551B93">
        <w:rPr>
          <w:rFonts w:cs="Arial"/>
        </w:rPr>
        <w:t>, vol. 166, pp. 353–378, ago. 2019, doi: 10.1016/j.polymdegradstab.2019.06.007.</w:t>
      </w:r>
    </w:p>
    <w:p w14:paraId="61F70FF6" w14:textId="77777777" w:rsidR="00551B93" w:rsidRPr="00551B93" w:rsidRDefault="00551B93" w:rsidP="00551B93">
      <w:pPr>
        <w:pStyle w:val="Bibliografia"/>
        <w:rPr>
          <w:rFonts w:cs="Arial"/>
        </w:rPr>
      </w:pPr>
      <w:r w:rsidRPr="00551B93">
        <w:rPr>
          <w:rFonts w:cs="Arial"/>
        </w:rPr>
        <w:t>[22]</w:t>
      </w:r>
      <w:r w:rsidRPr="00551B93">
        <w:rPr>
          <w:rFonts w:cs="Arial"/>
        </w:rPr>
        <w:tab/>
        <w:t xml:space="preserve">A. Quintana e M. C. Celina, «Overview of DLO modeling and approaches to predict heterogeneous oxidative polymer degradation», </w:t>
      </w:r>
      <w:r w:rsidRPr="00551B93">
        <w:rPr>
          <w:rFonts w:cs="Arial"/>
          <w:i/>
          <w:iCs/>
        </w:rPr>
        <w:t>Polym. Degrad. Stab.</w:t>
      </w:r>
      <w:r w:rsidRPr="00551B93">
        <w:rPr>
          <w:rFonts w:cs="Arial"/>
        </w:rPr>
        <w:t>, vol. 149, pp. 173–191, mar. 2018, doi: 10.1016/j.polymdegradstab.2017.11.014.</w:t>
      </w:r>
    </w:p>
    <w:p w14:paraId="5E2C45C7" w14:textId="77777777" w:rsidR="00551B93" w:rsidRPr="00551B93" w:rsidRDefault="00551B93" w:rsidP="00551B93">
      <w:pPr>
        <w:pStyle w:val="Bibliografia"/>
        <w:rPr>
          <w:rFonts w:cs="Arial"/>
        </w:rPr>
      </w:pPr>
      <w:r w:rsidRPr="00551B93">
        <w:rPr>
          <w:rFonts w:cs="Arial"/>
        </w:rPr>
        <w:t>[23]</w:t>
      </w:r>
      <w:r w:rsidRPr="00551B93">
        <w:rPr>
          <w:rFonts w:cs="Arial"/>
        </w:rPr>
        <w:tab/>
        <w:t xml:space="preserve">E. Suljovrujic, «Post-irradiation effects in polyethylenes irradiated under various atmospheres», </w:t>
      </w:r>
      <w:r w:rsidRPr="00551B93">
        <w:rPr>
          <w:rFonts w:cs="Arial"/>
          <w:i/>
          <w:iCs/>
        </w:rPr>
        <w:t>Radiat. Phys. Chem.</w:t>
      </w:r>
      <w:r w:rsidRPr="00551B93">
        <w:rPr>
          <w:rFonts w:cs="Arial"/>
        </w:rPr>
        <w:t>, vol. 89, pp. 43–50, ago. 2013, doi: 10.1016/j.radphyschem.2013.04.003.</w:t>
      </w:r>
    </w:p>
    <w:p w14:paraId="637DD555" w14:textId="77777777" w:rsidR="00551B93" w:rsidRPr="00551B93" w:rsidRDefault="00551B93" w:rsidP="00551B93">
      <w:pPr>
        <w:pStyle w:val="Bibliografia"/>
        <w:rPr>
          <w:rFonts w:cs="Arial"/>
        </w:rPr>
      </w:pPr>
      <w:r w:rsidRPr="00551B93">
        <w:rPr>
          <w:rFonts w:cs="Arial"/>
        </w:rPr>
        <w:t>[24]</w:t>
      </w:r>
      <w:r w:rsidRPr="00551B93">
        <w:rPr>
          <w:rFonts w:cs="Arial"/>
        </w:rPr>
        <w:tab/>
        <w:t xml:space="preserve">S. V. Suraci, D. Fabiani, e C. Li, «Post-irradiation effect analysis on XLPE-insulated LV cables used in nuclear power plants», in </w:t>
      </w:r>
      <w:r w:rsidRPr="00551B93">
        <w:rPr>
          <w:rFonts w:cs="Arial"/>
          <w:i/>
          <w:iCs/>
        </w:rPr>
        <w:t>2019 2nd International Conference on Electrical Materials and Power Equipment (ICEMPE)</w:t>
      </w:r>
      <w:r w:rsidRPr="00551B93">
        <w:rPr>
          <w:rFonts w:cs="Arial"/>
        </w:rPr>
        <w:t>, apr. 2019, pp. 53–56. doi: 10.1109/ICEMPE.2019.8727281.</w:t>
      </w:r>
    </w:p>
    <w:p w14:paraId="6D6E0940" w14:textId="77777777" w:rsidR="00551B93" w:rsidRPr="00551B93" w:rsidRDefault="00551B93" w:rsidP="00551B93">
      <w:pPr>
        <w:pStyle w:val="Bibliografia"/>
        <w:rPr>
          <w:rFonts w:cs="Arial"/>
        </w:rPr>
      </w:pPr>
      <w:r w:rsidRPr="00551B93">
        <w:rPr>
          <w:rFonts w:cs="Arial"/>
        </w:rPr>
        <w:t>[25]</w:t>
      </w:r>
      <w:r w:rsidRPr="00551B93">
        <w:rPr>
          <w:rFonts w:cs="Arial"/>
        </w:rPr>
        <w:tab/>
        <w:t xml:space="preserve">D. Fabiani e S. V. Suraci, «Broadband Dielectric Spectroscopy: A Viable Technique for Aging Assessment of Low-Voltage Cable Insulation Used in Nuclear Power Plants», </w:t>
      </w:r>
      <w:r w:rsidRPr="00551B93">
        <w:rPr>
          <w:rFonts w:cs="Arial"/>
          <w:i/>
          <w:iCs/>
        </w:rPr>
        <w:t>Polymers</w:t>
      </w:r>
      <w:r w:rsidRPr="00551B93">
        <w:rPr>
          <w:rFonts w:cs="Arial"/>
        </w:rPr>
        <w:t>, vol. 13, fasc. 4, Art. fasc. 4, gen. 2021, doi: 10.3390/polym13040494.</w:t>
      </w:r>
    </w:p>
    <w:p w14:paraId="3165C141" w14:textId="77777777" w:rsidR="00551B93" w:rsidRPr="00551B93" w:rsidRDefault="00551B93" w:rsidP="00551B93">
      <w:pPr>
        <w:pStyle w:val="Bibliografia"/>
        <w:rPr>
          <w:rFonts w:cs="Arial"/>
        </w:rPr>
      </w:pPr>
      <w:r w:rsidRPr="00551B93">
        <w:rPr>
          <w:rFonts w:cs="Arial"/>
        </w:rPr>
        <w:t>[26]</w:t>
      </w:r>
      <w:r w:rsidRPr="00551B93">
        <w:rPr>
          <w:rFonts w:cs="Arial"/>
        </w:rPr>
        <w:tab/>
        <w:t xml:space="preserve">I. H. Craig, J. R. White, e P. C. Kin, «Crystallization and chemi-crystallization of recycled photo-degraded polypropylene», </w:t>
      </w:r>
      <w:r w:rsidRPr="00551B93">
        <w:rPr>
          <w:rFonts w:cs="Arial"/>
          <w:i/>
          <w:iCs/>
        </w:rPr>
        <w:t>Polymer</w:t>
      </w:r>
      <w:r w:rsidRPr="00551B93">
        <w:rPr>
          <w:rFonts w:cs="Arial"/>
        </w:rPr>
        <w:t>, vol. 46, fasc. 2, pp. 505–512, gen. 2005, doi: 10.1016/j.polymer.2004.11.019.</w:t>
      </w:r>
    </w:p>
    <w:p w14:paraId="27B3AEC2" w14:textId="77777777" w:rsidR="00551B93" w:rsidRPr="00551B93" w:rsidRDefault="00551B93" w:rsidP="00551B93">
      <w:pPr>
        <w:pStyle w:val="Bibliografia"/>
        <w:rPr>
          <w:rFonts w:cs="Arial"/>
        </w:rPr>
      </w:pPr>
      <w:r w:rsidRPr="00551B93">
        <w:rPr>
          <w:rFonts w:cs="Arial"/>
        </w:rPr>
        <w:t>[27]</w:t>
      </w:r>
      <w:r w:rsidRPr="00551B93">
        <w:rPr>
          <w:rFonts w:cs="Arial"/>
        </w:rPr>
        <w:tab/>
        <w:t xml:space="preserve">S. Liu, L. S. Fifield, e N. Bowler, «Aging Mechanisms of Filled Cross-linked Polyethylene (XLPE) Cable Insulation Material Exposed to Simultaneous Thermal and Gamma Radiation», </w:t>
      </w:r>
      <w:r w:rsidRPr="00551B93">
        <w:rPr>
          <w:rFonts w:cs="Arial"/>
          <w:i/>
          <w:iCs/>
        </w:rPr>
        <w:t>Radiat. Phys. Chem.</w:t>
      </w:r>
      <w:r w:rsidRPr="00551B93">
        <w:rPr>
          <w:rFonts w:cs="Arial"/>
        </w:rPr>
        <w:t>, p. 109486, apr. 2021, doi: 10.1016/j.radphyschem.2021.109486.</w:t>
      </w:r>
    </w:p>
    <w:p w14:paraId="334421A4" w14:textId="77777777" w:rsidR="00551B93" w:rsidRPr="00551B93" w:rsidRDefault="00551B93" w:rsidP="00551B93">
      <w:pPr>
        <w:pStyle w:val="Bibliografia"/>
        <w:rPr>
          <w:rFonts w:cs="Arial"/>
        </w:rPr>
      </w:pPr>
      <w:r w:rsidRPr="00551B93">
        <w:rPr>
          <w:rFonts w:cs="Arial"/>
        </w:rPr>
        <w:t>[28]</w:t>
      </w:r>
      <w:r w:rsidRPr="00551B93">
        <w:rPr>
          <w:rFonts w:cs="Arial"/>
        </w:rPr>
        <w:tab/>
        <w:t xml:space="preserve">S. Hettal, S. Roland, K. Sipila, H. Joki, e X. Colin, «A new analytical model for predicting the radio-thermal oxidation kinetics and the lifetime of electric cable insulation in nuclear power plants. application to silane cross-linked polyethylene», </w:t>
      </w:r>
      <w:r w:rsidRPr="00551B93">
        <w:rPr>
          <w:rFonts w:cs="Arial"/>
          <w:i/>
          <w:iCs/>
        </w:rPr>
        <w:t>Polym. Degrad. Stab.</w:t>
      </w:r>
      <w:r w:rsidRPr="00551B93">
        <w:rPr>
          <w:rFonts w:cs="Arial"/>
        </w:rPr>
        <w:t>, vol. 185, p. 109492, mar. 2021, doi: 10.1016/j.polymdegradstab.2021.109492.</w:t>
      </w:r>
    </w:p>
    <w:p w14:paraId="57CB7043" w14:textId="77777777" w:rsidR="00551B93" w:rsidRPr="00551B93" w:rsidRDefault="00551B93" w:rsidP="00551B93">
      <w:pPr>
        <w:pStyle w:val="Bibliografia"/>
        <w:rPr>
          <w:rFonts w:cs="Arial"/>
        </w:rPr>
      </w:pPr>
      <w:r w:rsidRPr="00551B93">
        <w:rPr>
          <w:rFonts w:cs="Arial"/>
        </w:rPr>
        <w:t>[29]</w:t>
      </w:r>
      <w:r w:rsidRPr="00551B93">
        <w:rPr>
          <w:rFonts w:cs="Arial"/>
        </w:rPr>
        <w:tab/>
        <w:t xml:space="preserve">E. Kandare, H. Deng, D. Wang, e J. M. Hossenlopp, «Thermal stability and degradation kinetics of poly(methyl methacrylate)/layered copper hydroxy methacrylate composites», </w:t>
      </w:r>
      <w:r w:rsidRPr="00551B93">
        <w:rPr>
          <w:rFonts w:cs="Arial"/>
          <w:i/>
          <w:iCs/>
        </w:rPr>
        <w:t>Polym. Adv. Technol.</w:t>
      </w:r>
      <w:r w:rsidRPr="00551B93">
        <w:rPr>
          <w:rFonts w:cs="Arial"/>
        </w:rPr>
        <w:t>, vol. 17, fasc. 4, pp. 312–319, 2006, doi: 10.1002/pat.681.</w:t>
      </w:r>
    </w:p>
    <w:p w14:paraId="329E9275" w14:textId="77777777" w:rsidR="00551B93" w:rsidRPr="00551B93" w:rsidRDefault="00551B93" w:rsidP="00551B93">
      <w:pPr>
        <w:pStyle w:val="Bibliografia"/>
        <w:rPr>
          <w:rFonts w:cs="Arial"/>
        </w:rPr>
      </w:pPr>
      <w:r w:rsidRPr="00551B93">
        <w:rPr>
          <w:rFonts w:cs="Arial"/>
        </w:rPr>
        <w:t>[30]</w:t>
      </w:r>
      <w:r w:rsidRPr="00551B93">
        <w:rPr>
          <w:rFonts w:cs="Arial"/>
        </w:rPr>
        <w:tab/>
        <w:t xml:space="preserve">S. V. Suraci, D. Mariani, e D. Fabiani, «Impact of Antioxidants on DC and AC Electrical Properties of XLPE-Based Insulation Systems», </w:t>
      </w:r>
      <w:r w:rsidRPr="00551B93">
        <w:rPr>
          <w:rFonts w:cs="Arial"/>
          <w:i/>
          <w:iCs/>
        </w:rPr>
        <w:t>IEEE Access</w:t>
      </w:r>
      <w:r w:rsidRPr="00551B93">
        <w:rPr>
          <w:rFonts w:cs="Arial"/>
        </w:rPr>
        <w:t>, vol. 11, pp. 76132–76141, 2023, doi: 10.1109/ACCESS.2023.3297495.</w:t>
      </w:r>
    </w:p>
    <w:p w14:paraId="08655D5C" w14:textId="77777777" w:rsidR="00551B93" w:rsidRPr="00551B93" w:rsidRDefault="00551B93" w:rsidP="00551B93">
      <w:pPr>
        <w:pStyle w:val="Bibliografia"/>
        <w:rPr>
          <w:rFonts w:cs="Arial"/>
        </w:rPr>
      </w:pPr>
      <w:r w:rsidRPr="00551B93">
        <w:rPr>
          <w:rFonts w:cs="Arial"/>
        </w:rPr>
        <w:t>[31]</w:t>
      </w:r>
      <w:r w:rsidRPr="00551B93">
        <w:rPr>
          <w:rFonts w:cs="Arial"/>
        </w:rPr>
        <w:tab/>
        <w:t xml:space="preserve">A. Hascoat </w:t>
      </w:r>
      <w:r w:rsidRPr="00551B93">
        <w:rPr>
          <w:rFonts w:cs="Arial"/>
          <w:i/>
          <w:iCs/>
        </w:rPr>
        <w:t>et al.</w:t>
      </w:r>
      <w:r w:rsidRPr="00551B93">
        <w:rPr>
          <w:rFonts w:cs="Arial"/>
        </w:rPr>
        <w:t xml:space="preserve">, «Study and analysis of conduction mechanisms and space charge accumulation </w:t>
      </w:r>
      <w:r w:rsidRPr="00551B93">
        <w:rPr>
          <w:rFonts w:cs="Arial"/>
        </w:rPr>
        <w:lastRenderedPageBreak/>
        <w:t xml:space="preserve">phenomena under high applied DC electric field in XLPE for HVDC cable application», in </w:t>
      </w:r>
      <w:r w:rsidRPr="00551B93">
        <w:rPr>
          <w:rFonts w:cs="Arial"/>
          <w:i/>
          <w:iCs/>
        </w:rPr>
        <w:t>2014 IEEE Conference on Electrical Insulation and Dielectric Phenomena (CEIDP)</w:t>
      </w:r>
      <w:r w:rsidRPr="00551B93">
        <w:rPr>
          <w:rFonts w:cs="Arial"/>
        </w:rPr>
        <w:t>, ott. 2014, pp. 530–533. doi: 10.1109/CEIDP.2014.6995877.</w:t>
      </w:r>
    </w:p>
    <w:p w14:paraId="6F1658BE" w14:textId="15B670C5" w:rsidR="00E56169" w:rsidRDefault="00AE5DEA" w:rsidP="00D74C77">
      <w:pPr>
        <w:tabs>
          <w:tab w:val="left" w:pos="-1020"/>
          <w:tab w:val="left" w:pos="-300"/>
        </w:tabs>
      </w:pPr>
      <w:r w:rsidRPr="00434C3A">
        <w:fldChar w:fldCharType="end"/>
      </w:r>
    </w:p>
    <w:p w14:paraId="7D2477E8" w14:textId="77777777" w:rsidR="00E56169" w:rsidRDefault="00E56169" w:rsidP="00D74C77">
      <w:pPr>
        <w:tabs>
          <w:tab w:val="left" w:pos="-1020"/>
          <w:tab w:val="left" w:pos="-300"/>
        </w:tabs>
      </w:pPr>
    </w:p>
    <w:p w14:paraId="69DE3943" w14:textId="475759FF" w:rsidR="008938ED" w:rsidRDefault="00D74C77" w:rsidP="00D74C77">
      <w:pPr>
        <w:tabs>
          <w:tab w:val="left" w:pos="-1020"/>
          <w:tab w:val="left" w:pos="-300"/>
        </w:tabs>
        <w:rPr>
          <w:rStyle w:val="Bold"/>
        </w:rPr>
      </w:pPr>
      <w:r>
        <w:rPr>
          <w:rStyle w:val="Bold"/>
        </w:rPr>
        <w:t>BIOGRAPHIES</w:t>
      </w:r>
    </w:p>
    <w:p w14:paraId="06030CC5" w14:textId="77777777" w:rsidR="00E56169" w:rsidRDefault="00E56169" w:rsidP="00D74C77">
      <w:pPr>
        <w:tabs>
          <w:tab w:val="left" w:pos="-1020"/>
          <w:tab w:val="left" w:pos="-300"/>
        </w:tabs>
        <w:rPr>
          <w:rStyle w:val="Bold"/>
        </w:rPr>
      </w:pPr>
    </w:p>
    <w:p w14:paraId="659894D1" w14:textId="32B809E0" w:rsidR="00453C56" w:rsidRDefault="000F22D8" w:rsidP="00453C56">
      <w:pPr>
        <w:spacing w:after="0"/>
      </w:pPr>
      <w:r w:rsidRPr="000F22D8">
        <w:rPr>
          <w:b/>
          <w:bCs/>
          <w:noProof/>
        </w:rPr>
        <w:drawing>
          <wp:anchor distT="0" distB="0" distL="114300" distR="114300" simplePos="0" relativeHeight="251661312" behindDoc="0" locked="0" layoutInCell="1" allowOverlap="1" wp14:anchorId="7A470056" wp14:editId="1965EB5C">
            <wp:simplePos x="0" y="0"/>
            <wp:positionH relativeFrom="column">
              <wp:posOffset>-3175</wp:posOffset>
            </wp:positionH>
            <wp:positionV relativeFrom="paragraph">
              <wp:posOffset>33020</wp:posOffset>
            </wp:positionV>
            <wp:extent cx="1017905" cy="1225550"/>
            <wp:effectExtent l="0" t="0" r="0" b="0"/>
            <wp:wrapSquare wrapText="bothSides"/>
            <wp:docPr id="183772147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11964" r="10045"/>
                    <a:stretch/>
                  </pic:blipFill>
                  <pic:spPr bwMode="auto">
                    <a:xfrm>
                      <a:off x="0" y="0"/>
                      <a:ext cx="1017905" cy="1225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53C56" w:rsidRPr="000F22D8">
        <w:rPr>
          <w:b/>
          <w:bCs/>
        </w:rPr>
        <w:t>SIMONE VINCENZO SURACI</w:t>
      </w:r>
      <w:r w:rsidR="00453C56" w:rsidRPr="00AC157E">
        <w:t xml:space="preserve"> is Assistant Professor at the Department of Electrical Electronics and Information Engineering of </w:t>
      </w:r>
      <w:proofErr w:type="gramStart"/>
      <w:r w:rsidR="00453C56" w:rsidRPr="00AC157E">
        <w:t>University</w:t>
      </w:r>
      <w:proofErr w:type="gramEnd"/>
      <w:r w:rsidR="00453C56" w:rsidRPr="00AC157E">
        <w:t xml:space="preserve"> of Bologna. He received his B. Sc. Degree in Civil and Environmental Engineering from the University of Reggio Calabria in 2015, M.Sc. degree in Energy and Nuclear Engineering from the University of Bologna in 2017 and PhD in Electrical Engineering and Polymer Science at the University of Bologna and at Arts et Métiers Institute of Technology (Paris) in 2020. His research interests </w:t>
      </w:r>
      <w:r w:rsidR="00453C56">
        <w:t>include</w:t>
      </w:r>
      <w:r w:rsidR="00453C56" w:rsidRPr="00AC157E">
        <w:t xml:space="preserve"> the investigation of polymer dielectrics in </w:t>
      </w:r>
      <w:r w:rsidR="00453C56">
        <w:t xml:space="preserve">special </w:t>
      </w:r>
      <w:r w:rsidR="00453C56" w:rsidRPr="00AC157E">
        <w:t>environments such as nuclear</w:t>
      </w:r>
      <w:r w:rsidR="00453C56">
        <w:t xml:space="preserve"> plants</w:t>
      </w:r>
      <w:r w:rsidR="00453C56" w:rsidRPr="00AC157E">
        <w:t xml:space="preserve"> and HVDC applications, focusing on their degradation due to aging. He also </w:t>
      </w:r>
      <w:r w:rsidR="00453C56">
        <w:t>deals with</w:t>
      </w:r>
      <w:r w:rsidR="00453C56" w:rsidRPr="00AC157E">
        <w:t xml:space="preserve"> nondestructive diagnostic techniques and modeling of insulation aging.</w:t>
      </w:r>
      <w:r w:rsidR="00453C56">
        <w:t xml:space="preserve"> To date, h</w:t>
      </w:r>
      <w:r w:rsidR="00453C56" w:rsidRPr="002F283D">
        <w:t xml:space="preserve">e </w:t>
      </w:r>
      <w:r w:rsidR="00453C56">
        <w:t>has been acting as</w:t>
      </w:r>
      <w:r w:rsidR="00453C56" w:rsidRPr="002F283D">
        <w:t xml:space="preserve"> chairman of </w:t>
      </w:r>
      <w:r w:rsidR="00453C56">
        <w:t xml:space="preserve">IEEE </w:t>
      </w:r>
      <w:r w:rsidR="00453C56" w:rsidRPr="002F283D">
        <w:t>DEIS Italy Section and member of IEEE DEIS Education Committee since 2024.</w:t>
      </w:r>
    </w:p>
    <w:p w14:paraId="2992159B" w14:textId="178563CD" w:rsidR="00453C56" w:rsidRDefault="00453C56" w:rsidP="00453C56">
      <w:pPr>
        <w:rPr>
          <w:i/>
          <w:iCs/>
        </w:rPr>
      </w:pPr>
      <w:r>
        <w:t xml:space="preserve">In 2024 he was awarded with the </w:t>
      </w:r>
      <w:r w:rsidRPr="007A51BD">
        <w:t>2024 IEEE DEIS Caixin Sun and Stan Grzybowski Award</w:t>
      </w:r>
      <w:r>
        <w:t xml:space="preserve"> - </w:t>
      </w:r>
      <w:r w:rsidRPr="00547D8B">
        <w:t>Young-Professional Achievement Award</w:t>
      </w:r>
      <w:r>
        <w:t xml:space="preserve"> </w:t>
      </w:r>
      <w:r>
        <w:rPr>
          <w:i/>
          <w:iCs/>
        </w:rPr>
        <w:t>for contributions to dielectric and electrical insulation technologies and their aging in severely damaging environments.</w:t>
      </w:r>
    </w:p>
    <w:p w14:paraId="508F70CB" w14:textId="4D5A68A7" w:rsidR="00B16B7F" w:rsidRDefault="00B16B7F" w:rsidP="00453C56"/>
    <w:p w14:paraId="6F220DA8" w14:textId="0DA6B716" w:rsidR="00DE3CD3" w:rsidRDefault="00DA74B0" w:rsidP="00453C56">
      <w:r w:rsidRPr="00B53417">
        <w:rPr>
          <w:rStyle w:val="AUBiosbd"/>
          <w:rFonts w:eastAsiaTheme="majorEastAsia"/>
          <w:noProof/>
        </w:rPr>
        <w:drawing>
          <wp:anchor distT="0" distB="0" distL="114300" distR="114300" simplePos="0" relativeHeight="251662336" behindDoc="0" locked="0" layoutInCell="1" allowOverlap="1" wp14:anchorId="300AD393" wp14:editId="3F5F09CF">
            <wp:simplePos x="0" y="0"/>
            <wp:positionH relativeFrom="column">
              <wp:posOffset>-635</wp:posOffset>
            </wp:positionH>
            <wp:positionV relativeFrom="paragraph">
              <wp:posOffset>220345</wp:posOffset>
            </wp:positionV>
            <wp:extent cx="1043940" cy="1293495"/>
            <wp:effectExtent l="0" t="0" r="3810" b="1905"/>
            <wp:wrapSquare wrapText="bothSides"/>
            <wp:docPr id="8" name="图片 8" descr="Fabiani_fototess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abiani_fototessera"/>
                    <pic:cNvPicPr>
                      <a:picLocks noChangeAspect="1" noChangeArrowheads="1"/>
                    </pic:cNvPicPr>
                  </pic:nvPicPr>
                  <pic:blipFill>
                    <a:blip r:embed="rId34">
                      <a:extLst>
                        <a:ext uri="{28A0092B-C50C-407E-A947-70E740481C1C}">
                          <a14:useLocalDpi xmlns:a14="http://schemas.microsoft.com/office/drawing/2010/main" val="0"/>
                        </a:ext>
                      </a:extLst>
                    </a:blip>
                    <a:srcRect t="8543" b="-2"/>
                    <a:stretch>
                      <a:fillRect/>
                    </a:stretch>
                  </pic:blipFill>
                  <pic:spPr bwMode="auto">
                    <a:xfrm>
                      <a:off x="0" y="0"/>
                      <a:ext cx="1043940" cy="12934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A0B024" w14:textId="4995A9FA" w:rsidR="00532EB1" w:rsidRPr="007057D9" w:rsidRDefault="00532EB1" w:rsidP="00532EB1">
      <w:pPr>
        <w:spacing w:after="0" w:line="259" w:lineRule="auto"/>
      </w:pPr>
      <w:r>
        <w:rPr>
          <w:b/>
          <w:bCs/>
        </w:rPr>
        <w:t>DAVIDE FABIANI</w:t>
      </w:r>
      <w:r>
        <w:t xml:space="preserve"> </w:t>
      </w:r>
      <w:r w:rsidRPr="007057D9">
        <w:t>received the M.Sc. and Ph.D. in Electrical Engineering with honors in 1997 and 2002, respectively. Since 2014, he is Associate Professor at the Department of Electrical Electronics and Information Engineering of University of Bologna where he teaches the courses of “Innovative Electrical Technologies” and “Insulation Systems Design and Diagnosis”. His fields of research are mainly related to</w:t>
      </w:r>
      <w:r>
        <w:t>: d</w:t>
      </w:r>
      <w:r w:rsidRPr="007057D9">
        <w:t>evelopment and characterization of nanostructured materials for applications in electrical and electronic apparatus</w:t>
      </w:r>
      <w:r>
        <w:t>, i</w:t>
      </w:r>
      <w:r w:rsidRPr="007057D9">
        <w:t>nvestigation of HV apparatus diagnosis mainly through partial discharge measurements</w:t>
      </w:r>
      <w:r>
        <w:t>, e</w:t>
      </w:r>
      <w:r w:rsidRPr="007057D9">
        <w:t xml:space="preserve">valuation of the effect of non-sinusoidal waveforms on reliability of components and insulation systems (in particular, induction motors fed by power electronic converters) </w:t>
      </w:r>
      <w:r>
        <w:t>and the s</w:t>
      </w:r>
      <w:r w:rsidRPr="007057D9">
        <w:t>tudy of electrical conduction mechanisms and aging processed in high voltage insulation systems.</w:t>
      </w:r>
    </w:p>
    <w:p w14:paraId="62922EFE" w14:textId="77777777" w:rsidR="00532EB1" w:rsidRDefault="00532EB1" w:rsidP="00532EB1">
      <w:pPr>
        <w:spacing w:after="0"/>
      </w:pPr>
      <w:r w:rsidRPr="007057D9">
        <w:t xml:space="preserve">He was involved in several projects financed by public and private companies. He is </w:t>
      </w:r>
      <w:proofErr w:type="gramStart"/>
      <w:r w:rsidRPr="007057D9">
        <w:t>author</w:t>
      </w:r>
      <w:proofErr w:type="gramEnd"/>
      <w:r w:rsidRPr="007057D9">
        <w:t xml:space="preserve"> or co-author of about 2</w:t>
      </w:r>
      <w:r>
        <w:t>8</w:t>
      </w:r>
      <w:r w:rsidRPr="007057D9">
        <w:t>0 papers, most of them published on the major international journals and conference proceedings. He is Associate Editor of IET High Voltage Journal</w:t>
      </w:r>
      <w:r>
        <w:t>, IET Electrical Materials and Applications,</w:t>
      </w:r>
      <w:r w:rsidRPr="007057D9">
        <w:t xml:space="preserve"> as well as reviewer for several International Journals.</w:t>
      </w:r>
      <w:r>
        <w:t xml:space="preserve"> </w:t>
      </w:r>
    </w:p>
    <w:p w14:paraId="1D219EEB" w14:textId="77777777" w:rsidR="00532EB1" w:rsidRDefault="00532EB1" w:rsidP="00532EB1">
      <w:r>
        <w:t xml:space="preserve">Currently he is President of IEEE DEIS from January 2024, re-elected for 2025. </w:t>
      </w:r>
      <w:r w:rsidRPr="00F04B6C">
        <w:t xml:space="preserve">He has been member-at-large of DEIS </w:t>
      </w:r>
      <w:proofErr w:type="spellStart"/>
      <w:r w:rsidRPr="00F04B6C">
        <w:t>AdCom</w:t>
      </w:r>
      <w:proofErr w:type="spellEnd"/>
      <w:r w:rsidRPr="00F04B6C">
        <w:t xml:space="preserve"> and Chair of the Meetings Committee from 2016 to 2019, VP Technical for 2020 and 2021, VP Admin for 2022 and 2023</w:t>
      </w:r>
      <w:r>
        <w:t>.</w:t>
      </w:r>
    </w:p>
    <w:p w14:paraId="5E2F1760" w14:textId="77777777" w:rsidR="00532EB1" w:rsidRPr="00B16B7F" w:rsidRDefault="00532EB1" w:rsidP="00453C56"/>
    <w:p w14:paraId="5EBBD677" w14:textId="77777777" w:rsidR="007622B4" w:rsidRDefault="007622B4" w:rsidP="00453C56"/>
    <w:p w14:paraId="3BD33B46" w14:textId="77777777" w:rsidR="007622B4" w:rsidRPr="007622B4" w:rsidRDefault="007622B4" w:rsidP="00453C56"/>
    <w:p w14:paraId="282F6E9A" w14:textId="77777777" w:rsidR="00D74C77" w:rsidRPr="00434C3A" w:rsidRDefault="00D74C77" w:rsidP="00D74C77">
      <w:pPr>
        <w:tabs>
          <w:tab w:val="left" w:pos="-1020"/>
          <w:tab w:val="left" w:pos="-300"/>
        </w:tabs>
      </w:pPr>
    </w:p>
    <w:sectPr w:rsidR="00D74C77" w:rsidRPr="00434C3A">
      <w:footerReference w:type="default" r:id="rId3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8E3D0" w14:textId="77777777" w:rsidR="00747A51" w:rsidRDefault="00747A51" w:rsidP="000005CF">
      <w:pPr>
        <w:spacing w:after="0"/>
      </w:pPr>
      <w:r>
        <w:separator/>
      </w:r>
    </w:p>
  </w:endnote>
  <w:endnote w:type="continuationSeparator" w:id="0">
    <w:p w14:paraId="58FC8A21" w14:textId="77777777" w:rsidR="00747A51" w:rsidRDefault="00747A51" w:rsidP="000005C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43" w:usb2="00000009" w:usb3="00000000" w:csb0="000001FF" w:csb1="00000000"/>
  </w:font>
  <w:font w:name="FormataOTFMd">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587412"/>
      <w:docPartObj>
        <w:docPartGallery w:val="Page Numbers (Bottom of Page)"/>
        <w:docPartUnique/>
      </w:docPartObj>
    </w:sdtPr>
    <w:sdtContent>
      <w:p w14:paraId="2D0F8BBA" w14:textId="11622254" w:rsidR="0052598F" w:rsidRDefault="0052598F">
        <w:pPr>
          <w:pStyle w:val="Pidipagina"/>
          <w:jc w:val="center"/>
        </w:pPr>
        <w:r>
          <w:fldChar w:fldCharType="begin"/>
        </w:r>
        <w:r>
          <w:instrText>PAGE   \* MERGEFORMAT</w:instrText>
        </w:r>
        <w:r>
          <w:fldChar w:fldCharType="separate"/>
        </w:r>
        <w:r>
          <w:rPr>
            <w:lang w:val="it-IT"/>
          </w:rPr>
          <w:t>2</w:t>
        </w:r>
        <w:r>
          <w:fldChar w:fldCharType="end"/>
        </w:r>
      </w:p>
    </w:sdtContent>
  </w:sdt>
  <w:p w14:paraId="39425543" w14:textId="77777777" w:rsidR="0052598F" w:rsidRDefault="0052598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E45B8A" w14:textId="77777777" w:rsidR="00747A51" w:rsidRDefault="00747A51" w:rsidP="000005CF">
      <w:pPr>
        <w:spacing w:after="0"/>
      </w:pPr>
      <w:r>
        <w:separator/>
      </w:r>
    </w:p>
  </w:footnote>
  <w:footnote w:type="continuationSeparator" w:id="0">
    <w:p w14:paraId="25DC2C07" w14:textId="77777777" w:rsidR="00747A51" w:rsidRDefault="00747A51" w:rsidP="000005C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5649C"/>
    <w:multiLevelType w:val="hybridMultilevel"/>
    <w:tmpl w:val="FF0E7610"/>
    <w:lvl w:ilvl="0" w:tplc="6792AA8A">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15:restartNumberingAfterBreak="0">
    <w:nsid w:val="048336A5"/>
    <w:multiLevelType w:val="hybridMultilevel"/>
    <w:tmpl w:val="9E2A17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C323328"/>
    <w:multiLevelType w:val="multilevel"/>
    <w:tmpl w:val="BF7EBED4"/>
    <w:lvl w:ilvl="0">
      <w:start w:val="3"/>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5A5E101C"/>
    <w:multiLevelType w:val="hybridMultilevel"/>
    <w:tmpl w:val="5E3A2CF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C7968C9"/>
    <w:multiLevelType w:val="hybridMultilevel"/>
    <w:tmpl w:val="CDA241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6A73C20"/>
    <w:multiLevelType w:val="hybridMultilevel"/>
    <w:tmpl w:val="D20A52B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65173268">
    <w:abstractNumId w:val="4"/>
  </w:num>
  <w:num w:numId="2" w16cid:durableId="1574772963">
    <w:abstractNumId w:val="5"/>
  </w:num>
  <w:num w:numId="3" w16cid:durableId="394665191">
    <w:abstractNumId w:val="0"/>
  </w:num>
  <w:num w:numId="4" w16cid:durableId="2129858178">
    <w:abstractNumId w:val="1"/>
  </w:num>
  <w:num w:numId="5" w16cid:durableId="1317225744">
    <w:abstractNumId w:val="2"/>
  </w:num>
  <w:num w:numId="6" w16cid:durableId="8820633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DEA"/>
    <w:rsid w:val="000005CF"/>
    <w:rsid w:val="00002967"/>
    <w:rsid w:val="00010782"/>
    <w:rsid w:val="000137B6"/>
    <w:rsid w:val="00013EB9"/>
    <w:rsid w:val="00020BE6"/>
    <w:rsid w:val="00023445"/>
    <w:rsid w:val="000238CB"/>
    <w:rsid w:val="00053579"/>
    <w:rsid w:val="000625C2"/>
    <w:rsid w:val="000636FF"/>
    <w:rsid w:val="0006777D"/>
    <w:rsid w:val="0007136F"/>
    <w:rsid w:val="00082BD6"/>
    <w:rsid w:val="00084811"/>
    <w:rsid w:val="00085331"/>
    <w:rsid w:val="00092628"/>
    <w:rsid w:val="000A147C"/>
    <w:rsid w:val="000A292E"/>
    <w:rsid w:val="000A3311"/>
    <w:rsid w:val="000A48F5"/>
    <w:rsid w:val="000A77CA"/>
    <w:rsid w:val="000B2A35"/>
    <w:rsid w:val="000B2CD8"/>
    <w:rsid w:val="000C6DF3"/>
    <w:rsid w:val="000C6F28"/>
    <w:rsid w:val="000C7E54"/>
    <w:rsid w:val="000D1E06"/>
    <w:rsid w:val="000D3B8B"/>
    <w:rsid w:val="000D4133"/>
    <w:rsid w:val="000E2444"/>
    <w:rsid w:val="000F22D8"/>
    <w:rsid w:val="000F3F06"/>
    <w:rsid w:val="000F6A0D"/>
    <w:rsid w:val="001035C7"/>
    <w:rsid w:val="00111D06"/>
    <w:rsid w:val="001131F7"/>
    <w:rsid w:val="0011675A"/>
    <w:rsid w:val="00116CD0"/>
    <w:rsid w:val="00117ED1"/>
    <w:rsid w:val="00121ECA"/>
    <w:rsid w:val="001253C2"/>
    <w:rsid w:val="001270A0"/>
    <w:rsid w:val="001317CF"/>
    <w:rsid w:val="00131C45"/>
    <w:rsid w:val="001330D3"/>
    <w:rsid w:val="001374DF"/>
    <w:rsid w:val="001466E8"/>
    <w:rsid w:val="00150254"/>
    <w:rsid w:val="00160ECC"/>
    <w:rsid w:val="00162EBC"/>
    <w:rsid w:val="00163622"/>
    <w:rsid w:val="00163A4B"/>
    <w:rsid w:val="001657DF"/>
    <w:rsid w:val="0017094B"/>
    <w:rsid w:val="00171B40"/>
    <w:rsid w:val="00171F86"/>
    <w:rsid w:val="00173E5F"/>
    <w:rsid w:val="00174779"/>
    <w:rsid w:val="001766EA"/>
    <w:rsid w:val="001778F6"/>
    <w:rsid w:val="00182659"/>
    <w:rsid w:val="001865FA"/>
    <w:rsid w:val="001901C0"/>
    <w:rsid w:val="00192EF2"/>
    <w:rsid w:val="00197BFD"/>
    <w:rsid w:val="001A1CF6"/>
    <w:rsid w:val="001A35EB"/>
    <w:rsid w:val="001B79B6"/>
    <w:rsid w:val="001C1656"/>
    <w:rsid w:val="001D02A0"/>
    <w:rsid w:val="001D1B71"/>
    <w:rsid w:val="001D318A"/>
    <w:rsid w:val="001D6B92"/>
    <w:rsid w:val="00212070"/>
    <w:rsid w:val="002128F9"/>
    <w:rsid w:val="00216193"/>
    <w:rsid w:val="00217504"/>
    <w:rsid w:val="00221111"/>
    <w:rsid w:val="002213B0"/>
    <w:rsid w:val="0022597F"/>
    <w:rsid w:val="00231017"/>
    <w:rsid w:val="002345D2"/>
    <w:rsid w:val="0023488E"/>
    <w:rsid w:val="00241AB6"/>
    <w:rsid w:val="0024359B"/>
    <w:rsid w:val="0024605E"/>
    <w:rsid w:val="00252B27"/>
    <w:rsid w:val="0025419A"/>
    <w:rsid w:val="002576A8"/>
    <w:rsid w:val="00260FBD"/>
    <w:rsid w:val="0026128E"/>
    <w:rsid w:val="0026129D"/>
    <w:rsid w:val="00263928"/>
    <w:rsid w:val="002675AF"/>
    <w:rsid w:val="00267862"/>
    <w:rsid w:val="00290FC2"/>
    <w:rsid w:val="00293059"/>
    <w:rsid w:val="0029332E"/>
    <w:rsid w:val="002943F2"/>
    <w:rsid w:val="00295904"/>
    <w:rsid w:val="002A0413"/>
    <w:rsid w:val="002A4554"/>
    <w:rsid w:val="002A6D7B"/>
    <w:rsid w:val="002A7AF8"/>
    <w:rsid w:val="002C4F0E"/>
    <w:rsid w:val="002C6490"/>
    <w:rsid w:val="002D18AC"/>
    <w:rsid w:val="002D37DA"/>
    <w:rsid w:val="002D6EBD"/>
    <w:rsid w:val="002E0C04"/>
    <w:rsid w:val="002E222D"/>
    <w:rsid w:val="002E259E"/>
    <w:rsid w:val="002E3607"/>
    <w:rsid w:val="002F2587"/>
    <w:rsid w:val="003032DC"/>
    <w:rsid w:val="00305BA0"/>
    <w:rsid w:val="0032388F"/>
    <w:rsid w:val="00337078"/>
    <w:rsid w:val="003407FB"/>
    <w:rsid w:val="0034613F"/>
    <w:rsid w:val="00351923"/>
    <w:rsid w:val="00353DA9"/>
    <w:rsid w:val="00355049"/>
    <w:rsid w:val="00356966"/>
    <w:rsid w:val="00362041"/>
    <w:rsid w:val="0036443A"/>
    <w:rsid w:val="0036451D"/>
    <w:rsid w:val="00366F85"/>
    <w:rsid w:val="00372B86"/>
    <w:rsid w:val="003733A6"/>
    <w:rsid w:val="0037452D"/>
    <w:rsid w:val="00383CBC"/>
    <w:rsid w:val="003843B0"/>
    <w:rsid w:val="003A417C"/>
    <w:rsid w:val="003A6F96"/>
    <w:rsid w:val="003B053A"/>
    <w:rsid w:val="003B09BE"/>
    <w:rsid w:val="003B5EA7"/>
    <w:rsid w:val="003B79F8"/>
    <w:rsid w:val="003B7BD7"/>
    <w:rsid w:val="003C3EAF"/>
    <w:rsid w:val="003C46A9"/>
    <w:rsid w:val="003C482F"/>
    <w:rsid w:val="003C5102"/>
    <w:rsid w:val="003D1A70"/>
    <w:rsid w:val="003D5277"/>
    <w:rsid w:val="003D5967"/>
    <w:rsid w:val="003E1D62"/>
    <w:rsid w:val="003E36CC"/>
    <w:rsid w:val="003E7F2B"/>
    <w:rsid w:val="003F0E85"/>
    <w:rsid w:val="003F4255"/>
    <w:rsid w:val="003F5D45"/>
    <w:rsid w:val="003F67FA"/>
    <w:rsid w:val="00400631"/>
    <w:rsid w:val="0040450D"/>
    <w:rsid w:val="00411BE4"/>
    <w:rsid w:val="00412E31"/>
    <w:rsid w:val="00434C3A"/>
    <w:rsid w:val="004520D8"/>
    <w:rsid w:val="004525C0"/>
    <w:rsid w:val="00453C56"/>
    <w:rsid w:val="0045663A"/>
    <w:rsid w:val="00462007"/>
    <w:rsid w:val="00465700"/>
    <w:rsid w:val="004667E0"/>
    <w:rsid w:val="0047379E"/>
    <w:rsid w:val="00480D5E"/>
    <w:rsid w:val="004835E4"/>
    <w:rsid w:val="00484158"/>
    <w:rsid w:val="004A481B"/>
    <w:rsid w:val="004A5CAC"/>
    <w:rsid w:val="004B00E1"/>
    <w:rsid w:val="004B70F4"/>
    <w:rsid w:val="004B7835"/>
    <w:rsid w:val="004D060E"/>
    <w:rsid w:val="004D0ACE"/>
    <w:rsid w:val="004D1C91"/>
    <w:rsid w:val="004D4031"/>
    <w:rsid w:val="004D5B4E"/>
    <w:rsid w:val="004E04DA"/>
    <w:rsid w:val="004E49C4"/>
    <w:rsid w:val="004F32EF"/>
    <w:rsid w:val="004F40DB"/>
    <w:rsid w:val="0050293D"/>
    <w:rsid w:val="005037F7"/>
    <w:rsid w:val="00504F69"/>
    <w:rsid w:val="005053DA"/>
    <w:rsid w:val="00510FC7"/>
    <w:rsid w:val="00512019"/>
    <w:rsid w:val="00514EA3"/>
    <w:rsid w:val="00515029"/>
    <w:rsid w:val="0052598F"/>
    <w:rsid w:val="00530E19"/>
    <w:rsid w:val="005322D0"/>
    <w:rsid w:val="00532EB1"/>
    <w:rsid w:val="0053404C"/>
    <w:rsid w:val="00537F0A"/>
    <w:rsid w:val="00543EE0"/>
    <w:rsid w:val="00543F31"/>
    <w:rsid w:val="00551B93"/>
    <w:rsid w:val="00552476"/>
    <w:rsid w:val="005537A8"/>
    <w:rsid w:val="00554426"/>
    <w:rsid w:val="00555867"/>
    <w:rsid w:val="00556D0F"/>
    <w:rsid w:val="00561532"/>
    <w:rsid w:val="00571190"/>
    <w:rsid w:val="005800CD"/>
    <w:rsid w:val="00580FAD"/>
    <w:rsid w:val="005851B8"/>
    <w:rsid w:val="00590F94"/>
    <w:rsid w:val="00591DB2"/>
    <w:rsid w:val="00593142"/>
    <w:rsid w:val="00594640"/>
    <w:rsid w:val="00595E96"/>
    <w:rsid w:val="005A1F14"/>
    <w:rsid w:val="005A5478"/>
    <w:rsid w:val="005B56E4"/>
    <w:rsid w:val="005B70DE"/>
    <w:rsid w:val="005B7D56"/>
    <w:rsid w:val="005C0A34"/>
    <w:rsid w:val="005C2130"/>
    <w:rsid w:val="005D08CD"/>
    <w:rsid w:val="005D26B5"/>
    <w:rsid w:val="005D5450"/>
    <w:rsid w:val="005E193E"/>
    <w:rsid w:val="005E5766"/>
    <w:rsid w:val="00604F69"/>
    <w:rsid w:val="00605FE6"/>
    <w:rsid w:val="006079C2"/>
    <w:rsid w:val="00611E3B"/>
    <w:rsid w:val="00616753"/>
    <w:rsid w:val="00620BF6"/>
    <w:rsid w:val="0062112F"/>
    <w:rsid w:val="00622336"/>
    <w:rsid w:val="00623AAB"/>
    <w:rsid w:val="00632ACB"/>
    <w:rsid w:val="006429B9"/>
    <w:rsid w:val="006439AF"/>
    <w:rsid w:val="006450CE"/>
    <w:rsid w:val="006557FA"/>
    <w:rsid w:val="006604F2"/>
    <w:rsid w:val="006628BB"/>
    <w:rsid w:val="00665580"/>
    <w:rsid w:val="00672516"/>
    <w:rsid w:val="00672FF7"/>
    <w:rsid w:val="0067497A"/>
    <w:rsid w:val="00674E89"/>
    <w:rsid w:val="0068255D"/>
    <w:rsid w:val="00685141"/>
    <w:rsid w:val="00686EE7"/>
    <w:rsid w:val="00692F95"/>
    <w:rsid w:val="00694306"/>
    <w:rsid w:val="0069476D"/>
    <w:rsid w:val="006B2614"/>
    <w:rsid w:val="006B4389"/>
    <w:rsid w:val="006B47D8"/>
    <w:rsid w:val="006C1815"/>
    <w:rsid w:val="006C392A"/>
    <w:rsid w:val="006C50A4"/>
    <w:rsid w:val="006D278A"/>
    <w:rsid w:val="006D6BFB"/>
    <w:rsid w:val="006E088F"/>
    <w:rsid w:val="006E2B63"/>
    <w:rsid w:val="006F0902"/>
    <w:rsid w:val="006F3F8B"/>
    <w:rsid w:val="00713627"/>
    <w:rsid w:val="007210BF"/>
    <w:rsid w:val="00721118"/>
    <w:rsid w:val="007224D5"/>
    <w:rsid w:val="00723AF8"/>
    <w:rsid w:val="00727CDB"/>
    <w:rsid w:val="00743F40"/>
    <w:rsid w:val="00747A51"/>
    <w:rsid w:val="0075050F"/>
    <w:rsid w:val="00761548"/>
    <w:rsid w:val="007622B4"/>
    <w:rsid w:val="00762EF4"/>
    <w:rsid w:val="00763890"/>
    <w:rsid w:val="0077097C"/>
    <w:rsid w:val="00783108"/>
    <w:rsid w:val="00784C64"/>
    <w:rsid w:val="007957F9"/>
    <w:rsid w:val="00796760"/>
    <w:rsid w:val="00796D43"/>
    <w:rsid w:val="00797E5B"/>
    <w:rsid w:val="007A4518"/>
    <w:rsid w:val="007A68B1"/>
    <w:rsid w:val="007A714E"/>
    <w:rsid w:val="007B211B"/>
    <w:rsid w:val="007B34F0"/>
    <w:rsid w:val="007C0B32"/>
    <w:rsid w:val="007C0CB6"/>
    <w:rsid w:val="007C46B9"/>
    <w:rsid w:val="007C6F85"/>
    <w:rsid w:val="007D1A09"/>
    <w:rsid w:val="007D721F"/>
    <w:rsid w:val="007D7644"/>
    <w:rsid w:val="007D7C2B"/>
    <w:rsid w:val="007E2576"/>
    <w:rsid w:val="007E4151"/>
    <w:rsid w:val="007E4863"/>
    <w:rsid w:val="007F101C"/>
    <w:rsid w:val="007F403A"/>
    <w:rsid w:val="008029FD"/>
    <w:rsid w:val="00803FA5"/>
    <w:rsid w:val="00806DDE"/>
    <w:rsid w:val="00811448"/>
    <w:rsid w:val="00813834"/>
    <w:rsid w:val="00815942"/>
    <w:rsid w:val="008177DA"/>
    <w:rsid w:val="008228A7"/>
    <w:rsid w:val="0082640C"/>
    <w:rsid w:val="00826979"/>
    <w:rsid w:val="0083043E"/>
    <w:rsid w:val="00830C38"/>
    <w:rsid w:val="00831138"/>
    <w:rsid w:val="00834A8A"/>
    <w:rsid w:val="008375EF"/>
    <w:rsid w:val="0084030B"/>
    <w:rsid w:val="00843BF3"/>
    <w:rsid w:val="008461B6"/>
    <w:rsid w:val="00847CDF"/>
    <w:rsid w:val="00850E3F"/>
    <w:rsid w:val="00856E23"/>
    <w:rsid w:val="00862967"/>
    <w:rsid w:val="00866928"/>
    <w:rsid w:val="00867D7C"/>
    <w:rsid w:val="00870958"/>
    <w:rsid w:val="00870AAD"/>
    <w:rsid w:val="00874B2E"/>
    <w:rsid w:val="00875864"/>
    <w:rsid w:val="00876680"/>
    <w:rsid w:val="00877EC6"/>
    <w:rsid w:val="00881122"/>
    <w:rsid w:val="00882795"/>
    <w:rsid w:val="00890291"/>
    <w:rsid w:val="008938ED"/>
    <w:rsid w:val="00894B5C"/>
    <w:rsid w:val="008957F5"/>
    <w:rsid w:val="00896490"/>
    <w:rsid w:val="008A0C18"/>
    <w:rsid w:val="008A27A5"/>
    <w:rsid w:val="008A3B3E"/>
    <w:rsid w:val="008A55EF"/>
    <w:rsid w:val="008A60FA"/>
    <w:rsid w:val="008A61F3"/>
    <w:rsid w:val="008B1E01"/>
    <w:rsid w:val="008C09A9"/>
    <w:rsid w:val="008C4711"/>
    <w:rsid w:val="008C7193"/>
    <w:rsid w:val="008D13A6"/>
    <w:rsid w:val="008D4DF8"/>
    <w:rsid w:val="008E4C01"/>
    <w:rsid w:val="008E57FA"/>
    <w:rsid w:val="008F0495"/>
    <w:rsid w:val="008F23B7"/>
    <w:rsid w:val="008F688E"/>
    <w:rsid w:val="008F707C"/>
    <w:rsid w:val="00904E3B"/>
    <w:rsid w:val="009054D8"/>
    <w:rsid w:val="00911EC8"/>
    <w:rsid w:val="00912941"/>
    <w:rsid w:val="0091753B"/>
    <w:rsid w:val="00920FFB"/>
    <w:rsid w:val="009231BE"/>
    <w:rsid w:val="0092537E"/>
    <w:rsid w:val="009309B4"/>
    <w:rsid w:val="009347B5"/>
    <w:rsid w:val="00936553"/>
    <w:rsid w:val="009507C7"/>
    <w:rsid w:val="0095088C"/>
    <w:rsid w:val="009546EC"/>
    <w:rsid w:val="00961BB9"/>
    <w:rsid w:val="00963590"/>
    <w:rsid w:val="00964736"/>
    <w:rsid w:val="00967D3C"/>
    <w:rsid w:val="00970BB3"/>
    <w:rsid w:val="00972150"/>
    <w:rsid w:val="00972F27"/>
    <w:rsid w:val="00975F72"/>
    <w:rsid w:val="00977C6C"/>
    <w:rsid w:val="00982E95"/>
    <w:rsid w:val="00983706"/>
    <w:rsid w:val="00983DF9"/>
    <w:rsid w:val="00986A77"/>
    <w:rsid w:val="0099188D"/>
    <w:rsid w:val="00992E0E"/>
    <w:rsid w:val="009A0436"/>
    <w:rsid w:val="009A3FFF"/>
    <w:rsid w:val="009A4934"/>
    <w:rsid w:val="009B6055"/>
    <w:rsid w:val="009B6DCE"/>
    <w:rsid w:val="009B7A0A"/>
    <w:rsid w:val="009C0F0B"/>
    <w:rsid w:val="009C29CA"/>
    <w:rsid w:val="009C74B0"/>
    <w:rsid w:val="009D1697"/>
    <w:rsid w:val="009D28D2"/>
    <w:rsid w:val="009D4C53"/>
    <w:rsid w:val="009E36BF"/>
    <w:rsid w:val="009E6034"/>
    <w:rsid w:val="009F0206"/>
    <w:rsid w:val="009F4514"/>
    <w:rsid w:val="009F46DB"/>
    <w:rsid w:val="00A04678"/>
    <w:rsid w:val="00A06847"/>
    <w:rsid w:val="00A0689D"/>
    <w:rsid w:val="00A1241F"/>
    <w:rsid w:val="00A20B7A"/>
    <w:rsid w:val="00A2364B"/>
    <w:rsid w:val="00A3014C"/>
    <w:rsid w:val="00A32243"/>
    <w:rsid w:val="00A406DC"/>
    <w:rsid w:val="00A41650"/>
    <w:rsid w:val="00A43AF8"/>
    <w:rsid w:val="00A44F0A"/>
    <w:rsid w:val="00A4515D"/>
    <w:rsid w:val="00A50224"/>
    <w:rsid w:val="00A5576A"/>
    <w:rsid w:val="00A56009"/>
    <w:rsid w:val="00A67921"/>
    <w:rsid w:val="00A7181C"/>
    <w:rsid w:val="00A76778"/>
    <w:rsid w:val="00A82A89"/>
    <w:rsid w:val="00A86253"/>
    <w:rsid w:val="00A864AA"/>
    <w:rsid w:val="00A92F91"/>
    <w:rsid w:val="00A941FF"/>
    <w:rsid w:val="00A960E3"/>
    <w:rsid w:val="00A9678F"/>
    <w:rsid w:val="00AA0B53"/>
    <w:rsid w:val="00AA5386"/>
    <w:rsid w:val="00AA7A4A"/>
    <w:rsid w:val="00AC108B"/>
    <w:rsid w:val="00AC3FA3"/>
    <w:rsid w:val="00AC4704"/>
    <w:rsid w:val="00AD040D"/>
    <w:rsid w:val="00AD2BBF"/>
    <w:rsid w:val="00AD582F"/>
    <w:rsid w:val="00AD6461"/>
    <w:rsid w:val="00AE0687"/>
    <w:rsid w:val="00AE49BD"/>
    <w:rsid w:val="00AE5DEA"/>
    <w:rsid w:val="00AF1CB4"/>
    <w:rsid w:val="00AF41D1"/>
    <w:rsid w:val="00AF5459"/>
    <w:rsid w:val="00AF54DF"/>
    <w:rsid w:val="00B01D78"/>
    <w:rsid w:val="00B0244A"/>
    <w:rsid w:val="00B071AD"/>
    <w:rsid w:val="00B10845"/>
    <w:rsid w:val="00B15F43"/>
    <w:rsid w:val="00B16B7F"/>
    <w:rsid w:val="00B16F43"/>
    <w:rsid w:val="00B170B0"/>
    <w:rsid w:val="00B268E0"/>
    <w:rsid w:val="00B4100E"/>
    <w:rsid w:val="00B55224"/>
    <w:rsid w:val="00B579BF"/>
    <w:rsid w:val="00B61AC7"/>
    <w:rsid w:val="00B64116"/>
    <w:rsid w:val="00B64B08"/>
    <w:rsid w:val="00B70D01"/>
    <w:rsid w:val="00B72303"/>
    <w:rsid w:val="00B74CF1"/>
    <w:rsid w:val="00B830CC"/>
    <w:rsid w:val="00B900B0"/>
    <w:rsid w:val="00B92940"/>
    <w:rsid w:val="00BA0C7C"/>
    <w:rsid w:val="00BA0DBB"/>
    <w:rsid w:val="00BA4D8F"/>
    <w:rsid w:val="00BA58A6"/>
    <w:rsid w:val="00BB5273"/>
    <w:rsid w:val="00BB67BA"/>
    <w:rsid w:val="00BC5C43"/>
    <w:rsid w:val="00BD01BE"/>
    <w:rsid w:val="00BD2E3C"/>
    <w:rsid w:val="00BD3513"/>
    <w:rsid w:val="00BD68DB"/>
    <w:rsid w:val="00BD7051"/>
    <w:rsid w:val="00BD75A3"/>
    <w:rsid w:val="00BD77E0"/>
    <w:rsid w:val="00BD7A5F"/>
    <w:rsid w:val="00BE0C07"/>
    <w:rsid w:val="00BE2814"/>
    <w:rsid w:val="00BE5409"/>
    <w:rsid w:val="00BE5DF4"/>
    <w:rsid w:val="00BF1DAF"/>
    <w:rsid w:val="00BF4684"/>
    <w:rsid w:val="00BF6AED"/>
    <w:rsid w:val="00BF7563"/>
    <w:rsid w:val="00C008D3"/>
    <w:rsid w:val="00C01319"/>
    <w:rsid w:val="00C02E4F"/>
    <w:rsid w:val="00C0790C"/>
    <w:rsid w:val="00C1192F"/>
    <w:rsid w:val="00C165AA"/>
    <w:rsid w:val="00C1779C"/>
    <w:rsid w:val="00C220B1"/>
    <w:rsid w:val="00C234D3"/>
    <w:rsid w:val="00C26204"/>
    <w:rsid w:val="00C26A43"/>
    <w:rsid w:val="00C26D34"/>
    <w:rsid w:val="00C334F3"/>
    <w:rsid w:val="00C37BDA"/>
    <w:rsid w:val="00C411C2"/>
    <w:rsid w:val="00C431C2"/>
    <w:rsid w:val="00C5220B"/>
    <w:rsid w:val="00C525FC"/>
    <w:rsid w:val="00C539F4"/>
    <w:rsid w:val="00C54631"/>
    <w:rsid w:val="00C610FD"/>
    <w:rsid w:val="00C61CD1"/>
    <w:rsid w:val="00C64719"/>
    <w:rsid w:val="00C64E22"/>
    <w:rsid w:val="00C76452"/>
    <w:rsid w:val="00C81AA1"/>
    <w:rsid w:val="00C85FF0"/>
    <w:rsid w:val="00C87CEB"/>
    <w:rsid w:val="00C90440"/>
    <w:rsid w:val="00C931EA"/>
    <w:rsid w:val="00C95431"/>
    <w:rsid w:val="00CA098A"/>
    <w:rsid w:val="00CA0B3B"/>
    <w:rsid w:val="00CA1758"/>
    <w:rsid w:val="00CA205C"/>
    <w:rsid w:val="00CB43B2"/>
    <w:rsid w:val="00CB62AC"/>
    <w:rsid w:val="00CB7096"/>
    <w:rsid w:val="00CC1D79"/>
    <w:rsid w:val="00CC26DB"/>
    <w:rsid w:val="00CC40C3"/>
    <w:rsid w:val="00CC5FA0"/>
    <w:rsid w:val="00CD4C2A"/>
    <w:rsid w:val="00CE1D60"/>
    <w:rsid w:val="00CE5852"/>
    <w:rsid w:val="00CE7FD5"/>
    <w:rsid w:val="00CF1C57"/>
    <w:rsid w:val="00CF2C2D"/>
    <w:rsid w:val="00CF4FF2"/>
    <w:rsid w:val="00D015E5"/>
    <w:rsid w:val="00D023EB"/>
    <w:rsid w:val="00D04EE4"/>
    <w:rsid w:val="00D121E3"/>
    <w:rsid w:val="00D15771"/>
    <w:rsid w:val="00D1795C"/>
    <w:rsid w:val="00D22456"/>
    <w:rsid w:val="00D244BF"/>
    <w:rsid w:val="00D26D2A"/>
    <w:rsid w:val="00D4276D"/>
    <w:rsid w:val="00D456A1"/>
    <w:rsid w:val="00D475B3"/>
    <w:rsid w:val="00D53E7C"/>
    <w:rsid w:val="00D600A3"/>
    <w:rsid w:val="00D60216"/>
    <w:rsid w:val="00D613DB"/>
    <w:rsid w:val="00D63F9C"/>
    <w:rsid w:val="00D641BC"/>
    <w:rsid w:val="00D74C77"/>
    <w:rsid w:val="00D75DC0"/>
    <w:rsid w:val="00D86FEA"/>
    <w:rsid w:val="00D93472"/>
    <w:rsid w:val="00D94112"/>
    <w:rsid w:val="00DA74B0"/>
    <w:rsid w:val="00DA7AF5"/>
    <w:rsid w:val="00DB25D0"/>
    <w:rsid w:val="00DB7C43"/>
    <w:rsid w:val="00DC3FA8"/>
    <w:rsid w:val="00DC4AD5"/>
    <w:rsid w:val="00DC4F08"/>
    <w:rsid w:val="00DC5FCC"/>
    <w:rsid w:val="00DD02E1"/>
    <w:rsid w:val="00DE2A0C"/>
    <w:rsid w:val="00DE3CD3"/>
    <w:rsid w:val="00DE4CE1"/>
    <w:rsid w:val="00DF0380"/>
    <w:rsid w:val="00DF0952"/>
    <w:rsid w:val="00DF4CB9"/>
    <w:rsid w:val="00DF6DB3"/>
    <w:rsid w:val="00E07713"/>
    <w:rsid w:val="00E11C70"/>
    <w:rsid w:val="00E1244A"/>
    <w:rsid w:val="00E12F87"/>
    <w:rsid w:val="00E14B47"/>
    <w:rsid w:val="00E21AA2"/>
    <w:rsid w:val="00E24BAE"/>
    <w:rsid w:val="00E251E7"/>
    <w:rsid w:val="00E25EBA"/>
    <w:rsid w:val="00E34043"/>
    <w:rsid w:val="00E3481A"/>
    <w:rsid w:val="00E34E96"/>
    <w:rsid w:val="00E419F8"/>
    <w:rsid w:val="00E56169"/>
    <w:rsid w:val="00E67AF8"/>
    <w:rsid w:val="00E7406C"/>
    <w:rsid w:val="00E755CD"/>
    <w:rsid w:val="00E8127A"/>
    <w:rsid w:val="00E81644"/>
    <w:rsid w:val="00E81840"/>
    <w:rsid w:val="00E84CB9"/>
    <w:rsid w:val="00E873BB"/>
    <w:rsid w:val="00E87BF3"/>
    <w:rsid w:val="00E87F83"/>
    <w:rsid w:val="00E90347"/>
    <w:rsid w:val="00E94C9E"/>
    <w:rsid w:val="00EA5F72"/>
    <w:rsid w:val="00EB36AA"/>
    <w:rsid w:val="00EC356D"/>
    <w:rsid w:val="00EC37FA"/>
    <w:rsid w:val="00EC6ED3"/>
    <w:rsid w:val="00ED0947"/>
    <w:rsid w:val="00ED2459"/>
    <w:rsid w:val="00ED4080"/>
    <w:rsid w:val="00ED4B59"/>
    <w:rsid w:val="00ED5FE9"/>
    <w:rsid w:val="00ED7545"/>
    <w:rsid w:val="00EE29E3"/>
    <w:rsid w:val="00EE2E52"/>
    <w:rsid w:val="00EF3C51"/>
    <w:rsid w:val="00EF6011"/>
    <w:rsid w:val="00F01E43"/>
    <w:rsid w:val="00F05501"/>
    <w:rsid w:val="00F0553A"/>
    <w:rsid w:val="00F11B00"/>
    <w:rsid w:val="00F12B59"/>
    <w:rsid w:val="00F1491A"/>
    <w:rsid w:val="00F14A28"/>
    <w:rsid w:val="00F15418"/>
    <w:rsid w:val="00F15508"/>
    <w:rsid w:val="00F20412"/>
    <w:rsid w:val="00F2290B"/>
    <w:rsid w:val="00F25273"/>
    <w:rsid w:val="00F37672"/>
    <w:rsid w:val="00F4065F"/>
    <w:rsid w:val="00F417F1"/>
    <w:rsid w:val="00F53C51"/>
    <w:rsid w:val="00F72E83"/>
    <w:rsid w:val="00F735C6"/>
    <w:rsid w:val="00F75735"/>
    <w:rsid w:val="00F836CC"/>
    <w:rsid w:val="00F87480"/>
    <w:rsid w:val="00F96E73"/>
    <w:rsid w:val="00F976FD"/>
    <w:rsid w:val="00FA1622"/>
    <w:rsid w:val="00FA1F0B"/>
    <w:rsid w:val="00FB01E0"/>
    <w:rsid w:val="00FB0654"/>
    <w:rsid w:val="00FB2768"/>
    <w:rsid w:val="00FB7B06"/>
    <w:rsid w:val="00FB7F2B"/>
    <w:rsid w:val="00FD6381"/>
    <w:rsid w:val="00FD7CF2"/>
    <w:rsid w:val="00FE4529"/>
    <w:rsid w:val="00FE6154"/>
    <w:rsid w:val="00FF214B"/>
    <w:rsid w:val="00FF3F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BBC3A"/>
  <w15:chartTrackingRefBased/>
  <w15:docId w15:val="{DD182500-69BC-48FA-A9F7-16F0F449C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15418"/>
    <w:pPr>
      <w:widowControl w:val="0"/>
      <w:spacing w:after="120" w:line="240" w:lineRule="auto"/>
      <w:jc w:val="both"/>
    </w:pPr>
    <w:rPr>
      <w:rFonts w:ascii="Arial" w:eastAsia="Times New Roman" w:hAnsi="Arial" w:cs="Times New Roman"/>
      <w:snapToGrid w:val="0"/>
      <w:kern w:val="0"/>
      <w:sz w:val="20"/>
      <w:szCs w:val="18"/>
      <w:lang w:val="en-US" w:eastAsia="fr-FR"/>
      <w14:ligatures w14:val="none"/>
    </w:rPr>
  </w:style>
  <w:style w:type="paragraph" w:styleId="Titolo1">
    <w:name w:val="heading 1"/>
    <w:basedOn w:val="Normale"/>
    <w:next w:val="Normale"/>
    <w:link w:val="Titolo1Carattere"/>
    <w:qFormat/>
    <w:rsid w:val="00AE5D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nhideWhenUsed/>
    <w:qFormat/>
    <w:rsid w:val="00AE5D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nhideWhenUsed/>
    <w:qFormat/>
    <w:rsid w:val="00AE5DEA"/>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AE5DEA"/>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E5DEA"/>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E5DE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E5DE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E5DE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E5DE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AE5DEA"/>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rsid w:val="00AE5DEA"/>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rsid w:val="00AE5DEA"/>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AE5DEA"/>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E5DEA"/>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E5DE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E5DE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E5DE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E5DEA"/>
    <w:rPr>
      <w:rFonts w:eastAsiaTheme="majorEastAsia" w:cstheme="majorBidi"/>
      <w:color w:val="272727" w:themeColor="text1" w:themeTint="D8"/>
    </w:rPr>
  </w:style>
  <w:style w:type="paragraph" w:styleId="Titolo">
    <w:name w:val="Title"/>
    <w:basedOn w:val="Normale"/>
    <w:next w:val="Normale"/>
    <w:link w:val="TitoloCarattere"/>
    <w:uiPriority w:val="10"/>
    <w:qFormat/>
    <w:rsid w:val="00AE5DEA"/>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AE5DE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E5DE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E5DE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E5DE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E5DEA"/>
    <w:rPr>
      <w:i/>
      <w:iCs/>
      <w:color w:val="404040" w:themeColor="text1" w:themeTint="BF"/>
    </w:rPr>
  </w:style>
  <w:style w:type="paragraph" w:styleId="Paragrafoelenco">
    <w:name w:val="List Paragraph"/>
    <w:basedOn w:val="Normale"/>
    <w:uiPriority w:val="34"/>
    <w:qFormat/>
    <w:rsid w:val="00AE5DEA"/>
    <w:pPr>
      <w:ind w:left="720"/>
      <w:contextualSpacing/>
    </w:pPr>
  </w:style>
  <w:style w:type="character" w:styleId="Enfasiintensa">
    <w:name w:val="Intense Emphasis"/>
    <w:basedOn w:val="Carpredefinitoparagrafo"/>
    <w:uiPriority w:val="21"/>
    <w:qFormat/>
    <w:rsid w:val="00AE5DEA"/>
    <w:rPr>
      <w:i/>
      <w:iCs/>
      <w:color w:val="0F4761" w:themeColor="accent1" w:themeShade="BF"/>
    </w:rPr>
  </w:style>
  <w:style w:type="paragraph" w:styleId="Citazioneintensa">
    <w:name w:val="Intense Quote"/>
    <w:basedOn w:val="Normale"/>
    <w:next w:val="Normale"/>
    <w:link w:val="CitazioneintensaCarattere"/>
    <w:uiPriority w:val="30"/>
    <w:qFormat/>
    <w:rsid w:val="00AE5D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E5DEA"/>
    <w:rPr>
      <w:i/>
      <w:iCs/>
      <w:color w:val="0F4761" w:themeColor="accent1" w:themeShade="BF"/>
    </w:rPr>
  </w:style>
  <w:style w:type="character" w:styleId="Riferimentointenso">
    <w:name w:val="Intense Reference"/>
    <w:basedOn w:val="Carpredefinitoparagrafo"/>
    <w:uiPriority w:val="32"/>
    <w:qFormat/>
    <w:rsid w:val="00AE5DEA"/>
    <w:rPr>
      <w:b/>
      <w:bCs/>
      <w:smallCaps/>
      <w:color w:val="0F4761" w:themeColor="accent1" w:themeShade="BF"/>
      <w:spacing w:val="5"/>
    </w:rPr>
  </w:style>
  <w:style w:type="paragraph" w:customStyle="1" w:styleId="Abstract">
    <w:name w:val="Abstract"/>
    <w:basedOn w:val="Normale"/>
    <w:rsid w:val="00AE5DEA"/>
    <w:pPr>
      <w:spacing w:line="216" w:lineRule="auto"/>
    </w:pPr>
    <w:rPr>
      <w:i/>
      <w:lang w:val="en-GB"/>
    </w:rPr>
  </w:style>
  <w:style w:type="paragraph" w:customStyle="1" w:styleId="Abstractjicable">
    <w:name w:val="Abstract_jicable"/>
    <w:basedOn w:val="Titolo1"/>
    <w:rsid w:val="00AE5DEA"/>
    <w:pPr>
      <w:keepLines w:val="0"/>
      <w:tabs>
        <w:tab w:val="left" w:pos="-1020"/>
        <w:tab w:val="left" w:pos="-300"/>
      </w:tabs>
      <w:spacing w:before="0" w:after="120"/>
    </w:pPr>
    <w:rPr>
      <w:rFonts w:ascii="Arial" w:eastAsia="Times New Roman" w:hAnsi="Arial" w:cs="Arial"/>
      <w:b/>
      <w:i/>
      <w:caps/>
      <w:color w:val="auto"/>
      <w:sz w:val="22"/>
      <w:szCs w:val="18"/>
      <w:lang w:val="en-GB"/>
    </w:rPr>
  </w:style>
  <w:style w:type="paragraph" w:customStyle="1" w:styleId="Keywords">
    <w:name w:val="Keywords"/>
    <w:basedOn w:val="Titolo1"/>
    <w:rsid w:val="00AE5DEA"/>
    <w:pPr>
      <w:keepLines w:val="0"/>
      <w:tabs>
        <w:tab w:val="left" w:pos="-1020"/>
        <w:tab w:val="left" w:pos="-300"/>
      </w:tabs>
      <w:spacing w:before="240" w:after="120"/>
    </w:pPr>
    <w:rPr>
      <w:rFonts w:ascii="Arial" w:eastAsia="Times New Roman" w:hAnsi="Arial" w:cs="Times New Roman"/>
      <w:b/>
      <w:i/>
      <w:caps/>
      <w:color w:val="auto"/>
      <w:sz w:val="22"/>
      <w:szCs w:val="18"/>
      <w:lang w:val="fr-FR"/>
    </w:rPr>
  </w:style>
  <w:style w:type="paragraph" w:styleId="Didascalia">
    <w:name w:val="caption"/>
    <w:basedOn w:val="Normale"/>
    <w:next w:val="Normale"/>
    <w:link w:val="DidascaliaCarattere"/>
    <w:qFormat/>
    <w:rsid w:val="00AE5DEA"/>
    <w:pPr>
      <w:widowControl/>
      <w:tabs>
        <w:tab w:val="left" w:pos="2694"/>
      </w:tabs>
      <w:jc w:val="center"/>
    </w:pPr>
    <w:rPr>
      <w:b/>
      <w:bCs/>
      <w:snapToGrid/>
      <w:lang w:val="da-DK" w:eastAsia="en-US"/>
    </w:rPr>
  </w:style>
  <w:style w:type="character" w:customStyle="1" w:styleId="Bold">
    <w:name w:val="Bold"/>
    <w:qFormat/>
    <w:rsid w:val="00AE5DEA"/>
    <w:rPr>
      <w:b/>
    </w:rPr>
  </w:style>
  <w:style w:type="table" w:styleId="Grigliatabella">
    <w:name w:val="Table Grid"/>
    <w:basedOn w:val="Tabellanormale"/>
    <w:rsid w:val="00AE5DEA"/>
    <w:pPr>
      <w:spacing w:after="0" w:line="240" w:lineRule="auto"/>
    </w:pPr>
    <w:rPr>
      <w:rFonts w:ascii="Arial" w:eastAsia="Times New Roman" w:hAnsi="Arial" w:cs="Times New Roman"/>
      <w:kern w:val="0"/>
      <w:sz w:val="20"/>
      <w:szCs w:val="20"/>
      <w:lang w:val="fr-FR" w:eastAsia="fr-FR"/>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DidascaliaCarattere">
    <w:name w:val="Didascalia Carattere"/>
    <w:link w:val="Didascalia"/>
    <w:rsid w:val="00AE5DEA"/>
    <w:rPr>
      <w:rFonts w:ascii="Arial" w:eastAsia="Times New Roman" w:hAnsi="Arial" w:cs="Times New Roman"/>
      <w:b/>
      <w:bCs/>
      <w:kern w:val="0"/>
      <w:sz w:val="18"/>
      <w:szCs w:val="18"/>
      <w:lang w:val="da-DK"/>
      <w14:ligatures w14:val="none"/>
    </w:rPr>
  </w:style>
  <w:style w:type="paragraph" w:styleId="Corpotesto">
    <w:name w:val="Body Text"/>
    <w:basedOn w:val="Normale"/>
    <w:link w:val="CorpotestoCarattere"/>
    <w:rsid w:val="00AE5DEA"/>
    <w:pPr>
      <w:widowControl/>
      <w:tabs>
        <w:tab w:val="left" w:pos="288"/>
      </w:tabs>
      <w:spacing w:line="228" w:lineRule="auto"/>
      <w:ind w:firstLine="288"/>
    </w:pPr>
    <w:rPr>
      <w:rFonts w:ascii="Times New Roman" w:eastAsia="SimSun" w:hAnsi="Times New Roman"/>
      <w:snapToGrid/>
      <w:spacing w:val="-1"/>
      <w:szCs w:val="20"/>
      <w:lang w:val="x-none" w:eastAsia="x-none"/>
    </w:rPr>
  </w:style>
  <w:style w:type="character" w:customStyle="1" w:styleId="CorpotestoCarattere">
    <w:name w:val="Corpo testo Carattere"/>
    <w:basedOn w:val="Carpredefinitoparagrafo"/>
    <w:link w:val="Corpotesto"/>
    <w:rsid w:val="00AE5DEA"/>
    <w:rPr>
      <w:rFonts w:ascii="Times New Roman" w:eastAsia="SimSun" w:hAnsi="Times New Roman" w:cs="Times New Roman"/>
      <w:spacing w:val="-1"/>
      <w:kern w:val="0"/>
      <w:sz w:val="20"/>
      <w:szCs w:val="20"/>
      <w:lang w:val="x-none" w:eastAsia="x-none"/>
      <w14:ligatures w14:val="none"/>
    </w:rPr>
  </w:style>
  <w:style w:type="paragraph" w:styleId="Bibliografia">
    <w:name w:val="Bibliography"/>
    <w:basedOn w:val="Normale"/>
    <w:next w:val="Normale"/>
    <w:uiPriority w:val="37"/>
    <w:unhideWhenUsed/>
    <w:rsid w:val="00AE5DEA"/>
    <w:pPr>
      <w:tabs>
        <w:tab w:val="left" w:pos="384"/>
      </w:tabs>
      <w:spacing w:after="0"/>
      <w:ind w:left="384" w:hanging="384"/>
    </w:pPr>
  </w:style>
  <w:style w:type="table" w:styleId="Tabellasemplice-3">
    <w:name w:val="Plain Table 3"/>
    <w:basedOn w:val="Tabellanormale"/>
    <w:uiPriority w:val="43"/>
    <w:rsid w:val="00C61CD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stonotadichiusura">
    <w:name w:val="endnote text"/>
    <w:basedOn w:val="Normale"/>
    <w:link w:val="TestonotadichiusuraCarattere"/>
    <w:uiPriority w:val="99"/>
    <w:semiHidden/>
    <w:unhideWhenUsed/>
    <w:rsid w:val="000005CF"/>
    <w:pPr>
      <w:spacing w:after="0"/>
    </w:pPr>
    <w:rPr>
      <w:szCs w:val="20"/>
    </w:rPr>
  </w:style>
  <w:style w:type="character" w:customStyle="1" w:styleId="TestonotadichiusuraCarattere">
    <w:name w:val="Testo nota di chiusura Carattere"/>
    <w:basedOn w:val="Carpredefinitoparagrafo"/>
    <w:link w:val="Testonotadichiusura"/>
    <w:uiPriority w:val="99"/>
    <w:semiHidden/>
    <w:rsid w:val="000005CF"/>
    <w:rPr>
      <w:rFonts w:ascii="Arial" w:eastAsia="Times New Roman" w:hAnsi="Arial" w:cs="Times New Roman"/>
      <w:snapToGrid w:val="0"/>
      <w:kern w:val="0"/>
      <w:sz w:val="20"/>
      <w:szCs w:val="20"/>
      <w:lang w:val="en-US" w:eastAsia="fr-FR"/>
      <w14:ligatures w14:val="none"/>
    </w:rPr>
  </w:style>
  <w:style w:type="character" w:styleId="Rimandonotadichiusura">
    <w:name w:val="endnote reference"/>
    <w:basedOn w:val="Carpredefinitoparagrafo"/>
    <w:uiPriority w:val="99"/>
    <w:semiHidden/>
    <w:unhideWhenUsed/>
    <w:rsid w:val="000005CF"/>
    <w:rPr>
      <w:vertAlign w:val="superscript"/>
    </w:rPr>
  </w:style>
  <w:style w:type="paragraph" w:styleId="Intestazione">
    <w:name w:val="header"/>
    <w:basedOn w:val="Normale"/>
    <w:link w:val="IntestazioneCarattere"/>
    <w:uiPriority w:val="99"/>
    <w:unhideWhenUsed/>
    <w:rsid w:val="0052598F"/>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52598F"/>
    <w:rPr>
      <w:rFonts w:ascii="Arial" w:eastAsia="Times New Roman" w:hAnsi="Arial" w:cs="Times New Roman"/>
      <w:snapToGrid w:val="0"/>
      <w:kern w:val="0"/>
      <w:sz w:val="20"/>
      <w:szCs w:val="18"/>
      <w:lang w:val="en-US" w:eastAsia="fr-FR"/>
      <w14:ligatures w14:val="none"/>
    </w:rPr>
  </w:style>
  <w:style w:type="paragraph" w:styleId="Pidipagina">
    <w:name w:val="footer"/>
    <w:basedOn w:val="Normale"/>
    <w:link w:val="PidipaginaCarattere"/>
    <w:uiPriority w:val="99"/>
    <w:unhideWhenUsed/>
    <w:rsid w:val="0052598F"/>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52598F"/>
    <w:rPr>
      <w:rFonts w:ascii="Arial" w:eastAsia="Times New Roman" w:hAnsi="Arial" w:cs="Times New Roman"/>
      <w:snapToGrid w:val="0"/>
      <w:kern w:val="0"/>
      <w:sz w:val="20"/>
      <w:szCs w:val="18"/>
      <w:lang w:val="en-US" w:eastAsia="fr-FR"/>
      <w14:ligatures w14:val="none"/>
    </w:rPr>
  </w:style>
  <w:style w:type="character" w:styleId="Rimandocommento">
    <w:name w:val="annotation reference"/>
    <w:basedOn w:val="Carpredefinitoparagrafo"/>
    <w:uiPriority w:val="99"/>
    <w:semiHidden/>
    <w:unhideWhenUsed/>
    <w:rsid w:val="0022597F"/>
    <w:rPr>
      <w:sz w:val="16"/>
      <w:szCs w:val="16"/>
    </w:rPr>
  </w:style>
  <w:style w:type="paragraph" w:styleId="Testocommento">
    <w:name w:val="annotation text"/>
    <w:basedOn w:val="Normale"/>
    <w:link w:val="TestocommentoCarattere"/>
    <w:uiPriority w:val="99"/>
    <w:unhideWhenUsed/>
    <w:rsid w:val="0022597F"/>
    <w:rPr>
      <w:szCs w:val="20"/>
    </w:rPr>
  </w:style>
  <w:style w:type="character" w:customStyle="1" w:styleId="TestocommentoCarattere">
    <w:name w:val="Testo commento Carattere"/>
    <w:basedOn w:val="Carpredefinitoparagrafo"/>
    <w:link w:val="Testocommento"/>
    <w:uiPriority w:val="99"/>
    <w:rsid w:val="0022597F"/>
    <w:rPr>
      <w:rFonts w:ascii="Arial" w:eastAsia="Times New Roman" w:hAnsi="Arial" w:cs="Times New Roman"/>
      <w:snapToGrid w:val="0"/>
      <w:kern w:val="0"/>
      <w:sz w:val="20"/>
      <w:szCs w:val="20"/>
      <w:lang w:val="en-US" w:eastAsia="fr-FR"/>
      <w14:ligatures w14:val="none"/>
    </w:rPr>
  </w:style>
  <w:style w:type="paragraph" w:styleId="Soggettocommento">
    <w:name w:val="annotation subject"/>
    <w:basedOn w:val="Testocommento"/>
    <w:next w:val="Testocommento"/>
    <w:link w:val="SoggettocommentoCarattere"/>
    <w:uiPriority w:val="99"/>
    <w:semiHidden/>
    <w:unhideWhenUsed/>
    <w:rsid w:val="0022597F"/>
    <w:rPr>
      <w:b/>
      <w:bCs/>
    </w:rPr>
  </w:style>
  <w:style w:type="character" w:customStyle="1" w:styleId="SoggettocommentoCarattere">
    <w:name w:val="Soggetto commento Carattere"/>
    <w:basedOn w:val="TestocommentoCarattere"/>
    <w:link w:val="Soggettocommento"/>
    <w:uiPriority w:val="99"/>
    <w:semiHidden/>
    <w:rsid w:val="0022597F"/>
    <w:rPr>
      <w:rFonts w:ascii="Arial" w:eastAsia="Times New Roman" w:hAnsi="Arial" w:cs="Times New Roman"/>
      <w:b/>
      <w:bCs/>
      <w:snapToGrid w:val="0"/>
      <w:kern w:val="0"/>
      <w:sz w:val="20"/>
      <w:szCs w:val="20"/>
      <w:lang w:val="en-US" w:eastAsia="fr-FR"/>
      <w14:ligatures w14:val="none"/>
    </w:rPr>
  </w:style>
  <w:style w:type="paragraph" w:styleId="Revisione">
    <w:name w:val="Revision"/>
    <w:hidden/>
    <w:uiPriority w:val="99"/>
    <w:semiHidden/>
    <w:rsid w:val="0024605E"/>
    <w:pPr>
      <w:spacing w:after="0" w:line="240" w:lineRule="auto"/>
    </w:pPr>
    <w:rPr>
      <w:rFonts w:ascii="Arial" w:eastAsia="Times New Roman" w:hAnsi="Arial" w:cs="Times New Roman"/>
      <w:snapToGrid w:val="0"/>
      <w:kern w:val="0"/>
      <w:sz w:val="20"/>
      <w:szCs w:val="18"/>
      <w:lang w:val="en-US" w:eastAsia="fr-FR"/>
      <w14:ligatures w14:val="none"/>
    </w:rPr>
  </w:style>
  <w:style w:type="character" w:customStyle="1" w:styleId="AUBiosbd">
    <w:name w:val="AU_Bios bd"/>
    <w:rsid w:val="00DA74B0"/>
    <w:rPr>
      <w:rFonts w:ascii="Helvetica" w:hAnsi="Helvetica" w:cs="FormataOTFMd"/>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6924398">
      <w:bodyDiv w:val="1"/>
      <w:marLeft w:val="0"/>
      <w:marRight w:val="0"/>
      <w:marTop w:val="0"/>
      <w:marBottom w:val="0"/>
      <w:divBdr>
        <w:top w:val="none" w:sz="0" w:space="0" w:color="auto"/>
        <w:left w:val="none" w:sz="0" w:space="0" w:color="auto"/>
        <w:bottom w:val="none" w:sz="0" w:space="0" w:color="auto"/>
        <w:right w:val="none" w:sz="0" w:space="0" w:color="auto"/>
      </w:divBdr>
    </w:div>
    <w:div w:id="421341188">
      <w:bodyDiv w:val="1"/>
      <w:marLeft w:val="0"/>
      <w:marRight w:val="0"/>
      <w:marTop w:val="0"/>
      <w:marBottom w:val="0"/>
      <w:divBdr>
        <w:top w:val="none" w:sz="0" w:space="0" w:color="auto"/>
        <w:left w:val="none" w:sz="0" w:space="0" w:color="auto"/>
        <w:bottom w:val="none" w:sz="0" w:space="0" w:color="auto"/>
        <w:right w:val="none" w:sz="0" w:space="0" w:color="auto"/>
      </w:divBdr>
    </w:div>
    <w:div w:id="425347067">
      <w:bodyDiv w:val="1"/>
      <w:marLeft w:val="0"/>
      <w:marRight w:val="0"/>
      <w:marTop w:val="0"/>
      <w:marBottom w:val="0"/>
      <w:divBdr>
        <w:top w:val="none" w:sz="0" w:space="0" w:color="auto"/>
        <w:left w:val="none" w:sz="0" w:space="0" w:color="auto"/>
        <w:bottom w:val="none" w:sz="0" w:space="0" w:color="auto"/>
        <w:right w:val="none" w:sz="0" w:space="0" w:color="auto"/>
      </w:divBdr>
    </w:div>
    <w:div w:id="636642615">
      <w:bodyDiv w:val="1"/>
      <w:marLeft w:val="0"/>
      <w:marRight w:val="0"/>
      <w:marTop w:val="0"/>
      <w:marBottom w:val="0"/>
      <w:divBdr>
        <w:top w:val="none" w:sz="0" w:space="0" w:color="auto"/>
        <w:left w:val="none" w:sz="0" w:space="0" w:color="auto"/>
        <w:bottom w:val="none" w:sz="0" w:space="0" w:color="auto"/>
        <w:right w:val="none" w:sz="0" w:space="0" w:color="auto"/>
      </w:divBdr>
    </w:div>
    <w:div w:id="714813467">
      <w:bodyDiv w:val="1"/>
      <w:marLeft w:val="0"/>
      <w:marRight w:val="0"/>
      <w:marTop w:val="0"/>
      <w:marBottom w:val="0"/>
      <w:divBdr>
        <w:top w:val="none" w:sz="0" w:space="0" w:color="auto"/>
        <w:left w:val="none" w:sz="0" w:space="0" w:color="auto"/>
        <w:bottom w:val="none" w:sz="0" w:space="0" w:color="auto"/>
        <w:right w:val="none" w:sz="0" w:space="0" w:color="auto"/>
      </w:divBdr>
    </w:div>
    <w:div w:id="762186068">
      <w:bodyDiv w:val="1"/>
      <w:marLeft w:val="0"/>
      <w:marRight w:val="0"/>
      <w:marTop w:val="0"/>
      <w:marBottom w:val="0"/>
      <w:divBdr>
        <w:top w:val="none" w:sz="0" w:space="0" w:color="auto"/>
        <w:left w:val="none" w:sz="0" w:space="0" w:color="auto"/>
        <w:bottom w:val="none" w:sz="0" w:space="0" w:color="auto"/>
        <w:right w:val="none" w:sz="0" w:space="0" w:color="auto"/>
      </w:divBdr>
    </w:div>
    <w:div w:id="963199762">
      <w:bodyDiv w:val="1"/>
      <w:marLeft w:val="0"/>
      <w:marRight w:val="0"/>
      <w:marTop w:val="0"/>
      <w:marBottom w:val="0"/>
      <w:divBdr>
        <w:top w:val="none" w:sz="0" w:space="0" w:color="auto"/>
        <w:left w:val="none" w:sz="0" w:space="0" w:color="auto"/>
        <w:bottom w:val="none" w:sz="0" w:space="0" w:color="auto"/>
        <w:right w:val="none" w:sz="0" w:space="0" w:color="auto"/>
      </w:divBdr>
    </w:div>
    <w:div w:id="1094210661">
      <w:bodyDiv w:val="1"/>
      <w:marLeft w:val="0"/>
      <w:marRight w:val="0"/>
      <w:marTop w:val="0"/>
      <w:marBottom w:val="0"/>
      <w:divBdr>
        <w:top w:val="none" w:sz="0" w:space="0" w:color="auto"/>
        <w:left w:val="none" w:sz="0" w:space="0" w:color="auto"/>
        <w:bottom w:val="none" w:sz="0" w:space="0" w:color="auto"/>
        <w:right w:val="none" w:sz="0" w:space="0" w:color="auto"/>
      </w:divBdr>
    </w:div>
    <w:div w:id="1134173967">
      <w:bodyDiv w:val="1"/>
      <w:marLeft w:val="0"/>
      <w:marRight w:val="0"/>
      <w:marTop w:val="0"/>
      <w:marBottom w:val="0"/>
      <w:divBdr>
        <w:top w:val="none" w:sz="0" w:space="0" w:color="auto"/>
        <w:left w:val="none" w:sz="0" w:space="0" w:color="auto"/>
        <w:bottom w:val="none" w:sz="0" w:space="0" w:color="auto"/>
        <w:right w:val="none" w:sz="0" w:space="0" w:color="auto"/>
      </w:divBdr>
    </w:div>
    <w:div w:id="1499268752">
      <w:bodyDiv w:val="1"/>
      <w:marLeft w:val="0"/>
      <w:marRight w:val="0"/>
      <w:marTop w:val="0"/>
      <w:marBottom w:val="0"/>
      <w:divBdr>
        <w:top w:val="none" w:sz="0" w:space="0" w:color="auto"/>
        <w:left w:val="none" w:sz="0" w:space="0" w:color="auto"/>
        <w:bottom w:val="none" w:sz="0" w:space="0" w:color="auto"/>
        <w:right w:val="none" w:sz="0" w:space="0" w:color="auto"/>
      </w:divBdr>
    </w:div>
    <w:div w:id="1526138339">
      <w:bodyDiv w:val="1"/>
      <w:marLeft w:val="0"/>
      <w:marRight w:val="0"/>
      <w:marTop w:val="0"/>
      <w:marBottom w:val="0"/>
      <w:divBdr>
        <w:top w:val="none" w:sz="0" w:space="0" w:color="auto"/>
        <w:left w:val="none" w:sz="0" w:space="0" w:color="auto"/>
        <w:bottom w:val="none" w:sz="0" w:space="0" w:color="auto"/>
        <w:right w:val="none" w:sz="0" w:space="0" w:color="auto"/>
      </w:divBdr>
    </w:div>
    <w:div w:id="1974024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sv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svg"/><Relationship Id="rId25" Type="http://schemas.openxmlformats.org/officeDocument/2006/relationships/image" Target="media/image18.svg"/><Relationship Id="rId33"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sv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svg"/><Relationship Id="rId23" Type="http://schemas.openxmlformats.org/officeDocument/2006/relationships/image" Target="media/image16.sv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svg"/><Relationship Id="rId31" Type="http://schemas.openxmlformats.org/officeDocument/2006/relationships/image" Target="media/image24.sv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svg"/><Relationship Id="rId30" Type="http://schemas.openxmlformats.org/officeDocument/2006/relationships/image" Target="media/image23.png"/><Relationship Id="rId35" Type="http://schemas.openxmlformats.org/officeDocument/2006/relationships/footer" Target="footer1.xm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AE546A8-E9E6-4A3F-B5CF-8F03F717525F}">
  <we:reference id="wa200005287" version="1.0.0.3" store="it-IT" storeType="OMEX"/>
  <we:alternateReferences>
    <we:reference id="WA200005287" version="1.0.0.3"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46DFD8-D7F3-4C1B-A47C-ACA9422C8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20182</Words>
  <Characters>115041</Characters>
  <Application>Microsoft Office Word</Application>
  <DocSecurity>0</DocSecurity>
  <Lines>958</Lines>
  <Paragraphs>269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 Vincenzo Suraci</dc:creator>
  <cp:keywords/>
  <dc:description/>
  <cp:lastModifiedBy>Simone V. Suraci</cp:lastModifiedBy>
  <cp:revision>11</cp:revision>
  <cp:lastPrinted>2025-02-17T10:04:00Z</cp:lastPrinted>
  <dcterms:created xsi:type="dcterms:W3CDTF">2025-03-05T11:29:00Z</dcterms:created>
  <dcterms:modified xsi:type="dcterms:W3CDTF">2025-03-05T14:07:00Z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zotero-version="7.0.11"&gt;&lt;session id="QKt2LedQ"/&gt;&lt;style id="http://www.zotero.org/styles/ieee" locale="it-IT"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