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AFEC6E" w14:textId="77777777" w:rsidR="00E10315" w:rsidRPr="000D6EF2" w:rsidRDefault="00196B24" w:rsidP="00B7245E">
      <w:pPr>
        <w:ind w:firstLine="567"/>
        <w:jc w:val="center"/>
        <w:rPr>
          <w:rFonts w:ascii="Times New Roman" w:hAnsi="Times New Roman" w:cs="Times New Roman"/>
          <w:smallCaps/>
          <w:sz w:val="28"/>
          <w:szCs w:val="28"/>
        </w:rPr>
      </w:pPr>
      <w:r w:rsidRPr="000D6EF2">
        <w:rPr>
          <w:rFonts w:ascii="Times New Roman" w:hAnsi="Times New Roman" w:cs="Times New Roman"/>
          <w:smallCaps/>
          <w:sz w:val="28"/>
          <w:szCs w:val="28"/>
        </w:rPr>
        <w:t>Concorsi naturali: atomismo e mostruosità in Epicuro e Lucrezio</w:t>
      </w:r>
    </w:p>
    <w:p w14:paraId="738C4739" w14:textId="77777777" w:rsidR="00B7245E" w:rsidRPr="000D6EF2" w:rsidRDefault="00B7245E">
      <w:pPr>
        <w:ind w:firstLine="567"/>
        <w:rPr>
          <w:rFonts w:ascii="Times New Roman" w:hAnsi="Times New Roman" w:cs="Times New Roman"/>
          <w:sz w:val="28"/>
          <w:szCs w:val="28"/>
        </w:rPr>
      </w:pPr>
    </w:p>
    <w:p w14:paraId="679552C3" w14:textId="6694E2D2" w:rsidR="00B7245E" w:rsidRPr="000D6EF2" w:rsidRDefault="00B7245E" w:rsidP="00B7245E">
      <w:pPr>
        <w:ind w:firstLine="567"/>
        <w:jc w:val="center"/>
        <w:rPr>
          <w:rFonts w:ascii="Times New Roman" w:hAnsi="Times New Roman" w:cs="Times New Roman"/>
          <w:sz w:val="28"/>
          <w:szCs w:val="28"/>
        </w:rPr>
      </w:pPr>
      <w:r w:rsidRPr="000D6EF2">
        <w:rPr>
          <w:rFonts w:ascii="Times New Roman" w:hAnsi="Times New Roman" w:cs="Times New Roman"/>
          <w:sz w:val="28"/>
          <w:szCs w:val="28"/>
        </w:rPr>
        <w:t>Filippo Del Lucchese</w:t>
      </w:r>
    </w:p>
    <w:p w14:paraId="78CE8646" w14:textId="77777777" w:rsidR="00B7245E" w:rsidRPr="000D6EF2" w:rsidRDefault="00B7245E">
      <w:pPr>
        <w:ind w:firstLine="567"/>
        <w:rPr>
          <w:rFonts w:ascii="Times New Roman" w:hAnsi="Times New Roman" w:cs="Times New Roman"/>
        </w:rPr>
      </w:pPr>
    </w:p>
    <w:p w14:paraId="500DFB8C" w14:textId="77777777" w:rsidR="00E10315" w:rsidRPr="000D6EF2" w:rsidRDefault="00E10315">
      <w:pPr>
        <w:pStyle w:val="BodyText"/>
        <w:rPr>
          <w:rFonts w:cs="Times New Roman"/>
        </w:rPr>
      </w:pPr>
    </w:p>
    <w:p w14:paraId="4377FD8E" w14:textId="2FB6B604" w:rsidR="00E10315" w:rsidRPr="000D6EF2" w:rsidRDefault="00196B24" w:rsidP="007A6F98">
      <w:pPr>
        <w:pStyle w:val="BodyText"/>
        <w:jc w:val="left"/>
        <w:rPr>
          <w:rFonts w:cs="Times New Roman"/>
          <w:bCs/>
          <w:i/>
          <w:sz w:val="28"/>
          <w:szCs w:val="28"/>
        </w:rPr>
      </w:pPr>
      <w:r w:rsidRPr="000D6EF2">
        <w:rPr>
          <w:rFonts w:cs="Times New Roman"/>
          <w:bCs/>
          <w:i/>
          <w:sz w:val="28"/>
          <w:szCs w:val="28"/>
        </w:rPr>
        <w:t>Una causalità immanente per un universo infinito</w:t>
      </w:r>
    </w:p>
    <w:p w14:paraId="0F71903F" w14:textId="77777777" w:rsidR="005F6658" w:rsidRPr="000D6EF2" w:rsidRDefault="005F6658">
      <w:pPr>
        <w:pStyle w:val="BodyText"/>
        <w:rPr>
          <w:rFonts w:cs="Times New Roman"/>
        </w:rPr>
      </w:pPr>
    </w:p>
    <w:p w14:paraId="6D47064D" w14:textId="199B5E52" w:rsidR="00E10315" w:rsidRPr="000D6EF2" w:rsidRDefault="00196B24">
      <w:pPr>
        <w:pStyle w:val="BodyText"/>
        <w:rPr>
          <w:rFonts w:cs="Times New Roman"/>
        </w:rPr>
      </w:pPr>
      <w:r w:rsidRPr="000D6EF2">
        <w:rPr>
          <w:rFonts w:cs="Times New Roman"/>
        </w:rPr>
        <w:t xml:space="preserve">In questo </w:t>
      </w:r>
      <w:r w:rsidR="007B08D4" w:rsidRPr="000D6EF2">
        <w:rPr>
          <w:rFonts w:cs="Times New Roman"/>
        </w:rPr>
        <w:t>saggio</w:t>
      </w:r>
      <w:r w:rsidRPr="000D6EF2">
        <w:rPr>
          <w:rFonts w:cs="Times New Roman"/>
        </w:rPr>
        <w:t xml:space="preserve"> analizzerò come Epicuro e Lucrezio trattino il tema della mostruosità. I due filosofi non solo condividono molti elementi teorici ma, spesso, sono stati anche letti insieme; i loro sistemi filosofici, inoltre, sono ritenuti costituire, insieme, lo snodo centrale della risposta atomista al platonismo e all’aristotelismo. I Τέρατα non sono parte del linguaggio epicureo, dove troviamo solo i τερατεία, lo spettacolare e il meraviglioso usati per impressionare le persone comuni e colpire la loro immaginazione</w:t>
      </w:r>
      <w:r w:rsidRPr="000D6EF2">
        <w:rPr>
          <w:rStyle w:val="Richiamoallanotaapidipagina"/>
          <w:rFonts w:cs="Times New Roman"/>
        </w:rPr>
        <w:footnoteReference w:id="1"/>
      </w:r>
      <w:r w:rsidRPr="000D6EF2">
        <w:rPr>
          <w:rFonts w:cs="Times New Roman"/>
        </w:rPr>
        <w:t xml:space="preserve">. Epicuro appare più interessato all’uso superstizioso che dei mostri si può fare, piuttosto che a capirne il significato ontologico e la presenza biologica in natura. Di fatto, i mostri sono sì presenti nel discorso epicureo sulle antiche zoogonie ma, dal momento che l’unico testo sopravvissuto di Epicuro sulla zoogonia è un frammento citato da </w:t>
      </w:r>
      <w:r w:rsidR="002D2ED1" w:rsidRPr="000D6EF2">
        <w:rPr>
          <w:rFonts w:cs="Times New Roman"/>
        </w:rPr>
        <w:t>Censorino</w:t>
      </w:r>
      <w:r w:rsidRPr="000D6EF2">
        <w:rPr>
          <w:rStyle w:val="Richiamoallanotaapidipagina"/>
          <w:rFonts w:cs="Times New Roman"/>
        </w:rPr>
        <w:footnoteReference w:id="2"/>
      </w:r>
      <w:r w:rsidRPr="000D6EF2">
        <w:rPr>
          <w:rFonts w:cs="Times New Roman"/>
        </w:rPr>
        <w:t>, non vi sono molti testi a partire dai quali iniziare una riflessione. Secondo Diogene Laerzio</w:t>
      </w:r>
      <w:r w:rsidRPr="000D6EF2">
        <w:rPr>
          <w:rStyle w:val="Richiamoallanotaapidipagina"/>
          <w:rFonts w:cs="Times New Roman"/>
        </w:rPr>
        <w:footnoteReference w:id="3"/>
      </w:r>
      <w:r w:rsidRPr="000D6EF2">
        <w:rPr>
          <w:rFonts w:cs="Times New Roman"/>
        </w:rPr>
        <w:t xml:space="preserve">, la maggior parte dei lavori di Epicuro sono andati perduti, in particolare i trentasette libri del suo </w:t>
      </w:r>
      <w:r w:rsidRPr="000D6EF2">
        <w:rPr>
          <w:rFonts w:cs="Times New Roman"/>
          <w:lang w:val="en-GB"/>
        </w:rPr>
        <w:t>Περὶ φύσεος,</w:t>
      </w:r>
      <w:r w:rsidRPr="000D6EF2">
        <w:rPr>
          <w:rFonts w:cs="Times New Roman"/>
        </w:rPr>
        <w:t xml:space="preserve"> assieme a molti altri testi che questo prolifico autore aveva scritto. È difficile, quindi, pensare che Epicuro non fosse interessato alla mostruosità, </w:t>
      </w:r>
      <w:r w:rsidR="002D2ED1" w:rsidRPr="000D6EF2">
        <w:rPr>
          <w:rFonts w:cs="Times New Roman"/>
        </w:rPr>
        <w:t>vista l’importana del</w:t>
      </w:r>
      <w:r w:rsidRPr="000D6EF2">
        <w:rPr>
          <w:rFonts w:cs="Times New Roman"/>
        </w:rPr>
        <w:t xml:space="preserve"> tema per </w:t>
      </w:r>
      <w:r w:rsidR="002D2ED1" w:rsidRPr="000D6EF2">
        <w:rPr>
          <w:rFonts w:cs="Times New Roman"/>
        </w:rPr>
        <w:t xml:space="preserve">affrontare </w:t>
      </w:r>
      <w:r w:rsidRPr="000D6EF2">
        <w:rPr>
          <w:rFonts w:cs="Times New Roman"/>
        </w:rPr>
        <w:t>entrambi i suoi obiettivi polemici, cioè Platone e Aristotele, e per le sue fonti, come Democrito</w:t>
      </w:r>
      <w:r w:rsidRPr="000D6EF2">
        <w:rPr>
          <w:rStyle w:val="Richiamoallanotaapidipagina"/>
          <w:rFonts w:cs="Times New Roman"/>
        </w:rPr>
        <w:footnoteReference w:id="4"/>
      </w:r>
      <w:r w:rsidRPr="000D6EF2">
        <w:rPr>
          <w:rFonts w:cs="Times New Roman"/>
        </w:rPr>
        <w:t xml:space="preserve">. </w:t>
      </w:r>
    </w:p>
    <w:p w14:paraId="58C9B062" w14:textId="77777777" w:rsidR="00E10315" w:rsidRPr="000D6EF2" w:rsidRDefault="00196B24">
      <w:pPr>
        <w:pStyle w:val="BodyText"/>
        <w:rPr>
          <w:rFonts w:cs="Times New Roman"/>
        </w:rPr>
      </w:pPr>
      <w:r w:rsidRPr="000D6EF2">
        <w:rPr>
          <w:rFonts w:cs="Times New Roman"/>
        </w:rPr>
        <w:t xml:space="preserve">Non sorprende, quindi, che la mostruosità occupi larga parte del </w:t>
      </w:r>
      <w:r w:rsidRPr="000D6EF2">
        <w:rPr>
          <w:rFonts w:cs="Times New Roman"/>
          <w:i/>
          <w:iCs/>
        </w:rPr>
        <w:t>De Rerum Natura</w:t>
      </w:r>
      <w:r w:rsidRPr="000D6EF2">
        <w:rPr>
          <w:rFonts w:cs="Times New Roman"/>
        </w:rPr>
        <w:t xml:space="preserve"> di Lucrezio, che è direttamente ispirato da Epicuro. Lucrezio, probabilmente, aveva accesso a molti più testi di Epicuro rispetto a noi</w:t>
      </w:r>
      <w:r w:rsidRPr="000D6EF2">
        <w:rPr>
          <w:rStyle w:val="Richiamoallanotaapidipagina"/>
          <w:rFonts w:cs="Times New Roman"/>
        </w:rPr>
        <w:footnoteReference w:id="5"/>
      </w:r>
      <w:r w:rsidRPr="000D6EF2">
        <w:rPr>
          <w:rFonts w:cs="Times New Roman"/>
        </w:rPr>
        <w:t>. La critica ha provato, tuttavia, che la relazione tra i due autori è piuttosto complessa e non è possibile utilizzare un lavoro proveniente da un contesto più recente per supplire a fonti più antiche andate perdute. Mentre alcuni studiosi tendono a trascurare l’originalità di Lucrezio e ritengono che il poeta latino si limiti a ripetere le teorie del maestro</w:t>
      </w:r>
      <w:r w:rsidRPr="000D6EF2">
        <w:rPr>
          <w:rStyle w:val="Richiamoallanotaapidipagina"/>
          <w:rFonts w:cs="Times New Roman"/>
        </w:rPr>
        <w:footnoteReference w:id="6"/>
      </w:r>
      <w:r w:rsidRPr="000D6EF2">
        <w:rPr>
          <w:rFonts w:cs="Times New Roman"/>
        </w:rPr>
        <w:t xml:space="preserve">, altri riconoscono </w:t>
      </w:r>
      <w:r w:rsidRPr="000D6EF2">
        <w:rPr>
          <w:rFonts w:cs="Times New Roman"/>
        </w:rPr>
        <w:lastRenderedPageBreak/>
        <w:t xml:space="preserve">apertamente l’evoluzione che naturalmente </w:t>
      </w:r>
      <w:r w:rsidR="002D2ED1" w:rsidRPr="000D6EF2">
        <w:rPr>
          <w:rFonts w:cs="Times New Roman"/>
        </w:rPr>
        <w:t>caratterizza</w:t>
      </w:r>
      <w:r w:rsidRPr="000D6EF2">
        <w:rPr>
          <w:rFonts w:cs="Times New Roman"/>
        </w:rPr>
        <w:t xml:space="preserve"> l’atomismo nel corso dei secoli</w:t>
      </w:r>
      <w:r w:rsidRPr="000D6EF2">
        <w:rPr>
          <w:rStyle w:val="Richiamoallanotaapidipagina"/>
          <w:rFonts w:cs="Times New Roman"/>
        </w:rPr>
        <w:footnoteReference w:id="7"/>
      </w:r>
      <w:r w:rsidRPr="000D6EF2">
        <w:rPr>
          <w:rFonts w:cs="Times New Roman"/>
        </w:rPr>
        <w:t>. Tale consapevolezza dello sviluppo storico, anche all’interno della stessa scuola filosofica, impedisce di usare Lucrezio per ricostruire la teoria epicurea della natura e, in particolare, della mostruosità. Alla luce di ciò, altri autori, come Empedocle, sembrano tanto importanti quanto Epicuro per Lucrezio</w:t>
      </w:r>
      <w:r w:rsidRPr="000D6EF2">
        <w:rPr>
          <w:rStyle w:val="Richiamoallanotaapidipagina"/>
          <w:rFonts w:cs="Times New Roman"/>
        </w:rPr>
        <w:footnoteReference w:id="8"/>
      </w:r>
      <w:r w:rsidRPr="000D6EF2">
        <w:rPr>
          <w:rFonts w:cs="Times New Roman"/>
        </w:rPr>
        <w:t xml:space="preserve">. Ciò nonostante, è possibile delineare le problematiche centrali di ciò che viene definito, nel corso dei secoli, come la filosofia epicurea, indipendentemente dai differenti contributi individuali. </w:t>
      </w:r>
    </w:p>
    <w:p w14:paraId="4C80758B" w14:textId="7C5D33BE" w:rsidR="00E10315" w:rsidRPr="000D6EF2" w:rsidRDefault="00196B24">
      <w:pPr>
        <w:pStyle w:val="BodyText"/>
        <w:rPr>
          <w:rFonts w:cs="Times New Roman"/>
        </w:rPr>
      </w:pPr>
      <w:r w:rsidRPr="000D6EF2">
        <w:rPr>
          <w:rFonts w:cs="Times New Roman"/>
        </w:rPr>
        <w:t xml:space="preserve">I principi generali della fisica epicurea si trovano nella </w:t>
      </w:r>
      <w:r w:rsidRPr="000D6EF2">
        <w:rPr>
          <w:rFonts w:cs="Times New Roman"/>
          <w:i/>
          <w:iCs/>
        </w:rPr>
        <w:t>Lettera a Erodoto</w:t>
      </w:r>
      <w:r w:rsidRPr="000D6EF2">
        <w:rPr>
          <w:rFonts w:cs="Times New Roman"/>
        </w:rPr>
        <w:t xml:space="preserve"> e nel frammanto del </w:t>
      </w:r>
      <w:r w:rsidRPr="000D6EF2">
        <w:rPr>
          <w:rFonts w:cs="Times New Roman"/>
          <w:lang w:val="en-GB"/>
        </w:rPr>
        <w:t xml:space="preserve"> Περὶ φύσεως</w:t>
      </w:r>
      <w:r w:rsidRPr="000D6EF2">
        <w:rPr>
          <w:rFonts w:cs="Times New Roman"/>
        </w:rPr>
        <w:t xml:space="preserve">, rielaborato successivamente in latino da Lucrezio nel </w:t>
      </w:r>
      <w:r w:rsidRPr="000D6EF2">
        <w:rPr>
          <w:rFonts w:cs="Times New Roman"/>
          <w:i/>
          <w:iCs/>
        </w:rPr>
        <w:t>De Rerum Natura</w:t>
      </w:r>
      <w:r w:rsidRPr="000D6EF2">
        <w:rPr>
          <w:rFonts w:cs="Times New Roman"/>
        </w:rPr>
        <w:t>. Il perno fondamentale del pensiero di Epicuro è che:</w:t>
      </w:r>
    </w:p>
    <w:p w14:paraId="772A3C72" w14:textId="77777777" w:rsidR="00E10315" w:rsidRPr="000D6EF2" w:rsidRDefault="00E10315">
      <w:pPr>
        <w:pStyle w:val="Testocitato"/>
        <w:rPr>
          <w:rFonts w:cs="Times New Roman"/>
          <w:shd w:val="clear" w:color="auto" w:fill="00FF00"/>
        </w:rPr>
      </w:pPr>
    </w:p>
    <w:p w14:paraId="2A5DD149" w14:textId="6FC65C7B" w:rsidR="00E10315" w:rsidRPr="000D6EF2" w:rsidRDefault="00196B24">
      <w:pPr>
        <w:pStyle w:val="Testocitato"/>
        <w:rPr>
          <w:rFonts w:cs="Times New Roman"/>
          <w:sz w:val="20"/>
          <w:szCs w:val="20"/>
        </w:rPr>
      </w:pPr>
      <w:r w:rsidRPr="000D6EF2">
        <w:rPr>
          <w:rFonts w:cs="Times New Roman"/>
          <w:kern w:val="0"/>
          <w:sz w:val="20"/>
          <w:szCs w:val="20"/>
          <w:lang w:val="en-US" w:bidi="ar-SA"/>
        </w:rPr>
        <w:t>nulla viene all’essere dal non-essere, perché in tal caso ogni cosa sarebbe venuta all’essere da ogni altra, senza alcun bisogno di semi generatori. E poi, se ciò che si distrugge svanisse nel non-essere, tutte le cose andrebbero perdute, perché ciò in cui si dissolvono non è. E, in verità, il tutto è sempre stato come è ora, e sarà sempre così per il fatto che non c’è nulla che, subentrando, possa operare la trasformazione.</w:t>
      </w:r>
      <w:r w:rsidRPr="000D6EF2">
        <w:rPr>
          <w:rStyle w:val="FootnoteReference"/>
          <w:rFonts w:cs="Times New Roman"/>
          <w:kern w:val="0"/>
          <w:sz w:val="20"/>
          <w:szCs w:val="20"/>
          <w:lang w:val="en-US" w:bidi="ar-SA"/>
        </w:rPr>
        <w:footnoteReference w:id="9"/>
      </w:r>
    </w:p>
    <w:p w14:paraId="6C329856" w14:textId="4FFD0488" w:rsidR="00E10315" w:rsidRPr="000D6EF2" w:rsidRDefault="00196B24">
      <w:pPr>
        <w:pStyle w:val="BodyText"/>
        <w:rPr>
          <w:rFonts w:cs="Times New Roman"/>
        </w:rPr>
      </w:pPr>
      <w:r w:rsidRPr="000D6EF2">
        <w:rPr>
          <w:rFonts w:cs="Times New Roman"/>
        </w:rPr>
        <w:t>Come sottolineato da Bailey, il primo gruppo di principi, già conosciuto da Anassagora e Democrito, implica immediatamente l’idea fondamentale che «ogni oggetto materiale ha una causa materiale» e che «ogni creazione della quale abbiamo cognizione implica un seme precedente»</w:t>
      </w:r>
      <w:r w:rsidRPr="000D6EF2">
        <w:rPr>
          <w:rStyle w:val="Richiamoallanotaapidipagina"/>
          <w:rFonts w:cs="Times New Roman"/>
        </w:rPr>
        <w:footnoteReference w:id="10"/>
      </w:r>
      <w:r w:rsidRPr="000D6EF2">
        <w:rPr>
          <w:rFonts w:cs="Times New Roman"/>
        </w:rPr>
        <w:t xml:space="preserve">. L’intera trattazione della mostruosità in Lucrezio e, più in generale, nella prospettiva atomista, è sviluppata all’interno di questa cornice, secondo la quale la trasformazione e permanenza sono le caratteristiche dell’intero universo, senza eccezioni; ciò consente di comprenderlo e, al contempo, di escludere ogni spiegazione misteriosa o trascendente dei fenomeni naturali, anche i più curiosi, strani o mostruosi. Anch’essi avvengono secondo i principi che governano la trasformazione universale, ma sono ricondotti nei limiti dell’assoluta regolarità dell’universo stesso, perché niente esiste </w:t>
      </w:r>
      <w:r w:rsidRPr="000D6EF2">
        <w:rPr>
          <w:rFonts w:cs="Times New Roman"/>
          <w:i/>
          <w:iCs/>
        </w:rPr>
        <w:t xml:space="preserve">al di fuori </w:t>
      </w:r>
      <w:r w:rsidRPr="000D6EF2">
        <w:rPr>
          <w:rFonts w:cs="Times New Roman"/>
        </w:rPr>
        <w:t xml:space="preserve">dell’universo e può agire </w:t>
      </w:r>
      <w:r w:rsidRPr="000D6EF2">
        <w:rPr>
          <w:rFonts w:cs="Times New Roman"/>
          <w:i/>
          <w:iCs/>
        </w:rPr>
        <w:t>su</w:t>
      </w:r>
      <w:r w:rsidRPr="000D6EF2">
        <w:rPr>
          <w:rFonts w:cs="Times New Roman"/>
        </w:rPr>
        <w:t xml:space="preserve"> di esso.</w:t>
      </w:r>
    </w:p>
    <w:p w14:paraId="6C0B0BA2" w14:textId="6DB92CBC" w:rsidR="00E10315" w:rsidRPr="000D6EF2" w:rsidRDefault="00196B24">
      <w:pPr>
        <w:pStyle w:val="BodyText"/>
        <w:rPr>
          <w:rFonts w:cs="Times New Roman"/>
        </w:rPr>
      </w:pPr>
      <w:r w:rsidRPr="000D6EF2">
        <w:rPr>
          <w:rFonts w:cs="Times New Roman"/>
        </w:rPr>
        <w:t>Lucrezio rievoca con forza quest’idea, combattendo ancora più esplicitamente il trascendentalismo: «nulla è mai stato prodotto dal potere divino dal nulla (</w:t>
      </w:r>
      <w:r w:rsidRPr="000D6EF2">
        <w:rPr>
          <w:rFonts w:cs="Times New Roman"/>
          <w:i/>
          <w:iCs/>
        </w:rPr>
        <w:t>nullam rem e nilo gigni diuinitus umquam</w:t>
      </w:r>
      <w:r w:rsidRPr="000D6EF2">
        <w:rPr>
          <w:rFonts w:cs="Times New Roman"/>
        </w:rPr>
        <w:t xml:space="preserve">)». Altrimenti, tutto avrebbe potuto e sicuramente sarebbe stato prodotto da tutte le cose, e non vi sarebbe bisogno alcuno di semi. Inoltre, quando le cose individualmente periscono, </w:t>
      </w:r>
      <w:r w:rsidRPr="000D6EF2">
        <w:rPr>
          <w:rFonts w:cs="Times New Roman"/>
        </w:rPr>
        <w:lastRenderedPageBreak/>
        <w:t>non cadono nel nulla, ma si risolvono nei loro elementi componenti (</w:t>
      </w:r>
      <w:r w:rsidRPr="000D6EF2">
        <w:rPr>
          <w:rFonts w:cs="Times New Roman"/>
          <w:i/>
          <w:iCs/>
        </w:rPr>
        <w:t>in sua corpora rursum | dissoluat natura neque ad nilum interemat res</w:t>
      </w:r>
      <w:r w:rsidRPr="000D6EF2">
        <w:rPr>
          <w:rFonts w:cs="Times New Roman"/>
        </w:rPr>
        <w:t>)</w:t>
      </w:r>
      <w:r w:rsidRPr="000D6EF2">
        <w:rPr>
          <w:rStyle w:val="Richiamoallanotaapidipagina"/>
          <w:rFonts w:cs="Times New Roman"/>
        </w:rPr>
        <w:footnoteReference w:id="11"/>
      </w:r>
      <w:r w:rsidRPr="000D6EF2">
        <w:rPr>
          <w:rFonts w:cs="Times New Roman"/>
        </w:rPr>
        <w:t>.</w:t>
      </w:r>
    </w:p>
    <w:p w14:paraId="7ECA315F" w14:textId="0356057B" w:rsidR="00E10315" w:rsidRPr="000D6EF2" w:rsidRDefault="00196B24">
      <w:pPr>
        <w:pStyle w:val="BodyText"/>
        <w:rPr>
          <w:rFonts w:cs="Times New Roman"/>
        </w:rPr>
      </w:pPr>
      <w:r w:rsidRPr="000D6EF2">
        <w:rPr>
          <w:rFonts w:cs="Times New Roman"/>
        </w:rPr>
        <w:t>L’universale permanenza e la trasformazione costituiscono il teatro dell’incessante attività delle entità componenti il tutto (πᾶς). Cioè i corpi (σώματα) e lo spazio (τόπος), o il vuoto (κενός)</w:t>
      </w:r>
      <w:r w:rsidRPr="000D6EF2">
        <w:rPr>
          <w:rStyle w:val="Richiamoallanotaapidipagina"/>
          <w:rFonts w:cs="Times New Roman"/>
        </w:rPr>
        <w:footnoteReference w:id="12"/>
      </w:r>
      <w:r w:rsidRPr="000D6EF2">
        <w:rPr>
          <w:rFonts w:cs="Times New Roman"/>
        </w:rPr>
        <w:t xml:space="preserve">. Gli atomi o </w:t>
      </w:r>
      <w:r w:rsidRPr="000D6EF2">
        <w:rPr>
          <w:rFonts w:cs="Times New Roman"/>
          <w:i/>
          <w:iCs/>
        </w:rPr>
        <w:t>corpora</w:t>
      </w:r>
      <w:r w:rsidRPr="000D6EF2">
        <w:rPr>
          <w:rFonts w:cs="Times New Roman"/>
        </w:rPr>
        <w:t xml:space="preserve"> sono indivisibili</w:t>
      </w:r>
      <w:r w:rsidRPr="000D6EF2">
        <w:rPr>
          <w:rStyle w:val="Richiamoallanotaapidipagina"/>
          <w:rFonts w:cs="Times New Roman"/>
        </w:rPr>
        <w:footnoteReference w:id="13"/>
      </w:r>
      <w:r w:rsidRPr="000D6EF2">
        <w:rPr>
          <w:rFonts w:cs="Times New Roman"/>
        </w:rPr>
        <w:t>, si muovono costantemente</w:t>
      </w:r>
      <w:r w:rsidRPr="000D6EF2">
        <w:rPr>
          <w:rStyle w:val="Richiamoallanotaapidipagina"/>
          <w:rFonts w:cs="Times New Roman"/>
        </w:rPr>
        <w:footnoteReference w:id="14"/>
      </w:r>
      <w:r w:rsidRPr="000D6EF2">
        <w:rPr>
          <w:rFonts w:cs="Times New Roman"/>
        </w:rPr>
        <w:t xml:space="preserve"> e hanno molte forme</w:t>
      </w:r>
      <w:r w:rsidRPr="000D6EF2">
        <w:rPr>
          <w:rStyle w:val="Richiamoallanotaapidipagina"/>
          <w:rFonts w:cs="Times New Roman"/>
        </w:rPr>
        <w:footnoteReference w:id="15"/>
      </w:r>
      <w:r w:rsidRPr="000D6EF2">
        <w:rPr>
          <w:rFonts w:cs="Times New Roman"/>
        </w:rPr>
        <w:t xml:space="preserve">. Sia Epicuro che Lucrezio seguono qui Leucippo e Democrito, ma introducono anche delle modifiche e delle nuove idee. </w:t>
      </w:r>
    </w:p>
    <w:p w14:paraId="2DD4FC87" w14:textId="2C16C7F2" w:rsidR="00E10315" w:rsidRPr="000D6EF2" w:rsidRDefault="00196B24">
      <w:pPr>
        <w:pStyle w:val="BodyText"/>
        <w:rPr>
          <w:rFonts w:cs="Times New Roman"/>
        </w:rPr>
      </w:pPr>
      <w:r w:rsidRPr="000D6EF2">
        <w:rPr>
          <w:rFonts w:cs="Times New Roman"/>
        </w:rPr>
        <w:t xml:space="preserve">Le caratteristiche degli atomi, dai quali dipendono tutti i corpi composti e la loro varietà, sono la forma (σχῆμα), il peso (βάρος) e la grandezza o dimensione (μέγεθος). Con questi elementi Epicuro, come Lucrezio dopo di lui, si oppone alla filosofia aristotelica, pensando insieme e non in modo paradossale, sia la permanenza che la mutazione dei fenomeni. L’esistenza di caratteristiche </w:t>
      </w:r>
      <w:r w:rsidR="00404901" w:rsidRPr="000D6EF2">
        <w:rPr>
          <w:rFonts w:cs="Times New Roman"/>
        </w:rPr>
        <w:t xml:space="preserve">immutabili e microscopiche </w:t>
      </w:r>
      <w:r w:rsidRPr="000D6EF2">
        <w:rPr>
          <w:rFonts w:cs="Times New Roman"/>
        </w:rPr>
        <w:t>della materia non può, naturalmente, essere percepita o esperita dai nostri limitati sensi. Nondimeno, seguendo un altro dei principi fondamentali di Epicuro, ovvero la fiducia nella sensazione</w:t>
      </w:r>
      <w:r w:rsidRPr="000D6EF2">
        <w:rPr>
          <w:rStyle w:val="Richiamoallanotaapidipagina"/>
          <w:rFonts w:cs="Times New Roman"/>
        </w:rPr>
        <w:footnoteReference w:id="16"/>
      </w:r>
      <w:r w:rsidRPr="000D6EF2">
        <w:rPr>
          <w:rFonts w:cs="Times New Roman"/>
        </w:rPr>
        <w:t>, l’immutabilità degli atomi in molti modi si riflette, essa stessa, al livello superiore, cioè quello dei corpi composti. In particolare, cosa di fondamentale importanza per la nostra ricerca, la</w:t>
      </w:r>
      <w:r w:rsidR="00404901" w:rsidRPr="000D6EF2">
        <w:rPr>
          <w:rFonts w:cs="Times New Roman"/>
        </w:rPr>
        <w:t xml:space="preserve"> costanza delle specie naturali e la loro regolarità</w:t>
      </w:r>
      <w:r w:rsidRPr="000D6EF2">
        <w:rPr>
          <w:rFonts w:cs="Times New Roman"/>
        </w:rPr>
        <w:t xml:space="preserve">, sono precisamente i segni del fatto </w:t>
      </w:r>
      <w:r w:rsidR="00404901" w:rsidRPr="000D6EF2">
        <w:rPr>
          <w:rFonts w:cs="Times New Roman"/>
        </w:rPr>
        <w:t>che</w:t>
      </w:r>
      <w:r w:rsidRPr="000D6EF2">
        <w:rPr>
          <w:rFonts w:cs="Times New Roman"/>
        </w:rPr>
        <w:t xml:space="preserve"> </w:t>
      </w:r>
      <w:r w:rsidR="00404901" w:rsidRPr="000D6EF2">
        <w:rPr>
          <w:rFonts w:cs="Times New Roman"/>
        </w:rPr>
        <w:t xml:space="preserve">caratteristiche </w:t>
      </w:r>
      <w:r w:rsidRPr="000D6EF2">
        <w:rPr>
          <w:rFonts w:cs="Times New Roman"/>
        </w:rPr>
        <w:t xml:space="preserve">immutabili costituiscono la realtà naturale. In un passaggio chiave del primo libro del </w:t>
      </w:r>
      <w:r w:rsidRPr="000D6EF2">
        <w:rPr>
          <w:rFonts w:cs="Times New Roman"/>
          <w:i/>
          <w:iCs/>
        </w:rPr>
        <w:t>De Rerum Natura</w:t>
      </w:r>
      <w:r w:rsidRPr="000D6EF2">
        <w:rPr>
          <w:rFonts w:cs="Times New Roman"/>
        </w:rPr>
        <w:t>, Lucrezio insiste sul fatto che:</w:t>
      </w:r>
    </w:p>
    <w:p w14:paraId="5EE899FD" w14:textId="77777777" w:rsidR="00E10315" w:rsidRPr="000D6EF2" w:rsidRDefault="00E10315">
      <w:pPr>
        <w:pStyle w:val="Testocitato"/>
        <w:rPr>
          <w:rFonts w:cs="Times New Roman"/>
          <w:shd w:val="clear" w:color="auto" w:fill="00FF00"/>
        </w:rPr>
      </w:pPr>
    </w:p>
    <w:p w14:paraId="1C685BAD" w14:textId="0DCD5682" w:rsidR="00E10315" w:rsidRPr="000D6EF2" w:rsidRDefault="00404901">
      <w:pPr>
        <w:pStyle w:val="Testocitato"/>
        <w:rPr>
          <w:rFonts w:cs="Times New Roman"/>
          <w:sz w:val="20"/>
          <w:szCs w:val="20"/>
        </w:rPr>
      </w:pPr>
      <w:r w:rsidRPr="000D6EF2">
        <w:rPr>
          <w:rFonts w:cs="Times New Roman"/>
          <w:kern w:val="0"/>
          <w:sz w:val="20"/>
          <w:szCs w:val="20"/>
          <w:lang w:val="en-US" w:bidi="ar-SA"/>
        </w:rPr>
        <w:t xml:space="preserve">Poiché attraverso le specie è noto che una fine del crescere è data alle cose e del conservare la vita, e dal momento che rimane stabilito che cosa possa ciascuna e che cosa inoltre non possa per i </w:t>
      </w:r>
      <w:r w:rsidRPr="000D6EF2">
        <w:rPr>
          <w:rFonts w:cs="Times New Roman"/>
          <w:i/>
          <w:iCs/>
          <w:kern w:val="0"/>
          <w:sz w:val="20"/>
          <w:szCs w:val="20"/>
          <w:lang w:val="en-US" w:bidi="ar-SA"/>
        </w:rPr>
        <w:t>foedera naturae</w:t>
      </w:r>
      <w:r w:rsidRPr="000D6EF2">
        <w:rPr>
          <w:rFonts w:cs="Times New Roman"/>
          <w:kern w:val="0"/>
          <w:sz w:val="20"/>
          <w:szCs w:val="20"/>
          <w:lang w:val="en-US" w:bidi="ar-SA"/>
        </w:rPr>
        <w:t>,</w:t>
      </w:r>
      <w:r w:rsidRPr="000D6EF2">
        <w:rPr>
          <w:rStyle w:val="FootnoteReference"/>
          <w:rFonts w:cs="Times New Roman"/>
          <w:kern w:val="0"/>
          <w:sz w:val="20"/>
          <w:szCs w:val="20"/>
          <w:lang w:val="en-US" w:bidi="ar-SA"/>
        </w:rPr>
        <w:footnoteReference w:id="17"/>
      </w:r>
      <w:r w:rsidRPr="000D6EF2">
        <w:rPr>
          <w:rFonts w:cs="Times New Roman"/>
          <w:kern w:val="0"/>
          <w:sz w:val="20"/>
          <w:szCs w:val="20"/>
          <w:lang w:val="en-US" w:bidi="ar-SA"/>
        </w:rPr>
        <w:t xml:space="preserve"> e che nulla si modifica, che anzi rimane tutto immutabile, per cui tutti i variopinti uccelli nel tempo mostrano che nel corpo vi sono i colori propri d’ogni specie, devono senza dubbio avere anche un corpo di materia immutabile; infatti se i primordi delle cose potessero per qualche motivo vinti modificarsi [</w:t>
      </w:r>
      <w:r w:rsidRPr="000D6EF2">
        <w:rPr>
          <w:rFonts w:cs="Times New Roman"/>
          <w:i/>
          <w:iCs/>
          <w:kern w:val="0"/>
          <w:sz w:val="20"/>
          <w:szCs w:val="20"/>
          <w:lang w:val="en-US" w:bidi="ar-SA"/>
        </w:rPr>
        <w:t>si primordia rerum commutari aliqua possent ratione reuicta</w:t>
      </w:r>
      <w:r w:rsidRPr="000D6EF2">
        <w:rPr>
          <w:rFonts w:cs="Times New Roman"/>
          <w:kern w:val="0"/>
          <w:sz w:val="20"/>
          <w:szCs w:val="20"/>
          <w:lang w:val="en-US" w:bidi="ar-SA"/>
        </w:rPr>
        <w:t>], sarebbe anche incerto cosa mai potrebbe nascere, e che cosa non potrebbe, infine per quale motivo a ciascuna cosa sarebbe un potere definito [</w:t>
      </w:r>
      <w:r w:rsidRPr="000D6EF2">
        <w:rPr>
          <w:rFonts w:cs="Times New Roman"/>
          <w:i/>
          <w:iCs/>
          <w:kern w:val="0"/>
          <w:sz w:val="20"/>
          <w:szCs w:val="20"/>
          <w:lang w:val="en-US" w:bidi="ar-SA"/>
        </w:rPr>
        <w:t>finita potestas</w:t>
      </w:r>
      <w:r w:rsidRPr="000D6EF2">
        <w:rPr>
          <w:rFonts w:cs="Times New Roman"/>
          <w:kern w:val="0"/>
          <w:sz w:val="20"/>
          <w:szCs w:val="20"/>
          <w:lang w:val="en-US" w:bidi="ar-SA"/>
        </w:rPr>
        <w:t>] e un limite profondamente stabilito [</w:t>
      </w:r>
      <w:r w:rsidRPr="000D6EF2">
        <w:rPr>
          <w:rFonts w:cs="Times New Roman"/>
          <w:i/>
          <w:iCs/>
          <w:kern w:val="0"/>
          <w:sz w:val="20"/>
          <w:szCs w:val="20"/>
          <w:lang w:val="en-US" w:bidi="ar-SA"/>
        </w:rPr>
        <w:t>ratione atque alte terminus</w:t>
      </w:r>
      <w:r w:rsidRPr="000D6EF2">
        <w:rPr>
          <w:rFonts w:cs="Times New Roman"/>
          <w:kern w:val="0"/>
          <w:sz w:val="20"/>
          <w:szCs w:val="20"/>
          <w:lang w:val="en-US" w:bidi="ar-SA"/>
        </w:rPr>
        <w:t>], né tante volte le stirpi potrebbero attraverso le generazioni riprodurre natura, costumi, genere di vita e movimenti dei genitori.</w:t>
      </w:r>
      <w:r w:rsidRPr="000D6EF2">
        <w:rPr>
          <w:rStyle w:val="FootnoteReference"/>
          <w:rFonts w:cs="Times New Roman"/>
          <w:kern w:val="0"/>
          <w:sz w:val="20"/>
          <w:szCs w:val="20"/>
          <w:lang w:val="en-US" w:bidi="ar-SA"/>
        </w:rPr>
        <w:footnoteReference w:id="18"/>
      </w:r>
    </w:p>
    <w:p w14:paraId="71421D5B" w14:textId="0CE29066" w:rsidR="00E10315" w:rsidRPr="000D6EF2" w:rsidRDefault="00196B24">
      <w:pPr>
        <w:pStyle w:val="BodyText"/>
        <w:rPr>
          <w:rFonts w:cs="Times New Roman"/>
        </w:rPr>
      </w:pPr>
      <w:r w:rsidRPr="000D6EF2">
        <w:rPr>
          <w:rFonts w:cs="Times New Roman"/>
        </w:rPr>
        <w:t>A partire dall</w:t>
      </w:r>
      <w:r w:rsidR="00291DB2" w:rsidRPr="000D6EF2">
        <w:rPr>
          <w:rFonts w:cs="Times New Roman"/>
        </w:rPr>
        <w:t>a regolarità universale esperita</w:t>
      </w:r>
      <w:r w:rsidRPr="000D6EF2">
        <w:rPr>
          <w:rFonts w:cs="Times New Roman"/>
        </w:rPr>
        <w:t xml:space="preserve"> a livello macroscopico si può dedurre l’esistenza di elementi immuta</w:t>
      </w:r>
      <w:r w:rsidR="00291DB2" w:rsidRPr="000D6EF2">
        <w:rPr>
          <w:rFonts w:cs="Times New Roman"/>
        </w:rPr>
        <w:t>bili a livello micrscopico. Tale regolarità</w:t>
      </w:r>
      <w:r w:rsidRPr="000D6EF2">
        <w:rPr>
          <w:rFonts w:cs="Times New Roman"/>
        </w:rPr>
        <w:t xml:space="preserve">, tuttavia, </w:t>
      </w:r>
      <w:r w:rsidR="00291DB2" w:rsidRPr="000D6EF2">
        <w:rPr>
          <w:rFonts w:cs="Times New Roman"/>
        </w:rPr>
        <w:t>è lungi dall’essere universale</w:t>
      </w:r>
      <w:r w:rsidRPr="000D6EF2">
        <w:rPr>
          <w:rFonts w:cs="Times New Roman"/>
        </w:rPr>
        <w:t xml:space="preserve"> e </w:t>
      </w:r>
      <w:r w:rsidR="00291DB2" w:rsidRPr="000D6EF2">
        <w:rPr>
          <w:rFonts w:cs="Times New Roman"/>
        </w:rPr>
        <w:t xml:space="preserve">priva di </w:t>
      </w:r>
      <w:r w:rsidRPr="000D6EF2">
        <w:rPr>
          <w:rFonts w:cs="Times New Roman"/>
        </w:rPr>
        <w:t xml:space="preserve">eccezioni, come dimostrano molti fenomeni inspiegabili quali le anormalità e mostruosità. Per gli atomisti, quindi, è estremamente importante inquadrare e interpretare questi fenomeni </w:t>
      </w:r>
      <w:r w:rsidRPr="000D6EF2">
        <w:rPr>
          <w:rFonts w:cs="Times New Roman"/>
        </w:rPr>
        <w:lastRenderedPageBreak/>
        <w:t xml:space="preserve">all’interno dei limiti di ciò che è possibile e di ciò che è impossibile: da questo dipende la vera e propria comprensione strutturale dell’universo. </w:t>
      </w:r>
    </w:p>
    <w:p w14:paraId="106D2F43" w14:textId="64D1A9B7" w:rsidR="00E10315" w:rsidRPr="000D6EF2" w:rsidRDefault="00196B24">
      <w:pPr>
        <w:pStyle w:val="BodyText"/>
        <w:rPr>
          <w:rFonts w:cs="Times New Roman"/>
        </w:rPr>
      </w:pPr>
      <w:r w:rsidRPr="000D6EF2">
        <w:rPr>
          <w:rFonts w:cs="Times New Roman"/>
        </w:rPr>
        <w:t xml:space="preserve">Il </w:t>
      </w:r>
      <w:r w:rsidRPr="000D6EF2">
        <w:rPr>
          <w:rFonts w:cs="Times New Roman"/>
          <w:i/>
          <w:iCs/>
        </w:rPr>
        <w:t>terminus</w:t>
      </w:r>
      <w:r w:rsidRPr="000D6EF2">
        <w:rPr>
          <w:rFonts w:cs="Times New Roman"/>
        </w:rPr>
        <w:t xml:space="preserve">, </w:t>
      </w:r>
      <w:r w:rsidR="00291DB2" w:rsidRPr="000D6EF2">
        <w:rPr>
          <w:rFonts w:cs="Times New Roman"/>
        </w:rPr>
        <w:t>o limite e confine</w:t>
      </w:r>
      <w:r w:rsidRPr="000D6EF2">
        <w:rPr>
          <w:rFonts w:cs="Times New Roman"/>
        </w:rPr>
        <w:t>, diventa dunque un concetto centrale nella fisica atomista; rappresenta l’intervallo all’interno del quale gli atomi possono variare in forma, grandezza e peso. Per questo gli atomi devono avere delle parti, parti non separabili le une dalle altre: per costituire la base materiale dell</w:t>
      </w:r>
      <w:r w:rsidR="00291DB2" w:rsidRPr="000D6EF2">
        <w:rPr>
          <w:rFonts w:cs="Times New Roman"/>
        </w:rPr>
        <w:t>a regolarità</w:t>
      </w:r>
      <w:r w:rsidRPr="000D6EF2">
        <w:rPr>
          <w:rFonts w:cs="Times New Roman"/>
        </w:rPr>
        <w:t xml:space="preserve"> naturale. Epicuro chiama questa parte minimale, o minima possibile variazione, ἐλάχιστον</w:t>
      </w:r>
      <w:r w:rsidRPr="000D6EF2">
        <w:rPr>
          <w:rStyle w:val="Richiamoallanotaapidipagina"/>
          <w:rFonts w:cs="Times New Roman"/>
        </w:rPr>
        <w:footnoteReference w:id="19"/>
      </w:r>
      <w:r w:rsidRPr="000D6EF2">
        <w:rPr>
          <w:rFonts w:cs="Times New Roman"/>
        </w:rPr>
        <w:t>. Il</w:t>
      </w:r>
      <w:r w:rsidR="00291DB2" w:rsidRPr="000D6EF2">
        <w:rPr>
          <w:rFonts w:cs="Times New Roman"/>
        </w:rPr>
        <w:t xml:space="preserve"> confine </w:t>
      </w:r>
      <w:r w:rsidRPr="000D6EF2">
        <w:rPr>
          <w:rFonts w:cs="Times New Roman"/>
        </w:rPr>
        <w:t xml:space="preserve">rappresenta anche </w:t>
      </w:r>
      <w:r w:rsidR="00291DB2" w:rsidRPr="000D6EF2">
        <w:rPr>
          <w:rFonts w:cs="Times New Roman"/>
        </w:rPr>
        <w:t xml:space="preserve">il limite </w:t>
      </w:r>
      <w:r w:rsidRPr="000D6EF2">
        <w:rPr>
          <w:rFonts w:cs="Times New Roman"/>
        </w:rPr>
        <w:t>delle possibilità naturali;</w:t>
      </w:r>
      <w:r w:rsidR="00291DB2" w:rsidRPr="000D6EF2">
        <w:rPr>
          <w:rFonts w:cs="Times New Roman"/>
        </w:rPr>
        <w:t xml:space="preserve"> questo limite</w:t>
      </w:r>
      <w:r w:rsidRPr="000D6EF2">
        <w:rPr>
          <w:rFonts w:cs="Times New Roman"/>
        </w:rPr>
        <w:t xml:space="preserve"> non </w:t>
      </w:r>
      <w:r w:rsidR="00291DB2" w:rsidRPr="000D6EF2">
        <w:rPr>
          <w:rFonts w:cs="Times New Roman"/>
        </w:rPr>
        <w:t>è stato</w:t>
      </w:r>
      <w:r w:rsidRPr="000D6EF2">
        <w:rPr>
          <w:rFonts w:cs="Times New Roman"/>
        </w:rPr>
        <w:t xml:space="preserve"> </w:t>
      </w:r>
      <w:r w:rsidR="00291DB2" w:rsidRPr="000D6EF2">
        <w:rPr>
          <w:rFonts w:cs="Times New Roman"/>
        </w:rPr>
        <w:t xml:space="preserve">imposto </w:t>
      </w:r>
      <w:r w:rsidRPr="000D6EF2">
        <w:rPr>
          <w:rFonts w:cs="Times New Roman"/>
        </w:rPr>
        <w:t xml:space="preserve">da un demiurgo, non </w:t>
      </w:r>
      <w:r w:rsidR="00291DB2" w:rsidRPr="000D6EF2">
        <w:rPr>
          <w:rFonts w:cs="Times New Roman"/>
        </w:rPr>
        <w:t xml:space="preserve">viene </w:t>
      </w:r>
      <w:r w:rsidRPr="000D6EF2">
        <w:rPr>
          <w:rFonts w:cs="Times New Roman"/>
        </w:rPr>
        <w:t xml:space="preserve">dal di fuori della natura stessa ma </w:t>
      </w:r>
      <w:r w:rsidR="00291DB2" w:rsidRPr="000D6EF2">
        <w:rPr>
          <w:rFonts w:cs="Times New Roman"/>
        </w:rPr>
        <w:t>è strettamente connesso</w:t>
      </w:r>
      <w:r w:rsidRPr="000D6EF2">
        <w:rPr>
          <w:rFonts w:cs="Times New Roman"/>
        </w:rPr>
        <w:t xml:space="preserve"> ai </w:t>
      </w:r>
      <w:r w:rsidRPr="000D6EF2">
        <w:rPr>
          <w:rFonts w:cs="Times New Roman"/>
          <w:i/>
          <w:iCs/>
        </w:rPr>
        <w:t>foedera naturae</w:t>
      </w:r>
      <w:r w:rsidRPr="000D6EF2">
        <w:rPr>
          <w:rFonts w:cs="Times New Roman"/>
        </w:rPr>
        <w:t xml:space="preserve">. </w:t>
      </w:r>
      <w:r w:rsidR="00291DB2" w:rsidRPr="000D6EF2">
        <w:rPr>
          <w:rFonts w:cs="Times New Roman"/>
        </w:rPr>
        <w:t xml:space="preserve">È un limite </w:t>
      </w:r>
      <w:r w:rsidRPr="000D6EF2">
        <w:rPr>
          <w:rFonts w:cs="Times New Roman"/>
        </w:rPr>
        <w:t>che possiamo osserva</w:t>
      </w:r>
      <w:r w:rsidR="00291DB2" w:rsidRPr="000D6EF2">
        <w:rPr>
          <w:rFonts w:cs="Times New Roman"/>
        </w:rPr>
        <w:t>re nella natura e che la rende</w:t>
      </w:r>
      <w:r w:rsidRPr="000D6EF2">
        <w:rPr>
          <w:rFonts w:cs="Times New Roman"/>
        </w:rPr>
        <w:t xml:space="preserve"> un ambiente familiare che possiamo studiare e capire, senza paura dell’ignoto. </w:t>
      </w:r>
    </w:p>
    <w:p w14:paraId="47BAD2EA" w14:textId="3BA12760" w:rsidR="00E10315" w:rsidRPr="000D6EF2" w:rsidRDefault="00196B24">
      <w:pPr>
        <w:pStyle w:val="BodyText"/>
        <w:rPr>
          <w:rFonts w:cs="Times New Roman"/>
        </w:rPr>
      </w:pPr>
      <w:r w:rsidRPr="000D6EF2">
        <w:rPr>
          <w:rFonts w:cs="Times New Roman"/>
        </w:rPr>
        <w:t xml:space="preserve">Il limite </w:t>
      </w:r>
      <w:r w:rsidR="00291DB2" w:rsidRPr="000D6EF2">
        <w:rPr>
          <w:rFonts w:cs="Times New Roman"/>
        </w:rPr>
        <w:t xml:space="preserve">o confine </w:t>
      </w:r>
      <w:r w:rsidRPr="000D6EF2">
        <w:rPr>
          <w:rFonts w:cs="Times New Roman"/>
        </w:rPr>
        <w:t xml:space="preserve">ha anche un ruolo cruciale nell’impresa epistemologica. Gli uomini – e i filosofi in particolare – possono superare con successo l’ignoranza e comprendere la natura. La loro comprensione è altrettanto soggetta a ogni sorta </w:t>
      </w:r>
      <w:r w:rsidR="00291DB2" w:rsidRPr="000D6EF2">
        <w:rPr>
          <w:rFonts w:cs="Times New Roman"/>
        </w:rPr>
        <w:t>di vincolo</w:t>
      </w:r>
      <w:r w:rsidRPr="000D6EF2">
        <w:rPr>
          <w:rFonts w:cs="Times New Roman"/>
        </w:rPr>
        <w:t xml:space="preserve">, ad esempio quelli fissati </w:t>
      </w:r>
      <w:r w:rsidR="00D4661F" w:rsidRPr="000D6EF2">
        <w:rPr>
          <w:rFonts w:cs="Times New Roman"/>
        </w:rPr>
        <w:t xml:space="preserve">dai limiti </w:t>
      </w:r>
      <w:r w:rsidRPr="000D6EF2">
        <w:rPr>
          <w:rFonts w:cs="Times New Roman"/>
        </w:rPr>
        <w:t xml:space="preserve">delle facoltà percettive. Nondimeno, il teatro della natura e i suoi componenti, così delineati da Epicuro, rendono i filosofi </w:t>
      </w:r>
      <w:r w:rsidR="00D4661F" w:rsidRPr="000D6EF2">
        <w:rPr>
          <w:rFonts w:cs="Times New Roman"/>
        </w:rPr>
        <w:t xml:space="preserve">parte </w:t>
      </w:r>
      <w:r w:rsidRPr="000D6EF2">
        <w:rPr>
          <w:rFonts w:cs="Times New Roman"/>
        </w:rPr>
        <w:t xml:space="preserve">di questo stesso spettacolo. In altre parole, i loro limiti non vengono dal di fuori e non trascendono le possibilità umane. Gli atomi e il vuoto provvedono a tutto ciò che è necessario al filosofo per conoscere la natura. </w:t>
      </w:r>
    </w:p>
    <w:p w14:paraId="653A2FF9" w14:textId="30F3B5E7" w:rsidR="00E10315" w:rsidRPr="000D6EF2" w:rsidRDefault="00196B24">
      <w:pPr>
        <w:pStyle w:val="BodyText"/>
        <w:rPr>
          <w:rFonts w:cs="Times New Roman"/>
        </w:rPr>
      </w:pPr>
      <w:r w:rsidRPr="000D6EF2">
        <w:rPr>
          <w:rFonts w:cs="Times New Roman"/>
        </w:rPr>
        <w:t>In ragione della sua natura incorporea, il vuoto non può agire o subire nulla in se stesso. Queste, infatti, sono caratteristiche proprie all’esistenza corporea. Di conseguenza, concetti che pure giocano un ruolo centrale in altri sistemi metafisici, quali le entità incorporee, le idee, le intelligenze divine o le anime incorporee, sono spazzati via come assurdità, incompatibili con gli elementi fondamentali della natura. Gli atomisti leggono ogni fenomeno come una determinata configurazione di vuoto (</w:t>
      </w:r>
      <w:r w:rsidRPr="000D6EF2">
        <w:rPr>
          <w:rFonts w:cs="Times New Roman"/>
          <w:i/>
          <w:iCs/>
        </w:rPr>
        <w:t>inane</w:t>
      </w:r>
      <w:r w:rsidRPr="000D6EF2">
        <w:rPr>
          <w:rFonts w:cs="Times New Roman"/>
        </w:rPr>
        <w:t>) e di corpi (</w:t>
      </w:r>
      <w:r w:rsidRPr="000D6EF2">
        <w:rPr>
          <w:rFonts w:cs="Times New Roman"/>
          <w:i/>
          <w:iCs/>
        </w:rPr>
        <w:t>corpora</w:t>
      </w:r>
      <w:r w:rsidRPr="000D6EF2">
        <w:rPr>
          <w:rFonts w:cs="Times New Roman"/>
        </w:rPr>
        <w:t xml:space="preserve">) – niente </w:t>
      </w:r>
      <w:r w:rsidR="00D4661F" w:rsidRPr="000D6EF2">
        <w:rPr>
          <w:rFonts w:cs="Times New Roman"/>
        </w:rPr>
        <w:t xml:space="preserve">di </w:t>
      </w:r>
      <w:r w:rsidRPr="000D6EF2">
        <w:rPr>
          <w:rFonts w:cs="Times New Roman"/>
        </w:rPr>
        <w:t xml:space="preserve">più e niente </w:t>
      </w:r>
      <w:r w:rsidR="00D4661F" w:rsidRPr="000D6EF2">
        <w:rPr>
          <w:rFonts w:cs="Times New Roman"/>
        </w:rPr>
        <w:t xml:space="preserve">di </w:t>
      </w:r>
      <w:r w:rsidRPr="000D6EF2">
        <w:rPr>
          <w:rFonts w:cs="Times New Roman"/>
        </w:rPr>
        <w:t xml:space="preserve">meno – senza concepire la possibilità di una terza natura. Queste configurazioni della materia e dello spazio ci aiutano ad indentificare ciò che è essenziale nelle cose e ciò che non lo è. Lucrezio traduce il concetto di Epicuro di </w:t>
      </w:r>
      <w:r w:rsidRPr="000D6EF2">
        <w:rPr>
          <w:rFonts w:cs="Times New Roman"/>
          <w:lang w:val="en-GB"/>
        </w:rPr>
        <w:t>συμβεβηκότα</w:t>
      </w:r>
      <w:r w:rsidRPr="000D6EF2">
        <w:rPr>
          <w:rFonts w:cs="Times New Roman"/>
        </w:rPr>
        <w:t xml:space="preserve"> e di </w:t>
      </w:r>
      <w:r w:rsidRPr="000D6EF2">
        <w:rPr>
          <w:rFonts w:cs="Times New Roman"/>
          <w:lang w:val="en-GB"/>
        </w:rPr>
        <w:t>συμπτώματα</w:t>
      </w:r>
      <w:r w:rsidRPr="000D6EF2">
        <w:rPr>
          <w:rFonts w:cs="Times New Roman"/>
        </w:rPr>
        <w:t xml:space="preserve"> con </w:t>
      </w:r>
      <w:r w:rsidRPr="000D6EF2">
        <w:rPr>
          <w:rFonts w:cs="Times New Roman"/>
          <w:i/>
          <w:iCs/>
        </w:rPr>
        <w:t xml:space="preserve">coniuncta </w:t>
      </w:r>
      <w:r w:rsidRPr="000D6EF2">
        <w:rPr>
          <w:rFonts w:cs="Times New Roman"/>
        </w:rPr>
        <w:t xml:space="preserve">e </w:t>
      </w:r>
      <w:r w:rsidRPr="000D6EF2">
        <w:rPr>
          <w:rFonts w:cs="Times New Roman"/>
          <w:i/>
          <w:iCs/>
        </w:rPr>
        <w:t>euenta</w:t>
      </w:r>
      <w:r w:rsidR="00D4661F" w:rsidRPr="000D6EF2">
        <w:rPr>
          <w:rFonts w:cs="Times New Roman"/>
        </w:rPr>
        <w:t>: «</w:t>
      </w:r>
      <w:r w:rsidR="00D4661F" w:rsidRPr="000D6EF2">
        <w:rPr>
          <w:rFonts w:cs="Times New Roman"/>
          <w:kern w:val="0"/>
          <w:lang w:val="en-US" w:bidi="ar-SA"/>
        </w:rPr>
        <w:t>tutto ciò che ha un nome, o a questi due come proprietà congiunto [coniuncta] lo troverai, o che è loro accidenti [euenta] vedrai</w:t>
      </w:r>
      <w:r w:rsidR="00D4661F" w:rsidRPr="000D6EF2">
        <w:rPr>
          <w:rFonts w:cs="Times New Roman"/>
        </w:rPr>
        <w:t>»</w:t>
      </w:r>
      <w:r w:rsidRPr="000D6EF2">
        <w:rPr>
          <w:rStyle w:val="Richiamoallanotaapidipagina"/>
          <w:rFonts w:cs="Times New Roman"/>
        </w:rPr>
        <w:footnoteReference w:id="20"/>
      </w:r>
      <w:r w:rsidRPr="000D6EF2">
        <w:rPr>
          <w:rFonts w:cs="Times New Roman"/>
        </w:rPr>
        <w:t xml:space="preserve">. </w:t>
      </w:r>
    </w:p>
    <w:p w14:paraId="044F62EA" w14:textId="5DB29EC1" w:rsidR="00E10315" w:rsidRPr="000D6EF2" w:rsidRDefault="00196B24">
      <w:pPr>
        <w:pStyle w:val="BodyText"/>
        <w:rPr>
          <w:rFonts w:cs="Times New Roman"/>
        </w:rPr>
      </w:pPr>
      <w:r w:rsidRPr="000D6EF2">
        <w:rPr>
          <w:rFonts w:cs="Times New Roman"/>
        </w:rPr>
        <w:t>La natura riconosce solo proprietà e accident</w:t>
      </w:r>
      <w:r w:rsidR="00E26B7C" w:rsidRPr="000D6EF2">
        <w:rPr>
          <w:rFonts w:cs="Times New Roman"/>
        </w:rPr>
        <w:t xml:space="preserve">i, che si determinano necessariamente </w:t>
      </w:r>
      <w:r w:rsidRPr="000D6EF2">
        <w:rPr>
          <w:rFonts w:cs="Times New Roman"/>
        </w:rPr>
        <w:t xml:space="preserve">in funzione dei principi generali della fisica e </w:t>
      </w:r>
      <w:r w:rsidR="00E26B7C" w:rsidRPr="000D6EF2">
        <w:rPr>
          <w:rFonts w:cs="Times New Roman"/>
        </w:rPr>
        <w:t xml:space="preserve">che sono </w:t>
      </w:r>
      <w:r w:rsidRPr="000D6EF2">
        <w:rPr>
          <w:rFonts w:cs="Times New Roman"/>
        </w:rPr>
        <w:t xml:space="preserve">necessariamente </w:t>
      </w:r>
      <w:r w:rsidR="00E26B7C" w:rsidRPr="000D6EF2">
        <w:rPr>
          <w:rFonts w:cs="Times New Roman"/>
        </w:rPr>
        <w:t>contenuti all’interno d</w:t>
      </w:r>
      <w:r w:rsidRPr="000D6EF2">
        <w:rPr>
          <w:rFonts w:cs="Times New Roman"/>
        </w:rPr>
        <w:t xml:space="preserve">i limiti fisici (quindi lontani da ogni intervento di forze metafisiche). È strano, tuttavia, che la maggiore novità introdotta da Epicuro nella fisica antica sia stata vista in opposizione al fondamento stesso dei principi atomisti. Per </w:t>
      </w:r>
      <w:r w:rsidRPr="000D6EF2">
        <w:rPr>
          <w:rFonts w:cs="Times New Roman"/>
          <w:i/>
          <w:iCs/>
        </w:rPr>
        <w:t>spiegare</w:t>
      </w:r>
      <w:r w:rsidRPr="000D6EF2">
        <w:rPr>
          <w:rFonts w:cs="Times New Roman"/>
        </w:rPr>
        <w:t xml:space="preserve"> la reale dinamica dei corpi nel vuoto, in funzione di ciò che vede come il limite maggiore della fisica di Democrito e Leucippo, Epicuro intro</w:t>
      </w:r>
      <w:r w:rsidR="00E26B7C" w:rsidRPr="000D6EF2">
        <w:rPr>
          <w:rFonts w:cs="Times New Roman"/>
        </w:rPr>
        <w:t xml:space="preserve">duce il concetto di παρέγκλισις o deviazione, </w:t>
      </w:r>
      <w:r w:rsidRPr="000D6EF2">
        <w:rPr>
          <w:rFonts w:cs="Times New Roman"/>
        </w:rPr>
        <w:t>visto come il tallone d’Achille dell’intero sistema.</w:t>
      </w:r>
    </w:p>
    <w:p w14:paraId="74925D5B" w14:textId="020C5873" w:rsidR="00E10315" w:rsidRPr="000D6EF2" w:rsidRDefault="00196B24">
      <w:pPr>
        <w:pStyle w:val="BodyText"/>
        <w:rPr>
          <w:rFonts w:cs="Times New Roman"/>
        </w:rPr>
      </w:pPr>
      <w:r w:rsidRPr="000D6EF2">
        <w:rPr>
          <w:rFonts w:cs="Times New Roman"/>
        </w:rPr>
        <w:t>Gli atomi si muovono incessantemente nello spazio. Laddove l’atomismo antico concepisce un movimento caotico</w:t>
      </w:r>
      <w:r w:rsidR="00E26B7C" w:rsidRPr="000D6EF2">
        <w:rPr>
          <w:rFonts w:cs="Times New Roman"/>
        </w:rPr>
        <w:t xml:space="preserve"> e </w:t>
      </w:r>
      <w:r w:rsidRPr="000D6EF2">
        <w:rPr>
          <w:rFonts w:cs="Times New Roman"/>
        </w:rPr>
        <w:t xml:space="preserve">multidirezionale, Epicuro e Lucrezio introducono il peso come una delle </w:t>
      </w:r>
      <w:r w:rsidRPr="000D6EF2">
        <w:rPr>
          <w:rFonts w:cs="Times New Roman"/>
        </w:rPr>
        <w:lastRenderedPageBreak/>
        <w:t>proprietà fondamentali dell’atomo e ne traggono le consegunze: questo, infatti, trascina l’atomo uniformemente verso il basso. L’universo, per quanto omogeneo, è quindi orientato</w:t>
      </w:r>
      <w:r w:rsidRPr="000D6EF2">
        <w:rPr>
          <w:rStyle w:val="Richiamoallanotaapidipagina"/>
          <w:rFonts w:cs="Times New Roman"/>
        </w:rPr>
        <w:footnoteReference w:id="21"/>
      </w:r>
      <w:r w:rsidRPr="000D6EF2">
        <w:rPr>
          <w:rFonts w:cs="Times New Roman"/>
        </w:rPr>
        <w:t>. Questo orientamento, tuttavia, non è, in alcun modo, né una rappresentazione antropomorfica né meramente empirica</w:t>
      </w:r>
      <w:r w:rsidRPr="000D6EF2">
        <w:rPr>
          <w:rStyle w:val="Richiamoallanotaapidipagina"/>
          <w:rFonts w:cs="Times New Roman"/>
        </w:rPr>
        <w:footnoteReference w:id="22"/>
      </w:r>
      <w:r w:rsidRPr="000D6EF2">
        <w:rPr>
          <w:rFonts w:cs="Times New Roman"/>
        </w:rPr>
        <w:t>. Rispetto all’orginario spazio caotico democriteo, Epicuro pensa a una concezione “perpendicolare” dello spazio, all’interno del quale deve essere spiegata la formazione dei corpi composti dagli atomi indivisibili</w:t>
      </w:r>
      <w:r w:rsidRPr="000D6EF2">
        <w:rPr>
          <w:rStyle w:val="Richiamoallanotaapidipagina"/>
          <w:rFonts w:cs="Times New Roman"/>
        </w:rPr>
        <w:footnoteReference w:id="23"/>
      </w:r>
      <w:r w:rsidRPr="000D6EF2">
        <w:rPr>
          <w:rFonts w:cs="Times New Roman"/>
        </w:rPr>
        <w:t>.</w:t>
      </w:r>
    </w:p>
    <w:p w14:paraId="2E146EA9" w14:textId="18183A16" w:rsidR="00E10315" w:rsidRPr="000D6EF2" w:rsidRDefault="00196B24">
      <w:pPr>
        <w:pStyle w:val="BodyText"/>
        <w:rPr>
          <w:rFonts w:cs="Times New Roman"/>
        </w:rPr>
      </w:pPr>
      <w:r w:rsidRPr="000D6EF2">
        <w:rPr>
          <w:rFonts w:cs="Times New Roman"/>
        </w:rPr>
        <w:t>Durante la caduta, gli atomi incontrano altri atomi a causa della minima</w:t>
      </w:r>
      <w:r w:rsidR="000021F4" w:rsidRPr="000D6EF2">
        <w:rPr>
          <w:rFonts w:cs="Times New Roman"/>
        </w:rPr>
        <w:t xml:space="preserve"> deviazione</w:t>
      </w:r>
      <w:r w:rsidRPr="000D6EF2">
        <w:rPr>
          <w:rFonts w:cs="Times New Roman"/>
        </w:rPr>
        <w:t xml:space="preserve"> nel loro parallelo movimento discendente</w:t>
      </w:r>
      <w:r w:rsidRPr="000D6EF2">
        <w:rPr>
          <w:rStyle w:val="Richiamoallanotaapidipagina"/>
          <w:rFonts w:cs="Times New Roman"/>
        </w:rPr>
        <w:footnoteReference w:id="24"/>
      </w:r>
      <w:r w:rsidRPr="000D6EF2">
        <w:rPr>
          <w:rFonts w:cs="Times New Roman"/>
        </w:rPr>
        <w:t xml:space="preserve">. La  παρέγκλισις o </w:t>
      </w:r>
      <w:r w:rsidRPr="000D6EF2">
        <w:rPr>
          <w:rFonts w:cs="Times New Roman"/>
          <w:i/>
        </w:rPr>
        <w:t>clinamen</w:t>
      </w:r>
      <w:r w:rsidRPr="000D6EF2">
        <w:rPr>
          <w:rFonts w:cs="Times New Roman"/>
        </w:rPr>
        <w:t xml:space="preserve"> svolge una doppia funzione: spiega il contatto fisico tra gli atomi, che quindi si aggregano e formano i corpi composti, ma evita anche quella rigida necessità che Epicuro osserva nella descrizione democritea della cosmogonia originaria, le cui conseguenze sono per lui inaccettabili</w:t>
      </w:r>
      <w:r w:rsidRPr="000D6EF2">
        <w:rPr>
          <w:rStyle w:val="Richiamoallanotaapidipagina"/>
          <w:rFonts w:cs="Times New Roman"/>
        </w:rPr>
        <w:footnoteReference w:id="25"/>
      </w:r>
      <w:r w:rsidRPr="000D6EF2">
        <w:rPr>
          <w:rFonts w:cs="Times New Roman"/>
        </w:rPr>
        <w:t xml:space="preserve">. Il </w:t>
      </w:r>
      <w:r w:rsidRPr="000D6EF2">
        <w:rPr>
          <w:rFonts w:cs="Times New Roman"/>
          <w:i/>
          <w:iCs/>
        </w:rPr>
        <w:t>clinamen</w:t>
      </w:r>
      <w:r w:rsidRPr="000D6EF2">
        <w:rPr>
          <w:rFonts w:cs="Times New Roman"/>
        </w:rPr>
        <w:t xml:space="preserve"> non deve essere visto come un movimento – o una causa – senza causa ma, piuttosto, come un tipo di movimento </w:t>
      </w:r>
      <w:r w:rsidRPr="000D6EF2">
        <w:rPr>
          <w:rFonts w:cs="Times New Roman"/>
          <w:i/>
          <w:iCs/>
        </w:rPr>
        <w:t>spontaneo</w:t>
      </w:r>
      <w:r w:rsidRPr="000D6EF2">
        <w:rPr>
          <w:rFonts w:cs="Times New Roman"/>
        </w:rPr>
        <w:t xml:space="preserve"> che esclude ogni causa </w:t>
      </w:r>
      <w:r w:rsidRPr="000D6EF2">
        <w:rPr>
          <w:rFonts w:cs="Times New Roman"/>
          <w:i/>
          <w:iCs/>
        </w:rPr>
        <w:t>esterna</w:t>
      </w:r>
      <w:r w:rsidR="000021F4" w:rsidRPr="000D6EF2">
        <w:rPr>
          <w:rFonts w:cs="Times New Roman"/>
          <w:iCs/>
        </w:rPr>
        <w:t xml:space="preserve"> al principio e nel momento della generazione dell’universo. </w:t>
      </w:r>
      <w:r w:rsidRPr="000D6EF2">
        <w:rPr>
          <w:rFonts w:cs="Times New Roman"/>
        </w:rPr>
        <w:t xml:space="preserve">Che un movimento sia causa di se stesso è un fatto inaccettabile solo se la teoria causale si basa sul primato ontologico e cronologico di un τέλος, ovvero di una direzione che </w:t>
      </w:r>
      <w:r w:rsidR="000021F4" w:rsidRPr="000D6EF2">
        <w:rPr>
          <w:rFonts w:cs="Times New Roman"/>
        </w:rPr>
        <w:t>dovrebbe</w:t>
      </w:r>
      <w:r w:rsidRPr="000D6EF2">
        <w:rPr>
          <w:rFonts w:cs="Times New Roman"/>
        </w:rPr>
        <w:t xml:space="preserve"> guida</w:t>
      </w:r>
      <w:r w:rsidR="000021F4" w:rsidRPr="000D6EF2">
        <w:rPr>
          <w:rFonts w:cs="Times New Roman"/>
        </w:rPr>
        <w:t>re</w:t>
      </w:r>
      <w:r w:rsidRPr="000D6EF2">
        <w:rPr>
          <w:rFonts w:cs="Times New Roman"/>
        </w:rPr>
        <w:t>, con più o meno successo, quel movimento stesso. Ora, è proprio per contraddire questa visione teleologica dell’origine dell’universo che gli atomisti concepiscono la</w:t>
      </w:r>
      <w:r w:rsidR="000021F4" w:rsidRPr="000D6EF2">
        <w:rPr>
          <w:rFonts w:cs="Times New Roman"/>
        </w:rPr>
        <w:t xml:space="preserve"> deviazione</w:t>
      </w:r>
      <w:r w:rsidRPr="000D6EF2">
        <w:rPr>
          <w:rFonts w:cs="Times New Roman"/>
        </w:rPr>
        <w:t xml:space="preserve"> come un movimento autonomo che</w:t>
      </w:r>
      <w:r w:rsidR="000021F4" w:rsidRPr="000D6EF2">
        <w:rPr>
          <w:rFonts w:cs="Times New Roman"/>
        </w:rPr>
        <w:t xml:space="preserve"> ha </w:t>
      </w:r>
      <w:r w:rsidRPr="000D6EF2">
        <w:rPr>
          <w:rFonts w:cs="Times New Roman"/>
        </w:rPr>
        <w:t>in sé</w:t>
      </w:r>
      <w:r w:rsidR="000021F4" w:rsidRPr="000D6EF2">
        <w:rPr>
          <w:rFonts w:cs="Times New Roman"/>
        </w:rPr>
        <w:t xml:space="preserve"> la sua origine ne</w:t>
      </w:r>
      <w:r w:rsidRPr="000D6EF2">
        <w:rPr>
          <w:rFonts w:cs="Times New Roman"/>
        </w:rPr>
        <w:t xml:space="preserve"> e </w:t>
      </w:r>
      <w:r w:rsidR="000021F4" w:rsidRPr="000D6EF2">
        <w:rPr>
          <w:rFonts w:cs="Times New Roman"/>
        </w:rPr>
        <w:t>che produce effetti sul</w:t>
      </w:r>
      <w:r w:rsidRPr="000D6EF2">
        <w:rPr>
          <w:rFonts w:cs="Times New Roman"/>
        </w:rPr>
        <w:t xml:space="preserve">la materia e il vuoto. </w:t>
      </w:r>
    </w:p>
    <w:p w14:paraId="60E613F2" w14:textId="7ADC0628" w:rsidR="00E10315" w:rsidRPr="000D6EF2" w:rsidRDefault="00196B24">
      <w:pPr>
        <w:pStyle w:val="BodyText"/>
        <w:rPr>
          <w:rFonts w:cs="Times New Roman"/>
        </w:rPr>
      </w:pPr>
      <w:r w:rsidRPr="000D6EF2">
        <w:rPr>
          <w:rFonts w:cs="Times New Roman"/>
        </w:rPr>
        <w:t>Il ragionamento di Cicerone contro Epicuro è illuminante in</w:t>
      </w:r>
      <w:r w:rsidR="00493DFC" w:rsidRPr="000D6EF2">
        <w:rPr>
          <w:rFonts w:cs="Times New Roman"/>
        </w:rPr>
        <w:t xml:space="preserve"> questo senso: questi, infatti,</w:t>
      </w:r>
      <w:r w:rsidRPr="000D6EF2">
        <w:rPr>
          <w:rFonts w:cs="Times New Roman"/>
        </w:rPr>
        <w:t xml:space="preserve"> inventa la</w:t>
      </w:r>
      <w:r w:rsidR="00493DFC" w:rsidRPr="000D6EF2">
        <w:rPr>
          <w:rFonts w:cs="Times New Roman"/>
        </w:rPr>
        <w:t xml:space="preserve"> deviazione </w:t>
      </w:r>
      <w:r w:rsidRPr="000D6EF2">
        <w:rPr>
          <w:rFonts w:cs="Times New Roman"/>
          <w:i/>
          <w:iCs/>
        </w:rPr>
        <w:t>ad</w:t>
      </w:r>
      <w:r w:rsidRPr="000D6EF2">
        <w:rPr>
          <w:rFonts w:cs="Times New Roman"/>
        </w:rPr>
        <w:t xml:space="preserve"> </w:t>
      </w:r>
      <w:r w:rsidRPr="000D6EF2">
        <w:rPr>
          <w:rFonts w:cs="Times New Roman"/>
          <w:i/>
          <w:iCs/>
        </w:rPr>
        <w:t>libidinem</w:t>
      </w:r>
      <w:r w:rsidRPr="000D6EF2">
        <w:rPr>
          <w:rFonts w:cs="Times New Roman"/>
        </w:rPr>
        <w:t xml:space="preserve"> e </w:t>
      </w:r>
      <w:r w:rsidRPr="000D6EF2">
        <w:rPr>
          <w:rFonts w:cs="Times New Roman"/>
          <w:i/>
          <w:iCs/>
        </w:rPr>
        <w:t>sine causa</w:t>
      </w:r>
      <w:r w:rsidRPr="000D6EF2">
        <w:rPr>
          <w:rStyle w:val="Richiamoallanotaapidipagina"/>
          <w:rFonts w:cs="Times New Roman"/>
        </w:rPr>
        <w:footnoteReference w:id="26"/>
      </w:r>
      <w:r w:rsidRPr="000D6EF2">
        <w:rPr>
          <w:rFonts w:cs="Times New Roman"/>
        </w:rPr>
        <w:t xml:space="preserve">. Nemmeno concedendo questa (errata) premessa ad Epicuro, comunque, risulterebbe il </w:t>
      </w:r>
      <w:r w:rsidR="00493DFC" w:rsidRPr="000D6EF2">
        <w:rPr>
          <w:rFonts w:cs="Times New Roman"/>
        </w:rPr>
        <w:t>"</w:t>
      </w:r>
      <w:r w:rsidRPr="000D6EF2">
        <w:rPr>
          <w:rFonts w:cs="Times New Roman"/>
        </w:rPr>
        <w:t xml:space="preserve">nostro universo e, aggiunge Cicerone, lo stesso dicasi per Democrito, il cui sistema si basava sull’assenza di una causa. Solo la causalità </w:t>
      </w:r>
      <w:r w:rsidRPr="000D6EF2">
        <w:rPr>
          <w:rFonts w:cs="Times New Roman"/>
          <w:i/>
          <w:iCs/>
        </w:rPr>
        <w:t xml:space="preserve">correttamente </w:t>
      </w:r>
      <w:r w:rsidRPr="000D6EF2">
        <w:rPr>
          <w:rFonts w:cs="Times New Roman"/>
          <w:iCs/>
        </w:rPr>
        <w:t>intesa</w:t>
      </w:r>
      <w:r w:rsidRPr="000D6EF2">
        <w:rPr>
          <w:rFonts w:cs="Times New Roman"/>
        </w:rPr>
        <w:t xml:space="preserve"> può spiegare </w:t>
      </w:r>
      <w:r w:rsidR="00493DFC" w:rsidRPr="000D6EF2">
        <w:rPr>
          <w:rFonts w:cs="Times New Roman"/>
        </w:rPr>
        <w:t>«</w:t>
      </w:r>
      <w:r w:rsidR="007B08D4" w:rsidRPr="000D6EF2">
        <w:rPr>
          <w:rFonts w:cs="Times New Roman"/>
        </w:rPr>
        <w:t>l’ordinata bellezza del mondo a noi noto</w:t>
      </w:r>
      <w:r w:rsidR="00493DFC" w:rsidRPr="000D6EF2">
        <w:rPr>
          <w:rFonts w:cs="Times New Roman"/>
        </w:rPr>
        <w:t>»</w:t>
      </w:r>
      <w:r w:rsidRPr="000D6EF2">
        <w:rPr>
          <w:rStyle w:val="Richiamoallanotaapidipagina"/>
          <w:rFonts w:cs="Times New Roman"/>
        </w:rPr>
        <w:footnoteReference w:id="27"/>
      </w:r>
      <w:r w:rsidRPr="000D6EF2">
        <w:rPr>
          <w:rFonts w:cs="Times New Roman"/>
        </w:rPr>
        <w:t>. Secondo Cicerone, l’</w:t>
      </w:r>
      <w:r w:rsidRPr="000D6EF2">
        <w:rPr>
          <w:rFonts w:cs="Times New Roman"/>
          <w:i/>
          <w:iCs/>
        </w:rPr>
        <w:t>ornatus mundi</w:t>
      </w:r>
      <w:r w:rsidRPr="000D6EF2">
        <w:rPr>
          <w:rFonts w:cs="Times New Roman"/>
        </w:rPr>
        <w:t xml:space="preserve"> è il segno della causalità propriamente intesa. Senza il primo, scompare la seconda. Su questo punto, secondo Cicerone, la differenza tra Epicuro e Lucrezio è irrilevante. L</w:t>
      </w:r>
      <w:r w:rsidR="00493DFC" w:rsidRPr="000D6EF2">
        <w:rPr>
          <w:rFonts w:cs="Times New Roman"/>
        </w:rPr>
        <w:t>a deviazione</w:t>
      </w:r>
      <w:r w:rsidRPr="000D6EF2">
        <w:rPr>
          <w:rFonts w:cs="Times New Roman"/>
        </w:rPr>
        <w:t>, infatti, corrisponde all’assegnare</w:t>
      </w:r>
      <w:r w:rsidR="00493DFC" w:rsidRPr="000D6EF2">
        <w:rPr>
          <w:rFonts w:cs="Times New Roman"/>
        </w:rPr>
        <w:t xml:space="preserve"> «agli atomi, diverse sfere di azione» </w:t>
      </w:r>
      <w:r w:rsidRPr="000D6EF2">
        <w:rPr>
          <w:rFonts w:cs="Times New Roman"/>
        </w:rPr>
        <w:t>e, di conseguenza, reintrodurre quel carattere autonomo della materia in movimento che anche Democrito aveva postulato e così tanti filosofi hanno criticato.</w:t>
      </w:r>
    </w:p>
    <w:p w14:paraId="759820D9" w14:textId="3D468B4A" w:rsidR="00E10315" w:rsidRPr="000D6EF2" w:rsidRDefault="00196B24">
      <w:pPr>
        <w:pStyle w:val="BodyText"/>
        <w:rPr>
          <w:rFonts w:cs="Times New Roman"/>
        </w:rPr>
      </w:pPr>
      <w:r w:rsidRPr="000D6EF2">
        <w:rPr>
          <w:rFonts w:cs="Times New Roman"/>
        </w:rPr>
        <w:t>Epicuro e Lucrezio sono quindi compresi all’interno della critica tradizionale dell’assenza di causalità che era già stata diretta contro gli antichi atomisti. Libertà e necessità, così come  spontaneità e causalità,</w:t>
      </w:r>
      <w:r w:rsidR="009F5D4B" w:rsidRPr="000D6EF2">
        <w:rPr>
          <w:rFonts w:cs="Times New Roman"/>
        </w:rPr>
        <w:t xml:space="preserve"> vanno del pari</w:t>
      </w:r>
      <w:r w:rsidRPr="000D6EF2">
        <w:rPr>
          <w:rFonts w:cs="Times New Roman"/>
        </w:rPr>
        <w:t xml:space="preserve"> in entrambe le versioni dell’atomismo. Il loro peccato originale è di aver appiattito l’universo all’interno di una</w:t>
      </w:r>
      <w:r w:rsidR="009F5D4B" w:rsidRPr="000D6EF2">
        <w:rPr>
          <w:rFonts w:cs="Times New Roman"/>
        </w:rPr>
        <w:t xml:space="preserve"> dimensione di immanentismo causale e ontologico. </w:t>
      </w:r>
      <w:r w:rsidR="009E3D58" w:rsidRPr="000D6EF2">
        <w:rPr>
          <w:rFonts w:cs="Times New Roman"/>
        </w:rPr>
        <w:t>Possiamo quindi concedere</w:t>
      </w:r>
      <w:r w:rsidRPr="000D6EF2">
        <w:rPr>
          <w:rFonts w:cs="Times New Roman"/>
        </w:rPr>
        <w:t>, come afferma Cicerone, ch</w:t>
      </w:r>
      <w:r w:rsidR="009E3D58" w:rsidRPr="000D6EF2">
        <w:rPr>
          <w:rFonts w:cs="Times New Roman"/>
        </w:rPr>
        <w:t>e la deviazione di Epicuro manchi di una causa. M</w:t>
      </w:r>
      <w:r w:rsidRPr="000D6EF2">
        <w:rPr>
          <w:rFonts w:cs="Times New Roman"/>
        </w:rPr>
        <w:t xml:space="preserve">a </w:t>
      </w:r>
      <w:r w:rsidR="009E3D58" w:rsidRPr="000D6EF2">
        <w:rPr>
          <w:rFonts w:cs="Times New Roman"/>
        </w:rPr>
        <w:t xml:space="preserve">questo è vero </w:t>
      </w:r>
      <w:r w:rsidRPr="000D6EF2">
        <w:rPr>
          <w:rFonts w:cs="Times New Roman"/>
        </w:rPr>
        <w:t xml:space="preserve">solo </w:t>
      </w:r>
      <w:r w:rsidR="009E3D58" w:rsidRPr="000D6EF2">
        <w:rPr>
          <w:rFonts w:cs="Times New Roman"/>
        </w:rPr>
        <w:t>rispetto a una causalità teleologica,</w:t>
      </w:r>
      <w:r w:rsidRPr="000D6EF2">
        <w:rPr>
          <w:rFonts w:cs="Times New Roman"/>
        </w:rPr>
        <w:t xml:space="preserve"> l’unica </w:t>
      </w:r>
      <w:r w:rsidR="009E3D58" w:rsidRPr="000D6EF2">
        <w:rPr>
          <w:rFonts w:cs="Times New Roman"/>
        </w:rPr>
        <w:t xml:space="preserve">cioè </w:t>
      </w:r>
      <w:r w:rsidRPr="000D6EF2">
        <w:rPr>
          <w:rFonts w:cs="Times New Roman"/>
        </w:rPr>
        <w:t xml:space="preserve">capace </w:t>
      </w:r>
      <w:r w:rsidRPr="000D6EF2">
        <w:rPr>
          <w:rFonts w:cs="Times New Roman"/>
        </w:rPr>
        <w:lastRenderedPageBreak/>
        <w:t>di costituire, per Cicerone come per molti altri</w:t>
      </w:r>
      <w:r w:rsidR="009E3D58" w:rsidRPr="000D6EF2">
        <w:rPr>
          <w:rFonts w:cs="Times New Roman"/>
        </w:rPr>
        <w:t>, la bellezza ordinata del mondo, che la</w:t>
      </w:r>
      <w:r w:rsidRPr="000D6EF2">
        <w:rPr>
          <w:rFonts w:cs="Times New Roman"/>
        </w:rPr>
        <w:t xml:space="preserve"> </w:t>
      </w:r>
      <w:r w:rsidRPr="000D6EF2">
        <w:rPr>
          <w:rFonts w:cs="Times New Roman"/>
          <w:i/>
        </w:rPr>
        <w:t xml:space="preserve">turbulenta concursio </w:t>
      </w:r>
      <w:r w:rsidRPr="000D6EF2">
        <w:rPr>
          <w:rFonts w:cs="Times New Roman"/>
        </w:rPr>
        <w:t xml:space="preserve">degli atomi, secondo lui, non avrebbe mai potuto creare. </w:t>
      </w:r>
    </w:p>
    <w:p w14:paraId="68312149" w14:textId="6B822BD2" w:rsidR="00E10315" w:rsidRPr="000D6EF2" w:rsidRDefault="00196B24">
      <w:pPr>
        <w:pStyle w:val="BodyText"/>
        <w:rPr>
          <w:rFonts w:cs="Times New Roman"/>
        </w:rPr>
      </w:pPr>
      <w:r w:rsidRPr="000D6EF2">
        <w:rPr>
          <w:rFonts w:cs="Times New Roman"/>
        </w:rPr>
        <w:t>A dispetto dei suoi detrattori, la</w:t>
      </w:r>
      <w:r w:rsidR="009E3D58" w:rsidRPr="000D6EF2">
        <w:rPr>
          <w:rFonts w:cs="Times New Roman"/>
        </w:rPr>
        <w:t xml:space="preserve"> deviazione</w:t>
      </w:r>
      <w:r w:rsidRPr="000D6EF2">
        <w:rPr>
          <w:rFonts w:cs="Times New Roman"/>
        </w:rPr>
        <w:t xml:space="preserve"> conferma, nondimeno, che </w:t>
      </w:r>
      <w:r w:rsidR="009E3D58" w:rsidRPr="000D6EF2">
        <w:rPr>
          <w:rFonts w:cs="Times New Roman"/>
        </w:rPr>
        <w:t>l’</w:t>
      </w:r>
      <w:r w:rsidRPr="000D6EF2">
        <w:rPr>
          <w:rFonts w:cs="Times New Roman"/>
        </w:rPr>
        <w:t xml:space="preserve">obiettivo degli atomisti è escludere ogni forma di trascendenza, inclusa quella implicata nella concezione teleologica dell’universo. La deviazione è la causa spontanea ed autonoma che caratterizza la materia in movimento di Epicuro; esclude ogni causa finale e porta tutta la causalità sullo stesso piano di immanenza. Essere senza un </w:t>
      </w:r>
      <w:r w:rsidRPr="000D6EF2">
        <w:rPr>
          <w:rFonts w:cs="Times New Roman"/>
          <w:color w:val="222222"/>
          <w:lang w:val="en-GB"/>
        </w:rPr>
        <w:t>τέλος</w:t>
      </w:r>
      <w:r w:rsidRPr="000D6EF2">
        <w:rPr>
          <w:rFonts w:cs="Times New Roman"/>
        </w:rPr>
        <w:t xml:space="preserve">, come afferma Epicuro, non significa essere senza una </w:t>
      </w:r>
      <w:r w:rsidRPr="000D6EF2">
        <w:rPr>
          <w:rFonts w:cs="Times New Roman"/>
          <w:i/>
          <w:iCs/>
        </w:rPr>
        <w:t>ratio</w:t>
      </w:r>
      <w:r w:rsidRPr="000D6EF2">
        <w:rPr>
          <w:rFonts w:cs="Times New Roman"/>
        </w:rPr>
        <w:t xml:space="preserve">, come </w:t>
      </w:r>
      <w:r w:rsidR="00B65EC8" w:rsidRPr="000D6EF2">
        <w:rPr>
          <w:rFonts w:cs="Times New Roman"/>
        </w:rPr>
        <w:t xml:space="preserve">gli </w:t>
      </w:r>
      <w:r w:rsidRPr="000D6EF2">
        <w:rPr>
          <w:rFonts w:cs="Times New Roman"/>
        </w:rPr>
        <w:t xml:space="preserve">rimprovera Cicerone. </w:t>
      </w:r>
    </w:p>
    <w:p w14:paraId="3FD6E27C" w14:textId="2667B26A" w:rsidR="00E10315" w:rsidRPr="000D6EF2" w:rsidRDefault="00196B24">
      <w:pPr>
        <w:pStyle w:val="BodyText"/>
        <w:rPr>
          <w:rFonts w:cs="Times New Roman"/>
        </w:rPr>
      </w:pPr>
      <w:r w:rsidRPr="000D6EF2">
        <w:rPr>
          <w:rFonts w:cs="Times New Roman"/>
        </w:rPr>
        <w:t xml:space="preserve">Epicuro e Lucrezio mettono in campo anche una teoria </w:t>
      </w:r>
      <w:r w:rsidR="009835C9" w:rsidRPr="000D6EF2">
        <w:rPr>
          <w:rFonts w:cs="Times New Roman"/>
        </w:rPr>
        <w:t>dell’infinito. Epicuro spiega a</w:t>
      </w:r>
      <w:r w:rsidRPr="000D6EF2">
        <w:rPr>
          <w:rFonts w:cs="Times New Roman"/>
        </w:rPr>
        <w:t xml:space="preserve"> Erodoto che gli atomi non sono stati completamente esauriti nella produzione di </w:t>
      </w:r>
      <w:r w:rsidRPr="000D6EF2">
        <w:rPr>
          <w:rFonts w:cs="Times New Roman"/>
          <w:i/>
          <w:iCs/>
        </w:rPr>
        <w:t xml:space="preserve">questo </w:t>
      </w:r>
      <w:r w:rsidRPr="000D6EF2">
        <w:rPr>
          <w:rFonts w:cs="Times New Roman"/>
        </w:rPr>
        <w:t xml:space="preserve">mondo. Quindi, nulla impedisce di pensare che il numero di </w:t>
      </w:r>
      <w:r w:rsidRPr="000D6EF2">
        <w:rPr>
          <w:rFonts w:cs="Times New Roman"/>
          <w:iCs/>
        </w:rPr>
        <w:t>mondi</w:t>
      </w:r>
      <w:r w:rsidRPr="000D6EF2">
        <w:rPr>
          <w:rFonts w:cs="Times New Roman"/>
        </w:rPr>
        <w:t xml:space="preserve"> possa essere infinito</w:t>
      </w:r>
      <w:r w:rsidRPr="000D6EF2">
        <w:rPr>
          <w:rStyle w:val="Richiamoallanotaapidipagina"/>
          <w:rFonts w:cs="Times New Roman"/>
        </w:rPr>
        <w:footnoteReference w:id="28"/>
      </w:r>
      <w:r w:rsidRPr="000D6EF2">
        <w:rPr>
          <w:rFonts w:cs="Times New Roman"/>
        </w:rPr>
        <w:t>. Lucrezio rende chiaro che</w:t>
      </w:r>
      <w:r w:rsidR="009835C9" w:rsidRPr="000D6EF2">
        <w:rPr>
          <w:rFonts w:cs="Times New Roman"/>
        </w:rPr>
        <w:t xml:space="preserve"> il mondo degli atomi resiste a</w:t>
      </w:r>
      <w:r w:rsidRPr="000D6EF2">
        <w:rPr>
          <w:rFonts w:cs="Times New Roman"/>
        </w:rPr>
        <w:t xml:space="preserve"> essere limitato sia da un confine spaziale che da un principio ontologico di trascendenza: </w:t>
      </w:r>
      <w:r w:rsidR="009C7B5E" w:rsidRPr="000D6EF2">
        <w:rPr>
          <w:rFonts w:cs="Times New Roman"/>
        </w:rPr>
        <w:t>«</w:t>
      </w:r>
      <w:r w:rsidR="009C7B5E" w:rsidRPr="000D6EF2">
        <w:rPr>
          <w:rFonts w:cs="Times New Roman"/>
          <w:kern w:val="0"/>
          <w:lang w:val="en-US" w:bidi="ar-SA"/>
        </w:rPr>
        <w:t>Tutto ciò che è, dunque, non è delimitato in nessuna direzione; infatti avrebbe dovuto avere un punto estremo</w:t>
      </w:r>
      <w:r w:rsidR="009C7B5E" w:rsidRPr="000D6EF2">
        <w:rPr>
          <w:rFonts w:cs="Times New Roman"/>
        </w:rPr>
        <w:t>»</w:t>
      </w:r>
      <w:r w:rsidRPr="000D6EF2">
        <w:rPr>
          <w:rStyle w:val="Richiamoallanotaapidipagina"/>
          <w:rFonts w:cs="Times New Roman"/>
        </w:rPr>
        <w:footnoteReference w:id="29"/>
      </w:r>
      <w:r w:rsidRPr="000D6EF2">
        <w:rPr>
          <w:rFonts w:cs="Times New Roman"/>
        </w:rPr>
        <w:t xml:space="preserve">. Questo </w:t>
      </w:r>
      <w:r w:rsidRPr="000D6EF2">
        <w:rPr>
          <w:rFonts w:cs="Times New Roman"/>
          <w:i/>
          <w:iCs/>
        </w:rPr>
        <w:t>nihil ultra</w:t>
      </w:r>
      <w:r w:rsidRPr="000D6EF2">
        <w:rPr>
          <w:rFonts w:cs="Times New Roman"/>
        </w:rPr>
        <w:t xml:space="preserve"> è allo stesso tempo fisico ed etico. Ancor più importante, </w:t>
      </w:r>
      <w:r w:rsidR="009C7B5E" w:rsidRPr="000D6EF2">
        <w:rPr>
          <w:rFonts w:cs="Times New Roman"/>
        </w:rPr>
        <w:t xml:space="preserve">esso </w:t>
      </w:r>
      <w:r w:rsidRPr="000D6EF2">
        <w:rPr>
          <w:rFonts w:cs="Times New Roman"/>
        </w:rPr>
        <w:t xml:space="preserve">è collegato al caso come causa autonoma di produzione, causa che non esaurisce se stessa in </w:t>
      </w:r>
      <w:r w:rsidRPr="000D6EF2">
        <w:rPr>
          <w:rFonts w:cs="Times New Roman"/>
          <w:i/>
        </w:rPr>
        <w:t>un</w:t>
      </w:r>
      <w:r w:rsidRPr="000D6EF2">
        <w:rPr>
          <w:rFonts w:cs="Times New Roman"/>
        </w:rPr>
        <w:t xml:space="preserve"> mondo: fintantoché vi sono materia e spazio, vi saranno le occasioni, per gli atomi devianti, di incontrarsi reciprocamente e</w:t>
      </w:r>
      <w:r w:rsidR="009C7B5E" w:rsidRPr="000D6EF2">
        <w:rPr>
          <w:rFonts w:cs="Times New Roman"/>
        </w:rPr>
        <w:t xml:space="preserve"> formare nuovi corpi composti e quindi</w:t>
      </w:r>
      <w:r w:rsidRPr="000D6EF2">
        <w:rPr>
          <w:rFonts w:cs="Times New Roman"/>
        </w:rPr>
        <w:t xml:space="preserve"> nuovi mondi</w:t>
      </w:r>
      <w:r w:rsidRPr="000D6EF2">
        <w:rPr>
          <w:rStyle w:val="Richiamoallanotaapidipagina"/>
          <w:rFonts w:cs="Times New Roman"/>
        </w:rPr>
        <w:footnoteReference w:id="30"/>
      </w:r>
      <w:r w:rsidRPr="000D6EF2">
        <w:rPr>
          <w:rFonts w:cs="Times New Roman"/>
        </w:rPr>
        <w:t xml:space="preserve">. </w:t>
      </w:r>
    </w:p>
    <w:p w14:paraId="31BB7747" w14:textId="1C884B63" w:rsidR="00E10315" w:rsidRPr="000D6EF2" w:rsidRDefault="00196B24">
      <w:pPr>
        <w:pStyle w:val="BodyText"/>
        <w:rPr>
          <w:rFonts w:cs="Times New Roman"/>
        </w:rPr>
      </w:pPr>
      <w:r w:rsidRPr="000D6EF2">
        <w:rPr>
          <w:rFonts w:cs="Times New Roman"/>
        </w:rPr>
        <w:t xml:space="preserve">Non è un caso se né Platone né Aristotele accettano l’idea di un mondo infinito. Infatti, rifiutare l’esistenza di qualunque cosa oltre </w:t>
      </w:r>
      <w:r w:rsidR="000816CA" w:rsidRPr="000D6EF2">
        <w:rPr>
          <w:rFonts w:cs="Times New Roman"/>
        </w:rPr>
        <w:t xml:space="preserve">i corpi e </w:t>
      </w:r>
      <w:r w:rsidRPr="000D6EF2">
        <w:rPr>
          <w:rFonts w:cs="Times New Roman"/>
        </w:rPr>
        <w:t xml:space="preserve">lo spazio, come fa Epicuro, ha </w:t>
      </w:r>
      <w:r w:rsidR="000816CA" w:rsidRPr="000D6EF2">
        <w:rPr>
          <w:rFonts w:cs="Times New Roman"/>
        </w:rPr>
        <w:t>delle conseguenze</w:t>
      </w:r>
      <w:r w:rsidRPr="000D6EF2">
        <w:rPr>
          <w:rFonts w:cs="Times New Roman"/>
        </w:rPr>
        <w:t xml:space="preserve"> non solo fisiche ma anche ontologiche. Significa, di fatto, rigettare l’esistenza di piani separati dell’essere, </w:t>
      </w:r>
      <w:r w:rsidR="000816CA" w:rsidRPr="000D6EF2">
        <w:rPr>
          <w:rFonts w:cs="Times New Roman"/>
        </w:rPr>
        <w:t>cioè quella separazione che</w:t>
      </w:r>
      <w:r w:rsidRPr="000D6EF2">
        <w:rPr>
          <w:rFonts w:cs="Times New Roman"/>
        </w:rPr>
        <w:t xml:space="preserve"> sia Platone che Aristotele, anche se in modi diversi, perseguono. Il tutto epicureo è infinito e illimitato, </w:t>
      </w:r>
      <w:r w:rsidRPr="000D6EF2">
        <w:rPr>
          <w:rFonts w:cs="Times New Roman"/>
          <w:i/>
          <w:iCs/>
        </w:rPr>
        <w:t>quindi</w:t>
      </w:r>
      <w:r w:rsidRPr="000D6EF2">
        <w:rPr>
          <w:rFonts w:cs="Times New Roman"/>
        </w:rPr>
        <w:t xml:space="preserve"> nulla esiste al di là di esso. L’infinito</w:t>
      </w:r>
      <w:r w:rsidR="000816CA" w:rsidRPr="000D6EF2">
        <w:rPr>
          <w:rFonts w:cs="Times New Roman"/>
        </w:rPr>
        <w:t xml:space="preserve"> </w:t>
      </w:r>
      <w:r w:rsidR="000816CA" w:rsidRPr="000D6EF2">
        <w:rPr>
          <w:rFonts w:cs="Times New Roman"/>
          <w:i/>
        </w:rPr>
        <w:t>prende</w:t>
      </w:r>
      <w:r w:rsidRPr="000D6EF2">
        <w:rPr>
          <w:rFonts w:cs="Times New Roman"/>
        </w:rPr>
        <w:t xml:space="preserve"> tutto e non lascia nulla; </w:t>
      </w:r>
      <w:r w:rsidR="000816CA" w:rsidRPr="000D6EF2">
        <w:rPr>
          <w:rFonts w:cs="Times New Roman"/>
        </w:rPr>
        <w:t xml:space="preserve">esso </w:t>
      </w:r>
      <w:r w:rsidRPr="000D6EF2">
        <w:rPr>
          <w:rFonts w:cs="Times New Roman"/>
        </w:rPr>
        <w:t xml:space="preserve">diventa, nelle mani di Lucrezio ed Epicuro, una prodigiosa macchina da guerra contro la trascendenza, come </w:t>
      </w:r>
      <w:r w:rsidR="000816CA" w:rsidRPr="000D6EF2">
        <w:rPr>
          <w:rFonts w:cs="Times New Roman"/>
        </w:rPr>
        <w:t xml:space="preserve">noterà </w:t>
      </w:r>
      <w:r w:rsidRPr="000D6EF2">
        <w:rPr>
          <w:rFonts w:cs="Times New Roman"/>
        </w:rPr>
        <w:t xml:space="preserve">correttamente </w:t>
      </w:r>
      <w:r w:rsidR="000816CA" w:rsidRPr="000D6EF2">
        <w:rPr>
          <w:rFonts w:cs="Times New Roman"/>
        </w:rPr>
        <w:t>Plutarco</w:t>
      </w:r>
      <w:r w:rsidRPr="000D6EF2">
        <w:rPr>
          <w:rStyle w:val="Richiamoallanotaapidipagina"/>
          <w:rFonts w:cs="Times New Roman"/>
        </w:rPr>
        <w:footnoteReference w:id="31"/>
      </w:r>
      <w:r w:rsidRPr="000D6EF2">
        <w:rPr>
          <w:rFonts w:cs="Times New Roman"/>
        </w:rPr>
        <w:t>.</w:t>
      </w:r>
    </w:p>
    <w:p w14:paraId="7FDBBC86" w14:textId="3D049326" w:rsidR="00E10315" w:rsidRPr="000D6EF2" w:rsidRDefault="00196B24">
      <w:pPr>
        <w:pStyle w:val="BodyText"/>
        <w:rPr>
          <w:rFonts w:cs="Times New Roman"/>
        </w:rPr>
      </w:pPr>
      <w:r w:rsidRPr="000D6EF2">
        <w:rPr>
          <w:rFonts w:cs="Times New Roman"/>
        </w:rPr>
        <w:t>Accanto all’infinità quantitativ</w:t>
      </w:r>
      <w:r w:rsidR="001035F0" w:rsidRPr="000D6EF2">
        <w:rPr>
          <w:rFonts w:cs="Times New Roman"/>
        </w:rPr>
        <w:t>a del cosmo epicureo, gli atomi</w:t>
      </w:r>
      <w:r w:rsidRPr="000D6EF2">
        <w:rPr>
          <w:rFonts w:cs="Times New Roman"/>
        </w:rPr>
        <w:t xml:space="preserve">sti sviluppano anche l’idea di un’infinità </w:t>
      </w:r>
      <w:r w:rsidR="001035F0" w:rsidRPr="000D6EF2">
        <w:rPr>
          <w:rFonts w:cs="Times New Roman"/>
        </w:rPr>
        <w:t>temporale</w:t>
      </w:r>
      <w:r w:rsidRPr="000D6EF2">
        <w:rPr>
          <w:rFonts w:cs="Times New Roman"/>
        </w:rPr>
        <w:t>. Non solo la materia e lo spazio sono</w:t>
      </w:r>
      <w:r w:rsidR="001035F0" w:rsidRPr="000D6EF2">
        <w:rPr>
          <w:rFonts w:cs="Times New Roman"/>
        </w:rPr>
        <w:t xml:space="preserve"> senza fine</w:t>
      </w:r>
      <w:r w:rsidRPr="000D6EF2">
        <w:rPr>
          <w:rFonts w:cs="Times New Roman"/>
        </w:rPr>
        <w:t>, ma anche il tempo, che</w:t>
      </w:r>
      <w:r w:rsidR="001035F0" w:rsidRPr="000D6EF2">
        <w:rPr>
          <w:rFonts w:cs="Times New Roman"/>
        </w:rPr>
        <w:t xml:space="preserve"> può</w:t>
      </w:r>
      <w:r w:rsidRPr="000D6EF2">
        <w:rPr>
          <w:rFonts w:cs="Times New Roman"/>
        </w:rPr>
        <w:t xml:space="preserve"> quindi ospitare un’infinità di incontri, aggregazioni e disaggregazioni di corpi e mondi. Con la materia e lo spazio, l’idea di un tempo infinito è della massima importanza per l’ipotesi meccanicista e per lo sviluppo di spiegazioni non teleologiche dei fenomeni naturali. Infatti, se illimi</w:t>
      </w:r>
      <w:r w:rsidR="001035F0" w:rsidRPr="000D6EF2">
        <w:rPr>
          <w:rFonts w:cs="Times New Roman"/>
        </w:rPr>
        <w:t>tata</w:t>
      </w:r>
      <w:r w:rsidRPr="000D6EF2">
        <w:rPr>
          <w:rFonts w:cs="Times New Roman"/>
        </w:rPr>
        <w:t xml:space="preserve"> nel tempo, la natura potrebbe aver </w:t>
      </w:r>
      <w:r w:rsidR="001035F0" w:rsidRPr="000D6EF2">
        <w:rPr>
          <w:rFonts w:cs="Times New Roman"/>
        </w:rPr>
        <w:t>compiuto</w:t>
      </w:r>
      <w:r w:rsidRPr="000D6EF2">
        <w:rPr>
          <w:rFonts w:cs="Times New Roman"/>
        </w:rPr>
        <w:t xml:space="preserve"> una infinito </w:t>
      </w:r>
      <w:r w:rsidR="001035F0" w:rsidRPr="000D6EF2">
        <w:rPr>
          <w:rFonts w:cs="Times New Roman"/>
        </w:rPr>
        <w:t xml:space="preserve">numero </w:t>
      </w:r>
      <w:r w:rsidRPr="000D6EF2">
        <w:rPr>
          <w:rFonts w:cs="Times New Roman"/>
        </w:rPr>
        <w:t xml:space="preserve">di tentativi per raggiungere la sua attuale configurazione. La natura e il suo ordine, spiega Lucrezio, viene </w:t>
      </w:r>
      <w:r w:rsidRPr="000D6EF2">
        <w:rPr>
          <w:rFonts w:cs="Times New Roman"/>
          <w:i/>
        </w:rPr>
        <w:t>ex infinito</w:t>
      </w:r>
      <w:r w:rsidRPr="000D6EF2">
        <w:rPr>
          <w:rFonts w:cs="Times New Roman"/>
        </w:rPr>
        <w:t>:</w:t>
      </w:r>
    </w:p>
    <w:p w14:paraId="2BDC69CD" w14:textId="77777777" w:rsidR="00E10315" w:rsidRPr="000D6EF2" w:rsidRDefault="00E10315">
      <w:pPr>
        <w:ind w:firstLine="567"/>
        <w:rPr>
          <w:rFonts w:ascii="Times New Roman" w:hAnsi="Times New Roman" w:cs="Times New Roman"/>
        </w:rPr>
      </w:pPr>
    </w:p>
    <w:p w14:paraId="41D3A089" w14:textId="6F6769F2" w:rsidR="00E10315" w:rsidRPr="000D6EF2" w:rsidRDefault="001035F0" w:rsidP="001035F0">
      <w:pPr>
        <w:ind w:left="567"/>
        <w:rPr>
          <w:rFonts w:ascii="Times New Roman" w:hAnsi="Times New Roman" w:cs="Times New Roman"/>
          <w:sz w:val="20"/>
          <w:szCs w:val="20"/>
        </w:rPr>
      </w:pPr>
      <w:r w:rsidRPr="000D6EF2">
        <w:rPr>
          <w:rFonts w:ascii="Times New Roman" w:hAnsi="Times New Roman" w:cs="Times New Roman"/>
          <w:kern w:val="0"/>
          <w:sz w:val="20"/>
          <w:szCs w:val="20"/>
          <w:lang w:val="en-US" w:bidi="ar-SA"/>
        </w:rPr>
        <w:t>Certamente infatti, non deliberatamente, i primordi delle cose [</w:t>
      </w:r>
      <w:r w:rsidRPr="000D6EF2">
        <w:rPr>
          <w:rFonts w:ascii="Times New Roman" w:hAnsi="Times New Roman" w:cs="Times New Roman"/>
          <w:i/>
          <w:iCs/>
          <w:kern w:val="0"/>
          <w:sz w:val="20"/>
          <w:szCs w:val="20"/>
          <w:lang w:val="en-US" w:bidi="ar-SA"/>
        </w:rPr>
        <w:t>primordia rerum</w:t>
      </w:r>
      <w:r w:rsidRPr="000D6EF2">
        <w:rPr>
          <w:rFonts w:ascii="Times New Roman" w:hAnsi="Times New Roman" w:cs="Times New Roman"/>
          <w:kern w:val="0"/>
          <w:sz w:val="20"/>
          <w:szCs w:val="20"/>
          <w:lang w:val="en-US" w:bidi="ar-SA"/>
        </w:rPr>
        <w:t>] tutti quanti nell’ordine proprio si collocaron con mente sagace, né quali moti ciascuno causasse stabiliron del tutto, ma poiché molti movendosi, in moldi modi [</w:t>
      </w:r>
      <w:r w:rsidRPr="000D6EF2">
        <w:rPr>
          <w:rFonts w:ascii="Times New Roman" w:hAnsi="Times New Roman" w:cs="Times New Roman"/>
          <w:i/>
          <w:iCs/>
          <w:kern w:val="0"/>
          <w:sz w:val="20"/>
          <w:szCs w:val="20"/>
          <w:lang w:val="en-US" w:bidi="ar-SA"/>
        </w:rPr>
        <w:t>multa modis multis mutata</w:t>
      </w:r>
      <w:r w:rsidRPr="000D6EF2">
        <w:rPr>
          <w:rFonts w:ascii="Times New Roman" w:hAnsi="Times New Roman" w:cs="Times New Roman"/>
          <w:kern w:val="0"/>
          <w:sz w:val="20"/>
          <w:szCs w:val="20"/>
          <w:lang w:val="en-US" w:bidi="ar-SA"/>
        </w:rPr>
        <w:t xml:space="preserve">], per l’universo da infinito tempo son travagliati e spinti dagli urti, con lo sperimentar ogni specie di moto e d’aggregato alfin giungono a tali disposizioni delle quali questo insieme di cose creato consiste, e conservato per molti anche grandi anni non appena in moti convenienti è stato proiettato, fa che con le larghe onde della corrente l’avido mare vadano a rinnovar i fiumi, e la terra con il calore </w:t>
      </w:r>
      <w:r w:rsidRPr="000D6EF2">
        <w:rPr>
          <w:rFonts w:ascii="Times New Roman" w:hAnsi="Times New Roman" w:cs="Times New Roman"/>
          <w:kern w:val="0"/>
          <w:sz w:val="20"/>
          <w:szCs w:val="20"/>
          <w:lang w:val="en-US" w:bidi="ar-SA"/>
        </w:rPr>
        <w:lastRenderedPageBreak/>
        <w:t>dle sole sostentata i frutti ricrei, e fatta nascere la specie dei viventi fiorisca e abbiano vita i fuochi dell’etere scorrendo.</w:t>
      </w:r>
      <w:r w:rsidRPr="000D6EF2">
        <w:rPr>
          <w:rStyle w:val="FootnoteReference"/>
          <w:rFonts w:ascii="Times New Roman" w:hAnsi="Times New Roman" w:cs="Times New Roman"/>
          <w:kern w:val="0"/>
          <w:sz w:val="20"/>
          <w:szCs w:val="20"/>
          <w:lang w:val="en-US" w:bidi="ar-SA"/>
        </w:rPr>
        <w:footnoteReference w:id="32"/>
      </w:r>
    </w:p>
    <w:p w14:paraId="6EC2710C" w14:textId="77777777" w:rsidR="00E10315" w:rsidRPr="000D6EF2" w:rsidRDefault="00E10315">
      <w:pPr>
        <w:ind w:left="567"/>
        <w:rPr>
          <w:rFonts w:ascii="Times New Roman" w:hAnsi="Times New Roman" w:cs="Times New Roman"/>
        </w:rPr>
      </w:pPr>
    </w:p>
    <w:p w14:paraId="3477CBED" w14:textId="7CFDA179" w:rsidR="00E10315" w:rsidRPr="000D6EF2" w:rsidRDefault="00196B24">
      <w:pPr>
        <w:pStyle w:val="BodyText"/>
        <w:rPr>
          <w:rFonts w:cs="Times New Roman"/>
        </w:rPr>
      </w:pPr>
      <w:r w:rsidRPr="000D6EF2">
        <w:rPr>
          <w:rFonts w:cs="Times New Roman"/>
        </w:rPr>
        <w:t xml:space="preserve">Sappiamo oggi quanto importante sia questa idea nell’evoluzionismo </w:t>
      </w:r>
      <w:r w:rsidR="001035F0" w:rsidRPr="000D6EF2">
        <w:rPr>
          <w:rFonts w:cs="Times New Roman"/>
        </w:rPr>
        <w:t>moderno e post-</w:t>
      </w:r>
      <w:r w:rsidRPr="000D6EF2">
        <w:rPr>
          <w:rFonts w:cs="Times New Roman"/>
        </w:rPr>
        <w:t xml:space="preserve">darwiniano. Gli antichi atomisti, tuttavia, avevano già realizzato che, potenzialmente, poteva esse usata per contrastare l’idea di un’intelligenza superiore che crea ciò che la natura da sola non sarebbe mai stata in grado di produrre senza un disegno, ovvero l’ordine e la bellezza,  come argomentano i provvidenzialisti. </w:t>
      </w:r>
    </w:p>
    <w:p w14:paraId="72D71298" w14:textId="55423943" w:rsidR="00E10315" w:rsidRPr="000D6EF2" w:rsidRDefault="00196B24">
      <w:pPr>
        <w:pStyle w:val="BodyText"/>
        <w:rPr>
          <w:rFonts w:cs="Times New Roman"/>
        </w:rPr>
      </w:pPr>
      <w:r w:rsidRPr="000D6EF2">
        <w:rPr>
          <w:rFonts w:cs="Times New Roman"/>
        </w:rPr>
        <w:t>Nella sua raccolta</w:t>
      </w:r>
      <w:r w:rsidR="001035F0" w:rsidRPr="000D6EF2">
        <w:rPr>
          <w:rFonts w:cs="Times New Roman"/>
        </w:rPr>
        <w:t>,</w:t>
      </w:r>
      <w:r w:rsidRPr="000D6EF2">
        <w:rPr>
          <w:rFonts w:cs="Times New Roman"/>
        </w:rPr>
        <w:t xml:space="preserve"> Usener include un interessante frammento dal </w:t>
      </w:r>
      <w:r w:rsidRPr="000D6EF2">
        <w:rPr>
          <w:rFonts w:cs="Times New Roman"/>
          <w:i/>
          <w:iCs/>
        </w:rPr>
        <w:t>Commento all’Ecclesiaste</w:t>
      </w:r>
      <w:r w:rsidRPr="000D6EF2">
        <w:rPr>
          <w:rFonts w:cs="Times New Roman"/>
        </w:rPr>
        <w:t xml:space="preserve"> di Girolamo, che critica Epicuro sull’infinità del tempo: segni e prodigi sono inviati da Dio – dice Girolamo – e non si dovrebbe </w:t>
      </w:r>
      <w:r w:rsidR="001035F0" w:rsidRPr="000D6EF2">
        <w:rPr>
          <w:rFonts w:cs="Times New Roman"/>
        </w:rPr>
        <w:t xml:space="preserve">ritenerli semplicemente la </w:t>
      </w:r>
      <w:r w:rsidRPr="000D6EF2">
        <w:rPr>
          <w:rFonts w:cs="Times New Roman"/>
          <w:i/>
          <w:iCs/>
        </w:rPr>
        <w:t>ripetizione</w:t>
      </w:r>
      <w:r w:rsidRPr="000D6EF2">
        <w:rPr>
          <w:rFonts w:cs="Times New Roman"/>
          <w:i/>
        </w:rPr>
        <w:t xml:space="preserve"> </w:t>
      </w:r>
      <w:r w:rsidRPr="000D6EF2">
        <w:rPr>
          <w:rFonts w:cs="Times New Roman"/>
        </w:rPr>
        <w:t>di eventi che sono già accaduti in passato o che accadranno ancora in futuro, come l’empio filosofo afferma. Questi eventi sono certamente eccezionali, nuovi e, dunque, degni del nostro stupore</w:t>
      </w:r>
      <w:r w:rsidRPr="000D6EF2">
        <w:rPr>
          <w:rStyle w:val="Richiamoallanotaapidipagina"/>
          <w:rFonts w:cs="Times New Roman"/>
        </w:rPr>
        <w:footnoteReference w:id="33"/>
      </w:r>
      <w:r w:rsidRPr="000D6EF2">
        <w:rPr>
          <w:rFonts w:cs="Times New Roman"/>
        </w:rPr>
        <w:t>. Il credente non dovrebbe mai smettere di stupirsi per le meraviglie create da Dio</w:t>
      </w:r>
      <w:r w:rsidR="001035F0" w:rsidRPr="000D6EF2">
        <w:rPr>
          <w:rFonts w:cs="Times New Roman"/>
        </w:rPr>
        <w:t>. È evidente la funzione socio-religiosa</w:t>
      </w:r>
      <w:r w:rsidRPr="000D6EF2">
        <w:rPr>
          <w:rFonts w:cs="Times New Roman"/>
        </w:rPr>
        <w:t xml:space="preserve"> giocata dalla fisica nel </w:t>
      </w:r>
      <w:r w:rsidR="001035F0" w:rsidRPr="000D6EF2">
        <w:rPr>
          <w:rFonts w:cs="Times New Roman"/>
        </w:rPr>
        <w:t xml:space="preserve">sosenere </w:t>
      </w:r>
      <w:r w:rsidRPr="000D6EF2">
        <w:rPr>
          <w:rFonts w:cs="Times New Roman"/>
        </w:rPr>
        <w:t xml:space="preserve">un sistema di credenze o, nei termini di Epicuro e Lucrezio, </w:t>
      </w:r>
      <w:r w:rsidR="001035F0" w:rsidRPr="000D6EF2">
        <w:rPr>
          <w:rFonts w:cs="Times New Roman"/>
        </w:rPr>
        <w:t>una superstizione</w:t>
      </w:r>
      <w:r w:rsidRPr="000D6EF2">
        <w:rPr>
          <w:rFonts w:cs="Times New Roman"/>
        </w:rPr>
        <w:t xml:space="preserve">. </w:t>
      </w:r>
    </w:p>
    <w:p w14:paraId="3FF146B5" w14:textId="0E6471CD" w:rsidR="00E10315" w:rsidRPr="000D6EF2" w:rsidRDefault="00196B24">
      <w:pPr>
        <w:pStyle w:val="BodyText"/>
        <w:rPr>
          <w:rFonts w:cs="Times New Roman"/>
        </w:rPr>
      </w:pPr>
      <w:r w:rsidRPr="000D6EF2">
        <w:rPr>
          <w:rFonts w:cs="Times New Roman"/>
        </w:rPr>
        <w:t>La filosofia degli atomisti capovolge la giustificazione etica della conoscenza. La conoscenza è sempre usata per rendere liberi gli uomini dalla paura e dalla soggezione, determi</w:t>
      </w:r>
      <w:r w:rsidR="001035F0" w:rsidRPr="000D6EF2">
        <w:rPr>
          <w:rFonts w:cs="Times New Roman"/>
        </w:rPr>
        <w:t>n</w:t>
      </w:r>
      <w:r w:rsidRPr="000D6EF2">
        <w:rPr>
          <w:rFonts w:cs="Times New Roman"/>
        </w:rPr>
        <w:t>ate dall’ignoranza della natura. L’osservazione della regolarità e della</w:t>
      </w:r>
      <w:r w:rsidR="001035F0" w:rsidRPr="000D6EF2">
        <w:rPr>
          <w:rFonts w:cs="Times New Roman"/>
        </w:rPr>
        <w:t xml:space="preserve"> costanza</w:t>
      </w:r>
      <w:r w:rsidRPr="000D6EF2">
        <w:rPr>
          <w:rFonts w:cs="Times New Roman"/>
        </w:rPr>
        <w:t xml:space="preserve"> della natura, al contrario, dà fiducia agli uomini e li libera dalla paura, come Epicuro spiega a Pitocle: </w:t>
      </w:r>
      <w:r w:rsidR="001035F0" w:rsidRPr="000D6EF2">
        <w:rPr>
          <w:rFonts w:cs="Times New Roman"/>
        </w:rPr>
        <w:t>«</w:t>
      </w:r>
      <w:r w:rsidR="001035F0" w:rsidRPr="000D6EF2">
        <w:rPr>
          <w:rFonts w:cs="Times New Roman"/>
          <w:kern w:val="0"/>
          <w:lang w:val="en-US" w:bidi="ar-SA"/>
        </w:rPr>
        <w:t>bisogna ritenere che il fine da raggiungere con la conoscenza dei fenomeni celesti, sia trattati insieme, nelle loro connessioni, sia isolatamente, non è altro se non l’imperturbabilità e una salda convinzione, come del resto è anche per gli altri studî</w:t>
      </w:r>
      <w:r w:rsidR="001035F0" w:rsidRPr="000D6EF2">
        <w:rPr>
          <w:rFonts w:cs="Times New Roman"/>
        </w:rPr>
        <w:t>»</w:t>
      </w:r>
      <w:r w:rsidRPr="000D6EF2">
        <w:rPr>
          <w:rStyle w:val="Richiamoallanotaapidipagina"/>
          <w:rFonts w:cs="Times New Roman"/>
        </w:rPr>
        <w:footnoteReference w:id="34"/>
      </w:r>
      <w:r w:rsidR="001035F0" w:rsidRPr="000D6EF2">
        <w:rPr>
          <w:rFonts w:cs="Times New Roman"/>
        </w:rPr>
        <w:t>. L’</w:t>
      </w:r>
      <w:r w:rsidRPr="000D6EF2">
        <w:rPr>
          <w:rFonts w:cs="Times New Roman"/>
        </w:rPr>
        <w:t>ἀταραξία (imperturbabilità della mente), il perno dell’etica epicurea, può essere raggiunta prima e soprattutto cambiando l’attitudine che ciascuno di noi ha rispetto alla natura e al suo spettacolo. Questo è l’obiettivo principale della scienza. Lucrezio ripete spesso la sua gratitudine infinita verso Epicuro per questo fondamentale risultato</w:t>
      </w:r>
      <w:r w:rsidRPr="000D6EF2">
        <w:rPr>
          <w:rStyle w:val="Richiamoallanotaapidipagina"/>
          <w:rFonts w:cs="Times New Roman"/>
        </w:rPr>
        <w:footnoteReference w:id="35"/>
      </w:r>
      <w:r w:rsidRPr="000D6EF2">
        <w:rPr>
          <w:rFonts w:cs="Times New Roman"/>
        </w:rPr>
        <w:t>. Aprendo il cancello della conoscenza, la scienza della natura chiude le porte alla paura:</w:t>
      </w:r>
    </w:p>
    <w:p w14:paraId="26326067" w14:textId="77777777" w:rsidR="00E10315" w:rsidRPr="000D6EF2" w:rsidRDefault="00E10315">
      <w:pPr>
        <w:pStyle w:val="BodyText"/>
        <w:rPr>
          <w:rFonts w:cs="Times New Roman"/>
        </w:rPr>
      </w:pPr>
    </w:p>
    <w:p w14:paraId="3755974B" w14:textId="2739D0A6" w:rsidR="001035F0" w:rsidRPr="000D6EF2" w:rsidRDefault="001035F0" w:rsidP="001035F0">
      <w:pPr>
        <w:pStyle w:val="BodyText"/>
        <w:ind w:left="567" w:firstLine="0"/>
        <w:rPr>
          <w:rFonts w:cs="Times New Roman"/>
          <w:sz w:val="20"/>
          <w:szCs w:val="20"/>
        </w:rPr>
      </w:pPr>
      <w:r w:rsidRPr="000D6EF2">
        <w:rPr>
          <w:rFonts w:cs="Times New Roman"/>
          <w:kern w:val="0"/>
          <w:sz w:val="20"/>
          <w:szCs w:val="20"/>
          <w:lang w:val="en-US" w:bidi="ar-SA"/>
        </w:rPr>
        <w:t>Come infatti i bimbetti hanno paura e di tutto temono nell’oscurità delle tenebre, cosi noi alla luce temiamo talora, per ciò che in nulla dobbiamo temere più di quello che i bimbi nelle tenebre paventano e si fingono avvenga. Questo, dunque, terrore dell’animo e queste tenebre è necessario che non i raggi del sole o gli splendidi dardi del giorni facciano scomparire, ma una visione razionale della natura.</w:t>
      </w:r>
      <w:r w:rsidRPr="000D6EF2">
        <w:rPr>
          <w:rStyle w:val="FootnoteReference"/>
          <w:rFonts w:cs="Times New Roman"/>
          <w:kern w:val="0"/>
          <w:sz w:val="20"/>
          <w:szCs w:val="20"/>
          <w:lang w:val="en-US" w:bidi="ar-SA"/>
        </w:rPr>
        <w:footnoteReference w:id="36"/>
      </w:r>
    </w:p>
    <w:p w14:paraId="51B26A1F" w14:textId="77777777" w:rsidR="001035F0" w:rsidRPr="000D6EF2" w:rsidRDefault="001035F0" w:rsidP="001035F0">
      <w:pPr>
        <w:pStyle w:val="BodyText"/>
        <w:rPr>
          <w:rFonts w:cs="Times New Roman"/>
        </w:rPr>
      </w:pPr>
    </w:p>
    <w:p w14:paraId="3BC1EE2E" w14:textId="16BC2969" w:rsidR="00E10315" w:rsidRPr="000D6EF2" w:rsidRDefault="00196B24" w:rsidP="001035F0">
      <w:pPr>
        <w:pStyle w:val="BodyText"/>
        <w:rPr>
          <w:rFonts w:cs="Times New Roman"/>
        </w:rPr>
      </w:pPr>
      <w:r w:rsidRPr="000D6EF2">
        <w:rPr>
          <w:rFonts w:cs="Times New Roman"/>
        </w:rPr>
        <w:t xml:space="preserve">Di qui consegue una </w:t>
      </w:r>
      <w:r w:rsidR="001035F0" w:rsidRPr="000D6EF2">
        <w:rPr>
          <w:rFonts w:cs="Times New Roman"/>
        </w:rPr>
        <w:t>profonda</w:t>
      </w:r>
      <w:r w:rsidRPr="000D6EF2">
        <w:rPr>
          <w:rFonts w:cs="Times New Roman"/>
        </w:rPr>
        <w:t xml:space="preserve"> rivoluzione nella concezione degli dèi. Sia Epicuro che Lucrezio escludono la credenza superstiziosa in una divinità che agisce sul mondo come se fosse un uomo</w:t>
      </w:r>
      <w:r w:rsidRPr="000D6EF2">
        <w:rPr>
          <w:rStyle w:val="Richiamoallanotaapidipagina"/>
          <w:rFonts w:cs="Times New Roman"/>
        </w:rPr>
        <w:footnoteReference w:id="37"/>
      </w:r>
      <w:r w:rsidRPr="000D6EF2">
        <w:rPr>
          <w:rFonts w:cs="Times New Roman"/>
        </w:rPr>
        <w:t xml:space="preserve">. Non si tratta di una posizione atea, come si potrebbe credere. Al contrario, Epicuro e Lucrezio credono in qualcosa che si potrebbe definire divino. Tuttavia, siccome non esiste alcunché al di là </w:t>
      </w:r>
      <w:r w:rsidRPr="000D6EF2">
        <w:rPr>
          <w:rFonts w:cs="Times New Roman"/>
        </w:rPr>
        <w:lastRenderedPageBreak/>
        <w:t>dei corpi e dello spazio, gli dèi stessi devono essere della medesim</w:t>
      </w:r>
      <w:r w:rsidR="001035F0" w:rsidRPr="000D6EF2">
        <w:rPr>
          <w:rFonts w:cs="Times New Roman"/>
        </w:rPr>
        <w:t>a natura corporea, per quanto a</w:t>
      </w:r>
      <w:r w:rsidRPr="000D6EF2">
        <w:rPr>
          <w:rFonts w:cs="Times New Roman"/>
        </w:rPr>
        <w:t xml:space="preserve"> un grado massimo di perfezione. In ogni caso, non differiscono dagli uomini per natura, non stanno </w:t>
      </w:r>
      <w:r w:rsidRPr="000D6EF2">
        <w:rPr>
          <w:rFonts w:cs="Times New Roman"/>
          <w:i/>
          <w:iCs/>
        </w:rPr>
        <w:t xml:space="preserve">sopra </w:t>
      </w:r>
      <w:r w:rsidRPr="000D6EF2">
        <w:rPr>
          <w:rFonts w:cs="Times New Roman"/>
        </w:rPr>
        <w:t>alla natura. Imperturbabili, essi vivono la loro perfetta esistenza senza mai entrare in contatto con il regno umano</w:t>
      </w:r>
      <w:r w:rsidRPr="000D6EF2">
        <w:rPr>
          <w:rStyle w:val="Richiamoallanotaapidipagina"/>
          <w:rFonts w:cs="Times New Roman"/>
        </w:rPr>
        <w:footnoteReference w:id="38"/>
      </w:r>
      <w:r w:rsidRPr="000D6EF2">
        <w:rPr>
          <w:rFonts w:cs="Times New Roman"/>
        </w:rPr>
        <w:t>. Inoltre, non producono il mondo per il bene degli uomini e non potrebbero mai essere mossi in nessun modo dalla devozione o dalle preghiere</w:t>
      </w:r>
      <w:r w:rsidRPr="000D6EF2">
        <w:rPr>
          <w:rStyle w:val="Richiamoallanotaapidipagina"/>
          <w:rFonts w:cs="Times New Roman"/>
        </w:rPr>
        <w:footnoteReference w:id="39"/>
      </w:r>
      <w:r w:rsidRPr="000D6EF2">
        <w:rPr>
          <w:rFonts w:cs="Times New Roman"/>
        </w:rPr>
        <w:t>. Vengono così minate le basi della pratica religiosa tradizionale e, quindi, della superstizione</w:t>
      </w:r>
      <w:r w:rsidRPr="000D6EF2">
        <w:rPr>
          <w:rStyle w:val="Richiamoallanotaapidipagina"/>
          <w:rFonts w:cs="Times New Roman"/>
        </w:rPr>
        <w:footnoteReference w:id="40"/>
      </w:r>
      <w:r w:rsidRPr="000D6EF2">
        <w:rPr>
          <w:rFonts w:cs="Times New Roman"/>
        </w:rPr>
        <w:t>: un nuovo approccio allo studio della natura – e alla vita libera – può iniziare.</w:t>
      </w:r>
    </w:p>
    <w:p w14:paraId="19DB2651" w14:textId="57D567B8" w:rsidR="00E10315" w:rsidRPr="000D6EF2" w:rsidRDefault="00753D19">
      <w:pPr>
        <w:pStyle w:val="BodyText"/>
        <w:rPr>
          <w:rFonts w:cs="Times New Roman"/>
        </w:rPr>
      </w:pPr>
      <w:r w:rsidRPr="000D6EF2">
        <w:rPr>
          <w:rFonts w:cs="Times New Roman"/>
        </w:rPr>
        <w:t>I bersagli</w:t>
      </w:r>
      <w:r w:rsidR="00196B24" w:rsidRPr="000D6EF2">
        <w:rPr>
          <w:rFonts w:cs="Times New Roman"/>
        </w:rPr>
        <w:t xml:space="preserve"> polemici degli atomisti, come ha </w:t>
      </w:r>
      <w:r w:rsidRPr="000D6EF2">
        <w:rPr>
          <w:rFonts w:cs="Times New Roman"/>
        </w:rPr>
        <w:t>mostrato fra gli altri</w:t>
      </w:r>
      <w:r w:rsidR="00196B24" w:rsidRPr="000D6EF2">
        <w:rPr>
          <w:rFonts w:cs="Times New Roman"/>
        </w:rPr>
        <w:t xml:space="preserve"> Bignone</w:t>
      </w:r>
      <w:r w:rsidR="00196B24" w:rsidRPr="000D6EF2">
        <w:rPr>
          <w:rStyle w:val="Richiamoallanotaapidipagina"/>
          <w:rFonts w:cs="Times New Roman"/>
        </w:rPr>
        <w:footnoteReference w:id="41"/>
      </w:r>
      <w:r w:rsidR="00196B24" w:rsidRPr="000D6EF2">
        <w:rPr>
          <w:rFonts w:cs="Times New Roman"/>
        </w:rPr>
        <w:t>, sono Platone e Aristotele (</w:t>
      </w:r>
      <w:r w:rsidRPr="000D6EF2">
        <w:rPr>
          <w:rFonts w:cs="Times New Roman"/>
        </w:rPr>
        <w:t xml:space="preserve">e </w:t>
      </w:r>
      <w:r w:rsidR="00196B24" w:rsidRPr="000D6EF2">
        <w:rPr>
          <w:rFonts w:cs="Times New Roman"/>
        </w:rPr>
        <w:t>probabilmente</w:t>
      </w:r>
      <w:r w:rsidRPr="000D6EF2">
        <w:rPr>
          <w:rFonts w:cs="Times New Roman"/>
        </w:rPr>
        <w:t>, nello specifico,</w:t>
      </w:r>
      <w:r w:rsidR="00196B24" w:rsidRPr="000D6EF2">
        <w:rPr>
          <w:rFonts w:cs="Times New Roman"/>
        </w:rPr>
        <w:t xml:space="preserve"> l’Aristotele esoterico </w:t>
      </w:r>
      <w:r w:rsidRPr="000D6EF2">
        <w:rPr>
          <w:rFonts w:cs="Times New Roman"/>
        </w:rPr>
        <w:t xml:space="preserve">a </w:t>
      </w:r>
      <w:r w:rsidR="00196B24" w:rsidRPr="000D6EF2">
        <w:rPr>
          <w:rFonts w:cs="Times New Roman"/>
        </w:rPr>
        <w:t>cui abbiamo accesso</w:t>
      </w:r>
      <w:r w:rsidRPr="000D6EF2">
        <w:rPr>
          <w:rFonts w:cs="Times New Roman"/>
        </w:rPr>
        <w:t xml:space="preserve">) </w:t>
      </w:r>
      <w:r w:rsidRPr="000D6EF2">
        <w:rPr>
          <w:rFonts w:cs="Times New Roman"/>
          <w:iCs/>
          <w:kern w:val="0"/>
          <w:lang w:val="en-US" w:bidi="ar-SA"/>
        </w:rPr>
        <w:t>sia</w:t>
      </w:r>
      <w:r w:rsidRPr="000D6EF2">
        <w:rPr>
          <w:rFonts w:cs="Times New Roman"/>
          <w:kern w:val="0"/>
          <w:lang w:val="en-US" w:bidi="ar-SA"/>
        </w:rPr>
        <w:t xml:space="preserve"> per le tesi etiche </w:t>
      </w:r>
      <w:r w:rsidRPr="000D6EF2">
        <w:rPr>
          <w:rFonts w:cs="Times New Roman"/>
          <w:iCs/>
          <w:kern w:val="0"/>
          <w:lang w:val="en-US" w:bidi="ar-SA"/>
        </w:rPr>
        <w:t>che</w:t>
      </w:r>
      <w:r w:rsidRPr="000D6EF2">
        <w:rPr>
          <w:rFonts w:cs="Times New Roman"/>
          <w:kern w:val="0"/>
          <w:lang w:val="en-US" w:bidi="ar-SA"/>
        </w:rPr>
        <w:t xml:space="preserve"> per quelle fisiche sulle quali i loro sistemi sono basati</w:t>
      </w:r>
      <w:r w:rsidRPr="000D6EF2">
        <w:rPr>
          <w:rStyle w:val="Richiamoallanotaapidipagina"/>
          <w:rFonts w:cs="Times New Roman"/>
        </w:rPr>
        <w:t xml:space="preserve"> </w:t>
      </w:r>
      <w:r w:rsidR="00196B24" w:rsidRPr="000D6EF2">
        <w:rPr>
          <w:rStyle w:val="Richiamoallanotaapidipagina"/>
          <w:rFonts w:cs="Times New Roman"/>
        </w:rPr>
        <w:footnoteReference w:id="42"/>
      </w:r>
      <w:r w:rsidR="00196B24" w:rsidRPr="000D6EF2">
        <w:rPr>
          <w:rFonts w:cs="Times New Roman"/>
        </w:rPr>
        <w:t xml:space="preserve">. Lo scopo della fisica è liberare gli uomini dalla superstizione, ma fine e mezzi vanno di pari passo: l’uno è il sintomo e la causa dell’altro. La parte più </w:t>
      </w:r>
      <w:r w:rsidRPr="000D6EF2">
        <w:rPr>
          <w:rFonts w:cs="Times New Roman"/>
        </w:rPr>
        <w:t>ampia</w:t>
      </w:r>
      <w:r w:rsidR="00196B24" w:rsidRPr="000D6EF2">
        <w:rPr>
          <w:rFonts w:cs="Times New Roman"/>
        </w:rPr>
        <w:t xml:space="preserve"> della raccolta di Usener è dedicata</w:t>
      </w:r>
      <w:r w:rsidRPr="000D6EF2">
        <w:rPr>
          <w:rFonts w:cs="Times New Roman"/>
        </w:rPr>
        <w:t xml:space="preserve"> proprio</w:t>
      </w:r>
      <w:r w:rsidR="00196B24" w:rsidRPr="000D6EF2">
        <w:rPr>
          <w:rFonts w:cs="Times New Roman"/>
        </w:rPr>
        <w:t xml:space="preserve"> a questi aspetti. Il testo di Epicuro su questa teoria, </w:t>
      </w:r>
      <w:r w:rsidR="002179FA" w:rsidRPr="000D6EF2">
        <w:rPr>
          <w:rFonts w:cs="Times New Roman"/>
        </w:rPr>
        <w:t xml:space="preserve">paradossalmente </w:t>
      </w:r>
      <w:r w:rsidR="00196B24" w:rsidRPr="000D6EF2">
        <w:rPr>
          <w:rFonts w:cs="Times New Roman"/>
        </w:rPr>
        <w:t>prese</w:t>
      </w:r>
      <w:r w:rsidRPr="000D6EF2">
        <w:rPr>
          <w:rFonts w:cs="Times New Roman"/>
        </w:rPr>
        <w:t>rvato</w:t>
      </w:r>
      <w:r w:rsidR="00196B24" w:rsidRPr="000D6EF2">
        <w:rPr>
          <w:rFonts w:cs="Times New Roman"/>
        </w:rPr>
        <w:t xml:space="preserve"> </w:t>
      </w:r>
      <w:r w:rsidR="002179FA" w:rsidRPr="000D6EF2">
        <w:rPr>
          <w:rFonts w:cs="Times New Roman"/>
        </w:rPr>
        <w:t>d</w:t>
      </w:r>
      <w:r w:rsidR="00196B24" w:rsidRPr="000D6EF2">
        <w:rPr>
          <w:rFonts w:cs="Times New Roman"/>
        </w:rPr>
        <w:t>ai suoi più feroci detrattori,</w:t>
      </w:r>
      <w:r w:rsidR="002179FA" w:rsidRPr="000D6EF2">
        <w:rPr>
          <w:rFonts w:cs="Times New Roman"/>
        </w:rPr>
        <w:t xml:space="preserve"> per meglio denunciarlo,</w:t>
      </w:r>
      <w:r w:rsidR="00196B24" w:rsidRPr="000D6EF2">
        <w:rPr>
          <w:rFonts w:cs="Times New Roman"/>
        </w:rPr>
        <w:t xml:space="preserve"> parla delle necessarie implicazioni della fisica atomista sull’etica e sulla religione. Luciano loda onestamente, con la </w:t>
      </w:r>
      <w:r w:rsidR="002179FA" w:rsidRPr="000D6EF2">
        <w:rPr>
          <w:rFonts w:cs="Times New Roman"/>
        </w:rPr>
        <w:t xml:space="preserve">sua </w:t>
      </w:r>
      <w:r w:rsidR="00196B24" w:rsidRPr="000D6EF2">
        <w:rPr>
          <w:rFonts w:cs="Times New Roman"/>
        </w:rPr>
        <w:t>potente ironia, questo atteggiamento</w:t>
      </w:r>
      <w:r w:rsidR="00196B24" w:rsidRPr="000D6EF2">
        <w:rPr>
          <w:rStyle w:val="Richiamoallanotaapidipagina"/>
          <w:rFonts w:cs="Times New Roman"/>
        </w:rPr>
        <w:footnoteReference w:id="43"/>
      </w:r>
      <w:r w:rsidR="00196B24" w:rsidRPr="000D6EF2">
        <w:rPr>
          <w:rFonts w:cs="Times New Roman"/>
        </w:rPr>
        <w:t>. Simplicio, Cicerone, Plutarco, Plotino, Galeno e Lattanz</w:t>
      </w:r>
      <w:r w:rsidR="002179FA" w:rsidRPr="000D6EF2">
        <w:rPr>
          <w:rFonts w:cs="Times New Roman"/>
        </w:rPr>
        <w:t xml:space="preserve">io lo attaccano ferocemente. La </w:t>
      </w:r>
      <w:r w:rsidR="00196B24" w:rsidRPr="000D6EF2">
        <w:rPr>
          <w:rFonts w:cs="Times New Roman"/>
        </w:rPr>
        <w:t>ὑλικὴ ἀνάγκη, la necessità materiale che Epicuro vede al lavoro nell’universo, spazza via ogni immagine antropomorfica di Dio</w:t>
      </w:r>
      <w:r w:rsidR="00196B24" w:rsidRPr="000D6EF2">
        <w:rPr>
          <w:rStyle w:val="Richiamoallanotaapidipagina"/>
          <w:rFonts w:cs="Times New Roman"/>
        </w:rPr>
        <w:footnoteReference w:id="44"/>
      </w:r>
      <w:r w:rsidR="00196B24" w:rsidRPr="000D6EF2">
        <w:rPr>
          <w:rFonts w:cs="Times New Roman"/>
        </w:rPr>
        <w:t xml:space="preserve">. Ma il peccato è </w:t>
      </w:r>
      <w:r w:rsidR="002179FA" w:rsidRPr="000D6EF2">
        <w:rPr>
          <w:rFonts w:cs="Times New Roman"/>
        </w:rPr>
        <w:t>ormai</w:t>
      </w:r>
      <w:r w:rsidR="00196B24" w:rsidRPr="000D6EF2">
        <w:rPr>
          <w:rFonts w:cs="Times New Roman"/>
        </w:rPr>
        <w:t xml:space="preserve"> commesso. Lucrezio </w:t>
      </w:r>
      <w:r w:rsidR="002179FA" w:rsidRPr="000D6EF2">
        <w:rPr>
          <w:rFonts w:cs="Times New Roman"/>
        </w:rPr>
        <w:t>difende con coraggio la dimostrazione del</w:t>
      </w:r>
      <w:r w:rsidR="00196B24" w:rsidRPr="000D6EF2">
        <w:rPr>
          <w:rFonts w:cs="Times New Roman"/>
        </w:rPr>
        <w:t xml:space="preserve">l’origine pienamente immanente del tutto: la natura e il mondo sono spiegati senza provvidenza, senza dio, e senza disegno. Il mondo, infinito, è lasciato a se stesso e alla curiosa esplorazione da parte dell’uomo dei suoi fenomeni, </w:t>
      </w:r>
      <w:r w:rsidR="002179FA" w:rsidRPr="000D6EF2">
        <w:rPr>
          <w:rFonts w:cs="Times New Roman"/>
        </w:rPr>
        <w:t>del</w:t>
      </w:r>
      <w:r w:rsidR="00196B24" w:rsidRPr="000D6EF2">
        <w:rPr>
          <w:rFonts w:cs="Times New Roman"/>
        </w:rPr>
        <w:t xml:space="preserve">le loro cause, </w:t>
      </w:r>
      <w:r w:rsidR="002179FA" w:rsidRPr="000D6EF2">
        <w:rPr>
          <w:rFonts w:cs="Times New Roman"/>
        </w:rPr>
        <w:t>de</w:t>
      </w:r>
      <w:r w:rsidR="00196B24" w:rsidRPr="000D6EF2">
        <w:rPr>
          <w:rFonts w:cs="Times New Roman"/>
        </w:rPr>
        <w:t>i loro effetti</w:t>
      </w:r>
      <w:r w:rsidR="00196B24" w:rsidRPr="000D6EF2">
        <w:rPr>
          <w:rStyle w:val="Richiamoallanotaapidipagina"/>
          <w:rFonts w:cs="Times New Roman"/>
        </w:rPr>
        <w:footnoteReference w:id="45"/>
      </w:r>
      <w:r w:rsidR="00196B24" w:rsidRPr="000D6EF2">
        <w:rPr>
          <w:rFonts w:cs="Times New Roman"/>
        </w:rPr>
        <w:t>.</w:t>
      </w:r>
    </w:p>
    <w:p w14:paraId="0759AF78" w14:textId="77777777" w:rsidR="00E10315" w:rsidRPr="000D6EF2" w:rsidRDefault="00E10315">
      <w:pPr>
        <w:pStyle w:val="BodyText"/>
        <w:rPr>
          <w:rFonts w:cs="Times New Roman"/>
        </w:rPr>
      </w:pPr>
    </w:p>
    <w:p w14:paraId="16AD515C" w14:textId="26023287" w:rsidR="00E10315" w:rsidRPr="000D6EF2" w:rsidRDefault="00196B24" w:rsidP="007A6F98">
      <w:pPr>
        <w:pStyle w:val="BodyText"/>
        <w:jc w:val="left"/>
        <w:rPr>
          <w:rFonts w:cs="Times New Roman"/>
          <w:bCs/>
          <w:i/>
          <w:sz w:val="28"/>
          <w:szCs w:val="28"/>
        </w:rPr>
      </w:pPr>
      <w:r w:rsidRPr="000D6EF2">
        <w:rPr>
          <w:rFonts w:cs="Times New Roman"/>
          <w:bCs/>
          <w:i/>
          <w:sz w:val="28"/>
          <w:szCs w:val="28"/>
        </w:rPr>
        <w:t>Zoogonia, mostruosità e la normatività della natura</w:t>
      </w:r>
    </w:p>
    <w:p w14:paraId="1216E3D5" w14:textId="77777777" w:rsidR="00E10315" w:rsidRPr="000D6EF2" w:rsidRDefault="00E10315">
      <w:pPr>
        <w:pStyle w:val="BodyText"/>
        <w:rPr>
          <w:rFonts w:cs="Times New Roman"/>
        </w:rPr>
      </w:pPr>
    </w:p>
    <w:p w14:paraId="132F18B4" w14:textId="3BC9360B" w:rsidR="00E10315" w:rsidRPr="000D6EF2" w:rsidRDefault="00196B24">
      <w:pPr>
        <w:pStyle w:val="BodyText"/>
        <w:rPr>
          <w:rFonts w:cs="Times New Roman"/>
        </w:rPr>
      </w:pPr>
      <w:r w:rsidRPr="000D6EF2">
        <w:rPr>
          <w:rFonts w:cs="Times New Roman"/>
        </w:rPr>
        <w:t>Una volt</w:t>
      </w:r>
      <w:r w:rsidR="002179FA" w:rsidRPr="000D6EF2">
        <w:rPr>
          <w:rFonts w:cs="Times New Roman"/>
        </w:rPr>
        <w:t xml:space="preserve">a </w:t>
      </w:r>
      <w:r w:rsidR="002179FA" w:rsidRPr="000D6EF2">
        <w:rPr>
          <w:rFonts w:cs="Times New Roman"/>
          <w:kern w:val="0"/>
          <w:lang w:val="en-US" w:bidi="ar-SA"/>
        </w:rPr>
        <w:t>stabiliti i principi generali dell’atomismo, bisogna indagare la descrizione dell’origine dell’universo, per mostrare i particolari necessari al raggiungimento dell’obiettivo etico e scientifico perseguito da Epicuro e Lucrezio</w:t>
      </w:r>
      <w:r w:rsidRPr="000D6EF2">
        <w:rPr>
          <w:rFonts w:cs="Times New Roman"/>
        </w:rPr>
        <w:t xml:space="preserve">. Qui svaniscono le tracce di Epicuro, essendo andati perduti la maggior parte dei suoi scritti. Lucrezio, tuttavia, sviluppa magistralmente il tema dell’origine del mondo nel libro V del </w:t>
      </w:r>
      <w:r w:rsidRPr="000D6EF2">
        <w:rPr>
          <w:rFonts w:cs="Times New Roman"/>
          <w:i/>
          <w:iCs/>
        </w:rPr>
        <w:t>De Rerum Natura</w:t>
      </w:r>
      <w:r w:rsidRPr="000D6EF2">
        <w:rPr>
          <w:rFonts w:cs="Times New Roman"/>
        </w:rPr>
        <w:t>, dove si trova anche la descrizione del ruolo e dello status della mostruosità.</w:t>
      </w:r>
    </w:p>
    <w:p w14:paraId="10D37F52" w14:textId="7179CD5A" w:rsidR="00E10315" w:rsidRPr="000D6EF2" w:rsidRDefault="00196B24">
      <w:pPr>
        <w:pStyle w:val="BodyText"/>
        <w:rPr>
          <w:rFonts w:cs="Times New Roman"/>
        </w:rPr>
      </w:pPr>
      <w:r w:rsidRPr="000D6EF2">
        <w:rPr>
          <w:rFonts w:cs="Times New Roman"/>
        </w:rPr>
        <w:t xml:space="preserve">I versi 772-836 del libro V racchiudono l’essenza della zoogonia lucreziana. Dopo che si è formata, secondo la composizione </w:t>
      </w:r>
      <w:r w:rsidR="002179FA" w:rsidRPr="000D6EF2">
        <w:rPr>
          <w:rFonts w:cs="Times New Roman"/>
        </w:rPr>
        <w:t xml:space="preserve">atomica </w:t>
      </w:r>
      <w:r w:rsidRPr="000D6EF2">
        <w:rPr>
          <w:rFonts w:cs="Times New Roman"/>
        </w:rPr>
        <w:t xml:space="preserve">sopra descritta, </w:t>
      </w:r>
      <w:r w:rsidR="002179FA" w:rsidRPr="000D6EF2">
        <w:rPr>
          <w:rFonts w:cs="Times New Roman"/>
        </w:rPr>
        <w:t xml:space="preserve">la terra </w:t>
      </w:r>
      <w:r w:rsidRPr="000D6EF2">
        <w:rPr>
          <w:rFonts w:cs="Times New Roman"/>
        </w:rPr>
        <w:t>inizia a produrre gli esseri</w:t>
      </w:r>
      <w:r w:rsidR="002179FA" w:rsidRPr="000D6EF2">
        <w:rPr>
          <w:rFonts w:cs="Times New Roman"/>
        </w:rPr>
        <w:t xml:space="preserve"> viventi. La terra è giovane, </w:t>
      </w:r>
      <w:r w:rsidRPr="000D6EF2">
        <w:rPr>
          <w:rFonts w:cs="Times New Roman"/>
        </w:rPr>
        <w:t xml:space="preserve">potente e </w:t>
      </w:r>
      <w:r w:rsidR="002179FA" w:rsidRPr="000D6EF2">
        <w:rPr>
          <w:rFonts w:cs="Times New Roman"/>
        </w:rPr>
        <w:t>vitale</w:t>
      </w:r>
      <w:r w:rsidRPr="000D6EF2">
        <w:rPr>
          <w:rFonts w:cs="Times New Roman"/>
        </w:rPr>
        <w:t xml:space="preserve">. Madre di tutte le cose, produce spontaneamente animali </w:t>
      </w:r>
      <w:r w:rsidRPr="000D6EF2">
        <w:rPr>
          <w:rFonts w:cs="Times New Roman"/>
        </w:rPr>
        <w:lastRenderedPageBreak/>
        <w:t>più grandi e più piccoli,</w:t>
      </w:r>
      <w:r w:rsidR="002179FA" w:rsidRPr="000D6EF2">
        <w:rPr>
          <w:rFonts w:cs="Times New Roman"/>
        </w:rPr>
        <w:t xml:space="preserve"> </w:t>
      </w:r>
      <w:r w:rsidR="002179FA" w:rsidRPr="000D6EF2">
        <w:rPr>
          <w:rFonts w:cs="Times New Roman"/>
          <w:kern w:val="0"/>
          <w:lang w:val="en-US" w:bidi="ar-SA"/>
        </w:rPr>
        <w:t>inizialmente nel grembo che cresce dalla terra, in seguito nutriti da essa</w:t>
      </w:r>
      <w:r w:rsidRPr="000D6EF2">
        <w:rPr>
          <w:rFonts w:cs="Times New Roman"/>
        </w:rPr>
        <w:t>. Ora quel tempo è finito e la terra, anche se continua a produrre piccole creature spontaneamente, non è più sufficientemente potente per generare quelle più grandi. Ciò nonostante, la vita è nata e continua autonomamente, come spiega Lucrezio nella sezione successiva</w:t>
      </w:r>
      <w:r w:rsidRPr="000D6EF2">
        <w:rPr>
          <w:rStyle w:val="Richiamoallanotaapidipagina"/>
          <w:rFonts w:cs="Times New Roman"/>
        </w:rPr>
        <w:footnoteReference w:id="46"/>
      </w:r>
      <w:r w:rsidRPr="000D6EF2">
        <w:rPr>
          <w:rFonts w:cs="Times New Roman"/>
        </w:rPr>
        <w:t>.</w:t>
      </w:r>
    </w:p>
    <w:p w14:paraId="1CC81CAC" w14:textId="16CEA38E" w:rsidR="00E10315" w:rsidRPr="000D6EF2" w:rsidRDefault="00196B24">
      <w:pPr>
        <w:pStyle w:val="BodyText"/>
        <w:rPr>
          <w:rFonts w:cs="Times New Roman"/>
        </w:rPr>
      </w:pPr>
      <w:r w:rsidRPr="000D6EF2">
        <w:rPr>
          <w:rFonts w:cs="Times New Roman"/>
        </w:rPr>
        <w:t xml:space="preserve">La prima sorprendente tesi di Lucrezio è l’assenza di qualunque antropocentrismo. La natura crea ogni sorta di </w:t>
      </w:r>
      <w:r w:rsidR="002179FA" w:rsidRPr="000D6EF2">
        <w:rPr>
          <w:rFonts w:cs="Times New Roman"/>
        </w:rPr>
        <w:t>essere</w:t>
      </w:r>
      <w:r w:rsidRPr="000D6EF2">
        <w:rPr>
          <w:rFonts w:cs="Times New Roman"/>
        </w:rPr>
        <w:t xml:space="preserve"> in molti modi e seguendo diversi processi (</w:t>
      </w:r>
      <w:r w:rsidRPr="000D6EF2">
        <w:rPr>
          <w:rFonts w:cs="Times New Roman"/>
          <w:i/>
        </w:rPr>
        <w:t>multis modis, varia ratione</w:t>
      </w:r>
      <w:r w:rsidRPr="000D6EF2">
        <w:rPr>
          <w:rFonts w:cs="Times New Roman"/>
        </w:rPr>
        <w:t>). Non vi è alcuna distinzione tra umani e animali; questo è un altro argomento polemico contro la descrizione tradizionale della creazione iniziale, guidata da una ragione teleologica e teologica, centrata sullo status superiore riconosciuto agli umani rispetto agli animali</w:t>
      </w:r>
      <w:r w:rsidRPr="000D6EF2">
        <w:rPr>
          <w:rStyle w:val="Richiamoallanotaapidipagina"/>
          <w:rFonts w:cs="Times New Roman"/>
        </w:rPr>
        <w:footnoteReference w:id="47"/>
      </w:r>
      <w:r w:rsidR="002179FA" w:rsidRPr="000D6EF2">
        <w:rPr>
          <w:rFonts w:cs="Times New Roman"/>
        </w:rPr>
        <w:t xml:space="preserve">. Lucrezio riecheggia qui </w:t>
      </w:r>
      <w:r w:rsidRPr="000D6EF2">
        <w:rPr>
          <w:rFonts w:cs="Times New Roman"/>
        </w:rPr>
        <w:t>Empedocle, il cui  Περὶ φύσεως certamente conosceva</w:t>
      </w:r>
      <w:r w:rsidRPr="000D6EF2">
        <w:rPr>
          <w:rStyle w:val="Richiamoallanotaapidipagina"/>
          <w:rFonts w:cs="Times New Roman"/>
        </w:rPr>
        <w:footnoteReference w:id="48"/>
      </w:r>
      <w:r w:rsidRPr="000D6EF2">
        <w:rPr>
          <w:rFonts w:cs="Times New Roman"/>
        </w:rPr>
        <w:t>. Secondo Empedocle, durante l’età dell’Amore, sono state create dalla terra innumerevoli tipi di creature (ἔθνεα μυρία θνητῶ</w:t>
      </w:r>
      <w:r w:rsidR="002179FA" w:rsidRPr="000D6EF2">
        <w:rPr>
          <w:rFonts w:cs="Times New Roman"/>
        </w:rPr>
        <w:t>ν) meraviglie</w:t>
      </w:r>
      <w:r w:rsidRPr="000D6EF2">
        <w:rPr>
          <w:rFonts w:cs="Times New Roman"/>
        </w:rPr>
        <w:t xml:space="preserve"> da ammirare (θαῦμα ἰδέσθαι)</w:t>
      </w:r>
      <w:r w:rsidRPr="000D6EF2">
        <w:rPr>
          <w:rStyle w:val="Richiamoallanotaapidipagina"/>
          <w:rFonts w:cs="Times New Roman"/>
        </w:rPr>
        <w:footnoteReference w:id="49"/>
      </w:r>
      <w:r w:rsidRPr="000D6EF2">
        <w:rPr>
          <w:rFonts w:cs="Times New Roman"/>
        </w:rPr>
        <w:t>.</w:t>
      </w:r>
    </w:p>
    <w:p w14:paraId="4400A895" w14:textId="77777777" w:rsidR="00E10315" w:rsidRPr="000D6EF2" w:rsidRDefault="00196B24">
      <w:pPr>
        <w:pStyle w:val="BodyText"/>
        <w:rPr>
          <w:rFonts w:cs="Times New Roman"/>
        </w:rPr>
      </w:pPr>
      <w:r w:rsidRPr="000D6EF2">
        <w:rPr>
          <w:rFonts w:cs="Times New Roman"/>
        </w:rPr>
        <w:t>Gordon Campbell ha acutamente notato le implicazioni etiche sia della diversità dei modi di produzione che del processo comune che animali e uomini ugualmente attraversano</w:t>
      </w:r>
      <w:r w:rsidRPr="000D6EF2">
        <w:rPr>
          <w:rStyle w:val="Richiamoallanotaapidipagina"/>
          <w:rFonts w:cs="Times New Roman"/>
        </w:rPr>
        <w:footnoteReference w:id="50"/>
      </w:r>
      <w:r w:rsidRPr="000D6EF2">
        <w:rPr>
          <w:rFonts w:cs="Times New Roman"/>
        </w:rPr>
        <w:t xml:space="preserve">. L’obiettivo di Lucrezio – contro il demiurgo platonico e la provvidenza stoica – è quello di eliminare ogni idea teleologica, dissolvendo la meraviglia tradizionalmente attribuita alla prima zoogonia, inclusa quella di Empedocle. Mentre per questi le prime creature erano meraviglie da ammirare, per Lucrezio sono </w:t>
      </w:r>
      <w:r w:rsidRPr="000D6EF2">
        <w:rPr>
          <w:rFonts w:cs="Times New Roman"/>
          <w:i/>
          <w:iCs/>
        </w:rPr>
        <w:t>semplicemente</w:t>
      </w:r>
      <w:r w:rsidRPr="000D6EF2">
        <w:rPr>
          <w:rFonts w:cs="Times New Roman"/>
        </w:rPr>
        <w:t xml:space="preserve"> il risultato delle combinazioni degli atomi, prodotte senza alcun disegno o razionalità, ma solo seguendo la loro necessità corporea. </w:t>
      </w:r>
    </w:p>
    <w:p w14:paraId="68503B83" w14:textId="176401CD" w:rsidR="00E10315" w:rsidRPr="000D6EF2" w:rsidRDefault="00196B24">
      <w:pPr>
        <w:pStyle w:val="BodyText"/>
        <w:rPr>
          <w:rFonts w:cs="Times New Roman"/>
        </w:rPr>
      </w:pPr>
      <w:r w:rsidRPr="000D6EF2">
        <w:rPr>
          <w:rFonts w:cs="Times New Roman"/>
        </w:rPr>
        <w:lastRenderedPageBreak/>
        <w:t xml:space="preserve">La metafora lucreziana della terra come </w:t>
      </w:r>
      <w:r w:rsidRPr="000D6EF2">
        <w:rPr>
          <w:rFonts w:cs="Times New Roman"/>
          <w:i/>
          <w:iCs/>
        </w:rPr>
        <w:t xml:space="preserve">magna mater </w:t>
      </w:r>
      <w:r w:rsidRPr="000D6EF2">
        <w:rPr>
          <w:rFonts w:cs="Times New Roman"/>
        </w:rPr>
        <w:t>di tutte le creature sembra contrastare con questa tesi anti-teleologica</w:t>
      </w:r>
      <w:r w:rsidRPr="000D6EF2">
        <w:rPr>
          <w:rStyle w:val="Richiamoallanotaapidipagina"/>
          <w:rFonts w:cs="Times New Roman"/>
        </w:rPr>
        <w:footnoteReference w:id="51"/>
      </w:r>
      <w:r w:rsidRPr="000D6EF2">
        <w:rPr>
          <w:rFonts w:cs="Times New Roman"/>
        </w:rPr>
        <w:t xml:space="preserve">; è </w:t>
      </w:r>
      <w:r w:rsidR="002179FA" w:rsidRPr="000D6EF2">
        <w:rPr>
          <w:rFonts w:cs="Times New Roman"/>
        </w:rPr>
        <w:t>delicato</w:t>
      </w:r>
      <w:r w:rsidRPr="000D6EF2">
        <w:rPr>
          <w:rFonts w:cs="Times New Roman"/>
        </w:rPr>
        <w:t xml:space="preserve">, infatti, presentare la natura come un’entità creatrice personificata, ulteriormente </w:t>
      </w:r>
      <w:r w:rsidR="002179FA" w:rsidRPr="000D6EF2">
        <w:rPr>
          <w:rFonts w:cs="Times New Roman"/>
        </w:rPr>
        <w:t>sostenuta</w:t>
      </w:r>
      <w:r w:rsidRPr="000D6EF2">
        <w:rPr>
          <w:rFonts w:cs="Times New Roman"/>
        </w:rPr>
        <w:t xml:space="preserve"> dall’idea di una “forza </w:t>
      </w:r>
      <w:r w:rsidR="002179FA" w:rsidRPr="000D6EF2">
        <w:rPr>
          <w:rFonts w:cs="Times New Roman"/>
        </w:rPr>
        <w:t>femminile nutrice”</w:t>
      </w:r>
      <w:r w:rsidRPr="000D6EF2">
        <w:rPr>
          <w:rFonts w:cs="Times New Roman"/>
        </w:rPr>
        <w:t xml:space="preserve"> opposta allo stato “mascolino controllante la forza universale”</w:t>
      </w:r>
      <w:r w:rsidRPr="000D6EF2">
        <w:rPr>
          <w:rStyle w:val="Richiamoallanotaapidipagina"/>
          <w:rFonts w:cs="Times New Roman"/>
        </w:rPr>
        <w:footnoteReference w:id="52"/>
      </w:r>
      <w:r w:rsidRPr="000D6EF2">
        <w:rPr>
          <w:rFonts w:cs="Times New Roman"/>
        </w:rPr>
        <w:t>. Tuttavia, Lucrezio impiega qui una potente strategia retorica per appropriarsi del linguaggio del nemico e stravolgerlo, inserendo un processo puramente materiale in un’idea apparentemente teleologica</w:t>
      </w:r>
      <w:r w:rsidRPr="000D6EF2">
        <w:rPr>
          <w:rStyle w:val="Richiamoallanotaapidipagina"/>
          <w:rFonts w:cs="Times New Roman"/>
        </w:rPr>
        <w:footnoteReference w:id="53"/>
      </w:r>
      <w:r w:rsidRPr="000D6EF2">
        <w:rPr>
          <w:rFonts w:cs="Times New Roman"/>
        </w:rPr>
        <w:t>.</w:t>
      </w:r>
    </w:p>
    <w:p w14:paraId="6907F331" w14:textId="5E37D673" w:rsidR="00E10315" w:rsidRPr="000D6EF2" w:rsidRDefault="00196B24">
      <w:pPr>
        <w:pStyle w:val="BodyText"/>
        <w:rPr>
          <w:rFonts w:cs="Times New Roman"/>
        </w:rPr>
      </w:pPr>
      <w:r w:rsidRPr="000D6EF2">
        <w:rPr>
          <w:rFonts w:cs="Times New Roman"/>
        </w:rPr>
        <w:t>Le creature terrestri, argomenta Lucrezio, non possono essere cadute dal cielo o essere venute dal mare. La natura ha de</w:t>
      </w:r>
      <w:r w:rsidR="009D6EAA" w:rsidRPr="000D6EF2">
        <w:rPr>
          <w:rFonts w:cs="Times New Roman"/>
        </w:rPr>
        <w:t>i limiti</w:t>
      </w:r>
      <w:r w:rsidRPr="000D6EF2">
        <w:rPr>
          <w:rFonts w:cs="Times New Roman"/>
        </w:rPr>
        <w:t>: non tutto può accadere in ogni modo possibile. La necessità corporea è prima e soprattuttto una necessità, ovver</w:t>
      </w:r>
      <w:r w:rsidR="009D6EAA" w:rsidRPr="000D6EF2">
        <w:rPr>
          <w:rFonts w:cs="Times New Roman"/>
        </w:rPr>
        <w:t xml:space="preserve">o qualcosa che discrimina tra </w:t>
      </w:r>
      <w:r w:rsidRPr="000D6EF2">
        <w:rPr>
          <w:rFonts w:cs="Times New Roman"/>
          <w:i/>
          <w:iCs/>
        </w:rPr>
        <w:t>possibilis</w:t>
      </w:r>
      <w:r w:rsidR="009D6EAA" w:rsidRPr="000D6EF2">
        <w:rPr>
          <w:rFonts w:cs="Times New Roman"/>
        </w:rPr>
        <w:t xml:space="preserve"> e </w:t>
      </w:r>
      <w:r w:rsidRPr="000D6EF2">
        <w:rPr>
          <w:rFonts w:cs="Times New Roman"/>
          <w:i/>
          <w:iCs/>
        </w:rPr>
        <w:t>impossibilis</w:t>
      </w:r>
      <w:r w:rsidRPr="000D6EF2">
        <w:rPr>
          <w:rFonts w:cs="Times New Roman"/>
        </w:rPr>
        <w:t xml:space="preserve">. Le creature e gli eventi che </w:t>
      </w:r>
      <w:r w:rsidR="009D6EAA" w:rsidRPr="000D6EF2">
        <w:rPr>
          <w:rFonts w:cs="Times New Roman"/>
        </w:rPr>
        <w:t>ri</w:t>
      </w:r>
      <w:r w:rsidRPr="000D6EF2">
        <w:rPr>
          <w:rFonts w:cs="Times New Roman"/>
        </w:rPr>
        <w:t xml:space="preserve">cadono sotto i nostri sensi dipendono dalla loro costituzione materiale, quindi rispondono a ciò che questa costituzione consente che accada. È un argomento fissista, molto diffuso in antichità, che Lucrezio sviluppa in linea con i suoi </w:t>
      </w:r>
      <w:r w:rsidRPr="000D6EF2">
        <w:rPr>
          <w:rFonts w:cs="Times New Roman"/>
          <w:i/>
        </w:rPr>
        <w:t xml:space="preserve">foedera naturae </w:t>
      </w:r>
      <w:r w:rsidRPr="000D6EF2">
        <w:rPr>
          <w:rFonts w:cs="Times New Roman"/>
        </w:rPr>
        <w:t xml:space="preserve">e </w:t>
      </w:r>
      <w:r w:rsidRPr="000D6EF2">
        <w:rPr>
          <w:rFonts w:cs="Times New Roman"/>
          <w:i/>
        </w:rPr>
        <w:t>alte terminu</w:t>
      </w:r>
      <w:r w:rsidR="009D6EAA" w:rsidRPr="000D6EF2">
        <w:rPr>
          <w:rFonts w:cs="Times New Roman"/>
          <w:i/>
        </w:rPr>
        <w:t>s</w:t>
      </w:r>
      <w:r w:rsidRPr="000D6EF2">
        <w:rPr>
          <w:rStyle w:val="Richiamoallanotaapidipagina"/>
          <w:rFonts w:cs="Times New Roman"/>
        </w:rPr>
        <w:footnoteReference w:id="54"/>
      </w:r>
      <w:r w:rsidRPr="000D6EF2">
        <w:rPr>
          <w:rFonts w:cs="Times New Roman"/>
        </w:rPr>
        <w:t>.</w:t>
      </w:r>
    </w:p>
    <w:p w14:paraId="7109A080" w14:textId="6E686E97" w:rsidR="00E10315" w:rsidRPr="000D6EF2" w:rsidRDefault="00196B24">
      <w:pPr>
        <w:pStyle w:val="BodyText"/>
        <w:rPr>
          <w:rFonts w:cs="Times New Roman"/>
        </w:rPr>
      </w:pPr>
      <w:r w:rsidRPr="000D6EF2">
        <w:rPr>
          <w:rFonts w:cs="Times New Roman"/>
        </w:rPr>
        <w:t xml:space="preserve">Così, la terra </w:t>
      </w:r>
      <w:r w:rsidR="009D6EAA" w:rsidRPr="000D6EF2">
        <w:rPr>
          <w:rFonts w:cs="Times New Roman"/>
        </w:rPr>
        <w:t xml:space="preserve">muta </w:t>
      </w:r>
      <w:r w:rsidRPr="000D6EF2">
        <w:rPr>
          <w:rFonts w:cs="Times New Roman"/>
        </w:rPr>
        <w:t xml:space="preserve">il suo </w:t>
      </w:r>
      <w:r w:rsidR="009D6EAA" w:rsidRPr="000D6EF2">
        <w:rPr>
          <w:rFonts w:cs="Times New Roman"/>
        </w:rPr>
        <w:t>volto</w:t>
      </w:r>
      <w:r w:rsidRPr="000D6EF2">
        <w:rPr>
          <w:rFonts w:cs="Times New Roman"/>
        </w:rPr>
        <w:t>. Potente e giovane un tempo, è ora debole e incapace di produrre la stessa varietà di animali che generava una volta. Un’idea i</w:t>
      </w:r>
      <w:r w:rsidR="009D6EAA" w:rsidRPr="000D6EF2">
        <w:rPr>
          <w:rFonts w:cs="Times New Roman"/>
        </w:rPr>
        <w:t>mportante emerge dai versi 828-</w:t>
      </w:r>
      <w:r w:rsidRPr="000D6EF2">
        <w:rPr>
          <w:rFonts w:cs="Times New Roman"/>
        </w:rPr>
        <w:t xml:space="preserve">36: tra costanza e cambiamento vi è equilibrio. Tutto cambia incessantemente ma secondo una certa regolarità che, espressa dai  </w:t>
      </w:r>
      <w:r w:rsidRPr="000D6EF2">
        <w:rPr>
          <w:rFonts w:cs="Times New Roman"/>
          <w:i/>
        </w:rPr>
        <w:t>foedera</w:t>
      </w:r>
      <w:r w:rsidRPr="000D6EF2">
        <w:rPr>
          <w:rFonts w:cs="Times New Roman"/>
        </w:rPr>
        <w:t xml:space="preserve"> e dai </w:t>
      </w:r>
      <w:r w:rsidRPr="000D6EF2">
        <w:rPr>
          <w:rFonts w:cs="Times New Roman"/>
          <w:i/>
        </w:rPr>
        <w:t>termini</w:t>
      </w:r>
      <w:r w:rsidRPr="000D6EF2">
        <w:rPr>
          <w:rFonts w:cs="Times New Roman"/>
        </w:rPr>
        <w:t>,</w:t>
      </w:r>
      <w:r w:rsidRPr="000D6EF2">
        <w:rPr>
          <w:rFonts w:cs="Times New Roman"/>
          <w:i/>
        </w:rPr>
        <w:t xml:space="preserve"> </w:t>
      </w:r>
      <w:r w:rsidRPr="000D6EF2">
        <w:rPr>
          <w:rFonts w:cs="Times New Roman"/>
        </w:rPr>
        <w:t xml:space="preserve">non è né imposta </w:t>
      </w:r>
      <w:r w:rsidRPr="000D6EF2">
        <w:rPr>
          <w:rFonts w:cs="Times New Roman"/>
          <w:i/>
          <w:iCs/>
        </w:rPr>
        <w:t>sulla</w:t>
      </w:r>
      <w:r w:rsidRPr="000D6EF2">
        <w:rPr>
          <w:rFonts w:cs="Times New Roman"/>
        </w:rPr>
        <w:t xml:space="preserve"> natura dall’alto, né stabilita </w:t>
      </w:r>
      <w:r w:rsidRPr="000D6EF2">
        <w:rPr>
          <w:rFonts w:cs="Times New Roman"/>
          <w:i/>
          <w:iCs/>
        </w:rPr>
        <w:t>dalla</w:t>
      </w:r>
      <w:r w:rsidRPr="000D6EF2">
        <w:rPr>
          <w:rFonts w:cs="Times New Roman"/>
        </w:rPr>
        <w:t xml:space="preserve"> natura nel suo regno. Come mostrerò più avanti, è piuttosto il </w:t>
      </w:r>
      <w:r w:rsidRPr="000D6EF2">
        <w:rPr>
          <w:rFonts w:cs="Times New Roman"/>
          <w:i/>
          <w:iCs/>
        </w:rPr>
        <w:t xml:space="preserve">risultato </w:t>
      </w:r>
      <w:r w:rsidRPr="000D6EF2">
        <w:rPr>
          <w:rFonts w:cs="Times New Roman"/>
        </w:rPr>
        <w:t>del flusso degli eventi</w:t>
      </w:r>
      <w:r w:rsidR="009D6EAA" w:rsidRPr="000D6EF2">
        <w:rPr>
          <w:rFonts w:cs="Times New Roman"/>
        </w:rPr>
        <w:t>, o meglio</w:t>
      </w:r>
      <w:r w:rsidRPr="000D6EF2">
        <w:rPr>
          <w:rFonts w:cs="Times New Roman"/>
        </w:rPr>
        <w:t xml:space="preserve"> ciò che gli uomini ne percepiscono, dal loro limitato punto di vista. Tale punto di vista è</w:t>
      </w:r>
      <w:r w:rsidR="009D6EAA" w:rsidRPr="000D6EF2">
        <w:rPr>
          <w:rFonts w:cs="Times New Roman"/>
        </w:rPr>
        <w:t xml:space="preserve"> racchiuso entro i limiti posti dai </w:t>
      </w:r>
      <w:r w:rsidRPr="000D6EF2">
        <w:rPr>
          <w:rFonts w:cs="Times New Roman"/>
        </w:rPr>
        <w:t>nostri sensi, incapaci di afferrare l’esatta natura della necessità corporea</w:t>
      </w:r>
      <w:r w:rsidR="009D6EAA" w:rsidRPr="000D6EF2">
        <w:rPr>
          <w:rFonts w:cs="Times New Roman"/>
        </w:rPr>
        <w:t>.</w:t>
      </w:r>
      <w:r w:rsidRPr="000D6EF2">
        <w:rPr>
          <w:rFonts w:cs="Times New Roman"/>
        </w:rPr>
        <w:t xml:space="preserve"> </w:t>
      </w:r>
      <w:r w:rsidR="009D6EAA" w:rsidRPr="000D6EF2">
        <w:rPr>
          <w:rFonts w:cs="Times New Roman"/>
        </w:rPr>
        <w:t>A</w:t>
      </w:r>
      <w:r w:rsidRPr="000D6EF2">
        <w:rPr>
          <w:rFonts w:cs="Times New Roman"/>
        </w:rPr>
        <w:t>ncor</w:t>
      </w:r>
      <w:r w:rsidR="009D6EAA" w:rsidRPr="000D6EF2">
        <w:rPr>
          <w:rFonts w:cs="Times New Roman"/>
        </w:rPr>
        <w:t>a più importante il fatto che tale punto di vista sia limitato</w:t>
      </w:r>
      <w:r w:rsidRPr="000D6EF2">
        <w:rPr>
          <w:rFonts w:cs="Times New Roman"/>
        </w:rPr>
        <w:t xml:space="preserve"> </w:t>
      </w:r>
      <w:r w:rsidR="009D6EAA" w:rsidRPr="000D6EF2">
        <w:rPr>
          <w:rFonts w:cs="Times New Roman"/>
        </w:rPr>
        <w:t xml:space="preserve">dalla brevità della </w:t>
      </w:r>
      <w:r w:rsidRPr="000D6EF2">
        <w:rPr>
          <w:rFonts w:cs="Times New Roman"/>
        </w:rPr>
        <w:t>nostra esistenza mortale rispetto alla natura illimitata del tempo, che modella incessantemente l’aspetto della natura. Cosa sono, quindi, le regolarità che riconosciamo in natura, nel cambiamento eterno dell’equilibrio tra le diverse parti dell’universo?</w:t>
      </w:r>
      <w:r w:rsidRPr="000D6EF2">
        <w:rPr>
          <w:rStyle w:val="Richiamoallanotaapidipagina"/>
          <w:rFonts w:cs="Times New Roman"/>
        </w:rPr>
        <w:footnoteReference w:id="55"/>
      </w:r>
      <w:r w:rsidRPr="000D6EF2">
        <w:rPr>
          <w:rFonts w:cs="Times New Roman"/>
        </w:rPr>
        <w:t xml:space="preserve"> E, oltre a queste regolarità, che cosa sono le anomalie che vediamo </w:t>
      </w:r>
      <w:r w:rsidR="009D6EAA" w:rsidRPr="000D6EF2">
        <w:rPr>
          <w:rFonts w:cs="Times New Roman"/>
        </w:rPr>
        <w:t>o che talvolta immagi</w:t>
      </w:r>
      <w:r w:rsidRPr="000D6EF2">
        <w:rPr>
          <w:rFonts w:cs="Times New Roman"/>
        </w:rPr>
        <w:t>niamo?</w:t>
      </w:r>
    </w:p>
    <w:p w14:paraId="6B65226A" w14:textId="71919E31" w:rsidR="00E10315" w:rsidRPr="000D6EF2" w:rsidRDefault="009D6EAA" w:rsidP="009D6EAA">
      <w:pPr>
        <w:pStyle w:val="BodyText"/>
        <w:rPr>
          <w:rFonts w:cs="Times New Roman"/>
        </w:rPr>
      </w:pPr>
      <w:r w:rsidRPr="000D6EF2">
        <w:rPr>
          <w:rFonts w:cs="Times New Roman"/>
        </w:rPr>
        <w:t>I versi 837-54 narrano i primi sforzi per dare origine alla vita:</w:t>
      </w:r>
    </w:p>
    <w:p w14:paraId="0D2064ED" w14:textId="77777777" w:rsidR="009D6EAA" w:rsidRPr="000D6EF2" w:rsidRDefault="009D6EAA" w:rsidP="009D6EAA">
      <w:pPr>
        <w:pStyle w:val="BodyText"/>
        <w:rPr>
          <w:rFonts w:cs="Times New Roman"/>
        </w:rPr>
      </w:pPr>
    </w:p>
    <w:p w14:paraId="4DC8C4B3" w14:textId="77777777" w:rsidR="009D6EAA" w:rsidRPr="000D6EF2" w:rsidRDefault="009D6EAA" w:rsidP="009D6EAA">
      <w:pPr>
        <w:widowControl w:val="0"/>
        <w:suppressAutoHyphens w:val="0"/>
        <w:autoSpaceDE w:val="0"/>
        <w:autoSpaceDN w:val="0"/>
        <w:adjustRightInd w:val="0"/>
        <w:spacing w:after="283"/>
        <w:ind w:left="567" w:right="567"/>
        <w:jc w:val="both"/>
        <w:rPr>
          <w:rFonts w:ascii="Times New Roman" w:hAnsi="Times New Roman" w:cs="Times New Roman"/>
          <w:kern w:val="0"/>
          <w:sz w:val="20"/>
          <w:szCs w:val="20"/>
          <w:lang w:val="en-US" w:bidi="ar-SA"/>
        </w:rPr>
      </w:pPr>
      <w:r w:rsidRPr="000D6EF2">
        <w:rPr>
          <w:rFonts w:ascii="Times New Roman" w:hAnsi="Times New Roman" w:cs="Times New Roman"/>
          <w:kern w:val="0"/>
          <w:sz w:val="20"/>
          <w:szCs w:val="20"/>
          <w:lang w:val="en-US" w:bidi="ar-SA"/>
        </w:rPr>
        <w:t>E molti allora portenti la terra anche di creare tentò [</w:t>
      </w:r>
      <w:r w:rsidRPr="000D6EF2">
        <w:rPr>
          <w:rFonts w:ascii="Times New Roman" w:hAnsi="Times New Roman" w:cs="Times New Roman"/>
          <w:i/>
          <w:iCs/>
          <w:kern w:val="0"/>
          <w:sz w:val="20"/>
          <w:szCs w:val="20"/>
          <w:lang w:val="en-US" w:bidi="ar-SA"/>
        </w:rPr>
        <w:t>creare conatast</w:t>
      </w:r>
      <w:r w:rsidRPr="000D6EF2">
        <w:rPr>
          <w:rFonts w:ascii="Times New Roman" w:hAnsi="Times New Roman" w:cs="Times New Roman"/>
          <w:kern w:val="0"/>
          <w:sz w:val="20"/>
          <w:szCs w:val="20"/>
          <w:lang w:val="en-US" w:bidi="ar-SA"/>
        </w:rPr>
        <w:t>], esseri nati con strane sembianze e membra, l’androgino, fra l’uno e l’altro sesso, e non ne è nessuni, da entrambi lontano, alcuni privi di piedi, altri al contrario senza mani, muti anche senza voce, senza sguardo ciechi ritrovati, e legati in tutto il corpo con le membra attaccate, da non poter fare nulla, né muoversi da nessuna parte, senza scansare un male, né prendere ciò che voglia la necessità. Alcuni mostri e portenti [</w:t>
      </w:r>
      <w:r w:rsidRPr="000D6EF2">
        <w:rPr>
          <w:rFonts w:ascii="Times New Roman" w:hAnsi="Times New Roman" w:cs="Times New Roman"/>
          <w:i/>
          <w:iCs/>
          <w:kern w:val="0"/>
          <w:sz w:val="20"/>
          <w:szCs w:val="20"/>
          <w:lang w:val="en-US" w:bidi="ar-SA"/>
        </w:rPr>
        <w:t>monstra ac portenta</w:t>
      </w:r>
      <w:r w:rsidRPr="000D6EF2">
        <w:rPr>
          <w:rFonts w:ascii="Times New Roman" w:hAnsi="Times New Roman" w:cs="Times New Roman"/>
          <w:kern w:val="0"/>
          <w:sz w:val="20"/>
          <w:szCs w:val="20"/>
          <w:lang w:val="en-US" w:bidi="ar-SA"/>
        </w:rPr>
        <w:t>] di questa specie creava, ma invano [</w:t>
      </w:r>
      <w:r w:rsidRPr="000D6EF2">
        <w:rPr>
          <w:rFonts w:ascii="Times New Roman" w:hAnsi="Times New Roman" w:cs="Times New Roman"/>
          <w:i/>
          <w:iCs/>
          <w:kern w:val="0"/>
          <w:sz w:val="20"/>
          <w:szCs w:val="20"/>
          <w:lang w:val="en-US" w:bidi="ar-SA"/>
        </w:rPr>
        <w:t>nequiquam</w:t>
      </w:r>
      <w:r w:rsidRPr="000D6EF2">
        <w:rPr>
          <w:rFonts w:ascii="Times New Roman" w:hAnsi="Times New Roman" w:cs="Times New Roman"/>
          <w:kern w:val="0"/>
          <w:sz w:val="20"/>
          <w:szCs w:val="20"/>
          <w:lang w:val="en-US" w:bidi="ar-SA"/>
        </w:rPr>
        <w:t>], poiché la natura ne evitò la crescita [</w:t>
      </w:r>
      <w:r w:rsidRPr="000D6EF2">
        <w:rPr>
          <w:rFonts w:ascii="Times New Roman" w:hAnsi="Times New Roman" w:cs="Times New Roman"/>
          <w:i/>
          <w:iCs/>
          <w:kern w:val="0"/>
          <w:sz w:val="20"/>
          <w:szCs w:val="20"/>
          <w:lang w:val="en-US" w:bidi="ar-SA"/>
        </w:rPr>
        <w:t>natura a</w:t>
      </w:r>
      <w:r w:rsidRPr="000D6EF2">
        <w:rPr>
          <w:rFonts w:ascii="Times New Roman" w:hAnsi="Times New Roman" w:cs="Times New Roman"/>
          <w:i/>
          <w:iCs/>
          <w:kern w:val="0"/>
          <w:sz w:val="20"/>
          <w:szCs w:val="20"/>
          <w:lang w:val="en-US" w:bidi="ar-SA"/>
        </w:rPr>
        <w:t>b</w:t>
      </w:r>
      <w:r w:rsidRPr="000D6EF2">
        <w:rPr>
          <w:rFonts w:ascii="Times New Roman" w:hAnsi="Times New Roman" w:cs="Times New Roman"/>
          <w:i/>
          <w:iCs/>
          <w:kern w:val="0"/>
          <w:sz w:val="20"/>
          <w:szCs w:val="20"/>
          <w:lang w:val="en-US" w:bidi="ar-SA"/>
        </w:rPr>
        <w:t>sterruit auctum</w:t>
      </w:r>
      <w:r w:rsidRPr="000D6EF2">
        <w:rPr>
          <w:rFonts w:ascii="Times New Roman" w:hAnsi="Times New Roman" w:cs="Times New Roman"/>
          <w:kern w:val="0"/>
          <w:sz w:val="20"/>
          <w:szCs w:val="20"/>
          <w:lang w:val="en-US" w:bidi="ar-SA"/>
        </w:rPr>
        <w:t>], e non poterono il desiderato fiore dell’età toccare, né trovare cibo né unirsi nella copula venerea. Molte cose vediamo infatti per le creature dover concorrere [</w:t>
      </w:r>
      <w:r w:rsidRPr="000D6EF2">
        <w:rPr>
          <w:rFonts w:ascii="Times New Roman" w:hAnsi="Times New Roman" w:cs="Times New Roman"/>
          <w:i/>
          <w:iCs/>
          <w:kern w:val="0"/>
          <w:sz w:val="20"/>
          <w:szCs w:val="20"/>
          <w:lang w:val="en-US" w:bidi="ar-SA"/>
        </w:rPr>
        <w:t>multa rebus concurrere debere</w:t>
      </w:r>
      <w:r w:rsidRPr="000D6EF2">
        <w:rPr>
          <w:rFonts w:ascii="Times New Roman" w:hAnsi="Times New Roman" w:cs="Times New Roman"/>
          <w:kern w:val="0"/>
          <w:sz w:val="20"/>
          <w:szCs w:val="20"/>
          <w:lang w:val="en-US" w:bidi="ar-SA"/>
        </w:rPr>
        <w:t>], perché con il propagarsi possano procurare le gener</w:t>
      </w:r>
      <w:r w:rsidRPr="000D6EF2">
        <w:rPr>
          <w:rFonts w:ascii="Times New Roman" w:hAnsi="Times New Roman" w:cs="Times New Roman"/>
          <w:kern w:val="0"/>
          <w:sz w:val="20"/>
          <w:szCs w:val="20"/>
          <w:lang w:val="en-US" w:bidi="ar-SA"/>
        </w:rPr>
        <w:t>a</w:t>
      </w:r>
      <w:r w:rsidRPr="000D6EF2">
        <w:rPr>
          <w:rFonts w:ascii="Times New Roman" w:hAnsi="Times New Roman" w:cs="Times New Roman"/>
          <w:kern w:val="0"/>
          <w:sz w:val="20"/>
          <w:szCs w:val="20"/>
          <w:lang w:val="en-US" w:bidi="ar-SA"/>
        </w:rPr>
        <w:t xml:space="preserve">zioni: innanzi tutto che vi sia il cibo, e poi nel corpo genitali semi, </w:t>
      </w:r>
      <w:r w:rsidRPr="000D6EF2">
        <w:rPr>
          <w:rFonts w:ascii="Times New Roman" w:hAnsi="Times New Roman" w:cs="Times New Roman"/>
          <w:kern w:val="0"/>
          <w:sz w:val="20"/>
          <w:szCs w:val="20"/>
          <w:lang w:val="en-US" w:bidi="ar-SA"/>
        </w:rPr>
        <w:lastRenderedPageBreak/>
        <w:t>per dove possano emanare, una volta rilassatesi le membra, e che la femmina con i maschi congiungersi possa, e avere ciò che è scambievole, con cui l’un l’altra si scambino i piaceri.</w:t>
      </w:r>
    </w:p>
    <w:p w14:paraId="2ECC7DF0" w14:textId="77777777" w:rsidR="009D6EAA" w:rsidRPr="000D6EF2" w:rsidRDefault="009D6EAA" w:rsidP="009D6EAA">
      <w:pPr>
        <w:pStyle w:val="BodyText"/>
        <w:ind w:firstLine="0"/>
        <w:rPr>
          <w:rFonts w:cs="Times New Roman"/>
        </w:rPr>
      </w:pPr>
    </w:p>
    <w:p w14:paraId="21E62CD4" w14:textId="74B42EA4" w:rsidR="00E10315" w:rsidRPr="000D6EF2" w:rsidRDefault="00196B24">
      <w:pPr>
        <w:pStyle w:val="BodyText"/>
        <w:rPr>
          <w:rFonts w:cs="Times New Roman"/>
        </w:rPr>
      </w:pPr>
      <w:r w:rsidRPr="000D6EF2">
        <w:rPr>
          <w:rFonts w:cs="Times New Roman"/>
        </w:rPr>
        <w:t>I mostri e i portenti sono nati dalla terra all’inizio del mondo, in diverse forme e costituzioni. Alcuni di questi sono prodotti invano (</w:t>
      </w:r>
      <w:r w:rsidRPr="000D6EF2">
        <w:rPr>
          <w:rFonts w:cs="Times New Roman"/>
          <w:i/>
        </w:rPr>
        <w:t>nequiquam</w:t>
      </w:r>
      <w:r w:rsidRPr="000D6EF2">
        <w:rPr>
          <w:rFonts w:cs="Times New Roman"/>
        </w:rPr>
        <w:t>) perché, inabili a procurarsi il cibo, o a consumarlo, o ad accoppiarsi, non si riproducono e non sopravvivono. Sono necessarie molte cose, infatti, perché questi primi esseri si stabilizzino sulla terra e producano una progenie. Solo alcune di queste cose sono effettivamente disponibili e solo alcuni fortunati sono in grado di trovarle tutte; è così che sopravvivono. Non c’è alcun disegno o provvidenza che presiede il mondo: certi esseri sono stati in grado di riprodursi, mentre altri</w:t>
      </w:r>
      <w:r w:rsidR="009A6259" w:rsidRPr="000D6EF2">
        <w:rPr>
          <w:rFonts w:cs="Times New Roman"/>
        </w:rPr>
        <w:t>,</w:t>
      </w:r>
      <w:r w:rsidRPr="000D6EF2">
        <w:rPr>
          <w:rFonts w:cs="Times New Roman"/>
        </w:rPr>
        <w:t xml:space="preserve"> semplicemente</w:t>
      </w:r>
      <w:r w:rsidR="009A6259" w:rsidRPr="000D6EF2">
        <w:rPr>
          <w:rFonts w:cs="Times New Roman"/>
        </w:rPr>
        <w:t>, sono</w:t>
      </w:r>
      <w:r w:rsidRPr="000D6EF2">
        <w:rPr>
          <w:rFonts w:cs="Times New Roman"/>
        </w:rPr>
        <w:t xml:space="preserve"> morti senza progenie</w:t>
      </w:r>
      <w:r w:rsidRPr="000D6EF2">
        <w:rPr>
          <w:rStyle w:val="Richiamoallanotaapidipagina"/>
          <w:rFonts w:cs="Times New Roman"/>
        </w:rPr>
        <w:footnoteReference w:id="56"/>
      </w:r>
      <w:r w:rsidRPr="000D6EF2">
        <w:rPr>
          <w:rFonts w:cs="Times New Roman"/>
        </w:rPr>
        <w:t>.</w:t>
      </w:r>
    </w:p>
    <w:p w14:paraId="16527F49" w14:textId="77777777" w:rsidR="00E10315" w:rsidRPr="000D6EF2" w:rsidRDefault="00196B24">
      <w:pPr>
        <w:pStyle w:val="BodyText"/>
        <w:rPr>
          <w:rFonts w:cs="Times New Roman"/>
        </w:rPr>
      </w:pPr>
      <w:r w:rsidRPr="000D6EF2">
        <w:rPr>
          <w:rFonts w:cs="Times New Roman"/>
        </w:rPr>
        <w:t xml:space="preserve">Anche se </w:t>
      </w:r>
      <w:r w:rsidRPr="000D6EF2">
        <w:rPr>
          <w:rFonts w:cs="Times New Roman"/>
          <w:i/>
          <w:iCs/>
        </w:rPr>
        <w:t>molte cose</w:t>
      </w:r>
      <w:r w:rsidRPr="000D6EF2">
        <w:rPr>
          <w:rFonts w:cs="Times New Roman"/>
        </w:rPr>
        <w:t xml:space="preserve"> sono necessarie per la sopravvivenza delle specie, Lucrezio stila una lista delle qualità che sembrano caratteristiche specie-specifiche: il coraggio per i leoni, la furbizia per le volpi, la velocità per i cervi. Altri hanno avuto la fortuna di provare la propria utilità per gli uomini, che in cambio proteggono gli animali quali cani e pecore, permettondo loro di sopravvivere</w:t>
      </w:r>
      <w:r w:rsidRPr="000D6EF2">
        <w:rPr>
          <w:rStyle w:val="Richiamoallanotaapidipagina"/>
          <w:rFonts w:cs="Times New Roman"/>
        </w:rPr>
        <w:footnoteReference w:id="57"/>
      </w:r>
      <w:r w:rsidRPr="000D6EF2">
        <w:rPr>
          <w:rFonts w:cs="Times New Roman"/>
        </w:rPr>
        <w:t xml:space="preserve">. Tuttavia, </w:t>
      </w:r>
    </w:p>
    <w:p w14:paraId="364F7EC2" w14:textId="77777777" w:rsidR="009A6259" w:rsidRPr="000D6EF2" w:rsidRDefault="009A6259">
      <w:pPr>
        <w:pStyle w:val="BodyText"/>
        <w:rPr>
          <w:rFonts w:cs="Times New Roman"/>
        </w:rPr>
      </w:pPr>
    </w:p>
    <w:p w14:paraId="22BEB5B1" w14:textId="5FE01276" w:rsidR="009A6259" w:rsidRPr="000D6EF2" w:rsidRDefault="009A6259" w:rsidP="009A6259">
      <w:pPr>
        <w:pStyle w:val="BodyText"/>
        <w:ind w:left="567" w:firstLine="0"/>
        <w:rPr>
          <w:rFonts w:cs="Times New Roman"/>
          <w:sz w:val="20"/>
          <w:szCs w:val="20"/>
        </w:rPr>
      </w:pPr>
      <w:r w:rsidRPr="000D6EF2">
        <w:rPr>
          <w:rFonts w:cs="Times New Roman"/>
          <w:kern w:val="0"/>
          <w:sz w:val="20"/>
          <w:szCs w:val="20"/>
          <w:lang w:val="en-US" w:bidi="ar-SA"/>
        </w:rPr>
        <w:t>coloro ai quali nulla di tutto ciò concesse natura, e di non poter vivere spontaneamente né di offrirci qualche utilità, per cui consentissimo ai loro figli sotto la notra protezione di vivere ed esser sicuri, certo questi di altrui preda e profitto si trovavano ad essere, impediti tutti dai lor propri limiti fatali, finché all’estinzione questa specie la natura ridusse.</w:t>
      </w:r>
      <w:r w:rsidRPr="000D6EF2">
        <w:rPr>
          <w:rStyle w:val="FootnoteReference"/>
          <w:rFonts w:cs="Times New Roman"/>
          <w:kern w:val="0"/>
          <w:sz w:val="20"/>
          <w:szCs w:val="20"/>
          <w:lang w:val="en-US" w:bidi="ar-SA"/>
        </w:rPr>
        <w:footnoteReference w:id="58"/>
      </w:r>
    </w:p>
    <w:p w14:paraId="77930F55" w14:textId="77777777" w:rsidR="00E10315" w:rsidRPr="000D6EF2" w:rsidRDefault="00E10315" w:rsidP="009A6259">
      <w:pPr>
        <w:rPr>
          <w:rFonts w:ascii="Times New Roman" w:hAnsi="Times New Roman" w:cs="Times New Roman"/>
          <w:shd w:val="clear" w:color="auto" w:fill="00FF00"/>
        </w:rPr>
      </w:pPr>
    </w:p>
    <w:p w14:paraId="5FC02092" w14:textId="036CC418" w:rsidR="00E10315" w:rsidRPr="000D6EF2" w:rsidRDefault="00196B24">
      <w:pPr>
        <w:pStyle w:val="BodyText"/>
        <w:rPr>
          <w:rFonts w:cs="Times New Roman"/>
        </w:rPr>
      </w:pPr>
      <w:r w:rsidRPr="000D6EF2">
        <w:rPr>
          <w:rFonts w:cs="Times New Roman"/>
        </w:rPr>
        <w:t xml:space="preserve">In questo passaggio, molto più di quando parla della </w:t>
      </w:r>
      <w:r w:rsidRPr="000D6EF2">
        <w:rPr>
          <w:rFonts w:cs="Times New Roman"/>
          <w:i/>
          <w:iCs/>
        </w:rPr>
        <w:t>magna mater</w:t>
      </w:r>
      <w:r w:rsidRPr="000D6EF2">
        <w:rPr>
          <w:rFonts w:cs="Times New Roman"/>
        </w:rPr>
        <w:t>, Lucrezio si avvcina pericolosamente al linguaggio antropocentrico che intende evitare</w:t>
      </w:r>
      <w:r w:rsidR="00D94090" w:rsidRPr="000D6EF2">
        <w:rPr>
          <w:rFonts w:cs="Times New Roman"/>
        </w:rPr>
        <w:t xml:space="preserve"> con cautela</w:t>
      </w:r>
      <w:r w:rsidRPr="000D6EF2">
        <w:rPr>
          <w:rFonts w:cs="Times New Roman"/>
        </w:rPr>
        <w:t xml:space="preserve">. Questa descrizione posiziona già il lettore nel momento in cui gli uomini pretendono di essere superiori agli animali, perlomeno in termini di </w:t>
      </w:r>
      <w:r w:rsidR="00D94090" w:rsidRPr="000D6EF2">
        <w:rPr>
          <w:rFonts w:cs="Times New Roman"/>
        </w:rPr>
        <w:t>azioni, se non di principio. Gli</w:t>
      </w:r>
      <w:r w:rsidRPr="000D6EF2">
        <w:rPr>
          <w:rFonts w:cs="Times New Roman"/>
        </w:rPr>
        <w:t xml:space="preserve"> esseri umani sono già in grado di sopravvivere, difendersi e propagare il proprio </w:t>
      </w:r>
      <w:r w:rsidRPr="000D6EF2">
        <w:rPr>
          <w:rFonts w:cs="Times New Roman"/>
          <w:i/>
          <w:iCs/>
        </w:rPr>
        <w:t>genus</w:t>
      </w:r>
      <w:r w:rsidRPr="000D6EF2">
        <w:rPr>
          <w:rFonts w:cs="Times New Roman"/>
        </w:rPr>
        <w:t>. Ancor più importante, m</w:t>
      </w:r>
      <w:r w:rsidR="00D94090" w:rsidRPr="000D6EF2">
        <w:rPr>
          <w:rFonts w:cs="Times New Roman"/>
        </w:rPr>
        <w:t xml:space="preserve">ostrano ciò che sembra essere una </w:t>
      </w:r>
      <w:r w:rsidRPr="000D6EF2">
        <w:rPr>
          <w:rFonts w:cs="Times New Roman"/>
        </w:rPr>
        <w:t xml:space="preserve">esclusiva abilità di proteggere altri </w:t>
      </w:r>
      <w:r w:rsidRPr="000D6EF2">
        <w:rPr>
          <w:rFonts w:cs="Times New Roman"/>
          <w:i/>
          <w:iCs/>
        </w:rPr>
        <w:t>genera</w:t>
      </w:r>
      <w:r w:rsidRPr="000D6EF2">
        <w:rPr>
          <w:rFonts w:cs="Times New Roman"/>
        </w:rPr>
        <w:t xml:space="preserve">, per esempio quelli che trovano utili, che possono usare per i loro scopi e il cui lavoro possono sfruttare. Mentre altre creature sono ancora in lotta per la sopravvivenza, a rischio di estinzione, l’umanità ha già conquistato una posizione speciale, per quanto fattuale e non ontologica, in natura. </w:t>
      </w:r>
    </w:p>
    <w:p w14:paraId="68AE6212" w14:textId="17241AB4" w:rsidR="00E10315" w:rsidRPr="000D6EF2" w:rsidRDefault="00D94090">
      <w:pPr>
        <w:pStyle w:val="BodyText"/>
        <w:rPr>
          <w:rFonts w:cs="Times New Roman"/>
        </w:rPr>
      </w:pPr>
      <w:r w:rsidRPr="000D6EF2">
        <w:rPr>
          <w:rFonts w:cs="Times New Roman"/>
        </w:rPr>
        <w:t xml:space="preserve">Cosa sono allora </w:t>
      </w:r>
      <w:r w:rsidR="00196B24" w:rsidRPr="000D6EF2">
        <w:rPr>
          <w:rFonts w:cs="Times New Roman"/>
        </w:rPr>
        <w:t xml:space="preserve">i </w:t>
      </w:r>
      <w:r w:rsidR="00196B24" w:rsidRPr="000D6EF2">
        <w:rPr>
          <w:rFonts w:cs="Times New Roman"/>
          <w:i/>
        </w:rPr>
        <w:t>uincla fatalia</w:t>
      </w:r>
      <w:r w:rsidRPr="000D6EF2">
        <w:rPr>
          <w:rFonts w:cs="Times New Roman"/>
        </w:rPr>
        <w:t xml:space="preserve"> di</w:t>
      </w:r>
      <w:r w:rsidR="00196B24" w:rsidRPr="000D6EF2">
        <w:rPr>
          <w:rFonts w:cs="Times New Roman"/>
        </w:rPr>
        <w:t xml:space="preserve"> V.876? È la natura che guida alcune creature alla sopravvivenza, mentre altre spinge all’estinzion</w:t>
      </w:r>
      <w:r w:rsidRPr="000D6EF2">
        <w:rPr>
          <w:rFonts w:cs="Times New Roman"/>
        </w:rPr>
        <w:t>e? È il destino? Le scelte dei diversi</w:t>
      </w:r>
      <w:r w:rsidR="00196B24" w:rsidRPr="000D6EF2">
        <w:rPr>
          <w:rFonts w:cs="Times New Roman"/>
        </w:rPr>
        <w:t xml:space="preserve"> traduttori sono rivelatrici: Ernout, Costa e Flores insistono sul ruolo del quasi-personificato fato, che agisce sulle creature e le porta all’estinzione</w:t>
      </w:r>
      <w:r w:rsidR="00196B24" w:rsidRPr="000D6EF2">
        <w:rPr>
          <w:rStyle w:val="Richiamoallanotaapidipagina"/>
          <w:rFonts w:cs="Times New Roman"/>
        </w:rPr>
        <w:footnoteReference w:id="59"/>
      </w:r>
      <w:r w:rsidR="00196B24" w:rsidRPr="000D6EF2">
        <w:rPr>
          <w:rFonts w:cs="Times New Roman"/>
        </w:rPr>
        <w:t xml:space="preserve">. Ritengo, tuttavia, che si dovrebbe evitare del tutto tale personificazione. È interessante che </w:t>
      </w:r>
      <w:r w:rsidR="00196B24" w:rsidRPr="000D6EF2">
        <w:rPr>
          <w:rFonts w:cs="Times New Roman"/>
          <w:i/>
          <w:iCs/>
        </w:rPr>
        <w:t>fatalia</w:t>
      </w:r>
      <w:r w:rsidR="00196B24" w:rsidRPr="000D6EF2">
        <w:rPr>
          <w:rFonts w:cs="Times New Roman"/>
        </w:rPr>
        <w:t xml:space="preserve"> compaia in un solo caso </w:t>
      </w:r>
      <w:r w:rsidRPr="000D6EF2">
        <w:rPr>
          <w:rFonts w:cs="Times New Roman"/>
        </w:rPr>
        <w:t>in</w:t>
      </w:r>
      <w:r w:rsidR="00196B24" w:rsidRPr="000D6EF2">
        <w:rPr>
          <w:rFonts w:cs="Times New Roman"/>
        </w:rPr>
        <w:t xml:space="preserve"> tutto il </w:t>
      </w:r>
      <w:r w:rsidR="00196B24" w:rsidRPr="000D6EF2">
        <w:rPr>
          <w:rFonts w:cs="Times New Roman"/>
          <w:i/>
          <w:iCs/>
        </w:rPr>
        <w:t>De Rerum Natura</w:t>
      </w:r>
      <w:r w:rsidR="00196B24" w:rsidRPr="000D6EF2">
        <w:rPr>
          <w:rStyle w:val="Richiamoallanotaapidipagina"/>
          <w:rFonts w:cs="Times New Roman"/>
        </w:rPr>
        <w:footnoteReference w:id="60"/>
      </w:r>
      <w:r w:rsidR="00196B24" w:rsidRPr="000D6EF2">
        <w:rPr>
          <w:rFonts w:cs="Times New Roman"/>
        </w:rPr>
        <w:t xml:space="preserve">. </w:t>
      </w:r>
      <w:r w:rsidR="00196B24" w:rsidRPr="000D6EF2">
        <w:rPr>
          <w:rFonts w:cs="Times New Roman"/>
        </w:rPr>
        <w:lastRenderedPageBreak/>
        <w:t>Dovrebbe essere letto, ritengo, come una disastrosa, dannosa e mortale limitazione, piuttosto che come l’intervento, o addirittura l’effetto, del Fato,</w:t>
      </w:r>
      <w:r w:rsidRPr="000D6EF2">
        <w:rPr>
          <w:rFonts w:cs="Times New Roman"/>
        </w:rPr>
        <w:t xml:space="preserve"> tesi che sarebbe in radicale contrasto</w:t>
      </w:r>
      <w:r w:rsidR="00196B24" w:rsidRPr="000D6EF2">
        <w:rPr>
          <w:rFonts w:cs="Times New Roman"/>
        </w:rPr>
        <w:t xml:space="preserve"> con la mentalità atomista</w:t>
      </w:r>
      <w:r w:rsidR="00196B24" w:rsidRPr="000D6EF2">
        <w:rPr>
          <w:rStyle w:val="Richiamoallanotaapidipagina"/>
          <w:rFonts w:cs="Times New Roman"/>
        </w:rPr>
        <w:footnoteReference w:id="61"/>
      </w:r>
      <w:r w:rsidR="00196B24" w:rsidRPr="000D6EF2">
        <w:rPr>
          <w:rFonts w:cs="Times New Roman"/>
        </w:rPr>
        <w:t>.</w:t>
      </w:r>
    </w:p>
    <w:p w14:paraId="04F52F00" w14:textId="54767232" w:rsidR="00E10315" w:rsidRPr="000D6EF2" w:rsidRDefault="00196B24" w:rsidP="00D94090">
      <w:pPr>
        <w:pStyle w:val="BodyText"/>
        <w:rPr>
          <w:rFonts w:cs="Times New Roman"/>
        </w:rPr>
      </w:pPr>
      <w:r w:rsidRPr="000D6EF2">
        <w:rPr>
          <w:rFonts w:cs="Times New Roman"/>
        </w:rPr>
        <w:t xml:space="preserve">Alludendo </w:t>
      </w:r>
      <w:r w:rsidR="00D94090" w:rsidRPr="000D6EF2">
        <w:rPr>
          <w:rFonts w:cs="Times New Roman"/>
        </w:rPr>
        <w:t>al racconto di Empedocle su</w:t>
      </w:r>
      <w:r w:rsidRPr="000D6EF2">
        <w:rPr>
          <w:rFonts w:cs="Times New Roman"/>
        </w:rPr>
        <w:t>ll’origine del mondo, Lucrezio si muove comunque fuori dal mito. Mentre Ackermann si concentra sulla superficie del linguaggio lucreziano, affermando che il poeta latino risente ancora di una mentalità mitica antica</w:t>
      </w:r>
      <w:r w:rsidRPr="000D6EF2">
        <w:rPr>
          <w:rStyle w:val="Richiamoallanotaapidipagina"/>
          <w:rFonts w:cs="Times New Roman"/>
        </w:rPr>
        <w:footnoteReference w:id="62"/>
      </w:r>
      <w:r w:rsidRPr="000D6EF2">
        <w:rPr>
          <w:rFonts w:cs="Times New Roman"/>
        </w:rPr>
        <w:t>, Casini ritiene che, dietro la superficie della descrizione zoogonica, Lucrezio porti l’atomismo verso ciò che i filosofi moderni vedono, di fatto, come uno studio scienti</w:t>
      </w:r>
      <w:r w:rsidR="00D94090" w:rsidRPr="000D6EF2">
        <w:rPr>
          <w:rFonts w:cs="Times New Roman"/>
        </w:rPr>
        <w:t>fico della natura, o che quantomeno</w:t>
      </w:r>
      <w:r w:rsidRPr="000D6EF2">
        <w:rPr>
          <w:rFonts w:cs="Times New Roman"/>
        </w:rPr>
        <w:t xml:space="preserve"> trovano utile per svilupparlo</w:t>
      </w:r>
      <w:r w:rsidRPr="000D6EF2">
        <w:rPr>
          <w:rStyle w:val="Richiamoallanotaapidipagina"/>
          <w:rFonts w:cs="Times New Roman"/>
        </w:rPr>
        <w:footnoteReference w:id="63"/>
      </w:r>
      <w:r w:rsidRPr="000D6EF2">
        <w:rPr>
          <w:rFonts w:cs="Times New Roman"/>
        </w:rPr>
        <w:t xml:space="preserve">. Lucrezio non sta solo tentando di sviluppare un concetto di natura alternativo a quello aristotelico, ma sta anche mostrando come le regolarità naturali sono state modellate e forgiate </w:t>
      </w:r>
      <w:r w:rsidR="00D94090" w:rsidRPr="000D6EF2">
        <w:rPr>
          <w:rFonts w:cs="Times New Roman"/>
        </w:rPr>
        <w:t>in modo immanente</w:t>
      </w:r>
      <w:r w:rsidRPr="000D6EF2">
        <w:rPr>
          <w:rFonts w:cs="Times New Roman"/>
        </w:rPr>
        <w:t xml:space="preserve"> all’interno della natura.</w:t>
      </w:r>
    </w:p>
    <w:p w14:paraId="4D18BA0A" w14:textId="7435EC3E" w:rsidR="00E10315" w:rsidRPr="000D6EF2" w:rsidRDefault="00196B24">
      <w:pPr>
        <w:pStyle w:val="BodyText"/>
        <w:rPr>
          <w:rFonts w:cs="Times New Roman"/>
        </w:rPr>
      </w:pPr>
      <w:r w:rsidRPr="000D6EF2">
        <w:rPr>
          <w:rFonts w:cs="Times New Roman"/>
        </w:rPr>
        <w:t xml:space="preserve">La natura non riceve leggi, né le implementa. I primi esseri viventi sono </w:t>
      </w:r>
      <w:r w:rsidRPr="000D6EF2">
        <w:rPr>
          <w:rFonts w:cs="Times New Roman"/>
          <w:i/>
          <w:iCs/>
        </w:rPr>
        <w:t xml:space="preserve">tentativi </w:t>
      </w:r>
      <w:r w:rsidRPr="000D6EF2">
        <w:rPr>
          <w:rFonts w:cs="Times New Roman"/>
        </w:rPr>
        <w:t xml:space="preserve">della natura o, ancor meglio, </w:t>
      </w:r>
      <w:r w:rsidRPr="000D6EF2">
        <w:rPr>
          <w:rFonts w:cs="Times New Roman"/>
          <w:i/>
          <w:iCs/>
        </w:rPr>
        <w:t>sforzi</w:t>
      </w:r>
      <w:r w:rsidRPr="000D6EF2">
        <w:rPr>
          <w:rFonts w:cs="Times New Roman"/>
        </w:rPr>
        <w:t xml:space="preserve">. La scelta del verbo </w:t>
      </w:r>
      <w:r w:rsidRPr="000D6EF2">
        <w:rPr>
          <w:rFonts w:cs="Times New Roman"/>
          <w:i/>
          <w:iCs/>
        </w:rPr>
        <w:t xml:space="preserve">conari </w:t>
      </w:r>
      <w:r w:rsidRPr="000D6EF2">
        <w:rPr>
          <w:rFonts w:cs="Times New Roman"/>
        </w:rPr>
        <w:t>è estremamente importante. Lucrezio fa certamente eco alla descrizione di Empedocle, come molti studiosi hanno già notato</w:t>
      </w:r>
      <w:r w:rsidR="002565DC" w:rsidRPr="000D6EF2">
        <w:rPr>
          <w:rFonts w:cs="Times New Roman"/>
        </w:rPr>
        <w:t xml:space="preserve">. </w:t>
      </w:r>
      <w:r w:rsidR="002565DC" w:rsidRPr="000D6EF2">
        <w:rPr>
          <w:rFonts w:cs="Times New Roman"/>
          <w:kern w:val="0"/>
          <w:lang w:val="en-US" w:bidi="ar-SA"/>
        </w:rPr>
        <w:t>Secondo Munro, Lucrezio rifiuterebbe  la teoria di Empedocle e, al tempo stesso, riterrebbe assurda l’idea di membra erranti che vagano cercandosi</w:t>
      </w:r>
      <w:r w:rsidRPr="000D6EF2">
        <w:rPr>
          <w:rStyle w:val="Richiamoallanotaapidipagina"/>
          <w:rFonts w:cs="Times New Roman"/>
        </w:rPr>
        <w:footnoteReference w:id="64"/>
      </w:r>
      <w:r w:rsidRPr="000D6EF2">
        <w:rPr>
          <w:rFonts w:cs="Times New Roman"/>
        </w:rPr>
        <w:t xml:space="preserve">. Munro, tuttavia, si concentra sul risultato della produzione della natura piuttosto che sul processo di produzione stessa. Lucrezio non è in linea con Aristotele e i suoi commentatori qui. Vedendo questo processo come una spontanea serie di tentativi, o sforzi molteplici, con nessun fine in vista, egli si allontana dalla teleologia, seguendo </w:t>
      </w:r>
      <w:r w:rsidR="002565DC" w:rsidRPr="000D6EF2">
        <w:rPr>
          <w:rFonts w:cs="Times New Roman"/>
        </w:rPr>
        <w:t>proprio</w:t>
      </w:r>
      <w:r w:rsidRPr="000D6EF2">
        <w:rPr>
          <w:rFonts w:cs="Times New Roman"/>
        </w:rPr>
        <w:t xml:space="preserve"> l’intuizione di Empedocle. </w:t>
      </w:r>
    </w:p>
    <w:p w14:paraId="48A5DD76" w14:textId="47BA6144" w:rsidR="00E10315" w:rsidRPr="000D6EF2" w:rsidRDefault="00196B24">
      <w:pPr>
        <w:pStyle w:val="BodyText"/>
        <w:rPr>
          <w:rFonts w:cs="Times New Roman"/>
        </w:rPr>
      </w:pPr>
      <w:r w:rsidRPr="000D6EF2">
        <w:rPr>
          <w:rFonts w:cs="Times New Roman"/>
        </w:rPr>
        <w:t xml:space="preserve">Bailey riconosce l’influenza di Empedocle nella descrizione lucreziana del </w:t>
      </w:r>
      <w:r w:rsidRPr="000D6EF2">
        <w:rPr>
          <w:rFonts w:cs="Times New Roman"/>
          <w:iCs/>
        </w:rPr>
        <w:t>processo</w:t>
      </w:r>
      <w:r w:rsidRPr="000D6EF2">
        <w:rPr>
          <w:rFonts w:cs="Times New Roman"/>
          <w:i/>
          <w:iCs/>
        </w:rPr>
        <w:t xml:space="preserve"> </w:t>
      </w:r>
      <w:r w:rsidRPr="000D6EF2">
        <w:rPr>
          <w:rFonts w:cs="Times New Roman"/>
        </w:rPr>
        <w:t>di produzione della natura e non solo dei suoi risultati finali</w:t>
      </w:r>
      <w:r w:rsidRPr="000D6EF2">
        <w:rPr>
          <w:rStyle w:val="Richiamoallanotaapidipagina"/>
          <w:rFonts w:cs="Times New Roman"/>
        </w:rPr>
        <w:footnoteReference w:id="65"/>
      </w:r>
      <w:r w:rsidRPr="000D6EF2">
        <w:rPr>
          <w:rFonts w:cs="Times New Roman"/>
        </w:rPr>
        <w:t xml:space="preserve">. Oltre a spostare la descrizione </w:t>
      </w:r>
      <w:r w:rsidR="002565DC" w:rsidRPr="000D6EF2">
        <w:rPr>
          <w:rFonts w:cs="Times New Roman"/>
        </w:rPr>
        <w:t xml:space="preserve">oltre il </w:t>
      </w:r>
      <w:r w:rsidR="008B0BCA" w:rsidRPr="000D6EF2">
        <w:rPr>
          <w:rFonts w:cs="Times New Roman"/>
        </w:rPr>
        <w:t>mito e renderla più «</w:t>
      </w:r>
      <w:r w:rsidRPr="000D6EF2">
        <w:rPr>
          <w:rFonts w:cs="Times New Roman"/>
        </w:rPr>
        <w:t xml:space="preserve">scientifica e </w:t>
      </w:r>
      <w:r w:rsidR="008B0BCA" w:rsidRPr="000D6EF2">
        <w:rPr>
          <w:rFonts w:cs="Times New Roman"/>
        </w:rPr>
        <w:t>coerente con la teoria generale»</w:t>
      </w:r>
      <w:r w:rsidRPr="000D6EF2">
        <w:rPr>
          <w:rFonts w:cs="Times New Roman"/>
        </w:rPr>
        <w:t xml:space="preserve">, Bailey nota come sia parallela a quella della creazione dei mondi </w:t>
      </w:r>
      <w:r w:rsidR="008B0BCA" w:rsidRPr="000D6EF2">
        <w:rPr>
          <w:rFonts w:cs="Times New Roman"/>
        </w:rPr>
        <w:t xml:space="preserve">in </w:t>
      </w:r>
      <w:r w:rsidRPr="000D6EF2">
        <w:rPr>
          <w:rFonts w:cs="Times New Roman"/>
        </w:rPr>
        <w:t xml:space="preserve">I.1021-8 e </w:t>
      </w:r>
      <w:r w:rsidR="008B0BCA" w:rsidRPr="000D6EF2">
        <w:rPr>
          <w:rFonts w:cs="Times New Roman"/>
        </w:rPr>
        <w:t xml:space="preserve">in </w:t>
      </w:r>
      <w:r w:rsidRPr="000D6EF2">
        <w:rPr>
          <w:rFonts w:cs="Times New Roman"/>
        </w:rPr>
        <w:t>V.419-31</w:t>
      </w:r>
      <w:r w:rsidRPr="000D6EF2">
        <w:rPr>
          <w:rStyle w:val="Richiamoallanotaapidipagina"/>
          <w:rFonts w:cs="Times New Roman"/>
        </w:rPr>
        <w:footnoteReference w:id="66"/>
      </w:r>
      <w:r w:rsidRPr="000D6EF2">
        <w:rPr>
          <w:rFonts w:cs="Times New Roman"/>
        </w:rPr>
        <w:t>. Ancor più importante, Bailey s</w:t>
      </w:r>
      <w:r w:rsidR="008B0BCA" w:rsidRPr="000D6EF2">
        <w:rPr>
          <w:rFonts w:cs="Times New Roman"/>
        </w:rPr>
        <w:t>uggerisce che le leggi non vengo</w:t>
      </w:r>
      <w:r w:rsidRPr="000D6EF2">
        <w:rPr>
          <w:rFonts w:cs="Times New Roman"/>
        </w:rPr>
        <w:t xml:space="preserve">no </w:t>
      </w:r>
      <w:r w:rsidRPr="000D6EF2">
        <w:rPr>
          <w:rFonts w:cs="Times New Roman"/>
          <w:i/>
          <w:iCs/>
        </w:rPr>
        <w:t>prima</w:t>
      </w:r>
      <w:r w:rsidRPr="000D6EF2">
        <w:rPr>
          <w:rFonts w:cs="Times New Roman"/>
        </w:rPr>
        <w:t xml:space="preserve"> degli sforzi della natura: sono piuttosto le conseguenze di questi tentativi, una volta stabilizzati e in grado di </w:t>
      </w:r>
      <w:r w:rsidR="008B0BCA" w:rsidRPr="000D6EF2">
        <w:rPr>
          <w:rFonts w:cs="Times New Roman"/>
        </w:rPr>
        <w:t>dar luogo a</w:t>
      </w:r>
      <w:r w:rsidRPr="000D6EF2">
        <w:rPr>
          <w:rFonts w:cs="Times New Roman"/>
        </w:rPr>
        <w:t xml:space="preserve"> una progenie. In questo caso, tuttavia, trovo problematico il riferimento di Bailey alla “perfezione”. Solo le creature più “perfette”, scrive, diventan</w:t>
      </w:r>
      <w:r w:rsidR="008B0BCA" w:rsidRPr="000D6EF2">
        <w:rPr>
          <w:rFonts w:cs="Times New Roman"/>
        </w:rPr>
        <w:t xml:space="preserve">o vivibili e riproducibili </w:t>
      </w:r>
      <w:r w:rsidRPr="000D6EF2">
        <w:rPr>
          <w:rFonts w:cs="Times New Roman"/>
        </w:rPr>
        <w:t>“dopo molti fallimenti”. La perfezione, infatti, si riferisce all’impossibilità di ulteriori miglioramenti, al pieno possesso delle caratteristiche essenziali, alla com</w:t>
      </w:r>
      <w:r w:rsidR="008B0BCA" w:rsidRPr="000D6EF2">
        <w:rPr>
          <w:rFonts w:cs="Times New Roman"/>
        </w:rPr>
        <w:t>pletezza, alla corrispondenza a</w:t>
      </w:r>
      <w:r w:rsidRPr="000D6EF2">
        <w:rPr>
          <w:rFonts w:cs="Times New Roman"/>
        </w:rPr>
        <w:t xml:space="preserve"> un preesistente schema di principio, </w:t>
      </w:r>
      <w:r w:rsidRPr="000D6EF2">
        <w:rPr>
          <w:rFonts w:cs="Times New Roman"/>
        </w:rPr>
        <w:lastRenderedPageBreak/>
        <w:t xml:space="preserve">all’accuratezza nel riprodurre </w:t>
      </w:r>
      <w:r w:rsidR="008B0BCA" w:rsidRPr="000D6EF2">
        <w:rPr>
          <w:rFonts w:cs="Times New Roman"/>
        </w:rPr>
        <w:t xml:space="preserve">tale </w:t>
      </w:r>
      <w:r w:rsidRPr="000D6EF2">
        <w:rPr>
          <w:rFonts w:cs="Times New Roman"/>
        </w:rPr>
        <w:t xml:space="preserve">modello, al pieno sviluppo e alla normalità, alla conformità alle leggi: ritengo che tali idee siano del tutto aliene alla teoria di Lucrezio. </w:t>
      </w:r>
    </w:p>
    <w:p w14:paraId="1E2DCAD1" w14:textId="4FB063E2" w:rsidR="00E10315" w:rsidRPr="000D6EF2" w:rsidRDefault="00196B24">
      <w:pPr>
        <w:pStyle w:val="BodyText"/>
        <w:rPr>
          <w:rFonts w:cs="Times New Roman"/>
        </w:rPr>
      </w:pPr>
      <w:r w:rsidRPr="000D6EF2">
        <w:rPr>
          <w:rFonts w:cs="Times New Roman"/>
        </w:rPr>
        <w:t xml:space="preserve">Lucrezio, al contrario, sta escludendo che sia necessario alle creature un qualunque successo o </w:t>
      </w:r>
      <w:r w:rsidRPr="000D6EF2">
        <w:rPr>
          <w:rFonts w:cs="Times New Roman"/>
          <w:i/>
          <w:iCs/>
        </w:rPr>
        <w:t>perfezione</w:t>
      </w:r>
      <w:r w:rsidRPr="000D6EF2">
        <w:rPr>
          <w:rFonts w:cs="Times New Roman"/>
        </w:rPr>
        <w:t xml:space="preserve"> per sopravvivere. L’</w:t>
      </w:r>
      <w:r w:rsidRPr="000D6EF2">
        <w:rPr>
          <w:rFonts w:cs="Times New Roman"/>
          <w:i/>
          <w:iCs/>
        </w:rPr>
        <w:t>ut...</w:t>
      </w:r>
      <w:r w:rsidR="008B0BCA" w:rsidRPr="000D6EF2">
        <w:rPr>
          <w:rFonts w:cs="Times New Roman"/>
          <w:i/>
          <w:iCs/>
        </w:rPr>
        <w:t xml:space="preserve"> </w:t>
      </w:r>
      <w:r w:rsidRPr="000D6EF2">
        <w:rPr>
          <w:rFonts w:cs="Times New Roman"/>
          <w:i/>
          <w:iCs/>
        </w:rPr>
        <w:t>possint</w:t>
      </w:r>
      <w:r w:rsidRPr="000D6EF2">
        <w:rPr>
          <w:rFonts w:cs="Times New Roman"/>
        </w:rPr>
        <w:t xml:space="preserve"> di V.580 ha un senso consecutivo e finale, come spesso e correttamente è stato notato</w:t>
      </w:r>
      <w:r w:rsidRPr="000D6EF2">
        <w:rPr>
          <w:rStyle w:val="Richiamoallanotaapidipagina"/>
          <w:rFonts w:cs="Times New Roman"/>
        </w:rPr>
        <w:footnoteReference w:id="67"/>
      </w:r>
      <w:r w:rsidRPr="000D6EF2">
        <w:rPr>
          <w:rFonts w:cs="Times New Roman"/>
        </w:rPr>
        <w:t>. È vero, come afferma Schrijvers, che i mostri sono nella natura, sia per Lucrezio che per Aristotele</w:t>
      </w:r>
      <w:r w:rsidRPr="000D6EF2">
        <w:rPr>
          <w:rStyle w:val="Richiamoallanotaapidipagina"/>
          <w:rFonts w:cs="Times New Roman"/>
        </w:rPr>
        <w:footnoteReference w:id="68"/>
      </w:r>
      <w:r w:rsidRPr="000D6EF2">
        <w:rPr>
          <w:rFonts w:cs="Times New Roman"/>
        </w:rPr>
        <w:t>, ma in due sensi opposti. Una convergenza tra Lucrezio ed Aristotele è stata tracciata anche da Jackie Pigeaud il quale ritiene che i due filosofi condividano la necessità di provare l’impossibilità di mostri misti, come centauri o chimere</w:t>
      </w:r>
      <w:r w:rsidRPr="000D6EF2">
        <w:rPr>
          <w:rStyle w:val="Richiamoallanotaapidipagina"/>
          <w:rFonts w:cs="Times New Roman"/>
        </w:rPr>
        <w:footnoteReference w:id="69"/>
      </w:r>
      <w:r w:rsidRPr="000D6EF2">
        <w:rPr>
          <w:rFonts w:cs="Times New Roman"/>
        </w:rPr>
        <w:t xml:space="preserve">. Seguendo un modello botanico, entrambi gli autori esaminano il problema dell’innesto impossibile; ad esempio, l’innesto di un umano su un cavallo o di un serpente su una capra e della capra sul leone. In questo brillante articolo, Pigeaud mostra come l’argomentazione di Columella sugli innesti nel </w:t>
      </w:r>
      <w:r w:rsidRPr="000D6EF2">
        <w:rPr>
          <w:rFonts w:cs="Times New Roman"/>
          <w:i/>
          <w:iCs/>
        </w:rPr>
        <w:t>De Re Rustica</w:t>
      </w:r>
      <w:r w:rsidR="00637526" w:rsidRPr="000D6EF2">
        <w:rPr>
          <w:rFonts w:cs="Times New Roman"/>
        </w:rPr>
        <w:t xml:space="preserve"> sia</w:t>
      </w:r>
      <w:r w:rsidRPr="000D6EF2">
        <w:rPr>
          <w:rFonts w:cs="Times New Roman"/>
        </w:rPr>
        <w:t xml:space="preserve"> una risposta diretta – fieramente fondata sul suo innesto riuscito – agli autori che sostengono l’impossibilità di unire insieme piante diverse e teoricamente incompatibili. Pigeaud suggersisce che Columella abbia in mente Aristotele e Lucrezio, uniti da una comune avversione per i mostri composti, e le argomentazioni più antiche di Empedocle</w:t>
      </w:r>
      <w:r w:rsidRPr="000D6EF2">
        <w:rPr>
          <w:rStyle w:val="Richiamoallanotaapidipagina"/>
          <w:rFonts w:cs="Times New Roman"/>
        </w:rPr>
        <w:footnoteReference w:id="70"/>
      </w:r>
      <w:r w:rsidRPr="000D6EF2">
        <w:rPr>
          <w:rFonts w:cs="Times New Roman"/>
        </w:rPr>
        <w:t>. Credo che l’ipotesi di Pigeaud liquidi troppo velocemente il forte contrasto tra Lucrezio e Aristotele.</w:t>
      </w:r>
    </w:p>
    <w:p w14:paraId="5DCA6A52" w14:textId="06592AF1" w:rsidR="00E10315" w:rsidRPr="000D6EF2" w:rsidRDefault="00196B24">
      <w:pPr>
        <w:pStyle w:val="BodyText"/>
        <w:rPr>
          <w:rFonts w:cs="Times New Roman"/>
        </w:rPr>
      </w:pPr>
      <w:r w:rsidRPr="000D6EF2">
        <w:rPr>
          <w:rFonts w:cs="Times New Roman"/>
        </w:rPr>
        <w:t xml:space="preserve">Per Aristotele, la regolarità delle forme preesiste sempre </w:t>
      </w:r>
      <w:r w:rsidR="00637526" w:rsidRPr="000D6EF2">
        <w:rPr>
          <w:rFonts w:cs="Times New Roman"/>
        </w:rPr>
        <w:t>a</w:t>
      </w:r>
      <w:r w:rsidRPr="000D6EF2">
        <w:rPr>
          <w:rFonts w:cs="Times New Roman"/>
        </w:rPr>
        <w:t xml:space="preserve">gli esseri mentre, per Lucrezio. la regolarità è </w:t>
      </w:r>
      <w:r w:rsidRPr="000D6EF2">
        <w:rPr>
          <w:rFonts w:cs="Times New Roman"/>
          <w:i/>
          <w:iCs/>
        </w:rPr>
        <w:t>solo</w:t>
      </w:r>
      <w:r w:rsidRPr="000D6EF2">
        <w:rPr>
          <w:rFonts w:cs="Times New Roman"/>
        </w:rPr>
        <w:t xml:space="preserve"> il risultato degli individui per sopravvivere alla loro nascita</w:t>
      </w:r>
      <w:r w:rsidRPr="000D6EF2">
        <w:rPr>
          <w:rStyle w:val="Richiamoallanotaapidipagina"/>
          <w:rFonts w:cs="Times New Roman"/>
        </w:rPr>
        <w:footnoteReference w:id="71"/>
      </w:r>
      <w:r w:rsidRPr="000D6EF2">
        <w:rPr>
          <w:rFonts w:cs="Times New Roman"/>
        </w:rPr>
        <w:t xml:space="preserve">. Questo sforzo, vicino al verbo </w:t>
      </w:r>
      <w:r w:rsidRPr="000D6EF2">
        <w:rPr>
          <w:rFonts w:cs="Times New Roman"/>
          <w:i/>
          <w:iCs/>
        </w:rPr>
        <w:t>conari</w:t>
      </w:r>
      <w:r w:rsidRPr="000D6EF2">
        <w:rPr>
          <w:rFonts w:cs="Times New Roman"/>
        </w:rPr>
        <w:t xml:space="preserve"> usato da Lucrezio, deve essere riferito più alla molteplicità delle creature individuali, </w:t>
      </w:r>
      <w:r w:rsidR="00637526" w:rsidRPr="000D6EF2">
        <w:rPr>
          <w:rFonts w:cs="Times New Roman"/>
        </w:rPr>
        <w:t xml:space="preserve">che </w:t>
      </w:r>
      <w:r w:rsidRPr="000D6EF2">
        <w:rPr>
          <w:rFonts w:cs="Times New Roman"/>
        </w:rPr>
        <w:t xml:space="preserve">tutte si sforzano </w:t>
      </w:r>
      <w:r w:rsidR="00637526" w:rsidRPr="000D6EF2">
        <w:rPr>
          <w:rFonts w:cs="Times New Roman"/>
        </w:rPr>
        <w:t>di</w:t>
      </w:r>
      <w:r w:rsidRPr="000D6EF2">
        <w:rPr>
          <w:rFonts w:cs="Times New Roman"/>
        </w:rPr>
        <w:t xml:space="preserve"> sopravvivere, </w:t>
      </w:r>
      <w:r w:rsidR="00637526" w:rsidRPr="000D6EF2">
        <w:rPr>
          <w:rFonts w:cs="Times New Roman"/>
        </w:rPr>
        <w:t xml:space="preserve">piuttosto che </w:t>
      </w:r>
      <w:r w:rsidRPr="000D6EF2">
        <w:rPr>
          <w:rFonts w:cs="Times New Roman"/>
        </w:rPr>
        <w:t xml:space="preserve">alla natura stessa. Gli esseri nascono: alcuni vivono, altri muoiono. Gli ultimi sono l’eccezione, mentre i primi diventano la norma </w:t>
      </w:r>
      <w:r w:rsidRPr="000D6EF2">
        <w:rPr>
          <w:rFonts w:cs="Times New Roman"/>
          <w:i/>
        </w:rPr>
        <w:t>perché</w:t>
      </w:r>
      <w:r w:rsidRPr="000D6EF2">
        <w:rPr>
          <w:rFonts w:cs="Times New Roman"/>
        </w:rPr>
        <w:t xml:space="preserve"> si riproducono, perché il loro sforzo per preservarsi in vita ha successo (il successo dei loro sforzi </w:t>
      </w:r>
      <w:r w:rsidRPr="000D6EF2">
        <w:rPr>
          <w:rFonts w:cs="Times New Roman"/>
          <w:iCs/>
        </w:rPr>
        <w:t>non</w:t>
      </w:r>
      <w:r w:rsidRPr="000D6EF2">
        <w:rPr>
          <w:rFonts w:cs="Times New Roman"/>
          <w:i/>
          <w:iCs/>
        </w:rPr>
        <w:t xml:space="preserve"> </w:t>
      </w:r>
      <w:r w:rsidRPr="000D6EF2">
        <w:rPr>
          <w:rFonts w:cs="Times New Roman"/>
        </w:rPr>
        <w:t>è motivato da nessuna aderenza o rispetto della norma)</w:t>
      </w:r>
      <w:r w:rsidRPr="000D6EF2">
        <w:rPr>
          <w:rStyle w:val="Richiamoallanotaapidipagina"/>
          <w:rFonts w:cs="Times New Roman"/>
        </w:rPr>
        <w:footnoteReference w:id="72"/>
      </w:r>
      <w:r w:rsidRPr="000D6EF2">
        <w:rPr>
          <w:rFonts w:cs="Times New Roman"/>
        </w:rPr>
        <w:t>.</w:t>
      </w:r>
    </w:p>
    <w:p w14:paraId="395DC70C" w14:textId="34745430" w:rsidR="00E10315" w:rsidRPr="000D6EF2" w:rsidRDefault="00196B24">
      <w:pPr>
        <w:pStyle w:val="BodyText"/>
        <w:rPr>
          <w:rFonts w:cs="Times New Roman"/>
        </w:rPr>
      </w:pPr>
      <w:r w:rsidRPr="000D6EF2">
        <w:rPr>
          <w:rFonts w:cs="Times New Roman"/>
        </w:rPr>
        <w:t>La dimensione di sforzo e conflitto della relazione tra le creature – che pure è spesso enfatizzata dagli studiosi che ne discutono la somiglianza con la teoria darwiniana della selezione naturale</w:t>
      </w:r>
      <w:r w:rsidRPr="000D6EF2">
        <w:rPr>
          <w:rStyle w:val="Richiamoallanotaapidipagina"/>
          <w:rFonts w:cs="Times New Roman"/>
        </w:rPr>
        <w:footnoteReference w:id="73"/>
      </w:r>
      <w:r w:rsidRPr="000D6EF2">
        <w:rPr>
          <w:rFonts w:cs="Times New Roman"/>
        </w:rPr>
        <w:t xml:space="preserve"> – non esaurisce il pensiero di Lucrezio. Importante quanto la selezione è la cooperazione, il concorso e l’accordo tra creature. La regolarità delle forme, come spiega Vittorio Morfino, non preesiste </w:t>
      </w:r>
      <w:r w:rsidR="00637526" w:rsidRPr="000D6EF2">
        <w:rPr>
          <w:rFonts w:cs="Times New Roman"/>
        </w:rPr>
        <w:t>al</w:t>
      </w:r>
      <w:r w:rsidRPr="000D6EF2">
        <w:rPr>
          <w:rFonts w:cs="Times New Roman"/>
        </w:rPr>
        <w:t xml:space="preserve">l’incontro tra individui ma è, piuttosto, il risultato degli incontri e dell’unione delle condizioni </w:t>
      </w:r>
      <w:r w:rsidRPr="000D6EF2">
        <w:rPr>
          <w:rFonts w:cs="Times New Roman"/>
        </w:rPr>
        <w:lastRenderedPageBreak/>
        <w:t xml:space="preserve">necessarie e sufficienti. È un </w:t>
      </w:r>
      <w:r w:rsidRPr="000D6EF2">
        <w:rPr>
          <w:rFonts w:cs="Times New Roman"/>
          <w:i/>
          <w:iCs/>
        </w:rPr>
        <w:t>concurrere multa rebus</w:t>
      </w:r>
      <w:r w:rsidRPr="000D6EF2">
        <w:rPr>
          <w:rFonts w:cs="Times New Roman"/>
        </w:rPr>
        <w:t xml:space="preserve"> che trasforma</w:t>
      </w:r>
      <w:r w:rsidR="00637526" w:rsidRPr="000D6EF2">
        <w:rPr>
          <w:rFonts w:cs="Times New Roman"/>
        </w:rPr>
        <w:t xml:space="preserve"> la congiunzione in una congiuntura</w:t>
      </w:r>
      <w:r w:rsidRPr="000D6EF2">
        <w:rPr>
          <w:rFonts w:cs="Times New Roman"/>
        </w:rPr>
        <w:t xml:space="preserve">, e in una </w:t>
      </w:r>
      <w:r w:rsidRPr="000D6EF2">
        <w:rPr>
          <w:rFonts w:cs="Times New Roman"/>
          <w:i/>
        </w:rPr>
        <w:t>felice</w:t>
      </w:r>
      <w:r w:rsidR="00637526" w:rsidRPr="000D6EF2">
        <w:rPr>
          <w:rFonts w:cs="Times New Roman"/>
          <w:i/>
        </w:rPr>
        <w:t xml:space="preserve"> </w:t>
      </w:r>
      <w:r w:rsidR="00637526" w:rsidRPr="000D6EF2">
        <w:rPr>
          <w:rFonts w:cs="Times New Roman"/>
        </w:rPr>
        <w:t>congiuntura</w:t>
      </w:r>
      <w:r w:rsidRPr="000D6EF2">
        <w:rPr>
          <w:rFonts w:cs="Times New Roman"/>
        </w:rPr>
        <w:t xml:space="preserve">, favorevole alla sopravvivenza </w:t>
      </w:r>
      <w:r w:rsidR="00637526" w:rsidRPr="000D6EF2">
        <w:rPr>
          <w:rFonts w:cs="Times New Roman"/>
        </w:rPr>
        <w:t>di quella che diventerà così una</w:t>
      </w:r>
      <w:r w:rsidRPr="000D6EF2">
        <w:rPr>
          <w:rFonts w:cs="Times New Roman"/>
        </w:rPr>
        <w:t xml:space="preserve"> specie</w:t>
      </w:r>
      <w:r w:rsidRPr="000D6EF2">
        <w:rPr>
          <w:rStyle w:val="Richiamoallanotaapidipagina"/>
          <w:rFonts w:cs="Times New Roman"/>
        </w:rPr>
        <w:footnoteReference w:id="74"/>
      </w:r>
      <w:r w:rsidRPr="000D6EF2">
        <w:rPr>
          <w:rFonts w:cs="Times New Roman"/>
        </w:rPr>
        <w:t>. Si potrebbe dire che, non appena creati, tutti gli animali sono mostruosi (cosa che Aristotele avrebbe reputato assurda)</w:t>
      </w:r>
      <w:r w:rsidRPr="000D6EF2">
        <w:rPr>
          <w:rStyle w:val="Richiamoallanotaapidipagina"/>
          <w:rFonts w:cs="Times New Roman"/>
        </w:rPr>
        <w:footnoteReference w:id="75"/>
      </w:r>
      <w:r w:rsidRPr="000D6EF2">
        <w:rPr>
          <w:rFonts w:cs="Times New Roman"/>
        </w:rPr>
        <w:t xml:space="preserve">. Non combattono per divenire normali ma per sopravvivere e, </w:t>
      </w:r>
      <w:r w:rsidRPr="000D6EF2">
        <w:rPr>
          <w:rFonts w:cs="Times New Roman"/>
          <w:i/>
          <w:iCs/>
        </w:rPr>
        <w:t>quindi</w:t>
      </w:r>
      <w:r w:rsidRPr="000D6EF2">
        <w:rPr>
          <w:rFonts w:cs="Times New Roman"/>
        </w:rPr>
        <w:t xml:space="preserve">, creano la normalità. Hanno bisogno l’uno dell’altro più di quanto abbiano bisogno di combattere </w:t>
      </w:r>
      <w:r w:rsidRPr="000D6EF2">
        <w:rPr>
          <w:rFonts w:cs="Times New Roman"/>
          <w:i/>
          <w:iCs/>
        </w:rPr>
        <w:t xml:space="preserve">contro </w:t>
      </w:r>
      <w:r w:rsidRPr="000D6EF2">
        <w:rPr>
          <w:rFonts w:cs="Times New Roman"/>
        </w:rPr>
        <w:t>altri animali. I mostri, come ha ben scritto Michel Serres, sono i perdenti in una competizione con se stessi più che con gli altri:</w:t>
      </w:r>
    </w:p>
    <w:p w14:paraId="5F65518D" w14:textId="77777777" w:rsidR="00FF7369" w:rsidRPr="000D6EF2" w:rsidRDefault="00FF7369">
      <w:pPr>
        <w:pStyle w:val="BodyText"/>
        <w:rPr>
          <w:rFonts w:cs="Times New Roman"/>
        </w:rPr>
      </w:pPr>
    </w:p>
    <w:p w14:paraId="0CFC430A" w14:textId="7CF15BFF" w:rsidR="00FF7369" w:rsidRPr="000D6EF2" w:rsidRDefault="00FF7369" w:rsidP="00FF7369">
      <w:pPr>
        <w:pStyle w:val="BodyText"/>
        <w:ind w:left="567" w:firstLine="0"/>
        <w:rPr>
          <w:rFonts w:cs="Times New Roman"/>
          <w:sz w:val="20"/>
          <w:szCs w:val="20"/>
        </w:rPr>
      </w:pPr>
      <w:r w:rsidRPr="000D6EF2">
        <w:rPr>
          <w:rFonts w:cs="Times New Roman"/>
          <w:sz w:val="20"/>
          <w:szCs w:val="20"/>
        </w:rPr>
        <w:t xml:space="preserve">La terra, una volta formata, si mette a produrre. Dal suolo stesso crescono matrici, fissate alla terra da radici. Allora nascono mostri.  Hanno tratti o membra strani. Ora questa stranezza è sempre e soltanto negativa. L’androgino, per esempio, non è i due sessi riuniti insieme, non è né l’uno né l’altro, non appartiene a nessuno dei due. La teratologia si costituisce con la regola </w:t>
      </w:r>
      <w:r w:rsidRPr="000D6EF2">
        <w:rPr>
          <w:rFonts w:cs="Times New Roman"/>
          <w:i/>
          <w:sz w:val="20"/>
          <w:szCs w:val="20"/>
        </w:rPr>
        <w:t>determinatio negatio</w:t>
      </w:r>
      <w:r w:rsidRPr="000D6EF2">
        <w:rPr>
          <w:rFonts w:cs="Times New Roman"/>
          <w:sz w:val="20"/>
          <w:szCs w:val="20"/>
        </w:rPr>
        <w:t xml:space="preserve">. I mostri innominati, innominabili, sono privi di piedi, senza mani, muti, senza bocca, ciechi, senza sguardo, non possono fare niente, né muoversi né evitare il pericolo, né provvedere ai loro bisogni, né crescere, né trovare nutrimento, né unirsi nell’atto di Venere. Queste determinazioni negative postano a definirli come </w:t>
      </w:r>
      <w:r w:rsidRPr="000D6EF2">
        <w:rPr>
          <w:rFonts w:cs="Times New Roman"/>
          <w:i/>
          <w:sz w:val="20"/>
          <w:szCs w:val="20"/>
        </w:rPr>
        <w:t>sistemi chiusi</w:t>
      </w:r>
      <w:r w:rsidRPr="000D6EF2">
        <w:rPr>
          <w:rFonts w:cs="Times New Roman"/>
          <w:sz w:val="20"/>
          <w:szCs w:val="20"/>
        </w:rPr>
        <w:t>: il mostro non ha uscita, perché non ha apertura. È senza porte né finestre. Il mostro di Lucrezio è la monade di Leibniz. Senza aperture né porte: senza bocca né vagina. Proprio come se, per l’appunto, la vita non fosse possibile che grazie alla capacità di combinarsi, cioè grazie all’apertura. La vita è un sistema aperto. Il mostro è in sé e per sé, autistico e morto. La natura li elimina, li lascia in preda agli animali selezionati dai loro attributi positivi</w:t>
      </w:r>
      <w:r w:rsidRPr="000D6EF2">
        <w:rPr>
          <w:rStyle w:val="FootnoteReference"/>
          <w:rFonts w:cs="Times New Roman"/>
          <w:sz w:val="20"/>
          <w:szCs w:val="20"/>
        </w:rPr>
        <w:footnoteReference w:id="76"/>
      </w:r>
      <w:r w:rsidRPr="000D6EF2">
        <w:rPr>
          <w:rFonts w:cs="Times New Roman"/>
          <w:sz w:val="20"/>
          <w:szCs w:val="20"/>
        </w:rPr>
        <w:t>.</w:t>
      </w:r>
    </w:p>
    <w:p w14:paraId="6D0DFA2D" w14:textId="77777777" w:rsidR="00E10315" w:rsidRPr="000D6EF2" w:rsidRDefault="00E10315" w:rsidP="004F2210">
      <w:pPr>
        <w:rPr>
          <w:rFonts w:ascii="Times New Roman" w:hAnsi="Times New Roman" w:cs="Times New Roman"/>
          <w:shd w:val="clear" w:color="auto" w:fill="FFFF00"/>
        </w:rPr>
      </w:pPr>
    </w:p>
    <w:p w14:paraId="4C4384B6" w14:textId="5A8CBB5D" w:rsidR="00E10315" w:rsidRPr="000D6EF2" w:rsidRDefault="00D915F7">
      <w:pPr>
        <w:pStyle w:val="BodyText"/>
        <w:rPr>
          <w:rFonts w:cs="Times New Roman"/>
        </w:rPr>
      </w:pPr>
      <w:r w:rsidRPr="000D6EF2">
        <w:rPr>
          <w:rFonts w:cs="Times New Roman"/>
        </w:rPr>
        <w:t>Oltre</w:t>
      </w:r>
      <w:r w:rsidR="00196B24" w:rsidRPr="000D6EF2">
        <w:rPr>
          <w:rFonts w:cs="Times New Roman"/>
        </w:rPr>
        <w:t xml:space="preserve"> Serres, comunque, si potebbe dire che la </w:t>
      </w:r>
      <w:r w:rsidR="00196B24" w:rsidRPr="000D6EF2">
        <w:rPr>
          <w:rFonts w:cs="Times New Roman"/>
          <w:i/>
          <w:iCs/>
        </w:rPr>
        <w:t>determinatio</w:t>
      </w:r>
      <w:r w:rsidR="00196B24" w:rsidRPr="000D6EF2">
        <w:rPr>
          <w:rFonts w:cs="Times New Roman"/>
        </w:rPr>
        <w:t xml:space="preserve"> è, al tempo stesso, sia la </w:t>
      </w:r>
      <w:r w:rsidR="00196B24" w:rsidRPr="000D6EF2">
        <w:rPr>
          <w:rFonts w:cs="Times New Roman"/>
          <w:i/>
          <w:iCs/>
        </w:rPr>
        <w:t xml:space="preserve">negatio </w:t>
      </w:r>
      <w:r w:rsidR="00196B24" w:rsidRPr="000D6EF2">
        <w:rPr>
          <w:rFonts w:cs="Times New Roman"/>
        </w:rPr>
        <w:t>che l’</w:t>
      </w:r>
      <w:r w:rsidR="00196B24" w:rsidRPr="000D6EF2">
        <w:rPr>
          <w:rFonts w:cs="Times New Roman"/>
          <w:i/>
          <w:iCs/>
        </w:rPr>
        <w:t xml:space="preserve">affirmatio </w:t>
      </w:r>
      <w:r w:rsidR="00196B24" w:rsidRPr="000D6EF2">
        <w:rPr>
          <w:rFonts w:cs="Times New Roman"/>
        </w:rPr>
        <w:t xml:space="preserve">perché è solo determinando se stessa, intessendo e intrecciando relazioni con gli altri, più o meno simili a sé, che gli individui hanno una possibilità di sopravvivere. </w:t>
      </w:r>
    </w:p>
    <w:p w14:paraId="55471767" w14:textId="623D1DCC" w:rsidR="00E10315" w:rsidRPr="000D6EF2" w:rsidRDefault="00196B24">
      <w:pPr>
        <w:pStyle w:val="BodyText"/>
        <w:rPr>
          <w:rFonts w:cs="Times New Roman"/>
        </w:rPr>
      </w:pPr>
      <w:r w:rsidRPr="000D6EF2">
        <w:rPr>
          <w:rFonts w:cs="Times New Roman"/>
        </w:rPr>
        <w:t xml:space="preserve">Questo fatto, come mostrerò più avanti discutendo la traduzione di </w:t>
      </w:r>
      <w:r w:rsidRPr="000D6EF2">
        <w:rPr>
          <w:rFonts w:cs="Times New Roman"/>
          <w:i/>
          <w:iCs/>
        </w:rPr>
        <w:t>foedera naturae</w:t>
      </w:r>
      <w:r w:rsidRPr="000D6EF2">
        <w:rPr>
          <w:rFonts w:cs="Times New Roman"/>
        </w:rPr>
        <w:t xml:space="preserve">, ci porta a discutere il senso e lo status della “legge” della natura, un termine che ho cautamente evitato finora per evitare l’interpreatazione, comune tra la critica, che vi sia qualcosa come una </w:t>
      </w:r>
      <w:r w:rsidR="00D915F7" w:rsidRPr="000D6EF2">
        <w:rPr>
          <w:rFonts w:cs="Times New Roman"/>
        </w:rPr>
        <w:t>norma</w:t>
      </w:r>
      <w:r w:rsidRPr="000D6EF2">
        <w:rPr>
          <w:rFonts w:cs="Times New Roman"/>
        </w:rPr>
        <w:t xml:space="preserve"> </w:t>
      </w:r>
      <w:r w:rsidR="00D915F7" w:rsidRPr="000D6EF2">
        <w:rPr>
          <w:rFonts w:cs="Times New Roman"/>
        </w:rPr>
        <w:t xml:space="preserve">in azione </w:t>
      </w:r>
      <w:r w:rsidRPr="000D6EF2">
        <w:rPr>
          <w:rFonts w:cs="Times New Roman"/>
        </w:rPr>
        <w:t>nella teoria lucreziana. Alain Gigandet, ad esempio, ha giustamente insistito sulla posizione anti-teleologica di Lucrezio, concentrandosi sul ruolo giocato dal</w:t>
      </w:r>
      <w:r w:rsidR="00D915F7" w:rsidRPr="000D6EF2">
        <w:rPr>
          <w:rFonts w:cs="Times New Roman"/>
        </w:rPr>
        <w:t xml:space="preserve"> verbo</w:t>
      </w:r>
      <w:r w:rsidRPr="000D6EF2">
        <w:rPr>
          <w:rFonts w:cs="Times New Roman"/>
        </w:rPr>
        <w:t xml:space="preserve"> </w:t>
      </w:r>
      <w:r w:rsidRPr="000D6EF2">
        <w:rPr>
          <w:rFonts w:cs="Times New Roman"/>
          <w:i/>
          <w:iCs/>
        </w:rPr>
        <w:t>concurrere</w:t>
      </w:r>
      <w:r w:rsidRPr="000D6EF2">
        <w:rPr>
          <w:rFonts w:cs="Times New Roman"/>
        </w:rPr>
        <w:t xml:space="preserve">, che incarna i </w:t>
      </w:r>
      <w:r w:rsidR="00D915F7" w:rsidRPr="000D6EF2">
        <w:rPr>
          <w:rFonts w:cs="Times New Roman"/>
        </w:rPr>
        <w:t>molti</w:t>
      </w:r>
      <w:r w:rsidRPr="000D6EF2">
        <w:rPr>
          <w:rFonts w:cs="Times New Roman"/>
        </w:rPr>
        <w:t xml:space="preserve"> tentativi iniziali fatti dalla natura</w:t>
      </w:r>
      <w:r w:rsidRPr="000D6EF2">
        <w:rPr>
          <w:rStyle w:val="Richiamoallanotaapidipagina"/>
          <w:rFonts w:cs="Times New Roman"/>
        </w:rPr>
        <w:footnoteReference w:id="77"/>
      </w:r>
      <w:r w:rsidR="00D915F7" w:rsidRPr="000D6EF2">
        <w:rPr>
          <w:rFonts w:cs="Times New Roman"/>
        </w:rPr>
        <w:t>. Questi tentativi</w:t>
      </w:r>
      <w:r w:rsidRPr="000D6EF2">
        <w:rPr>
          <w:rFonts w:cs="Times New Roman"/>
        </w:rPr>
        <w:t xml:space="preserve"> si scontrano, per Gigandet, con i limiti della natura, ovvero di ciò che è possibile </w:t>
      </w:r>
      <w:r w:rsidR="00D915F7" w:rsidRPr="000D6EF2">
        <w:rPr>
          <w:rFonts w:cs="Times New Roman"/>
        </w:rPr>
        <w:t>o meno</w:t>
      </w:r>
      <w:r w:rsidRPr="000D6EF2">
        <w:rPr>
          <w:rFonts w:cs="Times New Roman"/>
        </w:rPr>
        <w:t xml:space="preserve">. La metafora dei limiti potrebbe suggerire </w:t>
      </w:r>
      <w:r w:rsidR="00D915F7" w:rsidRPr="000D6EF2">
        <w:rPr>
          <w:rFonts w:cs="Times New Roman"/>
        </w:rPr>
        <w:t>però qualcosa di esterno</w:t>
      </w:r>
      <w:r w:rsidRPr="000D6EF2">
        <w:rPr>
          <w:rFonts w:cs="Times New Roman"/>
        </w:rPr>
        <w:t xml:space="preserve"> ai fenomeni che dovrebbere impedire e selezionare: i limiti agirebbero cioè come filtro o </w:t>
      </w:r>
      <w:r w:rsidR="00D915F7" w:rsidRPr="000D6EF2">
        <w:rPr>
          <w:rFonts w:cs="Times New Roman"/>
        </w:rPr>
        <w:t xml:space="preserve">una </w:t>
      </w:r>
      <w:r w:rsidRPr="000D6EF2">
        <w:rPr>
          <w:rFonts w:cs="Times New Roman"/>
        </w:rPr>
        <w:t xml:space="preserve">rete, che </w:t>
      </w:r>
      <w:r w:rsidR="00D915F7" w:rsidRPr="000D6EF2">
        <w:rPr>
          <w:rFonts w:cs="Times New Roman"/>
        </w:rPr>
        <w:t xml:space="preserve">lascerebbe </w:t>
      </w:r>
      <w:r w:rsidRPr="000D6EF2">
        <w:rPr>
          <w:rFonts w:cs="Times New Roman"/>
        </w:rPr>
        <w:t xml:space="preserve">passare alcuni fenomeni, </w:t>
      </w:r>
      <w:r w:rsidR="00D915F7" w:rsidRPr="000D6EF2">
        <w:rPr>
          <w:rFonts w:cs="Times New Roman"/>
        </w:rPr>
        <w:t xml:space="preserve">impedendo invece che </w:t>
      </w:r>
      <w:r w:rsidRPr="000D6EF2">
        <w:rPr>
          <w:rFonts w:cs="Times New Roman"/>
        </w:rPr>
        <w:t>altri si verifichino</w:t>
      </w:r>
      <w:r w:rsidRPr="000D6EF2">
        <w:rPr>
          <w:rStyle w:val="Richiamoallanotaapidipagina"/>
          <w:rFonts w:cs="Times New Roman"/>
        </w:rPr>
        <w:footnoteReference w:id="78"/>
      </w:r>
      <w:r w:rsidRPr="000D6EF2">
        <w:rPr>
          <w:rFonts w:cs="Times New Roman"/>
        </w:rPr>
        <w:t>.</w:t>
      </w:r>
    </w:p>
    <w:p w14:paraId="2359A9BB" w14:textId="1BBE2642" w:rsidR="00E10315" w:rsidRPr="000D6EF2" w:rsidRDefault="00196B24">
      <w:pPr>
        <w:pStyle w:val="BodyText"/>
        <w:rPr>
          <w:rFonts w:cs="Times New Roman"/>
        </w:rPr>
      </w:pPr>
      <w:r w:rsidRPr="000D6EF2">
        <w:rPr>
          <w:rFonts w:cs="Times New Roman"/>
        </w:rPr>
        <w:t>È certamente vero che Lucrezio sta sviluppando una dialettica tra il possibile e l’impossibile</w:t>
      </w:r>
      <w:r w:rsidRPr="000D6EF2">
        <w:rPr>
          <w:rStyle w:val="Richiamoallanotaapidipagina"/>
          <w:rFonts w:cs="Times New Roman"/>
        </w:rPr>
        <w:footnoteReference w:id="79"/>
      </w:r>
      <w:r w:rsidRPr="000D6EF2">
        <w:rPr>
          <w:rFonts w:cs="Times New Roman"/>
        </w:rPr>
        <w:t>. Questa dialettica, sostiene Gigandet, è radicata nella struttura della natura e obbedisce alle tre leggi della combinazione atomica: 1) solo certe combinazioni sono possibil</w:t>
      </w:r>
      <w:r w:rsidR="00D915F7" w:rsidRPr="000D6EF2">
        <w:rPr>
          <w:rFonts w:cs="Times New Roman"/>
        </w:rPr>
        <w:t>i</w:t>
      </w:r>
      <w:r w:rsidRPr="000D6EF2">
        <w:rPr>
          <w:rFonts w:cs="Times New Roman"/>
        </w:rPr>
        <w:t xml:space="preserve">, 2) nessuna combinazione è </w:t>
      </w:r>
      <w:r w:rsidRPr="000D6EF2">
        <w:rPr>
          <w:rFonts w:cs="Times New Roman"/>
        </w:rPr>
        <w:lastRenderedPageBreak/>
        <w:t>unica e 3) ogni combinazione attraversa un ciclo di creazione e distruzione che porta dalla sua origine alla sua dissoluzione</w:t>
      </w:r>
      <w:r w:rsidRPr="000D6EF2">
        <w:rPr>
          <w:rStyle w:val="Richiamoallanotaapidipagina"/>
          <w:rFonts w:cs="Times New Roman"/>
        </w:rPr>
        <w:footnoteReference w:id="80"/>
      </w:r>
      <w:r w:rsidRPr="000D6EF2">
        <w:rPr>
          <w:rFonts w:cs="Times New Roman"/>
        </w:rPr>
        <w:t xml:space="preserve">. Come discusso sopra, tuttavia, le combinazioni atomiche a livello microscopico sono </w:t>
      </w:r>
      <w:r w:rsidR="00D915F7" w:rsidRPr="000D6EF2">
        <w:rPr>
          <w:rFonts w:cs="Times New Roman"/>
        </w:rPr>
        <w:t xml:space="preserve">congruenti </w:t>
      </w:r>
      <w:r w:rsidRPr="000D6EF2">
        <w:rPr>
          <w:rFonts w:cs="Times New Roman"/>
        </w:rPr>
        <w:t>con quelle a livello macroscopico. Queste sono le cause, quanto gli effetti, di ciò che possiamo esperire e osservare in natura. In altre parole, le leggi della combinazione atomica esistono certamente. Da dove vengono, però? Né da una forma superiore di intelligenza, né da un’intelligenza interna alla materia stessa. Sono</w:t>
      </w:r>
      <w:r w:rsidR="00D915F7" w:rsidRPr="000D6EF2">
        <w:rPr>
          <w:rFonts w:cs="Times New Roman"/>
        </w:rPr>
        <w:t xml:space="preserve"> piuttosto le regolarità che la</w:t>
      </w:r>
      <w:r w:rsidRPr="000D6EF2">
        <w:rPr>
          <w:rFonts w:cs="Times New Roman"/>
        </w:rPr>
        <w:t xml:space="preserve"> materia ha acquisito </w:t>
      </w:r>
      <w:r w:rsidRPr="000D6EF2">
        <w:rPr>
          <w:rFonts w:cs="Times New Roman"/>
          <w:i/>
          <w:iCs/>
        </w:rPr>
        <w:t>attraverso</w:t>
      </w:r>
      <w:r w:rsidRPr="000D6EF2">
        <w:rPr>
          <w:rFonts w:cs="Times New Roman"/>
        </w:rPr>
        <w:t>, e non prima, i tentativi della natura. Il concetto di l</w:t>
      </w:r>
      <w:r w:rsidR="00D915F7" w:rsidRPr="000D6EF2">
        <w:rPr>
          <w:rFonts w:cs="Times New Roman"/>
        </w:rPr>
        <w:t>imite è quindi essenziale per</w:t>
      </w:r>
      <w:r w:rsidRPr="000D6EF2">
        <w:rPr>
          <w:rFonts w:cs="Times New Roman"/>
        </w:rPr>
        <w:t xml:space="preserve"> comprendere la natura</w:t>
      </w:r>
      <w:r w:rsidR="00D915F7" w:rsidRPr="000D6EF2">
        <w:rPr>
          <w:rFonts w:cs="Times New Roman"/>
        </w:rPr>
        <w:t>,</w:t>
      </w:r>
      <w:r w:rsidRPr="000D6EF2">
        <w:rPr>
          <w:rStyle w:val="Richiamoallanotaapidipagina"/>
          <w:rFonts w:cs="Times New Roman"/>
        </w:rPr>
        <w:footnoteReference w:id="81"/>
      </w:r>
      <w:r w:rsidR="00D915F7" w:rsidRPr="000D6EF2">
        <w:rPr>
          <w:rFonts w:cs="Times New Roman"/>
        </w:rPr>
        <w:t xml:space="preserve"> in cui, tuttavia,</w:t>
      </w:r>
      <w:r w:rsidRPr="000D6EF2">
        <w:rPr>
          <w:rFonts w:cs="Times New Roman"/>
        </w:rPr>
        <w:t xml:space="preserve"> credo che i limiti della variazione non spieghino l’Essere, ma piuttosto </w:t>
      </w:r>
      <w:r w:rsidR="00D915F7" w:rsidRPr="000D6EF2">
        <w:rPr>
          <w:rFonts w:cs="Times New Roman"/>
          <w:i/>
          <w:iCs/>
        </w:rPr>
        <w:t xml:space="preserve">siano spiegati </w:t>
      </w:r>
      <w:r w:rsidR="00D915F7" w:rsidRPr="000D6EF2">
        <w:rPr>
          <w:rFonts w:cs="Times New Roman"/>
          <w:iCs/>
        </w:rPr>
        <w:t>dal Divenire</w:t>
      </w:r>
      <w:r w:rsidRPr="000D6EF2">
        <w:rPr>
          <w:rFonts w:cs="Times New Roman"/>
        </w:rPr>
        <w:t xml:space="preserve">, perché </w:t>
      </w:r>
      <w:r w:rsidR="00D915F7" w:rsidRPr="000D6EF2">
        <w:rPr>
          <w:rFonts w:cs="Times New Roman"/>
          <w:i/>
          <w:iCs/>
        </w:rPr>
        <w:t xml:space="preserve"> </w:t>
      </w:r>
      <w:r w:rsidR="00D915F7" w:rsidRPr="000D6EF2">
        <w:rPr>
          <w:rFonts w:cs="Times New Roman"/>
          <w:iCs/>
        </w:rPr>
        <w:t>da questo – e non da quello – sono modellati</w:t>
      </w:r>
      <w:r w:rsidRPr="000D6EF2">
        <w:rPr>
          <w:rFonts w:cs="Times New Roman"/>
        </w:rPr>
        <w:t>.</w:t>
      </w:r>
    </w:p>
    <w:p w14:paraId="41D12035" w14:textId="1F2A0FBC" w:rsidR="00E10315" w:rsidRPr="000D6EF2" w:rsidRDefault="00196B24">
      <w:pPr>
        <w:pStyle w:val="BodyText"/>
        <w:rPr>
          <w:rFonts w:cs="Times New Roman"/>
        </w:rPr>
      </w:pPr>
      <w:r w:rsidRPr="000D6EF2">
        <w:rPr>
          <w:rFonts w:cs="Times New Roman"/>
        </w:rPr>
        <w:t>Come ha sottolineato Gigandet, il caso gioca qui un ruolo fondamentale e importante</w:t>
      </w:r>
      <w:r w:rsidR="001F6BF0" w:rsidRPr="000D6EF2">
        <w:rPr>
          <w:rFonts w:cs="Times New Roman"/>
        </w:rPr>
        <w:t xml:space="preserve">. </w:t>
      </w:r>
      <w:r w:rsidR="001F6BF0" w:rsidRPr="000D6EF2">
        <w:rPr>
          <w:rFonts w:cs="Times New Roman"/>
          <w:kern w:val="0"/>
          <w:lang w:val="en-US" w:bidi="ar-SA"/>
        </w:rPr>
        <w:t>Non tanto, però, nei limiti delle leggi, ma piuttosto creando e definendo quegli stessi limiti.</w:t>
      </w:r>
      <w:r w:rsidRPr="000D6EF2">
        <w:rPr>
          <w:rFonts w:cs="Times New Roman"/>
        </w:rPr>
        <w:t xml:space="preserve"> Gigandet ritiene che il caso iniziale abbia prodotto la sua stessa necessità</w:t>
      </w:r>
      <w:r w:rsidRPr="000D6EF2">
        <w:rPr>
          <w:rStyle w:val="Richiamoallanotaapidipagina"/>
          <w:rFonts w:cs="Times New Roman"/>
        </w:rPr>
        <w:footnoteReference w:id="82"/>
      </w:r>
      <w:r w:rsidRPr="000D6EF2">
        <w:rPr>
          <w:rFonts w:cs="Times New Roman"/>
        </w:rPr>
        <w:t>. Prendendo in prestito il linguaggio di Bailey, Gigandet parla dell’opposizione tra l</w:t>
      </w:r>
      <w:r w:rsidR="001F6BF0" w:rsidRPr="000D6EF2">
        <w:rPr>
          <w:rFonts w:cs="Times New Roman"/>
        </w:rPr>
        <w:t xml:space="preserve">a vivibilità </w:t>
      </w:r>
      <w:r w:rsidRPr="000D6EF2">
        <w:rPr>
          <w:rFonts w:cs="Times New Roman"/>
        </w:rPr>
        <w:t>perfetta degli organismi, e la disfunzionalità imperfetta dei mostri – una formulazione che implica una posizione assiologica e una sostanziale differenza tra esseri normali, che sopravviveranno, e altri anormali, che sono condannati all’estinzione. L</w:t>
      </w:r>
      <w:r w:rsidRPr="000D6EF2">
        <w:rPr>
          <w:rFonts w:cs="Times New Roman"/>
          <w:i/>
          <w:iCs/>
        </w:rPr>
        <w:t>’unica</w:t>
      </w:r>
      <w:r w:rsidRPr="000D6EF2">
        <w:rPr>
          <w:rFonts w:cs="Times New Roman"/>
        </w:rPr>
        <w:t xml:space="preserve"> perfezione dei primi, </w:t>
      </w:r>
      <w:r w:rsidR="001F6BF0" w:rsidRPr="000D6EF2">
        <w:rPr>
          <w:rFonts w:cs="Times New Roman"/>
        </w:rPr>
        <w:t>tuttavia,</w:t>
      </w:r>
      <w:r w:rsidRPr="000D6EF2">
        <w:rPr>
          <w:rFonts w:cs="Times New Roman"/>
        </w:rPr>
        <w:t xml:space="preserve"> consiste </w:t>
      </w:r>
      <w:r w:rsidR="001F6BF0" w:rsidRPr="000D6EF2">
        <w:rPr>
          <w:rFonts w:cs="Times New Roman"/>
        </w:rPr>
        <w:t xml:space="preserve">dal mio punto di vista </w:t>
      </w:r>
      <w:r w:rsidRPr="000D6EF2">
        <w:rPr>
          <w:rFonts w:cs="Times New Roman"/>
        </w:rPr>
        <w:t xml:space="preserve">nel fatto che </w:t>
      </w:r>
      <w:r w:rsidR="001F6BF0" w:rsidRPr="000D6EF2">
        <w:rPr>
          <w:rFonts w:cs="Times New Roman"/>
        </w:rPr>
        <w:t>essi siano</w:t>
      </w:r>
      <w:r w:rsidRPr="000D6EF2">
        <w:rPr>
          <w:rFonts w:cs="Times New Roman"/>
        </w:rPr>
        <w:t xml:space="preserve"> </w:t>
      </w:r>
      <w:r w:rsidRPr="000D6EF2">
        <w:rPr>
          <w:rFonts w:cs="Times New Roman"/>
          <w:i/>
          <w:iCs/>
        </w:rPr>
        <w:t xml:space="preserve">effettivamente </w:t>
      </w:r>
      <w:r w:rsidRPr="000D6EF2">
        <w:rPr>
          <w:rFonts w:cs="Times New Roman"/>
        </w:rPr>
        <w:t>sopravvissuti, niente</w:t>
      </w:r>
      <w:r w:rsidR="001F6BF0" w:rsidRPr="000D6EF2">
        <w:rPr>
          <w:rFonts w:cs="Times New Roman"/>
        </w:rPr>
        <w:t xml:space="preserve"> di</w:t>
      </w:r>
      <w:r w:rsidRPr="000D6EF2">
        <w:rPr>
          <w:rFonts w:cs="Times New Roman"/>
        </w:rPr>
        <w:t xml:space="preserve"> meno e niente </w:t>
      </w:r>
      <w:r w:rsidR="001F6BF0" w:rsidRPr="000D6EF2">
        <w:rPr>
          <w:rFonts w:cs="Times New Roman"/>
        </w:rPr>
        <w:t xml:space="preserve">di </w:t>
      </w:r>
      <w:r w:rsidRPr="000D6EF2">
        <w:rPr>
          <w:rFonts w:cs="Times New Roman"/>
        </w:rPr>
        <w:t xml:space="preserve">più. Gigandet ricorda la matafora dello </w:t>
      </w:r>
      <w:r w:rsidRPr="000D6EF2">
        <w:rPr>
          <w:rFonts w:cs="Times New Roman"/>
          <w:i/>
          <w:iCs/>
        </w:rPr>
        <w:t>iactus ueneris</w:t>
      </w:r>
      <w:r w:rsidRPr="000D6EF2">
        <w:rPr>
          <w:rFonts w:cs="Times New Roman"/>
        </w:rPr>
        <w:t xml:space="preserve">, un lancio vincente di quattro dadi in cui ciascuno presenta una faccia con un numero diverso. Quest’immagine </w:t>
      </w:r>
      <w:r w:rsidR="0071403E" w:rsidRPr="000D6EF2">
        <w:rPr>
          <w:rFonts w:cs="Times New Roman"/>
        </w:rPr>
        <w:t xml:space="preserve">rischia </w:t>
      </w:r>
      <w:r w:rsidRPr="000D6EF2">
        <w:rPr>
          <w:rFonts w:cs="Times New Roman"/>
        </w:rPr>
        <w:t xml:space="preserve">però </w:t>
      </w:r>
      <w:r w:rsidR="0071403E" w:rsidRPr="000D6EF2">
        <w:rPr>
          <w:rFonts w:cs="Times New Roman"/>
        </w:rPr>
        <w:t xml:space="preserve">di </w:t>
      </w:r>
      <w:r w:rsidRPr="000D6EF2">
        <w:rPr>
          <w:rFonts w:cs="Times New Roman"/>
        </w:rPr>
        <w:t xml:space="preserve">essere fuorviante rispetto a quanto sostiene Lucrezio. Perché la combinazione sia vincente, infatti, la </w:t>
      </w:r>
      <w:r w:rsidRPr="000D6EF2">
        <w:rPr>
          <w:rFonts w:cs="Times New Roman"/>
          <w:i/>
          <w:iCs/>
        </w:rPr>
        <w:t>regola</w:t>
      </w:r>
      <w:r w:rsidRPr="000D6EF2">
        <w:rPr>
          <w:rFonts w:cs="Times New Roman"/>
        </w:rPr>
        <w:t xml:space="preserve"> dovrebbe essere stabilita </w:t>
      </w:r>
      <w:r w:rsidRPr="000D6EF2">
        <w:rPr>
          <w:rFonts w:cs="Times New Roman"/>
          <w:i/>
          <w:iCs/>
        </w:rPr>
        <w:t>prima</w:t>
      </w:r>
      <w:r w:rsidRPr="000D6EF2">
        <w:rPr>
          <w:rFonts w:cs="Times New Roman"/>
        </w:rPr>
        <w:t xml:space="preserve"> dell’inizio del gioco. Nessuna combinazione delle facce superiori dei dadi, </w:t>
      </w:r>
      <w:r w:rsidRPr="000D6EF2">
        <w:rPr>
          <w:rFonts w:cs="Times New Roman"/>
          <w:i/>
          <w:iCs/>
        </w:rPr>
        <w:t>in se stessa</w:t>
      </w:r>
      <w:r w:rsidRPr="000D6EF2">
        <w:rPr>
          <w:rFonts w:cs="Times New Roman"/>
        </w:rPr>
        <w:t>, è più o meno perfetta, più o meno probabile di altre</w:t>
      </w:r>
      <w:r w:rsidRPr="000D6EF2">
        <w:rPr>
          <w:rStyle w:val="Richiamoallanotaapidipagina"/>
          <w:rFonts w:cs="Times New Roman"/>
        </w:rPr>
        <w:footnoteReference w:id="83"/>
      </w:r>
      <w:r w:rsidRPr="000D6EF2">
        <w:rPr>
          <w:rFonts w:cs="Times New Roman"/>
        </w:rPr>
        <w:t xml:space="preserve">. Ritengo, pertanto, che anche se il caso è la base – e la sola base – dell’incontro degli atomi, la metafora del lancio </w:t>
      </w:r>
      <w:r w:rsidRPr="000D6EF2">
        <w:rPr>
          <w:rFonts w:cs="Times New Roman"/>
          <w:i/>
        </w:rPr>
        <w:t>vincente</w:t>
      </w:r>
      <w:r w:rsidRPr="000D6EF2">
        <w:rPr>
          <w:rFonts w:cs="Times New Roman"/>
        </w:rPr>
        <w:t xml:space="preserve"> potrebbe confondere, perché le regole del gioco, nell’idea di Lucrezio, son</w:t>
      </w:r>
      <w:r w:rsidR="0071403E" w:rsidRPr="000D6EF2">
        <w:rPr>
          <w:rFonts w:cs="Times New Roman"/>
        </w:rPr>
        <w:t>o ristabilite in continuazione</w:t>
      </w:r>
      <w:r w:rsidRPr="000D6EF2">
        <w:rPr>
          <w:rFonts w:cs="Times New Roman"/>
        </w:rPr>
        <w:t xml:space="preserve">. </w:t>
      </w:r>
    </w:p>
    <w:p w14:paraId="0ECD70B7" w14:textId="77777777" w:rsidR="00E10315" w:rsidRPr="000D6EF2" w:rsidRDefault="00196B24">
      <w:pPr>
        <w:pStyle w:val="BodyText"/>
        <w:rPr>
          <w:rFonts w:cs="Times New Roman"/>
        </w:rPr>
      </w:pPr>
      <w:r w:rsidRPr="000D6EF2">
        <w:rPr>
          <w:rFonts w:cs="Times New Roman"/>
        </w:rPr>
        <w:t xml:space="preserve">Proviamo a spiegare ulteriormente l’ipotesi lucreziana per cui non tutto può accadere in natura e non in ogni possibile modo. Questo è chiaramente affermato già nel libro II.700-29 del </w:t>
      </w:r>
      <w:r w:rsidRPr="000D6EF2">
        <w:rPr>
          <w:rFonts w:cs="Times New Roman"/>
          <w:i/>
          <w:iCs/>
        </w:rPr>
        <w:t>De Rerum Natura:</w:t>
      </w:r>
    </w:p>
    <w:p w14:paraId="7A69DFB0" w14:textId="77777777" w:rsidR="00E10315" w:rsidRPr="000D6EF2" w:rsidRDefault="00E10315">
      <w:pPr>
        <w:pStyle w:val="BodyText"/>
        <w:rPr>
          <w:rFonts w:cs="Times New Roman"/>
          <w:i/>
          <w:iCs/>
        </w:rPr>
      </w:pPr>
    </w:p>
    <w:p w14:paraId="608CFF6F" w14:textId="08BDE510" w:rsidR="0071403E" w:rsidRPr="000D6EF2" w:rsidRDefault="0071403E" w:rsidP="0071403E">
      <w:pPr>
        <w:widowControl w:val="0"/>
        <w:suppressAutoHyphens w:val="0"/>
        <w:autoSpaceDE w:val="0"/>
        <w:autoSpaceDN w:val="0"/>
        <w:adjustRightInd w:val="0"/>
        <w:spacing w:after="283"/>
        <w:ind w:left="567" w:right="567"/>
        <w:jc w:val="both"/>
        <w:rPr>
          <w:rFonts w:ascii="Times New Roman" w:hAnsi="Times New Roman" w:cs="Times New Roman"/>
          <w:kern w:val="0"/>
          <w:sz w:val="20"/>
          <w:szCs w:val="20"/>
          <w:lang w:val="en-US" w:bidi="ar-SA"/>
        </w:rPr>
      </w:pPr>
      <w:r w:rsidRPr="000D6EF2">
        <w:rPr>
          <w:rFonts w:ascii="Times New Roman" w:hAnsi="Times New Roman" w:cs="Times New Roman"/>
          <w:kern w:val="0"/>
          <w:sz w:val="20"/>
          <w:szCs w:val="20"/>
          <w:lang w:val="en-US" w:bidi="ar-SA"/>
        </w:rPr>
        <w:t>Né tuttavia che possano in ogni modo unirsi fra loro tutti gli atomi si deve pensare; se no comunemente avvenire dei prodigi vedresti, esistere uomini dall’aspetto in parte di fiere e alti rami talora spuntar fuori dal corpo d’un vivo e molte membra di viventi sulla terra unirsi a quelle degli esseri di mare, e poi Ch</w:t>
      </w:r>
      <w:r w:rsidRPr="000D6EF2">
        <w:rPr>
          <w:rFonts w:ascii="Times New Roman" w:hAnsi="Times New Roman" w:cs="Times New Roman"/>
          <w:kern w:val="0"/>
          <w:sz w:val="20"/>
          <w:szCs w:val="20"/>
          <w:lang w:val="en-US" w:bidi="ar-SA"/>
        </w:rPr>
        <w:t>i</w:t>
      </w:r>
      <w:r w:rsidRPr="000D6EF2">
        <w:rPr>
          <w:rFonts w:ascii="Times New Roman" w:hAnsi="Times New Roman" w:cs="Times New Roman"/>
          <w:kern w:val="0"/>
          <w:sz w:val="20"/>
          <w:szCs w:val="20"/>
          <w:lang w:val="en-US" w:bidi="ar-SA"/>
        </w:rPr>
        <w:t>mere che spirano fiamma dall’orribile bocca allevar la natura attraverso le terre che producon di tutto. Nulla di ciò è manifesto avvenire, dal momento che tutte le cose, create da una madre ben definita da ben definite semenze [</w:t>
      </w:r>
      <w:r w:rsidRPr="000D6EF2">
        <w:rPr>
          <w:rFonts w:ascii="Times New Roman" w:hAnsi="Times New Roman" w:cs="Times New Roman"/>
          <w:i/>
          <w:iCs/>
          <w:kern w:val="0"/>
          <w:sz w:val="20"/>
          <w:szCs w:val="20"/>
          <w:lang w:val="en-US" w:bidi="ar-SA"/>
        </w:rPr>
        <w:t>seminibus certis certa generatrice creata</w:t>
      </w:r>
      <w:r w:rsidRPr="000D6EF2">
        <w:rPr>
          <w:rFonts w:ascii="Times New Roman" w:hAnsi="Times New Roman" w:cs="Times New Roman"/>
          <w:kern w:val="0"/>
          <w:sz w:val="20"/>
          <w:szCs w:val="20"/>
          <w:lang w:val="en-US" w:bidi="ar-SA"/>
        </w:rPr>
        <w:t>], poter conservare la stirpe crescendo vedi</w:t>
      </w:r>
      <w:r w:rsidRPr="000D6EF2">
        <w:rPr>
          <w:rFonts w:ascii="Times New Roman" w:hAnsi="Times New Roman" w:cs="Times New Roman"/>
          <w:kern w:val="0"/>
          <w:sz w:val="20"/>
          <w:szCs w:val="20"/>
          <w:lang w:val="en-US" w:bidi="ar-SA"/>
        </w:rPr>
        <w:t>a</w:t>
      </w:r>
      <w:r w:rsidRPr="000D6EF2">
        <w:rPr>
          <w:rFonts w:ascii="Times New Roman" w:hAnsi="Times New Roman" w:cs="Times New Roman"/>
          <w:kern w:val="0"/>
          <w:sz w:val="20"/>
          <w:szCs w:val="20"/>
          <w:lang w:val="en-US" w:bidi="ar-SA"/>
        </w:rPr>
        <w:t xml:space="preserve">mo. Ed è evidente che ciò è necessario che avvenga secondo una ben definita ragione. Infatti gli atomi suoi propri a ciascuna da tutti i cibi all’interno negli arti discendono, e con le connessioni producono i </w:t>
      </w:r>
      <w:r w:rsidRPr="000D6EF2">
        <w:rPr>
          <w:rFonts w:ascii="Times New Roman" w:hAnsi="Times New Roman" w:cs="Times New Roman"/>
          <w:kern w:val="0"/>
          <w:sz w:val="20"/>
          <w:szCs w:val="20"/>
          <w:lang w:val="en-US" w:bidi="ar-SA"/>
        </w:rPr>
        <w:lastRenderedPageBreak/>
        <w:t>movimenti più adatti: ma al contrario v</w:t>
      </w:r>
      <w:r w:rsidRPr="000D6EF2">
        <w:rPr>
          <w:rFonts w:ascii="Times New Roman" w:hAnsi="Times New Roman" w:cs="Times New Roman"/>
          <w:kern w:val="0"/>
          <w:sz w:val="20"/>
          <w:szCs w:val="20"/>
          <w:lang w:val="en-US" w:bidi="ar-SA"/>
        </w:rPr>
        <w:t>e</w:t>
      </w:r>
      <w:r w:rsidRPr="000D6EF2">
        <w:rPr>
          <w:rFonts w:ascii="Times New Roman" w:hAnsi="Times New Roman" w:cs="Times New Roman"/>
          <w:kern w:val="0"/>
          <w:sz w:val="20"/>
          <w:szCs w:val="20"/>
          <w:lang w:val="en-US" w:bidi="ar-SA"/>
        </w:rPr>
        <w:t>diamo che ciò che non è compatibile respinger la natura alla terra, e molto in non vis</w:t>
      </w:r>
      <w:r w:rsidRPr="000D6EF2">
        <w:rPr>
          <w:rFonts w:ascii="Times New Roman" w:hAnsi="Times New Roman" w:cs="Times New Roman"/>
          <w:kern w:val="0"/>
          <w:sz w:val="20"/>
          <w:szCs w:val="20"/>
          <w:lang w:val="en-US" w:bidi="ar-SA"/>
        </w:rPr>
        <w:t>i</w:t>
      </w:r>
      <w:r w:rsidRPr="000D6EF2">
        <w:rPr>
          <w:rFonts w:ascii="Times New Roman" w:hAnsi="Times New Roman" w:cs="Times New Roman"/>
          <w:kern w:val="0"/>
          <w:sz w:val="20"/>
          <w:szCs w:val="20"/>
          <w:lang w:val="en-US" w:bidi="ar-SA"/>
        </w:rPr>
        <w:t>bili atomi fugge dal corpo respinto dagli urti, che non potette unirsi da alcuna parte né all’interno concordare con i movimenti che danno la vita e imitarli. Ma perché tu per caso non abbia a pensare che i soli esseri animati siano legati a queste leggi [</w:t>
      </w:r>
      <w:r w:rsidRPr="000D6EF2">
        <w:rPr>
          <w:rFonts w:ascii="Times New Roman" w:hAnsi="Times New Roman" w:cs="Times New Roman"/>
          <w:i/>
          <w:iCs/>
          <w:kern w:val="0"/>
          <w:sz w:val="20"/>
          <w:szCs w:val="20"/>
          <w:lang w:val="en-US" w:bidi="ar-SA"/>
        </w:rPr>
        <w:t>legibus</w:t>
      </w:r>
      <w:r w:rsidRPr="000D6EF2">
        <w:rPr>
          <w:rFonts w:ascii="Times New Roman" w:hAnsi="Times New Roman" w:cs="Times New Roman"/>
          <w:kern w:val="0"/>
          <w:sz w:val="20"/>
          <w:szCs w:val="20"/>
          <w:lang w:val="en-US" w:bidi="ar-SA"/>
        </w:rPr>
        <w:t>], il medesimo principio razionale li</w:t>
      </w:r>
      <w:r w:rsidRPr="000D6EF2">
        <w:rPr>
          <w:rFonts w:ascii="Times New Roman" w:hAnsi="Times New Roman" w:cs="Times New Roman"/>
          <w:kern w:val="0"/>
          <w:sz w:val="20"/>
          <w:szCs w:val="20"/>
          <w:lang w:val="en-US" w:bidi="ar-SA"/>
        </w:rPr>
        <w:t>m</w:t>
      </w:r>
      <w:r w:rsidRPr="000D6EF2">
        <w:rPr>
          <w:rFonts w:ascii="Times New Roman" w:hAnsi="Times New Roman" w:cs="Times New Roman"/>
          <w:kern w:val="0"/>
          <w:sz w:val="20"/>
          <w:szCs w:val="20"/>
          <w:lang w:val="en-US" w:bidi="ar-SA"/>
        </w:rPr>
        <w:t>ita tutte le cose [</w:t>
      </w:r>
      <w:r w:rsidRPr="000D6EF2">
        <w:rPr>
          <w:rFonts w:ascii="Times New Roman" w:hAnsi="Times New Roman" w:cs="Times New Roman"/>
          <w:i/>
          <w:iCs/>
          <w:kern w:val="0"/>
          <w:sz w:val="20"/>
          <w:szCs w:val="20"/>
          <w:lang w:val="en-US" w:bidi="ar-SA"/>
        </w:rPr>
        <w:t>ratio disterminat omnia</w:t>
      </w:r>
      <w:r w:rsidRPr="000D6EF2">
        <w:rPr>
          <w:rFonts w:ascii="Times New Roman" w:hAnsi="Times New Roman" w:cs="Times New Roman"/>
          <w:kern w:val="0"/>
          <w:sz w:val="20"/>
          <w:szCs w:val="20"/>
          <w:lang w:val="en-US" w:bidi="ar-SA"/>
        </w:rPr>
        <w:t>]. Infatti come in tutta la loro natura sono dissimili tra di loro tutte le cose generate, così è necessario che ciascuna consti di una forma dissimile di principi; non perché mo</w:t>
      </w:r>
      <w:r w:rsidRPr="000D6EF2">
        <w:rPr>
          <w:rFonts w:ascii="Times New Roman" w:hAnsi="Times New Roman" w:cs="Times New Roman"/>
          <w:kern w:val="0"/>
          <w:sz w:val="20"/>
          <w:szCs w:val="20"/>
          <w:lang w:val="en-US" w:bidi="ar-SA"/>
        </w:rPr>
        <w:t>l</w:t>
      </w:r>
      <w:r w:rsidRPr="000D6EF2">
        <w:rPr>
          <w:rFonts w:ascii="Times New Roman" w:hAnsi="Times New Roman" w:cs="Times New Roman"/>
          <w:kern w:val="0"/>
          <w:sz w:val="20"/>
          <w:szCs w:val="20"/>
          <w:lang w:val="en-US" w:bidi="ar-SA"/>
        </w:rPr>
        <w:t>to pochi sono forniti di forma simile, ma perché non tutto sono in generale eguali a tutti. I semi, poiché inoltre son differenti, è necessario che siano distinti gli inte</w:t>
      </w:r>
      <w:r w:rsidRPr="000D6EF2">
        <w:rPr>
          <w:rFonts w:ascii="Times New Roman" w:hAnsi="Times New Roman" w:cs="Times New Roman"/>
          <w:kern w:val="0"/>
          <w:sz w:val="20"/>
          <w:szCs w:val="20"/>
          <w:lang w:val="en-US" w:bidi="ar-SA"/>
        </w:rPr>
        <w:t>r</w:t>
      </w:r>
      <w:r w:rsidRPr="000D6EF2">
        <w:rPr>
          <w:rFonts w:ascii="Times New Roman" w:hAnsi="Times New Roman" w:cs="Times New Roman"/>
          <w:kern w:val="0"/>
          <w:sz w:val="20"/>
          <w:szCs w:val="20"/>
          <w:lang w:val="en-US" w:bidi="ar-SA"/>
        </w:rPr>
        <w:t xml:space="preserve">valli, le vie, le connessioni, i pesi, gli urti, gli incontri, i movimenti; i quali non soltanto i cori animati disgiungono, ma le terre e tutto quanto il mare separano e tutto il cielo dalle terre tengon lontano. </w:t>
      </w:r>
    </w:p>
    <w:p w14:paraId="77FE9246" w14:textId="77777777" w:rsidR="00E10315" w:rsidRPr="000D6EF2" w:rsidRDefault="00E10315">
      <w:pPr>
        <w:ind w:left="567"/>
        <w:rPr>
          <w:rFonts w:ascii="Times New Roman" w:hAnsi="Times New Roman" w:cs="Times New Roman"/>
          <w:i/>
          <w:iCs/>
          <w:shd w:val="clear" w:color="auto" w:fill="00FF00"/>
        </w:rPr>
      </w:pPr>
    </w:p>
    <w:p w14:paraId="7C3E7DF7" w14:textId="4E647774" w:rsidR="00E10315" w:rsidRPr="000D6EF2" w:rsidRDefault="00196B24">
      <w:pPr>
        <w:pStyle w:val="BodyText"/>
        <w:rPr>
          <w:rFonts w:cs="Times New Roman"/>
        </w:rPr>
      </w:pPr>
      <w:r w:rsidRPr="000D6EF2">
        <w:rPr>
          <w:rFonts w:cs="Times New Roman"/>
        </w:rPr>
        <w:t xml:space="preserve">Le cose animate e inanimate rispondono alle stesse </w:t>
      </w:r>
      <w:r w:rsidRPr="000D6EF2">
        <w:rPr>
          <w:rFonts w:cs="Times New Roman"/>
          <w:i/>
          <w:iCs/>
        </w:rPr>
        <w:t xml:space="preserve">leges </w:t>
      </w:r>
      <w:r w:rsidRPr="000D6EF2">
        <w:rPr>
          <w:rFonts w:cs="Times New Roman"/>
        </w:rPr>
        <w:t xml:space="preserve">e alle stesse </w:t>
      </w:r>
      <w:r w:rsidRPr="000D6EF2">
        <w:rPr>
          <w:rFonts w:cs="Times New Roman"/>
          <w:i/>
          <w:iCs/>
        </w:rPr>
        <w:t>rationes</w:t>
      </w:r>
      <w:r w:rsidRPr="000D6EF2">
        <w:rPr>
          <w:rFonts w:cs="Times New Roman"/>
        </w:rPr>
        <w:t>. Lucrezio sembra particolarmente interessato qui a spiegare perché le forme non collassano mostruosamente le une nelle altre e a spiegare perché gli elementi non si mescolano insieme e non si dissolvono nello stesso indistinto caos. Osserviamo regolarmente la riproduzione delle forme animali e la sep</w:t>
      </w:r>
      <w:r w:rsidR="00313AF3" w:rsidRPr="000D6EF2">
        <w:rPr>
          <w:rFonts w:cs="Times New Roman"/>
        </w:rPr>
        <w:t>a</w:t>
      </w:r>
      <w:r w:rsidRPr="000D6EF2">
        <w:rPr>
          <w:rFonts w:cs="Times New Roman"/>
        </w:rPr>
        <w:t xml:space="preserve">razione di differenti elementi. Tutto ciò è radicato nel principio atomico della combinazione che, per gli animali, prende la forma della riproduzione da una </w:t>
      </w:r>
      <w:r w:rsidRPr="000D6EF2">
        <w:rPr>
          <w:rFonts w:cs="Times New Roman"/>
          <w:i/>
          <w:iCs/>
        </w:rPr>
        <w:t xml:space="preserve">certa </w:t>
      </w:r>
      <w:r w:rsidRPr="000D6EF2">
        <w:rPr>
          <w:rFonts w:cs="Times New Roman"/>
        </w:rPr>
        <w:t xml:space="preserve">madre e dai </w:t>
      </w:r>
      <w:r w:rsidRPr="000D6EF2">
        <w:rPr>
          <w:rFonts w:cs="Times New Roman"/>
          <w:i/>
          <w:iCs/>
        </w:rPr>
        <w:t xml:space="preserve">certa </w:t>
      </w:r>
      <w:r w:rsidRPr="000D6EF2">
        <w:rPr>
          <w:rFonts w:cs="Times New Roman"/>
        </w:rPr>
        <w:t xml:space="preserve">semi. Questo è anche il motivo per cui non vediamo crescere sulla terra mostri mitici. Al contrario della descrizione della zoogonia del libro V, i mostri qui sono l’eccezione, gli </w:t>
      </w:r>
      <w:r w:rsidRPr="000D6EF2">
        <w:rPr>
          <w:rFonts w:cs="Times New Roman"/>
          <w:i/>
          <w:iCs/>
        </w:rPr>
        <w:t>impossibilia</w:t>
      </w:r>
      <w:r w:rsidRPr="000D6EF2">
        <w:rPr>
          <w:rFonts w:cs="Times New Roman"/>
        </w:rPr>
        <w:t xml:space="preserve"> che i principi della natura escludono. </w:t>
      </w:r>
    </w:p>
    <w:p w14:paraId="577808FD" w14:textId="67C8D49A" w:rsidR="00E10315" w:rsidRPr="000D6EF2" w:rsidRDefault="00196B24" w:rsidP="00313AF3">
      <w:pPr>
        <w:pStyle w:val="BodyText"/>
        <w:rPr>
          <w:rFonts w:cs="Times New Roman"/>
        </w:rPr>
      </w:pPr>
      <w:r w:rsidRPr="000D6EF2">
        <w:rPr>
          <w:rFonts w:cs="Times New Roman"/>
        </w:rPr>
        <w:t xml:space="preserve">La differenza con la concezione aristotelica della mostruosità è qui evidente. </w:t>
      </w:r>
      <w:r w:rsidR="00313AF3" w:rsidRPr="000D6EF2">
        <w:rPr>
          <w:rFonts w:cs="Times New Roman"/>
        </w:rPr>
        <w:t xml:space="preserve"> </w:t>
      </w:r>
      <w:r w:rsidRPr="000D6EF2">
        <w:rPr>
          <w:rFonts w:cs="Times New Roman"/>
        </w:rPr>
        <w:t xml:space="preserve">Mentre Aristotele spiega le regolarità attraverso le </w:t>
      </w:r>
      <w:r w:rsidR="00313AF3" w:rsidRPr="000D6EF2">
        <w:rPr>
          <w:rFonts w:cs="Times New Roman"/>
        </w:rPr>
        <w:t>forme</w:t>
      </w:r>
      <w:r w:rsidRPr="000D6EF2">
        <w:rPr>
          <w:rFonts w:cs="Times New Roman"/>
        </w:rPr>
        <w:t xml:space="preserve">, che </w:t>
      </w:r>
      <w:r w:rsidR="00313AF3" w:rsidRPr="000D6EF2">
        <w:rPr>
          <w:rFonts w:cs="Times New Roman"/>
        </w:rPr>
        <w:t xml:space="preserve">agiscono </w:t>
      </w:r>
      <w:r w:rsidRPr="000D6EF2">
        <w:rPr>
          <w:rFonts w:cs="Times New Roman"/>
        </w:rPr>
        <w:t xml:space="preserve">anche come causa in funzione delle quali qualcosa è (o non è) ciò che deve essere, Lucrezio esclude qualunque fine dal processo. Le </w:t>
      </w:r>
      <w:r w:rsidRPr="000D6EF2">
        <w:rPr>
          <w:rFonts w:cs="Times New Roman"/>
          <w:i/>
          <w:iCs/>
        </w:rPr>
        <w:t>leges</w:t>
      </w:r>
      <w:r w:rsidRPr="000D6EF2">
        <w:rPr>
          <w:rFonts w:cs="Times New Roman"/>
        </w:rPr>
        <w:t xml:space="preserve"> e le </w:t>
      </w:r>
      <w:r w:rsidRPr="000D6EF2">
        <w:rPr>
          <w:rFonts w:cs="Times New Roman"/>
          <w:i/>
          <w:iCs/>
        </w:rPr>
        <w:t>rationes</w:t>
      </w:r>
      <w:r w:rsidRPr="000D6EF2">
        <w:rPr>
          <w:rFonts w:cs="Times New Roman"/>
        </w:rPr>
        <w:t xml:space="preserve"> di Lucrezio si oppongono con forza all’aristotelico ἀνάγκη φύσεος. All’interno di una cornice teleologica, la regolarità delle forme esclude ogni spiegazione atomista e un </w:t>
      </w:r>
      <w:r w:rsidRPr="000D6EF2">
        <w:rPr>
          <w:rFonts w:cs="Times New Roman"/>
          <w:color w:val="222222"/>
        </w:rPr>
        <w:t>τέλος è necessario per evitare l’indistin</w:t>
      </w:r>
      <w:r w:rsidR="00313AF3" w:rsidRPr="000D6EF2">
        <w:rPr>
          <w:rFonts w:cs="Times New Roman"/>
          <w:color w:val="222222"/>
        </w:rPr>
        <w:t>t</w:t>
      </w:r>
      <w:r w:rsidRPr="000D6EF2">
        <w:rPr>
          <w:rFonts w:cs="Times New Roman"/>
          <w:color w:val="222222"/>
        </w:rPr>
        <w:t>o caos delle forme. All’interno della cornice lucreziana, invece, la regolarità delle forme conferma la spiegazione atomista e si oppone a quella teleologica</w:t>
      </w:r>
      <w:r w:rsidRPr="000D6EF2">
        <w:rPr>
          <w:rStyle w:val="Richiamoallanotaapidipagina"/>
          <w:rFonts w:cs="Times New Roman"/>
          <w:color w:val="222222"/>
        </w:rPr>
        <w:footnoteReference w:id="84"/>
      </w:r>
      <w:r w:rsidRPr="000D6EF2">
        <w:rPr>
          <w:rFonts w:cs="Times New Roman"/>
          <w:color w:val="222222"/>
        </w:rPr>
        <w:t>.</w:t>
      </w:r>
    </w:p>
    <w:p w14:paraId="32FDBB43" w14:textId="4331B4D7" w:rsidR="00E10315" w:rsidRPr="000D6EF2" w:rsidRDefault="00196B24">
      <w:pPr>
        <w:pStyle w:val="BodyText"/>
        <w:rPr>
          <w:rFonts w:cs="Times New Roman"/>
        </w:rPr>
      </w:pPr>
      <w:r w:rsidRPr="000D6EF2">
        <w:rPr>
          <w:rFonts w:cs="Times New Roman"/>
          <w:color w:val="222222"/>
        </w:rPr>
        <w:t xml:space="preserve">Leon Robin vede un’incoerenza nel pensiero di Lucrezio, come se le stesse leggi e principi che avevano permesso l’iniziale formazione delle mostruosità, per quanto non funzionali, fossero usate da Lucrezio per negare la possibilità di </w:t>
      </w:r>
      <w:r w:rsidRPr="000D6EF2">
        <w:rPr>
          <w:rFonts w:cs="Times New Roman"/>
          <w:i/>
          <w:iCs/>
          <w:color w:val="222222"/>
        </w:rPr>
        <w:t>alcuni</w:t>
      </w:r>
      <w:r w:rsidRPr="000D6EF2">
        <w:rPr>
          <w:rFonts w:cs="Times New Roman"/>
          <w:color w:val="222222"/>
        </w:rPr>
        <w:t xml:space="preserve"> mostri, in particolare quelli mitologici, come le chimere o i centauri</w:t>
      </w:r>
      <w:r w:rsidRPr="000D6EF2">
        <w:rPr>
          <w:rStyle w:val="Richiamoallanotaapidipagina"/>
          <w:rFonts w:cs="Times New Roman"/>
          <w:color w:val="222222"/>
        </w:rPr>
        <w:footnoteReference w:id="85"/>
      </w:r>
      <w:r w:rsidRPr="000D6EF2">
        <w:rPr>
          <w:rFonts w:cs="Times New Roman"/>
          <w:color w:val="222222"/>
        </w:rPr>
        <w:t>. Come spiegare quest’apparente incoerenza? Bailey ritiene che Lucrezio parli di due tipi di mostruosità, uno possibile, ma estinto, e l’altro assolutamente impossibile, stabilendo così una sorta di principio legale di impossibilità</w:t>
      </w:r>
      <w:r w:rsidRPr="000D6EF2">
        <w:rPr>
          <w:rStyle w:val="Richiamoallanotaapidipagina"/>
          <w:rFonts w:cs="Times New Roman"/>
          <w:color w:val="222222"/>
        </w:rPr>
        <w:footnoteReference w:id="86"/>
      </w:r>
      <w:r w:rsidRPr="000D6EF2">
        <w:rPr>
          <w:rFonts w:cs="Times New Roman"/>
          <w:color w:val="222222"/>
        </w:rPr>
        <w:t xml:space="preserve">. Non credo però che l’impossibilità si basi su un principio: la legalità di cui parla Lucrezio, usando i termini </w:t>
      </w:r>
      <w:r w:rsidRPr="000D6EF2">
        <w:rPr>
          <w:rFonts w:cs="Times New Roman"/>
          <w:i/>
          <w:iCs/>
          <w:color w:val="222222"/>
        </w:rPr>
        <w:t xml:space="preserve">lex </w:t>
      </w:r>
      <w:r w:rsidRPr="000D6EF2">
        <w:rPr>
          <w:rFonts w:cs="Times New Roman"/>
          <w:color w:val="222222"/>
        </w:rPr>
        <w:t xml:space="preserve">e </w:t>
      </w:r>
      <w:r w:rsidRPr="000D6EF2">
        <w:rPr>
          <w:rFonts w:cs="Times New Roman"/>
          <w:i/>
          <w:iCs/>
          <w:color w:val="222222"/>
        </w:rPr>
        <w:t>ratio</w:t>
      </w:r>
      <w:r w:rsidRPr="000D6EF2">
        <w:rPr>
          <w:rFonts w:cs="Times New Roman"/>
          <w:color w:val="222222"/>
        </w:rPr>
        <w:t>, ha origine in se stessa, come prova, più che confutare,</w:t>
      </w:r>
      <w:r w:rsidR="00313AF3" w:rsidRPr="000D6EF2">
        <w:rPr>
          <w:rFonts w:cs="Times New Roman"/>
          <w:color w:val="222222"/>
        </w:rPr>
        <w:t xml:space="preserve"> la base materiale</w:t>
      </w:r>
      <w:r w:rsidRPr="000D6EF2">
        <w:rPr>
          <w:rFonts w:cs="Times New Roman"/>
          <w:color w:val="222222"/>
        </w:rPr>
        <w:t>. Per evitare l’incoerenza senza duplicare né le cause né i tipi di mostruosità, si può argomentare che Lucrezio st</w:t>
      </w:r>
      <w:r w:rsidR="00313AF3" w:rsidRPr="000D6EF2">
        <w:rPr>
          <w:rFonts w:cs="Times New Roman"/>
          <w:color w:val="222222"/>
        </w:rPr>
        <w:t>i</w:t>
      </w:r>
      <w:r w:rsidRPr="000D6EF2">
        <w:rPr>
          <w:rFonts w:cs="Times New Roman"/>
          <w:color w:val="222222"/>
        </w:rPr>
        <w:t xml:space="preserve">a sicuramente parlando della stessa serie di cause e dello stesso tipo di mostruosità, ma in circostanze e momenti diversi. </w:t>
      </w:r>
    </w:p>
    <w:p w14:paraId="4B05BBA7" w14:textId="07528657" w:rsidR="00E10315" w:rsidRPr="000D6EF2" w:rsidRDefault="00196B24">
      <w:pPr>
        <w:pStyle w:val="BodyText"/>
        <w:rPr>
          <w:rFonts w:cs="Times New Roman"/>
        </w:rPr>
      </w:pPr>
      <w:r w:rsidRPr="000D6EF2">
        <w:rPr>
          <w:rFonts w:cs="Times New Roman"/>
          <w:color w:val="222222"/>
        </w:rPr>
        <w:t xml:space="preserve">Il tempo è infinito, così come lo spazio e i mondi possibili. I tentativi iniziali della natura </w:t>
      </w:r>
      <w:r w:rsidRPr="000D6EF2">
        <w:rPr>
          <w:rFonts w:cs="Times New Roman"/>
          <w:i/>
          <w:iCs/>
          <w:color w:val="222222"/>
        </w:rPr>
        <w:t xml:space="preserve">avrebbero potuto </w:t>
      </w:r>
      <w:r w:rsidRPr="000D6EF2">
        <w:rPr>
          <w:rFonts w:cs="Times New Roman"/>
          <w:color w:val="222222"/>
        </w:rPr>
        <w:t xml:space="preserve">far nascere diverse creature che </w:t>
      </w:r>
      <w:r w:rsidRPr="000D6EF2">
        <w:rPr>
          <w:rFonts w:cs="Times New Roman"/>
          <w:i/>
          <w:iCs/>
          <w:color w:val="222222"/>
        </w:rPr>
        <w:t xml:space="preserve">avrebbero potuto </w:t>
      </w:r>
      <w:r w:rsidRPr="000D6EF2">
        <w:rPr>
          <w:rFonts w:cs="Times New Roman"/>
          <w:color w:val="222222"/>
        </w:rPr>
        <w:t>trovare un modo per sopravvivere, anche se questo non è di fatto accaduto</w:t>
      </w:r>
      <w:r w:rsidR="00313AF3" w:rsidRPr="000D6EF2">
        <w:rPr>
          <w:rFonts w:cs="Times New Roman"/>
          <w:color w:val="222222"/>
        </w:rPr>
        <w:t xml:space="preserve"> (ovvero si è dimostrato, di fatto, impossibile)</w:t>
      </w:r>
      <w:r w:rsidRPr="000D6EF2">
        <w:rPr>
          <w:rFonts w:cs="Times New Roman"/>
          <w:color w:val="222222"/>
        </w:rPr>
        <w:t xml:space="preserve"> in questo mondo. In altre parole, non ci sono due tipi di impossibilità. È impossibile, evidentemente, che un animale sputi fuoco perché questo è incompatibile con la carne animale. </w:t>
      </w:r>
      <w:r w:rsidRPr="000D6EF2">
        <w:rPr>
          <w:rFonts w:cs="Times New Roman"/>
          <w:i/>
          <w:iCs/>
          <w:color w:val="222222"/>
        </w:rPr>
        <w:t xml:space="preserve">Allo stesso modo </w:t>
      </w:r>
      <w:r w:rsidRPr="000D6EF2">
        <w:rPr>
          <w:rFonts w:cs="Times New Roman"/>
          <w:color w:val="222222"/>
        </w:rPr>
        <w:t xml:space="preserve">è impossibile che il pollo voli, anche se ha le ali, o che il bue abbia teste umane, o che </w:t>
      </w:r>
      <w:r w:rsidRPr="000D6EF2">
        <w:rPr>
          <w:rFonts w:cs="Times New Roman"/>
          <w:color w:val="222222"/>
        </w:rPr>
        <w:lastRenderedPageBreak/>
        <w:t>gli uomini abbiano corpi equini, o che un’anima sia immortale. È un’impossibilità fisica che, come tale, ha un’origine specifica nel tempo e nello spazio e non è in contrasto con l’idea del ca</w:t>
      </w:r>
      <w:r w:rsidR="00313AF3" w:rsidRPr="000D6EF2">
        <w:rPr>
          <w:rFonts w:cs="Times New Roman"/>
          <w:color w:val="222222"/>
        </w:rPr>
        <w:t>rattere mutevole della natura: «</w:t>
      </w:r>
      <w:r w:rsidR="00313AF3" w:rsidRPr="000D6EF2">
        <w:rPr>
          <w:rFonts w:cs="Times New Roman"/>
          <w:color w:val="222222"/>
          <w:kern w:val="0"/>
          <w:lang w:val="en-US" w:bidi="ar-SA"/>
        </w:rPr>
        <w:t>Così dunque, del mondo tutto la natura, il tempo muta, e da uno precedente un nuovo stato la terra accoglie: ciò che ha potuto non possa più, possa ciò che non fece per l’innanzi</w:t>
      </w:r>
      <w:r w:rsidR="00313AF3" w:rsidRPr="000D6EF2">
        <w:rPr>
          <w:rFonts w:cs="Times New Roman"/>
          <w:color w:val="222222"/>
        </w:rPr>
        <w:t>»</w:t>
      </w:r>
      <w:r w:rsidRPr="000D6EF2">
        <w:rPr>
          <w:rStyle w:val="Richiamoallanotaapidipagina"/>
          <w:rFonts w:cs="Times New Roman"/>
          <w:color w:val="222222"/>
        </w:rPr>
        <w:footnoteReference w:id="87"/>
      </w:r>
      <w:r w:rsidRPr="000D6EF2">
        <w:rPr>
          <w:rFonts w:cs="Times New Roman"/>
          <w:color w:val="222222"/>
        </w:rPr>
        <w:t>.</w:t>
      </w:r>
    </w:p>
    <w:p w14:paraId="35FCC5FE" w14:textId="7BC8DE81" w:rsidR="00E10315" w:rsidRPr="000D6EF2" w:rsidRDefault="00196B24" w:rsidP="004C3082">
      <w:pPr>
        <w:pStyle w:val="BodyText"/>
        <w:rPr>
          <w:rFonts w:cs="Times New Roman"/>
          <w:color w:val="222222"/>
        </w:rPr>
      </w:pPr>
      <w:r w:rsidRPr="000D6EF2">
        <w:rPr>
          <w:rFonts w:cs="Times New Roman"/>
          <w:color w:val="222222"/>
        </w:rPr>
        <w:t>Quando Lucrezio sviluppa pienamente le conseguenze della sua cosmogonia e della sua zoogonia, nuovamente propone l’argomento dell’impossibilità dei mostri. Spiega ch</w:t>
      </w:r>
      <w:r w:rsidR="00313AF3" w:rsidRPr="000D6EF2">
        <w:rPr>
          <w:rFonts w:cs="Times New Roman"/>
          <w:color w:val="222222"/>
        </w:rPr>
        <w:t>e «i Centauri non vi sono stati, né in alcun tempo esservi possono di duplice natura e con un corpo doppio,</w:t>
      </w:r>
      <w:r w:rsidR="004C3082" w:rsidRPr="000D6EF2">
        <w:rPr>
          <w:rFonts w:cs="Times New Roman"/>
          <w:color w:val="222222"/>
        </w:rPr>
        <w:t xml:space="preserve"> messi insieme con ibride membra, così che la potenza da una parte e dall’altra ai puccoli a sufficienza pari essere possa</w:t>
      </w:r>
      <w:r w:rsidR="00313AF3" w:rsidRPr="000D6EF2">
        <w:rPr>
          <w:rFonts w:cs="Times New Roman"/>
          <w:color w:val="222222"/>
        </w:rPr>
        <w:t>»</w:t>
      </w:r>
      <w:r w:rsidRPr="000D6EF2">
        <w:rPr>
          <w:rStyle w:val="Richiamoallanotaapidipagina"/>
          <w:rFonts w:cs="Times New Roman"/>
          <w:color w:val="222222"/>
        </w:rPr>
        <w:footnoteReference w:id="88"/>
      </w:r>
      <w:r w:rsidR="004C3082" w:rsidRPr="000D6EF2">
        <w:rPr>
          <w:rFonts w:cs="Times New Roman"/>
          <w:color w:val="222222"/>
        </w:rPr>
        <w:t xml:space="preserve">. </w:t>
      </w:r>
      <w:r w:rsidRPr="000D6EF2">
        <w:rPr>
          <w:rFonts w:cs="Times New Roman"/>
          <w:color w:val="222222"/>
        </w:rPr>
        <w:t xml:space="preserve">Diversi </w:t>
      </w:r>
      <w:r w:rsidRPr="000D6EF2">
        <w:rPr>
          <w:rFonts w:cs="Times New Roman"/>
          <w:i/>
          <w:iCs/>
          <w:color w:val="222222"/>
        </w:rPr>
        <w:t xml:space="preserve">genera </w:t>
      </w:r>
      <w:r w:rsidRPr="000D6EF2">
        <w:rPr>
          <w:rFonts w:cs="Times New Roman"/>
          <w:color w:val="222222"/>
        </w:rPr>
        <w:t>hanno diversi ritmi di crescita e maturazione. Sono diversi anche in termini di compatibilità e incompatibilità con il nutrimento e, di conseguenza, tra loro. Non possono unirsi assieme perché questo implica una contraddizione sia da un punto di vista anatomico che fisiologico e comportamentale, perché non potrebbero mai accordarsi nelle abitudini</w:t>
      </w:r>
      <w:r w:rsidRPr="000D6EF2">
        <w:rPr>
          <w:rStyle w:val="Richiamoallanotaapidipagina"/>
          <w:rFonts w:cs="Times New Roman"/>
          <w:color w:val="222222"/>
        </w:rPr>
        <w:footnoteReference w:id="89"/>
      </w:r>
      <w:r w:rsidRPr="000D6EF2">
        <w:rPr>
          <w:rFonts w:cs="Times New Roman"/>
          <w:color w:val="222222"/>
        </w:rPr>
        <w:t>.</w:t>
      </w:r>
    </w:p>
    <w:p w14:paraId="3D447053" w14:textId="7B89317F" w:rsidR="00E10315" w:rsidRPr="000D6EF2" w:rsidRDefault="00196B24">
      <w:pPr>
        <w:pStyle w:val="BodyText"/>
        <w:rPr>
          <w:rFonts w:cs="Times New Roman"/>
          <w:color w:val="222222"/>
        </w:rPr>
      </w:pPr>
      <w:r w:rsidRPr="000D6EF2">
        <w:rPr>
          <w:rFonts w:cs="Times New Roman"/>
          <w:color w:val="222222"/>
        </w:rPr>
        <w:t>Se le creature mitiche come i centauri e le chimere – che giocano un ruolo notevole nelle credenze superstiziose – devono essere esclusi su base fisica e razionale, allora devono essere spiegate allo stesso modo, o almeno compatibilmente con le stesse tesi razionali e fisiche usate per spiegare le mostruosità dell’epoca antica. Munro sostiene, quindi, che questo passaggio derivi dalla confutazione delle idee di Empedocle e, in particolare, del suo bue con la testa umana</w:t>
      </w:r>
      <w:r w:rsidRPr="000D6EF2">
        <w:rPr>
          <w:rStyle w:val="Richiamoallanotaapidipagina"/>
          <w:rFonts w:cs="Times New Roman"/>
          <w:color w:val="222222"/>
        </w:rPr>
        <w:footnoteReference w:id="90"/>
      </w:r>
      <w:r w:rsidRPr="000D6EF2">
        <w:rPr>
          <w:rFonts w:cs="Times New Roman"/>
          <w:color w:val="222222"/>
        </w:rPr>
        <w:t>. Tuttavia, abbiamo già visto</w:t>
      </w:r>
      <w:r w:rsidR="00175089" w:rsidRPr="000D6EF2">
        <w:rPr>
          <w:rFonts w:cs="Times New Roman"/>
          <w:color w:val="222222"/>
        </w:rPr>
        <w:t xml:space="preserve"> come il pensiero di Empedocle sia</w:t>
      </w:r>
      <w:r w:rsidRPr="000D6EF2">
        <w:rPr>
          <w:rFonts w:cs="Times New Roman"/>
          <w:color w:val="222222"/>
        </w:rPr>
        <w:t xml:space="preserve"> positivamente presente nella descrizione di Lucrezio dell’antica zoogonia. Schrijvers ha proposto, come possibile fonte dell’argomentazione lucreziana, la critica razionalista dei mostri presente in</w:t>
      </w:r>
      <w:r w:rsidR="00175089" w:rsidRPr="000D6EF2">
        <w:rPr>
          <w:rFonts w:cs="Times New Roman"/>
          <w:color w:val="222222"/>
        </w:rPr>
        <w:t xml:space="preserve"> Palefato</w:t>
      </w:r>
      <w:r w:rsidRPr="000D6EF2">
        <w:rPr>
          <w:rStyle w:val="Richiamoallanotaapidipagina"/>
          <w:rFonts w:cs="Times New Roman"/>
          <w:color w:val="222222"/>
        </w:rPr>
        <w:footnoteReference w:id="91"/>
      </w:r>
      <w:r w:rsidRPr="000D6EF2">
        <w:rPr>
          <w:rFonts w:cs="Times New Roman"/>
          <w:color w:val="222222"/>
        </w:rPr>
        <w:t xml:space="preserve">. </w:t>
      </w:r>
      <w:r w:rsidR="00175089" w:rsidRPr="000D6EF2">
        <w:rPr>
          <w:rFonts w:cs="Times New Roman"/>
          <w:color w:val="222222"/>
        </w:rPr>
        <w:t>Entrambi</w:t>
      </w:r>
      <w:r w:rsidRPr="000D6EF2">
        <w:rPr>
          <w:rFonts w:cs="Times New Roman"/>
          <w:color w:val="222222"/>
        </w:rPr>
        <w:t xml:space="preserve"> hanno, infatti, sia un interesse negli </w:t>
      </w:r>
      <w:r w:rsidRPr="000D6EF2">
        <w:rPr>
          <w:rFonts w:cs="Times New Roman"/>
          <w:i/>
          <w:iCs/>
          <w:color w:val="222222"/>
        </w:rPr>
        <w:t>impossibilia</w:t>
      </w:r>
      <w:r w:rsidRPr="000D6EF2">
        <w:rPr>
          <w:rFonts w:cs="Times New Roman"/>
          <w:color w:val="222222"/>
        </w:rPr>
        <w:t xml:space="preserve"> che</w:t>
      </w:r>
      <w:r w:rsidR="00175089" w:rsidRPr="000D6EF2">
        <w:rPr>
          <w:rFonts w:cs="Times New Roman"/>
          <w:color w:val="222222"/>
        </w:rPr>
        <w:t xml:space="preserve"> nell’atteggiamento psicologico che può essere usato per razionalizzare il mito</w:t>
      </w:r>
      <w:r w:rsidRPr="000D6EF2">
        <w:rPr>
          <w:rStyle w:val="Richiamoallanotaapidipagina"/>
          <w:rFonts w:cs="Times New Roman"/>
          <w:color w:val="222222"/>
        </w:rPr>
        <w:footnoteReference w:id="92"/>
      </w:r>
      <w:r w:rsidRPr="000D6EF2">
        <w:rPr>
          <w:rFonts w:cs="Times New Roman"/>
          <w:color w:val="222222"/>
        </w:rPr>
        <w:t>. Contro Schrijvers, tuttavia, Gigandet argomenta che è proprio l’atteggiamento psicologico che segna la differenza tra i due autori: laddove</w:t>
      </w:r>
      <w:r w:rsidR="00175089" w:rsidRPr="000D6EF2">
        <w:rPr>
          <w:rFonts w:cs="Times New Roman"/>
          <w:color w:val="222222"/>
        </w:rPr>
        <w:t xml:space="preserve"> Palefato</w:t>
      </w:r>
      <w:r w:rsidRPr="000D6EF2">
        <w:rPr>
          <w:rFonts w:cs="Times New Roman"/>
          <w:color w:val="222222"/>
        </w:rPr>
        <w:t xml:space="preserve"> crede che il mito possa essere emendato per rimuovere ciò che vi è di incredibile e inaccettabile</w:t>
      </w:r>
      <w:r w:rsidRPr="000D6EF2">
        <w:rPr>
          <w:rStyle w:val="Richiamoallanotaapidipagina"/>
          <w:rFonts w:cs="Times New Roman"/>
          <w:color w:val="222222"/>
        </w:rPr>
        <w:footnoteReference w:id="93"/>
      </w:r>
      <w:r w:rsidRPr="000D6EF2">
        <w:rPr>
          <w:rFonts w:cs="Times New Roman"/>
          <w:color w:val="222222"/>
        </w:rPr>
        <w:t>, Lucrezio intende distruggere il mito e sostituirlo con una spiegazione fisica</w:t>
      </w:r>
      <w:r w:rsidRPr="000D6EF2">
        <w:rPr>
          <w:rStyle w:val="Richiamoallanotaapidipagina"/>
          <w:rFonts w:cs="Times New Roman"/>
          <w:color w:val="222222"/>
        </w:rPr>
        <w:footnoteReference w:id="94"/>
      </w:r>
      <w:r w:rsidRPr="000D6EF2">
        <w:rPr>
          <w:rFonts w:cs="Times New Roman"/>
          <w:color w:val="222222"/>
        </w:rPr>
        <w:t xml:space="preserve">. È quindi più appropriato, </w:t>
      </w:r>
      <w:r w:rsidRPr="000D6EF2">
        <w:rPr>
          <w:rFonts w:cs="Times New Roman"/>
          <w:color w:val="222222"/>
        </w:rPr>
        <w:lastRenderedPageBreak/>
        <w:t xml:space="preserve">suggerisce Gigandet, focalizzarsi sulla natura dei limiti insuperabili, in modo da afferrare l’originalità </w:t>
      </w:r>
      <w:r w:rsidR="00175089" w:rsidRPr="000D6EF2">
        <w:rPr>
          <w:rFonts w:cs="Times New Roman"/>
          <w:color w:val="222222"/>
        </w:rPr>
        <w:t>di quelli</w:t>
      </w:r>
      <w:r w:rsidRPr="000D6EF2">
        <w:rPr>
          <w:rFonts w:cs="Times New Roman"/>
          <w:color w:val="222222"/>
        </w:rPr>
        <w:t xml:space="preserve"> fisici che constringono animali e mostri ugualmente. Lucrezio insiste: </w:t>
      </w:r>
    </w:p>
    <w:p w14:paraId="10C27C4F" w14:textId="77777777" w:rsidR="00175089" w:rsidRPr="000D6EF2" w:rsidRDefault="00175089">
      <w:pPr>
        <w:pStyle w:val="BodyText"/>
        <w:rPr>
          <w:rFonts w:cs="Times New Roman"/>
        </w:rPr>
      </w:pPr>
    </w:p>
    <w:p w14:paraId="02AC2DF9" w14:textId="6C7BCA9F" w:rsidR="00E10315" w:rsidRPr="000D6EF2" w:rsidRDefault="00175089" w:rsidP="00175089">
      <w:pPr>
        <w:pStyle w:val="Testocitato"/>
        <w:rPr>
          <w:rFonts w:cs="Times New Roman"/>
          <w:color w:val="222222"/>
          <w:sz w:val="20"/>
          <w:szCs w:val="20"/>
          <w:shd w:val="clear" w:color="auto" w:fill="00FF00"/>
        </w:rPr>
      </w:pPr>
      <w:r w:rsidRPr="000D6EF2">
        <w:rPr>
          <w:rFonts w:cs="Times New Roman"/>
          <w:color w:val="222222"/>
          <w:kern w:val="0"/>
          <w:sz w:val="20"/>
          <w:szCs w:val="20"/>
          <w:lang w:val="en-US" w:bidi="ar-SA"/>
        </w:rPr>
        <w:t xml:space="preserve">Perciò anche essendo la terra nuova e il cielo nato da poco, chi immagina che tali animali siano potuti nascere, fondandosi su questo solo vano nome di novità, di molte cose è possibile che in simil modo cianci, e che dica che allora sulla terra aurei fiumi dappertutto scorrevano e che di gemme fiorire gli alberi erano soliti, o che un uomo con tale di membra grandezza fosse nato, che oltre i mari profondi i piedi con slancio porre potesse e con le mani tutto quanto il cielo a sé dintorno far ruotare. Infatti che molti furono sulla terra semi delle cose nel tempo in cui dapprima gli la terra gli esseri animati fece spuntare, non è tuttavia un segno che avrebbero potuto esser creati animali fra di loro rimescolati e unite insieme membra di esseri viventi, per il fatto che delle erbe le specie e le biade e gli alberi fioriti che tuttora dalla terra prodotti sono in abbondanza, tuttavia non possono tra loro riuniti venire alla nascita, ma ogni cosa secondo una sua modalità procede, e tutte </w:t>
      </w:r>
      <w:r w:rsidRPr="000D6EF2">
        <w:rPr>
          <w:rFonts w:cs="Times New Roman"/>
          <w:i/>
          <w:iCs/>
          <w:color w:val="222222"/>
          <w:kern w:val="0"/>
          <w:sz w:val="20"/>
          <w:szCs w:val="20"/>
          <w:lang w:val="en-US" w:bidi="ar-SA"/>
        </w:rPr>
        <w:t>foedere naturae</w:t>
      </w:r>
      <w:r w:rsidRPr="000D6EF2">
        <w:rPr>
          <w:rFonts w:cs="Times New Roman"/>
          <w:color w:val="222222"/>
          <w:kern w:val="0"/>
          <w:sz w:val="20"/>
          <w:szCs w:val="20"/>
          <w:lang w:val="en-US" w:bidi="ar-SA"/>
        </w:rPr>
        <w:t xml:space="preserve"> certa le distinzioni conservano (</w:t>
      </w:r>
      <w:r w:rsidRPr="000D6EF2">
        <w:rPr>
          <w:rFonts w:cs="Times New Roman"/>
          <w:i/>
          <w:iCs/>
          <w:color w:val="222222"/>
          <w:kern w:val="0"/>
          <w:sz w:val="20"/>
          <w:szCs w:val="20"/>
          <w:lang w:val="en-US" w:bidi="ar-SA"/>
        </w:rPr>
        <w:t>certo discrimina servant</w:t>
      </w:r>
      <w:r w:rsidRPr="000D6EF2">
        <w:rPr>
          <w:rFonts w:cs="Times New Roman"/>
          <w:color w:val="222222"/>
          <w:kern w:val="0"/>
          <w:sz w:val="20"/>
          <w:szCs w:val="20"/>
          <w:lang w:val="en-US" w:bidi="ar-SA"/>
        </w:rPr>
        <w:t>).</w:t>
      </w:r>
      <w:r w:rsidRPr="000D6EF2">
        <w:rPr>
          <w:rStyle w:val="FootnoteReference"/>
          <w:rFonts w:cs="Times New Roman"/>
          <w:color w:val="222222"/>
          <w:kern w:val="0"/>
          <w:sz w:val="20"/>
          <w:szCs w:val="20"/>
          <w:lang w:val="en-US" w:bidi="ar-SA"/>
        </w:rPr>
        <w:footnoteReference w:id="95"/>
      </w:r>
    </w:p>
    <w:p w14:paraId="226C573E" w14:textId="76C75EFA" w:rsidR="00E10315" w:rsidRPr="000D6EF2" w:rsidRDefault="00196B24">
      <w:pPr>
        <w:pStyle w:val="BodyText"/>
        <w:rPr>
          <w:rFonts w:cs="Times New Roman"/>
        </w:rPr>
      </w:pPr>
      <w:r w:rsidRPr="000D6EF2">
        <w:rPr>
          <w:rFonts w:cs="Times New Roman"/>
        </w:rPr>
        <w:t>Lucrezio, argomenta Gigandet, accetta la teoria empedoclea dei tentativi della natura ma, al tempo stesso, stabilisce i suoi limiti e li fa dipendere dalle combinazioni degli atomi che sono possibili, distinguendole attentamente da quelle impossibili. Non tutto può accadere in natura,</w:t>
      </w:r>
      <w:r w:rsidR="007F32F6" w:rsidRPr="000D6EF2">
        <w:rPr>
          <w:rFonts w:cs="Times New Roman"/>
        </w:rPr>
        <w:t xml:space="preserve"> nemmeno negli stadi iniziali. L</w:t>
      </w:r>
      <w:r w:rsidRPr="000D6EF2">
        <w:rPr>
          <w:rFonts w:cs="Times New Roman"/>
        </w:rPr>
        <w:t>e combi</w:t>
      </w:r>
      <w:r w:rsidR="007F32F6" w:rsidRPr="000D6EF2">
        <w:rPr>
          <w:rFonts w:cs="Times New Roman"/>
        </w:rPr>
        <w:t>n</w:t>
      </w:r>
      <w:r w:rsidRPr="000D6EF2">
        <w:rPr>
          <w:rFonts w:cs="Times New Roman"/>
        </w:rPr>
        <w:t>azioni atomich</w:t>
      </w:r>
      <w:r w:rsidR="007F32F6" w:rsidRPr="000D6EF2">
        <w:rPr>
          <w:rFonts w:cs="Times New Roman"/>
        </w:rPr>
        <w:t>e, infatti, sono date entro un «</w:t>
      </w:r>
      <w:r w:rsidRPr="000D6EF2">
        <w:rPr>
          <w:rFonts w:cs="Times New Roman"/>
        </w:rPr>
        <w:t>cadre délimité (</w:t>
      </w:r>
      <w:r w:rsidRPr="000D6EF2">
        <w:rPr>
          <w:rFonts w:cs="Times New Roman"/>
          <w:i/>
        </w:rPr>
        <w:t>certus</w:t>
      </w:r>
      <w:r w:rsidR="007F32F6" w:rsidRPr="000D6EF2">
        <w:rPr>
          <w:rFonts w:cs="Times New Roman"/>
        </w:rPr>
        <w:t>)»</w:t>
      </w:r>
      <w:r w:rsidRPr="000D6EF2">
        <w:rPr>
          <w:rStyle w:val="Richiamoallanotaapidipagina"/>
          <w:rFonts w:cs="Times New Roman"/>
        </w:rPr>
        <w:footnoteReference w:id="96"/>
      </w:r>
      <w:r w:rsidRPr="000D6EF2">
        <w:rPr>
          <w:rFonts w:cs="Times New Roman"/>
        </w:rPr>
        <w:t xml:space="preserve"> Lucrezio, quindi, esclude l’idea </w:t>
      </w:r>
      <w:r w:rsidR="007F32F6" w:rsidRPr="000D6EF2">
        <w:rPr>
          <w:rFonts w:cs="Times New Roman"/>
        </w:rPr>
        <w:t xml:space="preserve">empedoclea </w:t>
      </w:r>
      <w:r w:rsidRPr="000D6EF2">
        <w:rPr>
          <w:rFonts w:cs="Times New Roman"/>
        </w:rPr>
        <w:t>d</w:t>
      </w:r>
      <w:r w:rsidR="007F32F6" w:rsidRPr="000D6EF2">
        <w:rPr>
          <w:rFonts w:cs="Times New Roman"/>
        </w:rPr>
        <w:t xml:space="preserve">i arti e membri </w:t>
      </w:r>
      <w:r w:rsidRPr="000D6EF2">
        <w:rPr>
          <w:rFonts w:cs="Times New Roman"/>
        </w:rPr>
        <w:t xml:space="preserve">che si </w:t>
      </w:r>
      <w:r w:rsidR="007F32F6" w:rsidRPr="000D6EF2">
        <w:rPr>
          <w:rFonts w:cs="Times New Roman"/>
        </w:rPr>
        <w:t>cercano reciprocamente</w:t>
      </w:r>
      <w:r w:rsidRPr="000D6EF2">
        <w:rPr>
          <w:rFonts w:cs="Times New Roman"/>
        </w:rPr>
        <w:t>. Non tanto perc</w:t>
      </w:r>
      <w:r w:rsidR="007F32F6" w:rsidRPr="000D6EF2">
        <w:rPr>
          <w:rFonts w:cs="Times New Roman"/>
        </w:rPr>
        <w:t>hé il ventre della terra produca</w:t>
      </w:r>
      <w:r w:rsidRPr="000D6EF2">
        <w:rPr>
          <w:rFonts w:cs="Times New Roman"/>
        </w:rPr>
        <w:t xml:space="preserve"> individui</w:t>
      </w:r>
      <w:r w:rsidR="007F32F6" w:rsidRPr="000D6EF2">
        <w:rPr>
          <w:rFonts w:cs="Times New Roman"/>
        </w:rPr>
        <w:t xml:space="preserve"> interi e non membra, ma perché il «cercarsi reciprocamente»</w:t>
      </w:r>
      <w:r w:rsidRPr="000D6EF2">
        <w:rPr>
          <w:rFonts w:cs="Times New Roman"/>
        </w:rPr>
        <w:t xml:space="preserve"> implica una sorta di intenzionalità e di teleologia. </w:t>
      </w:r>
    </w:p>
    <w:p w14:paraId="315B9854" w14:textId="3166BB84" w:rsidR="00E10315" w:rsidRPr="000D6EF2" w:rsidRDefault="00196B24">
      <w:pPr>
        <w:pStyle w:val="BodyText"/>
        <w:rPr>
          <w:rFonts w:cs="Times New Roman"/>
        </w:rPr>
      </w:pPr>
      <w:r w:rsidRPr="000D6EF2">
        <w:rPr>
          <w:rFonts w:cs="Times New Roman"/>
        </w:rPr>
        <w:t>Gli individui non mirano alle condizioni che permetteranno loro di sopravvivere, ma sopravviveranno perché soddisfano</w:t>
      </w:r>
      <w:r w:rsidR="007F32F6" w:rsidRPr="000D6EF2">
        <w:rPr>
          <w:rFonts w:cs="Times New Roman"/>
        </w:rPr>
        <w:t xml:space="preserve"> quelle condizioni</w:t>
      </w:r>
      <w:r w:rsidRPr="000D6EF2">
        <w:rPr>
          <w:rFonts w:cs="Times New Roman"/>
        </w:rPr>
        <w:t xml:space="preserve">. Il </w:t>
      </w:r>
      <w:r w:rsidRPr="000D6EF2">
        <w:rPr>
          <w:rFonts w:cs="Times New Roman"/>
          <w:i/>
          <w:iCs/>
        </w:rPr>
        <w:t>certus discrimen</w:t>
      </w:r>
      <w:r w:rsidRPr="000D6EF2">
        <w:rPr>
          <w:rFonts w:cs="Times New Roman"/>
        </w:rPr>
        <w:t xml:space="preserve"> menzionato da Lucrezio, tuttavia, non funziona, a mio parere, come una rete o un</w:t>
      </w:r>
      <w:r w:rsidR="007F32F6" w:rsidRPr="000D6EF2">
        <w:rPr>
          <w:rFonts w:cs="Times New Roman"/>
        </w:rPr>
        <w:t xml:space="preserve"> limite</w:t>
      </w:r>
      <w:r w:rsidRPr="000D6EF2">
        <w:rPr>
          <w:rFonts w:cs="Times New Roman"/>
        </w:rPr>
        <w:t xml:space="preserve">, e ancor meno come una legge. Il </w:t>
      </w:r>
      <w:r w:rsidRPr="000D6EF2">
        <w:rPr>
          <w:rFonts w:cs="Times New Roman"/>
          <w:i/>
          <w:iCs/>
        </w:rPr>
        <w:t>discrimen</w:t>
      </w:r>
      <w:r w:rsidR="007F32F6" w:rsidRPr="000D6EF2">
        <w:rPr>
          <w:rFonts w:cs="Times New Roman"/>
        </w:rPr>
        <w:t xml:space="preserve"> è</w:t>
      </w:r>
      <w:r w:rsidRPr="000D6EF2">
        <w:rPr>
          <w:rFonts w:cs="Times New Roman"/>
        </w:rPr>
        <w:t xml:space="preserve"> piuttosto il risultato o l’effetto dei </w:t>
      </w:r>
      <w:r w:rsidRPr="000D6EF2">
        <w:rPr>
          <w:rFonts w:cs="Times New Roman"/>
          <w:i/>
          <w:iCs/>
        </w:rPr>
        <w:t>foedera naturae</w:t>
      </w:r>
      <w:r w:rsidRPr="000D6EF2">
        <w:rPr>
          <w:rFonts w:cs="Times New Roman"/>
        </w:rPr>
        <w:t>, un risultato che è realizzato</w:t>
      </w:r>
      <w:r w:rsidR="007F32F6" w:rsidRPr="000D6EF2">
        <w:rPr>
          <w:rFonts w:cs="Times New Roman"/>
        </w:rPr>
        <w:t xml:space="preserve"> in modo immanente</w:t>
      </w:r>
      <w:r w:rsidRPr="000D6EF2">
        <w:rPr>
          <w:rFonts w:cs="Times New Roman"/>
        </w:rPr>
        <w:t>, più che essere dato o determinato da qualunque altra forza</w:t>
      </w:r>
      <w:r w:rsidRPr="000D6EF2">
        <w:rPr>
          <w:rStyle w:val="Richiamoallanotaapidipagina"/>
          <w:rFonts w:cs="Times New Roman"/>
        </w:rPr>
        <w:footnoteReference w:id="97"/>
      </w:r>
      <w:r w:rsidRPr="000D6EF2">
        <w:rPr>
          <w:rFonts w:cs="Times New Roman"/>
        </w:rPr>
        <w:t xml:space="preserve">. È </w:t>
      </w:r>
      <w:r w:rsidRPr="000D6EF2">
        <w:rPr>
          <w:rFonts w:cs="Times New Roman"/>
          <w:i/>
          <w:iCs/>
        </w:rPr>
        <w:t>certus</w:t>
      </w:r>
      <w:r w:rsidRPr="000D6EF2">
        <w:rPr>
          <w:rFonts w:cs="Times New Roman"/>
        </w:rPr>
        <w:t xml:space="preserve"> – aggettivo ripetuto più di cento volte nel </w:t>
      </w:r>
      <w:r w:rsidRPr="000D6EF2">
        <w:rPr>
          <w:rFonts w:cs="Times New Roman"/>
          <w:i/>
          <w:iCs/>
        </w:rPr>
        <w:t>De Rerum Natura</w:t>
      </w:r>
      <w:r w:rsidRPr="000D6EF2">
        <w:rPr>
          <w:rFonts w:cs="Times New Roman"/>
        </w:rPr>
        <w:t xml:space="preserve"> – nel senso di essere univocamente collegato alle sue cause: </w:t>
      </w:r>
      <w:r w:rsidRPr="000D6EF2">
        <w:rPr>
          <w:rFonts w:cs="Times New Roman"/>
          <w:i/>
        </w:rPr>
        <w:t>certe</w:t>
      </w:r>
      <w:r w:rsidRPr="000D6EF2">
        <w:rPr>
          <w:rFonts w:cs="Times New Roman"/>
        </w:rPr>
        <w:t xml:space="preserve"> cause producono </w:t>
      </w:r>
      <w:r w:rsidRPr="000D6EF2">
        <w:rPr>
          <w:rFonts w:cs="Times New Roman"/>
          <w:i/>
          <w:iCs/>
        </w:rPr>
        <w:t xml:space="preserve">certi </w:t>
      </w:r>
      <w:r w:rsidRPr="000D6EF2">
        <w:rPr>
          <w:rFonts w:cs="Times New Roman"/>
        </w:rPr>
        <w:t>effetti e non altri, come se tutto, senza distinzione, potesse accadere.</w:t>
      </w:r>
    </w:p>
    <w:p w14:paraId="00AD6D29" w14:textId="66AC1A2E" w:rsidR="00E10315" w:rsidRPr="000D6EF2" w:rsidRDefault="00196B24" w:rsidP="007F32F6">
      <w:pPr>
        <w:pStyle w:val="BodyText"/>
        <w:rPr>
          <w:rFonts w:cs="Times New Roman"/>
        </w:rPr>
      </w:pPr>
      <w:r w:rsidRPr="000D6EF2">
        <w:rPr>
          <w:rFonts w:cs="Times New Roman"/>
        </w:rPr>
        <w:t xml:space="preserve">Bollack richiama l’attenzione sulla somiglianza tra gli atomi che compongo il mondo e le lettere dell’alfabeto (gli </w:t>
      </w:r>
      <w:r w:rsidRPr="000D6EF2">
        <w:rPr>
          <w:rFonts w:cs="Times New Roman"/>
          <w:i/>
          <w:iCs/>
        </w:rPr>
        <w:t>elementa</w:t>
      </w:r>
      <w:r w:rsidRPr="000D6EF2">
        <w:rPr>
          <w:rFonts w:cs="Times New Roman"/>
        </w:rPr>
        <w:t>) che compongono i mondi</w:t>
      </w:r>
      <w:r w:rsidRPr="000D6EF2">
        <w:rPr>
          <w:rStyle w:val="Richiamoallanotaapidipagina"/>
          <w:rFonts w:cs="Times New Roman"/>
        </w:rPr>
        <w:footnoteReference w:id="98"/>
      </w:r>
      <w:r w:rsidRPr="000D6EF2">
        <w:rPr>
          <w:rFonts w:cs="Times New Roman"/>
        </w:rPr>
        <w:t>. Moreau enfatizza il paragone, per insistere sul fatto che, come le lettere dell’alfabeto devono essere diverse perché alcune parole abbiano senso, così gli atomi devono essere diversi perché gli esseri fisici si dif</w:t>
      </w:r>
      <w:r w:rsidR="007F32F6" w:rsidRPr="000D6EF2">
        <w:rPr>
          <w:rFonts w:cs="Times New Roman"/>
        </w:rPr>
        <w:t>ferenzino gli uni dagli altri e</w:t>
      </w:r>
      <w:r w:rsidRPr="000D6EF2">
        <w:rPr>
          <w:rFonts w:cs="Times New Roman"/>
        </w:rPr>
        <w:t xml:space="preserve"> abbiano le loro specifiche e riconoscibili caratteristiche</w:t>
      </w:r>
      <w:r w:rsidRPr="000D6EF2">
        <w:rPr>
          <w:rStyle w:val="Richiamoallanotaapidipagina"/>
          <w:rFonts w:cs="Times New Roman"/>
        </w:rPr>
        <w:footnoteReference w:id="99"/>
      </w:r>
      <w:r w:rsidRPr="000D6EF2">
        <w:rPr>
          <w:rFonts w:cs="Times New Roman"/>
        </w:rPr>
        <w:t>. Ora, questa differenziazione deve certamente essere limitata, altrimen</w:t>
      </w:r>
      <w:r w:rsidR="007F32F6" w:rsidRPr="000D6EF2">
        <w:rPr>
          <w:rFonts w:cs="Times New Roman"/>
        </w:rPr>
        <w:t>ti i mondi potrebbero ess</w:t>
      </w:r>
      <w:r w:rsidRPr="000D6EF2">
        <w:rPr>
          <w:rFonts w:cs="Times New Roman"/>
        </w:rPr>
        <w:t>ere infiniti e il linguaggio, in una sorta di scenario babiloniano o borgesiano, diventerebbero inintelliggibili. In modo analogo, gli esseri devono avere delle regolarità e le loro</w:t>
      </w:r>
      <w:r w:rsidR="007F32F6" w:rsidRPr="000D6EF2">
        <w:rPr>
          <w:rFonts w:cs="Times New Roman"/>
        </w:rPr>
        <w:t xml:space="preserve"> forme</w:t>
      </w:r>
      <w:r w:rsidRPr="000D6EF2">
        <w:rPr>
          <w:rFonts w:cs="Times New Roman"/>
        </w:rPr>
        <w:t xml:space="preserve"> devono essere limitate, allo stesso modo in cui la diversità delle loro</w:t>
      </w:r>
      <w:r w:rsidR="007F32F6" w:rsidRPr="000D6EF2">
        <w:rPr>
          <w:rFonts w:cs="Times New Roman"/>
        </w:rPr>
        <w:t xml:space="preserve"> figure</w:t>
      </w:r>
      <w:r w:rsidRPr="000D6EF2">
        <w:rPr>
          <w:rFonts w:cs="Times New Roman"/>
        </w:rPr>
        <w:t xml:space="preserve"> e grandezze deve essere limitata. Questa somiglianza è acuta e suggerirei di estenderla al processo di formazione di queste regolarità: le parole non sono fisse; acquisi</w:t>
      </w:r>
      <w:r w:rsidR="007F32F6" w:rsidRPr="000D6EF2">
        <w:rPr>
          <w:rFonts w:cs="Times New Roman"/>
        </w:rPr>
        <w:t>s</w:t>
      </w:r>
      <w:r w:rsidRPr="000D6EF2">
        <w:rPr>
          <w:rFonts w:cs="Times New Roman"/>
        </w:rPr>
        <w:t>cono il loro senso con l’uso, essendo parlate dalle persone, o scompaiono, essendo abbandonate e dimenticate. Allo stesso modo, gli esseri viventi acquisi</w:t>
      </w:r>
      <w:r w:rsidR="007F32F6" w:rsidRPr="000D6EF2">
        <w:rPr>
          <w:rFonts w:cs="Times New Roman"/>
        </w:rPr>
        <w:t>s</w:t>
      </w:r>
      <w:r w:rsidRPr="000D6EF2">
        <w:rPr>
          <w:rFonts w:cs="Times New Roman"/>
        </w:rPr>
        <w:t xml:space="preserve">cono il loro significato, ovvero la loro consistenza ontologica, non come una </w:t>
      </w:r>
      <w:r w:rsidRPr="000D6EF2">
        <w:rPr>
          <w:rFonts w:cs="Times New Roman"/>
          <w:i/>
          <w:iCs/>
        </w:rPr>
        <w:t>condizione</w:t>
      </w:r>
      <w:r w:rsidRPr="000D6EF2">
        <w:rPr>
          <w:rFonts w:cs="Times New Roman"/>
        </w:rPr>
        <w:t xml:space="preserve">, ma come una </w:t>
      </w:r>
      <w:r w:rsidRPr="000D6EF2">
        <w:rPr>
          <w:rFonts w:cs="Times New Roman"/>
          <w:i/>
          <w:iCs/>
        </w:rPr>
        <w:t>conseguenza</w:t>
      </w:r>
      <w:r w:rsidRPr="000D6EF2">
        <w:rPr>
          <w:rFonts w:cs="Times New Roman"/>
        </w:rPr>
        <w:t xml:space="preserve"> d</w:t>
      </w:r>
      <w:r w:rsidR="007F32F6" w:rsidRPr="000D6EF2">
        <w:rPr>
          <w:rFonts w:cs="Times New Roman"/>
        </w:rPr>
        <w:t xml:space="preserve">ella propria </w:t>
      </w:r>
      <w:r w:rsidR="007F32F6" w:rsidRPr="000D6EF2">
        <w:rPr>
          <w:rFonts w:cs="Times New Roman"/>
        </w:rPr>
        <w:lastRenderedPageBreak/>
        <w:t>esistenza</w:t>
      </w:r>
      <w:r w:rsidRPr="000D6EF2">
        <w:rPr>
          <w:rFonts w:cs="Times New Roman"/>
        </w:rPr>
        <w:t>. Gli esseri esistono perché si riproducono nel mondo e perché, in un certo senso, “parlano” se stessi nella natura.</w:t>
      </w:r>
    </w:p>
    <w:p w14:paraId="18416336" w14:textId="77777777" w:rsidR="00E10315" w:rsidRPr="000D6EF2" w:rsidRDefault="00E10315">
      <w:pPr>
        <w:pStyle w:val="BodyText"/>
        <w:rPr>
          <w:rFonts w:cs="Times New Roman"/>
        </w:rPr>
      </w:pPr>
    </w:p>
    <w:p w14:paraId="1F87D3A1" w14:textId="5B4BA4EC" w:rsidR="00E10315" w:rsidRPr="000D6EF2" w:rsidRDefault="00B7245E" w:rsidP="007A6F98">
      <w:pPr>
        <w:pStyle w:val="BodyText"/>
        <w:jc w:val="left"/>
        <w:rPr>
          <w:rFonts w:cs="Times New Roman"/>
          <w:i/>
          <w:sz w:val="28"/>
          <w:szCs w:val="28"/>
        </w:rPr>
      </w:pPr>
      <w:r w:rsidRPr="000D6EF2">
        <w:rPr>
          <w:rFonts w:cs="Times New Roman"/>
          <w:bCs/>
          <w:i/>
          <w:sz w:val="28"/>
          <w:szCs w:val="28"/>
        </w:rPr>
        <w:t>C</w:t>
      </w:r>
      <w:r w:rsidR="00A915AD" w:rsidRPr="000D6EF2">
        <w:rPr>
          <w:rFonts w:cs="Times New Roman"/>
          <w:bCs/>
          <w:i/>
          <w:sz w:val="28"/>
          <w:szCs w:val="28"/>
        </w:rPr>
        <w:t>oncorsi</w:t>
      </w:r>
      <w:r w:rsidR="00196B24" w:rsidRPr="000D6EF2">
        <w:rPr>
          <w:rFonts w:cs="Times New Roman"/>
          <w:bCs/>
          <w:i/>
          <w:sz w:val="28"/>
          <w:szCs w:val="28"/>
        </w:rPr>
        <w:t xml:space="preserve"> della natura</w:t>
      </w:r>
    </w:p>
    <w:p w14:paraId="6201D21B" w14:textId="77777777" w:rsidR="00B7245E" w:rsidRPr="000D6EF2" w:rsidRDefault="00B7245E">
      <w:pPr>
        <w:pStyle w:val="BodyText"/>
        <w:rPr>
          <w:rFonts w:cs="Times New Roman"/>
          <w:i/>
          <w:iCs/>
        </w:rPr>
      </w:pPr>
    </w:p>
    <w:p w14:paraId="38CE91A1" w14:textId="4BD1ECC3" w:rsidR="00E10315" w:rsidRPr="000D6EF2" w:rsidRDefault="00196B24">
      <w:pPr>
        <w:pStyle w:val="BodyText"/>
        <w:rPr>
          <w:rFonts w:cs="Times New Roman"/>
          <w:i/>
          <w:iCs/>
        </w:rPr>
      </w:pPr>
      <w:r w:rsidRPr="000D6EF2">
        <w:rPr>
          <w:rFonts w:cs="Times New Roman"/>
          <w:i/>
          <w:iCs/>
        </w:rPr>
        <w:t xml:space="preserve">Foedera naturae </w:t>
      </w:r>
      <w:r w:rsidRPr="000D6EF2">
        <w:rPr>
          <w:rFonts w:cs="Times New Roman"/>
        </w:rPr>
        <w:t>è una delle espressioni più importanti usate</w:t>
      </w:r>
      <w:r w:rsidR="009E5BBA" w:rsidRPr="000D6EF2">
        <w:rPr>
          <w:rFonts w:cs="Times New Roman"/>
        </w:rPr>
        <w:t xml:space="preserve"> da Lucrezio. Questi, sono stati</w:t>
      </w:r>
      <w:r w:rsidRPr="000D6EF2">
        <w:rPr>
          <w:rFonts w:cs="Times New Roman"/>
        </w:rPr>
        <w:t xml:space="preserve"> interpretati come archetipi delle leggi della natura</w:t>
      </w:r>
      <w:r w:rsidRPr="000D6EF2">
        <w:rPr>
          <w:rStyle w:val="Richiamoallanotaapidipagina"/>
          <w:rFonts w:cs="Times New Roman"/>
        </w:rPr>
        <w:footnoteReference w:id="100"/>
      </w:r>
      <w:r w:rsidRPr="000D6EF2">
        <w:rPr>
          <w:rFonts w:cs="Times New Roman"/>
        </w:rPr>
        <w:t xml:space="preserve">, come dimostra il consenso pressoché </w:t>
      </w:r>
      <w:r w:rsidR="009E5BBA" w:rsidRPr="000D6EF2">
        <w:rPr>
          <w:rFonts w:cs="Times New Roman"/>
        </w:rPr>
        <w:t>unanime de</w:t>
      </w:r>
      <w:r w:rsidRPr="000D6EF2">
        <w:rPr>
          <w:rFonts w:cs="Times New Roman"/>
        </w:rPr>
        <w:t>i traduttori</w:t>
      </w:r>
      <w:r w:rsidRPr="000D6EF2">
        <w:rPr>
          <w:rStyle w:val="Richiamoallanotaapidipagina"/>
          <w:rFonts w:cs="Times New Roman"/>
        </w:rPr>
        <w:footnoteReference w:id="101"/>
      </w:r>
      <w:r w:rsidRPr="000D6EF2">
        <w:rPr>
          <w:rFonts w:cs="Times New Roman"/>
        </w:rPr>
        <w:t xml:space="preserve">. A mio parere, tuttavia, la traduzione “legge della natura” è fuorviante e non solo perché si tratta di un anacronismo, che proietta il concetto moderno di </w:t>
      </w:r>
      <w:r w:rsidRPr="000D6EF2">
        <w:rPr>
          <w:rFonts w:cs="Times New Roman"/>
          <w:i/>
          <w:iCs/>
        </w:rPr>
        <w:t>lex naturalis</w:t>
      </w:r>
      <w:r w:rsidRPr="000D6EF2">
        <w:rPr>
          <w:rFonts w:cs="Times New Roman"/>
        </w:rPr>
        <w:t xml:space="preserve"> su Lucrezio</w:t>
      </w:r>
      <w:r w:rsidRPr="000D6EF2">
        <w:rPr>
          <w:rStyle w:val="Richiamoallanotaapidipagina"/>
          <w:rFonts w:cs="Times New Roman"/>
        </w:rPr>
        <w:footnoteReference w:id="102"/>
      </w:r>
      <w:r w:rsidRPr="000D6EF2">
        <w:rPr>
          <w:rFonts w:cs="Times New Roman"/>
        </w:rPr>
        <w:t>, ma anche perché la tesi stessa di Lucrezio non convog</w:t>
      </w:r>
      <w:r w:rsidR="009E5BBA" w:rsidRPr="000D6EF2">
        <w:rPr>
          <w:rFonts w:cs="Times New Roman"/>
        </w:rPr>
        <w:t xml:space="preserve">lia l’idea di una legge che vincoli o costringa </w:t>
      </w:r>
      <w:r w:rsidRPr="000D6EF2">
        <w:rPr>
          <w:rFonts w:cs="Times New Roman"/>
        </w:rPr>
        <w:t>i fenomeni naturali</w:t>
      </w:r>
      <w:r w:rsidRPr="000D6EF2">
        <w:rPr>
          <w:rStyle w:val="Richiamoallanotaapidipagina"/>
          <w:rFonts w:cs="Times New Roman"/>
        </w:rPr>
        <w:footnoteReference w:id="103"/>
      </w:r>
      <w:r w:rsidRPr="000D6EF2">
        <w:rPr>
          <w:rFonts w:cs="Times New Roman"/>
        </w:rPr>
        <w:t xml:space="preserve">. </w:t>
      </w:r>
    </w:p>
    <w:p w14:paraId="67B5B047" w14:textId="2ABE5B4C" w:rsidR="00E10315" w:rsidRPr="000D6EF2" w:rsidRDefault="00196B24">
      <w:pPr>
        <w:pStyle w:val="BodyText"/>
        <w:rPr>
          <w:rFonts w:cs="Times New Roman"/>
          <w:i/>
          <w:iCs/>
        </w:rPr>
      </w:pPr>
      <w:r w:rsidRPr="000D6EF2">
        <w:rPr>
          <w:rFonts w:cs="Times New Roman"/>
        </w:rPr>
        <w:t xml:space="preserve">L’espressione, con il significato che stiamo indagando, appare sei volte: I.586, II.302, VI.906 e tre volte nel libro V ai versi 57, 310 e 924. Ho discusso lungamente il passaggio del libro I. Da qui si potrebbe evincere chiaramente che i </w:t>
      </w:r>
      <w:r w:rsidRPr="000D6EF2">
        <w:rPr>
          <w:rFonts w:cs="Times New Roman"/>
          <w:i/>
          <w:iCs/>
        </w:rPr>
        <w:t>foedera naturae</w:t>
      </w:r>
      <w:r w:rsidRPr="000D6EF2">
        <w:rPr>
          <w:rFonts w:cs="Times New Roman"/>
        </w:rPr>
        <w:t xml:space="preserve"> sono ben diversi dagli “editti [</w:t>
      </w:r>
      <w:r w:rsidRPr="000D6EF2">
        <w:rPr>
          <w:rFonts w:cs="Times New Roman"/>
          <w:i/>
          <w:iCs/>
        </w:rPr>
        <w:t>ordinances</w:t>
      </w:r>
      <w:r w:rsidRPr="000D6EF2">
        <w:rPr>
          <w:rFonts w:cs="Times New Roman"/>
        </w:rPr>
        <w:t>] della natura”</w:t>
      </w:r>
      <w:r w:rsidRPr="000D6EF2">
        <w:rPr>
          <w:rStyle w:val="Richiamoallanotaapidipagina"/>
          <w:rFonts w:cs="Times New Roman"/>
        </w:rPr>
        <w:footnoteReference w:id="104"/>
      </w:r>
      <w:r w:rsidRPr="000D6EF2">
        <w:rPr>
          <w:rFonts w:cs="Times New Roman"/>
        </w:rPr>
        <w:t xml:space="preserve"> o anche dai “patti [</w:t>
      </w:r>
      <w:r w:rsidRPr="000D6EF2">
        <w:rPr>
          <w:rFonts w:cs="Times New Roman"/>
          <w:i/>
          <w:iCs/>
        </w:rPr>
        <w:t>compact</w:t>
      </w:r>
      <w:r w:rsidRPr="000D6EF2">
        <w:rPr>
          <w:rFonts w:cs="Times New Roman"/>
        </w:rPr>
        <w:t>] della natura”</w:t>
      </w:r>
      <w:r w:rsidRPr="000D6EF2">
        <w:rPr>
          <w:rStyle w:val="Richiamoallanotaapidipagina"/>
          <w:rFonts w:cs="Times New Roman"/>
        </w:rPr>
        <w:footnoteReference w:id="105"/>
      </w:r>
      <w:r w:rsidRPr="000D6EF2">
        <w:rPr>
          <w:rFonts w:cs="Times New Roman"/>
        </w:rPr>
        <w:t>. L’</w:t>
      </w:r>
      <w:r w:rsidRPr="000D6EF2">
        <w:rPr>
          <w:rFonts w:cs="Times New Roman"/>
          <w:i/>
          <w:iCs/>
        </w:rPr>
        <w:t>ordo</w:t>
      </w:r>
      <w:r w:rsidRPr="000D6EF2">
        <w:rPr>
          <w:rFonts w:cs="Times New Roman"/>
        </w:rPr>
        <w:t xml:space="preserve"> che l’acuto osservatore individua nella natura è la regolarità e la </w:t>
      </w:r>
      <w:r w:rsidR="009E5BBA" w:rsidRPr="000D6EF2">
        <w:rPr>
          <w:rFonts w:cs="Times New Roman"/>
        </w:rPr>
        <w:t xml:space="preserve">costanza </w:t>
      </w:r>
      <w:r w:rsidRPr="000D6EF2">
        <w:rPr>
          <w:rFonts w:cs="Times New Roman"/>
        </w:rPr>
        <w:t>di una serie di eventi nel</w:t>
      </w:r>
      <w:r w:rsidR="009E5BBA" w:rsidRPr="000D6EF2">
        <w:rPr>
          <w:rFonts w:cs="Times New Roman"/>
        </w:rPr>
        <w:t xml:space="preserve"> corso del</w:t>
      </w:r>
      <w:r w:rsidRPr="000D6EF2">
        <w:rPr>
          <w:rFonts w:cs="Times New Roman"/>
        </w:rPr>
        <w:t xml:space="preserve"> tempo</w:t>
      </w:r>
      <w:r w:rsidRPr="000D6EF2">
        <w:rPr>
          <w:rStyle w:val="Richiamoallanotaapidipagina"/>
          <w:rFonts w:cs="Times New Roman"/>
        </w:rPr>
        <w:footnoteReference w:id="106"/>
      </w:r>
      <w:r w:rsidRPr="000D6EF2">
        <w:rPr>
          <w:rFonts w:cs="Times New Roman"/>
        </w:rPr>
        <w:t xml:space="preserve"> e non un ordine superiore imposto ai fenomeni. L’espressione, argomentano Ernout e Robin, sembra venire dall’“ampio giuramento” (πλατὺς ὄρκος) di Empedocle</w:t>
      </w:r>
      <w:r w:rsidRPr="000D6EF2">
        <w:rPr>
          <w:rStyle w:val="Richiamoallanotaapidipagina"/>
          <w:rFonts w:cs="Times New Roman"/>
        </w:rPr>
        <w:footnoteReference w:id="107"/>
      </w:r>
      <w:r w:rsidRPr="000D6EF2">
        <w:rPr>
          <w:rFonts w:cs="Times New Roman"/>
        </w:rPr>
        <w:t xml:space="preserve">, che reca l’idea di un patto solido e forte. </w:t>
      </w:r>
      <w:r w:rsidR="009E5BBA" w:rsidRPr="000D6EF2">
        <w:rPr>
          <w:rFonts w:cs="Times New Roman"/>
        </w:rPr>
        <w:t xml:space="preserve">È prossimo al senso espresso in </w:t>
      </w:r>
      <w:r w:rsidRPr="000D6EF2">
        <w:rPr>
          <w:rFonts w:cs="Times New Roman"/>
        </w:rPr>
        <w:t>III.416</w:t>
      </w:r>
      <w:r w:rsidR="009E5BBA" w:rsidRPr="000D6EF2">
        <w:rPr>
          <w:rFonts w:cs="Times New Roman"/>
        </w:rPr>
        <w:t>,</w:t>
      </w:r>
      <w:r w:rsidRPr="000D6EF2">
        <w:rPr>
          <w:rFonts w:cs="Times New Roman"/>
        </w:rPr>
        <w:t xml:space="preserve"> </w:t>
      </w:r>
      <w:r w:rsidR="009E5BBA" w:rsidRPr="000D6EF2">
        <w:rPr>
          <w:rFonts w:cs="Times New Roman"/>
        </w:rPr>
        <w:t xml:space="preserve">dove </w:t>
      </w:r>
      <w:r w:rsidRPr="000D6EF2">
        <w:rPr>
          <w:rFonts w:cs="Times New Roman"/>
        </w:rPr>
        <w:t xml:space="preserve">Lucrezio parla del </w:t>
      </w:r>
      <w:r w:rsidRPr="000D6EF2">
        <w:rPr>
          <w:rFonts w:cs="Times New Roman"/>
          <w:i/>
          <w:iCs/>
        </w:rPr>
        <w:t>foedus</w:t>
      </w:r>
      <w:r w:rsidRPr="000D6EF2">
        <w:rPr>
          <w:rFonts w:cs="Times New Roman"/>
        </w:rPr>
        <w:t xml:space="preserve"> tra la mente e l’anima: non è una legge, quindi – a meno che non si voglia proiettare la relazione gerarchica tra l’anima </w:t>
      </w:r>
      <w:r w:rsidR="009E5BBA" w:rsidRPr="000D6EF2">
        <w:rPr>
          <w:rFonts w:cs="Times New Roman"/>
        </w:rPr>
        <w:t xml:space="preserve">e il corpo </w:t>
      </w:r>
      <w:r w:rsidRPr="000D6EF2">
        <w:rPr>
          <w:rFonts w:cs="Times New Roman"/>
        </w:rPr>
        <w:t>implicata, ad esempio, dall’ottica platonica</w:t>
      </w:r>
      <w:r w:rsidRPr="000D6EF2">
        <w:rPr>
          <w:rStyle w:val="Richiamoallanotaapidipagina"/>
          <w:rFonts w:cs="Times New Roman"/>
        </w:rPr>
        <w:footnoteReference w:id="108"/>
      </w:r>
      <w:r w:rsidRPr="000D6EF2">
        <w:rPr>
          <w:rFonts w:cs="Times New Roman"/>
        </w:rPr>
        <w:t xml:space="preserve">. Data la natura atomica di </w:t>
      </w:r>
      <w:r w:rsidRPr="000D6EF2">
        <w:rPr>
          <w:rFonts w:cs="Times New Roman"/>
          <w:i/>
          <w:iCs/>
        </w:rPr>
        <w:t xml:space="preserve">ogni </w:t>
      </w:r>
      <w:r w:rsidRPr="000D6EF2">
        <w:rPr>
          <w:rFonts w:cs="Times New Roman"/>
        </w:rPr>
        <w:lastRenderedPageBreak/>
        <w:t xml:space="preserve">entità naturale, Lucrezio suggerisce piuttosto che vi sia </w:t>
      </w:r>
      <w:r w:rsidR="009E5BBA" w:rsidRPr="000D6EF2">
        <w:rPr>
          <w:rFonts w:cs="Times New Roman"/>
        </w:rPr>
        <w:t>una convenienza</w:t>
      </w:r>
      <w:r w:rsidRPr="000D6EF2">
        <w:rPr>
          <w:rFonts w:cs="Times New Roman"/>
        </w:rPr>
        <w:t xml:space="preserve">, una congiunzione e unione degli elementi naturali. Analizziamo ora le sei occorrenze del termine nel </w:t>
      </w:r>
      <w:r w:rsidRPr="000D6EF2">
        <w:rPr>
          <w:rFonts w:cs="Times New Roman"/>
          <w:i/>
          <w:iCs/>
        </w:rPr>
        <w:t>De Rerum Natura</w:t>
      </w:r>
      <w:r w:rsidR="009E5BBA" w:rsidRPr="000D6EF2">
        <w:rPr>
          <w:rFonts w:cs="Times New Roman"/>
          <w:iCs/>
        </w:rPr>
        <w:t>,</w:t>
      </w:r>
      <w:r w:rsidRPr="000D6EF2">
        <w:rPr>
          <w:rFonts w:cs="Times New Roman"/>
          <w:i/>
          <w:iCs/>
        </w:rPr>
        <w:t xml:space="preserve"> </w:t>
      </w:r>
      <w:r w:rsidRPr="000D6EF2">
        <w:rPr>
          <w:rFonts w:cs="Times New Roman"/>
        </w:rPr>
        <w:t xml:space="preserve">poiché ciascuna di esse rivela un particolare aspetto del problema </w:t>
      </w:r>
      <w:r w:rsidR="009E5BBA" w:rsidRPr="000D6EF2">
        <w:rPr>
          <w:rFonts w:cs="Times New Roman"/>
        </w:rPr>
        <w:t xml:space="preserve">semantico </w:t>
      </w:r>
      <w:r w:rsidRPr="000D6EF2">
        <w:rPr>
          <w:rFonts w:cs="Times New Roman"/>
        </w:rPr>
        <w:t xml:space="preserve">e la sua rilevanza per la filosofia di Lucrezio. </w:t>
      </w:r>
    </w:p>
    <w:p w14:paraId="403893C5" w14:textId="0F492CCA" w:rsidR="00E10315" w:rsidRPr="000D6EF2" w:rsidRDefault="00196B24">
      <w:pPr>
        <w:pStyle w:val="BodyText"/>
        <w:rPr>
          <w:rFonts w:cs="Times New Roman"/>
          <w:i/>
          <w:iCs/>
        </w:rPr>
      </w:pPr>
      <w:r w:rsidRPr="000D6EF2">
        <w:rPr>
          <w:rFonts w:cs="Times New Roman"/>
        </w:rPr>
        <w:t xml:space="preserve">Iniziamo dall’ultima, in VI.906. Quando Lucrezio spiega i </w:t>
      </w:r>
      <w:r w:rsidRPr="000D6EF2">
        <w:rPr>
          <w:rFonts w:cs="Times New Roman"/>
          <w:i/>
          <w:iCs/>
        </w:rPr>
        <w:t>foedera naturae</w:t>
      </w:r>
      <w:r w:rsidR="00650B7A" w:rsidRPr="000D6EF2">
        <w:rPr>
          <w:rFonts w:cs="Times New Roman"/>
        </w:rPr>
        <w:t xml:space="preserve"> per cui «</w:t>
      </w:r>
      <w:r w:rsidR="00650B7A" w:rsidRPr="000D6EF2">
        <w:rPr>
          <w:rFonts w:cs="Times New Roman"/>
          <w:kern w:val="0"/>
          <w:lang w:val="en-US" w:bidi="ar-SA"/>
        </w:rPr>
        <w:t>questa pietra il ferro attrarre possa, che magnete chiamano della patria dal nome i Greci […]</w:t>
      </w:r>
      <w:r w:rsidR="00650B7A" w:rsidRPr="000D6EF2">
        <w:rPr>
          <w:rFonts w:cs="Times New Roman"/>
        </w:rPr>
        <w:t>»</w:t>
      </w:r>
      <w:r w:rsidRPr="000D6EF2">
        <w:rPr>
          <w:rFonts w:cs="Times New Roman"/>
        </w:rPr>
        <w:t xml:space="preserve"> il lettore non è colpito dall’uso di questa espressione. I </w:t>
      </w:r>
      <w:r w:rsidRPr="000D6EF2">
        <w:rPr>
          <w:rFonts w:cs="Times New Roman"/>
          <w:i/>
          <w:iCs/>
        </w:rPr>
        <w:t>foedera</w:t>
      </w:r>
      <w:r w:rsidRPr="000D6EF2">
        <w:rPr>
          <w:rFonts w:cs="Times New Roman"/>
        </w:rPr>
        <w:t xml:space="preserve"> appaiono qui in un senso neutrale, come sinonimi di “ragioni” o </w:t>
      </w:r>
      <w:r w:rsidRPr="000D6EF2">
        <w:rPr>
          <w:rFonts w:cs="Times New Roman"/>
          <w:i/>
          <w:iCs/>
        </w:rPr>
        <w:t>rationes</w:t>
      </w:r>
      <w:r w:rsidRPr="000D6EF2">
        <w:rPr>
          <w:rStyle w:val="Richiamoallanotaapidipagina"/>
          <w:rFonts w:cs="Times New Roman"/>
        </w:rPr>
        <w:footnoteReference w:id="109"/>
      </w:r>
      <w:r w:rsidRPr="000D6EF2">
        <w:rPr>
          <w:rFonts w:cs="Times New Roman"/>
        </w:rPr>
        <w:t xml:space="preserve">, quelle che spiegano </w:t>
      </w:r>
      <w:r w:rsidR="00650B7A" w:rsidRPr="000D6EF2">
        <w:rPr>
          <w:rFonts w:cs="Times New Roman"/>
        </w:rPr>
        <w:t>un fenomeno</w:t>
      </w:r>
      <w:r w:rsidRPr="000D6EF2">
        <w:rPr>
          <w:rFonts w:cs="Times New Roman"/>
        </w:rPr>
        <w:t xml:space="preserve"> tradizionalmente ascritto alla stranezza della natura. Nonostante la scelta dei traduttori (Flores ha ‘patto’), le </w:t>
      </w:r>
      <w:r w:rsidRPr="000D6EF2">
        <w:rPr>
          <w:rFonts w:cs="Times New Roman"/>
          <w:i/>
          <w:iCs/>
        </w:rPr>
        <w:t>ragioni</w:t>
      </w:r>
      <w:r w:rsidRPr="000D6EF2">
        <w:rPr>
          <w:rFonts w:cs="Times New Roman"/>
        </w:rPr>
        <w:t xml:space="preserve">, in questo caso, sono ben lungi dall’essere </w:t>
      </w:r>
      <w:r w:rsidRPr="000D6EF2">
        <w:rPr>
          <w:rFonts w:cs="Times New Roman"/>
          <w:i/>
          <w:iCs/>
        </w:rPr>
        <w:t>leggi</w:t>
      </w:r>
      <w:r w:rsidRPr="000D6EF2">
        <w:rPr>
          <w:rFonts w:cs="Times New Roman"/>
        </w:rPr>
        <w:t xml:space="preserve"> che costringono il ferro e il magnete ad attrarsi l’un l’altro. Sono piuttosto il chiarimento di qualcosa </w:t>
      </w:r>
      <w:r w:rsidR="00045DD8" w:rsidRPr="000D6EF2">
        <w:rPr>
          <w:rFonts w:cs="Times New Roman"/>
        </w:rPr>
        <w:t>che viene ordinariamente</w:t>
      </w:r>
      <w:r w:rsidRPr="000D6EF2">
        <w:rPr>
          <w:rFonts w:cs="Times New Roman"/>
        </w:rPr>
        <w:t xml:space="preserve"> ritenuto oscuro o misterioso; la descrizione di un fenomeno pienamente naturale che lega due diverse materie in modo </w:t>
      </w:r>
      <w:r w:rsidR="00045DD8" w:rsidRPr="000D6EF2">
        <w:rPr>
          <w:rFonts w:cs="Times New Roman"/>
        </w:rPr>
        <w:t>specifico</w:t>
      </w:r>
      <w:r w:rsidRPr="000D6EF2">
        <w:rPr>
          <w:rFonts w:cs="Times New Roman"/>
        </w:rPr>
        <w:t xml:space="preserve">. </w:t>
      </w:r>
    </w:p>
    <w:p w14:paraId="5589CFB2" w14:textId="0B1A580B" w:rsidR="00E10315" w:rsidRPr="000D6EF2" w:rsidRDefault="00196B24">
      <w:pPr>
        <w:pStyle w:val="BodyText"/>
        <w:rPr>
          <w:rFonts w:cs="Times New Roman"/>
          <w:i/>
          <w:iCs/>
        </w:rPr>
      </w:pPr>
      <w:r w:rsidRPr="000D6EF2">
        <w:rPr>
          <w:rFonts w:cs="Times New Roman"/>
        </w:rPr>
        <w:t xml:space="preserve">La prima occorrenza di </w:t>
      </w:r>
      <w:r w:rsidRPr="000D6EF2">
        <w:rPr>
          <w:rFonts w:cs="Times New Roman"/>
          <w:i/>
          <w:iCs/>
        </w:rPr>
        <w:t>foedera naturae</w:t>
      </w:r>
      <w:r w:rsidRPr="000D6EF2">
        <w:rPr>
          <w:rFonts w:cs="Times New Roman"/>
        </w:rPr>
        <w:t xml:space="preserve"> è in I.586 in cui, come dicevo prima, Lucrezio connette il livello microscopico della composizione atomica con il livello macroscopico dei fenomeni fisici: la costanza </w:t>
      </w:r>
      <w:r w:rsidR="00045DD8" w:rsidRPr="000D6EF2">
        <w:rPr>
          <w:rFonts w:cs="Times New Roman"/>
        </w:rPr>
        <w:t xml:space="preserve">di questi </w:t>
      </w:r>
      <w:r w:rsidRPr="000D6EF2">
        <w:rPr>
          <w:rFonts w:cs="Times New Roman"/>
        </w:rPr>
        <w:t xml:space="preserve">dipende dalla dinamica regolare </w:t>
      </w:r>
      <w:r w:rsidR="00045DD8" w:rsidRPr="000D6EF2">
        <w:rPr>
          <w:rFonts w:cs="Times New Roman"/>
        </w:rPr>
        <w:t>di quella</w:t>
      </w:r>
      <w:r w:rsidRPr="000D6EF2">
        <w:rPr>
          <w:rFonts w:cs="Times New Roman"/>
        </w:rPr>
        <w:t xml:space="preserve">. Quindi, certe cose sono o non sono capaci di comportarsi in certi modi, o di produrre certi effetti. Conoscere e osservare la natura, argomenta Lucrezio, consente agli uomini di capire che cosa le cose </w:t>
      </w:r>
      <w:r w:rsidR="00045DD8" w:rsidRPr="000D6EF2">
        <w:rPr>
          <w:rFonts w:cs="Times New Roman"/>
        </w:rPr>
        <w:t xml:space="preserve">siano </w:t>
      </w:r>
      <w:r w:rsidRPr="000D6EF2">
        <w:rPr>
          <w:rFonts w:cs="Times New Roman"/>
        </w:rPr>
        <w:t>capaci di fare e cosa no. De Lacy ha notato che il poema di Lucrezio è una risposta diretta al platonismo: conoscere la natura significa afferrare</w:t>
      </w:r>
      <w:r w:rsidR="00045DD8" w:rsidRPr="000D6EF2">
        <w:rPr>
          <w:rFonts w:cs="Times New Roman"/>
        </w:rPr>
        <w:t xml:space="preserve"> l’«aspetto formale del processo cosmico, cosa possa accadere e cosa no, quali siano i limiti»</w:t>
      </w:r>
      <w:r w:rsidR="00045DD8" w:rsidRPr="000D6EF2">
        <w:rPr>
          <w:rStyle w:val="FootnoteReference"/>
          <w:rFonts w:cs="Times New Roman"/>
        </w:rPr>
        <w:footnoteReference w:id="110"/>
      </w:r>
      <w:r w:rsidR="00045DD8" w:rsidRPr="000D6EF2">
        <w:rPr>
          <w:rFonts w:cs="Times New Roman"/>
        </w:rPr>
        <w:t>.</w:t>
      </w:r>
      <w:r w:rsidRPr="000D6EF2">
        <w:rPr>
          <w:rFonts w:cs="Times New Roman"/>
        </w:rPr>
        <w:t xml:space="preserve"> I </w:t>
      </w:r>
      <w:r w:rsidRPr="000D6EF2">
        <w:rPr>
          <w:rFonts w:cs="Times New Roman"/>
          <w:i/>
          <w:iCs/>
        </w:rPr>
        <w:t xml:space="preserve">foedera naturae, </w:t>
      </w:r>
      <w:r w:rsidRPr="000D6EF2">
        <w:rPr>
          <w:rFonts w:cs="Times New Roman"/>
        </w:rPr>
        <w:t>argomenta De Lacy, sono</w:t>
      </w:r>
      <w:r w:rsidR="00045DD8" w:rsidRPr="000D6EF2">
        <w:rPr>
          <w:rFonts w:cs="Times New Roman"/>
        </w:rPr>
        <w:t>, quindi, leggi della natura e «</w:t>
      </w:r>
      <w:r w:rsidRPr="000D6EF2">
        <w:rPr>
          <w:rFonts w:cs="Times New Roman"/>
        </w:rPr>
        <w:t xml:space="preserve">a quel livello sono gli equivalenti epicurei delle eterne e immutabili idee di cui l’anima che ascende ha un breve scorcio in </w:t>
      </w:r>
      <w:r w:rsidRPr="000D6EF2">
        <w:rPr>
          <w:rFonts w:cs="Times New Roman"/>
          <w:i/>
        </w:rPr>
        <w:t xml:space="preserve">Phdr. </w:t>
      </w:r>
      <w:r w:rsidR="00045DD8" w:rsidRPr="000D6EF2">
        <w:rPr>
          <w:rFonts w:cs="Times New Roman"/>
        </w:rPr>
        <w:t>247 c – e»</w:t>
      </w:r>
      <w:r w:rsidRPr="000D6EF2">
        <w:rPr>
          <w:rFonts w:cs="Times New Roman"/>
        </w:rPr>
        <w:t>. In linea con la tesi di De Lacy, tuttavia, preferirei dire che sono equivalenti fino al momento in cui rivestono lo stesso ruolo e hanno lo stesso status nel sistema; essi, però, stravolgono anche completamente la natura stessa e il senso delle i</w:t>
      </w:r>
      <w:r w:rsidR="00045DD8" w:rsidRPr="000D6EF2">
        <w:rPr>
          <w:rFonts w:cs="Times New Roman"/>
        </w:rPr>
        <w:t xml:space="preserve">dee platoniche e a queste si oppongono </w:t>
      </w:r>
      <w:r w:rsidRPr="000D6EF2">
        <w:rPr>
          <w:rFonts w:cs="Times New Roman"/>
        </w:rPr>
        <w:t>nel modo più forte possibile. I fenomeni naturali di Lucrezio non prendono la loro realtà dall’alto, cioè dalla partecipazione alle idee o alle norme.</w:t>
      </w:r>
    </w:p>
    <w:p w14:paraId="22F1C56B" w14:textId="77777777" w:rsidR="00E10315" w:rsidRPr="000D6EF2" w:rsidRDefault="00196B24">
      <w:pPr>
        <w:pStyle w:val="BodyText"/>
        <w:rPr>
          <w:rFonts w:cs="Times New Roman"/>
          <w:i/>
          <w:iCs/>
        </w:rPr>
      </w:pPr>
      <w:r w:rsidRPr="000D6EF2">
        <w:rPr>
          <w:rFonts w:cs="Times New Roman"/>
        </w:rPr>
        <w:t xml:space="preserve">I </w:t>
      </w:r>
      <w:r w:rsidRPr="000D6EF2">
        <w:rPr>
          <w:rFonts w:cs="Times New Roman"/>
          <w:i/>
          <w:iCs/>
        </w:rPr>
        <w:t>foedera naturae</w:t>
      </w:r>
      <w:r w:rsidRPr="000D6EF2">
        <w:rPr>
          <w:rFonts w:cs="Times New Roman"/>
        </w:rPr>
        <w:t xml:space="preserve">, in questo senso, a volte rappresentano per Lucrezio il principio generale e universale </w:t>
      </w:r>
      <w:r w:rsidRPr="000D6EF2">
        <w:rPr>
          <w:rFonts w:cs="Times New Roman"/>
          <w:iCs/>
        </w:rPr>
        <w:t>all’</w:t>
      </w:r>
      <w:r w:rsidRPr="000D6EF2">
        <w:rPr>
          <w:rFonts w:cs="Times New Roman"/>
          <w:i/>
          <w:iCs/>
        </w:rPr>
        <w:t xml:space="preserve">interno </w:t>
      </w:r>
      <w:r w:rsidRPr="000D6EF2">
        <w:rPr>
          <w:rFonts w:cs="Times New Roman"/>
          <w:iCs/>
        </w:rPr>
        <w:t>del quale</w:t>
      </w:r>
      <w:r w:rsidRPr="000D6EF2">
        <w:rPr>
          <w:rFonts w:cs="Times New Roman"/>
        </w:rPr>
        <w:t xml:space="preserve"> ogni fenomeno ha luogo, piuttosto che le leggi che li guidano, com’è il caso in II.294-309, dove Lucrezio spiega che:</w:t>
      </w:r>
    </w:p>
    <w:p w14:paraId="5B8B735C" w14:textId="77777777" w:rsidR="00E10315" w:rsidRPr="000D6EF2" w:rsidRDefault="00E10315" w:rsidP="00045DD8">
      <w:pPr>
        <w:rPr>
          <w:rFonts w:ascii="Times New Roman" w:hAnsi="Times New Roman" w:cs="Times New Roman"/>
          <w:shd w:val="clear" w:color="auto" w:fill="00FF00"/>
        </w:rPr>
      </w:pPr>
    </w:p>
    <w:p w14:paraId="39EDE44F" w14:textId="351CBC45" w:rsidR="00045DD8" w:rsidRPr="000D6EF2" w:rsidRDefault="00045DD8" w:rsidP="00045DD8">
      <w:pPr>
        <w:widowControl w:val="0"/>
        <w:suppressAutoHyphens w:val="0"/>
        <w:autoSpaceDE w:val="0"/>
        <w:autoSpaceDN w:val="0"/>
        <w:adjustRightInd w:val="0"/>
        <w:spacing w:after="283"/>
        <w:ind w:left="567" w:right="567"/>
        <w:jc w:val="both"/>
        <w:rPr>
          <w:rFonts w:ascii="Times New Roman" w:hAnsi="Times New Roman" w:cs="Times New Roman"/>
          <w:kern w:val="0"/>
          <w:sz w:val="20"/>
          <w:szCs w:val="20"/>
          <w:lang w:val="en-US" w:bidi="ar-SA"/>
        </w:rPr>
      </w:pPr>
      <w:r w:rsidRPr="000D6EF2">
        <w:rPr>
          <w:rFonts w:ascii="Times New Roman" w:hAnsi="Times New Roman" w:cs="Times New Roman"/>
          <w:kern w:val="0"/>
          <w:sz w:val="20"/>
          <w:szCs w:val="20"/>
          <w:lang w:val="en-US" w:bidi="ar-SA"/>
        </w:rPr>
        <w:t>Né fu mai più addensato l’insieme della materia, né inoltre ocn intervalli più grandi; i</w:t>
      </w:r>
      <w:r w:rsidRPr="000D6EF2">
        <w:rPr>
          <w:rFonts w:ascii="Times New Roman" w:hAnsi="Times New Roman" w:cs="Times New Roman"/>
          <w:kern w:val="0"/>
          <w:sz w:val="20"/>
          <w:szCs w:val="20"/>
          <w:lang w:val="en-US" w:bidi="ar-SA"/>
        </w:rPr>
        <w:t>n</w:t>
      </w:r>
      <w:r w:rsidRPr="000D6EF2">
        <w:rPr>
          <w:rFonts w:ascii="Times New Roman" w:hAnsi="Times New Roman" w:cs="Times New Roman"/>
          <w:kern w:val="0"/>
          <w:sz w:val="20"/>
          <w:szCs w:val="20"/>
          <w:lang w:val="en-US" w:bidi="ar-SA"/>
        </w:rPr>
        <w:t>fatti né aumenta di alcunché né diminuisce. Perciò quel moto che ora è ai primi elementi, quello stesso fu loro nel tempo passato, e dopo si muoveranno sempre in modo simile (simili ratione), e le cose che di solito furon gene</w:t>
      </w:r>
      <w:r w:rsidRPr="000D6EF2">
        <w:rPr>
          <w:rFonts w:ascii="Times New Roman" w:hAnsi="Times New Roman" w:cs="Times New Roman"/>
          <w:kern w:val="0"/>
          <w:sz w:val="20"/>
          <w:szCs w:val="20"/>
          <w:lang w:val="en-US" w:bidi="ar-SA"/>
        </w:rPr>
        <w:t>r</w:t>
      </w:r>
      <w:r w:rsidRPr="000D6EF2">
        <w:rPr>
          <w:rFonts w:ascii="Times New Roman" w:hAnsi="Times New Roman" w:cs="Times New Roman"/>
          <w:kern w:val="0"/>
          <w:sz w:val="20"/>
          <w:szCs w:val="20"/>
          <w:lang w:val="en-US" w:bidi="ar-SA"/>
        </w:rPr>
        <w:t>ate nel medesimo modo lo saranno, ed esisteranno e cre</w:t>
      </w:r>
      <w:r w:rsidRPr="000D6EF2">
        <w:rPr>
          <w:rFonts w:ascii="Times New Roman" w:hAnsi="Times New Roman" w:cs="Times New Roman"/>
          <w:kern w:val="0"/>
          <w:sz w:val="20"/>
          <w:szCs w:val="20"/>
          <w:lang w:val="en-US" w:bidi="ar-SA"/>
        </w:rPr>
        <w:t>s</w:t>
      </w:r>
      <w:r w:rsidRPr="000D6EF2">
        <w:rPr>
          <w:rFonts w:ascii="Times New Roman" w:hAnsi="Times New Roman" w:cs="Times New Roman"/>
          <w:kern w:val="0"/>
          <w:sz w:val="20"/>
          <w:szCs w:val="20"/>
          <w:lang w:val="en-US" w:bidi="ar-SA"/>
        </w:rPr>
        <w:t>ceranno e di forza avranno vigore, quanto fu dato a ciascuna attraverso i foedera naturai (quantum cuique datum est per foedera naturai). Né la totalità delle cose alcuna forza può modificare; infatti né, dove possa alcun genere di materia sfuggire dal tutto, vi è completamente alcunché, né donde possa nel tutto una nuova forza, che sia sorta, irrompere e tutta la natura mutare (naturam rerum mutare) e rovesciare i m</w:t>
      </w:r>
      <w:r w:rsidRPr="000D6EF2">
        <w:rPr>
          <w:rFonts w:ascii="Times New Roman" w:hAnsi="Times New Roman" w:cs="Times New Roman"/>
          <w:kern w:val="0"/>
          <w:sz w:val="20"/>
          <w:szCs w:val="20"/>
          <w:lang w:val="en-US" w:bidi="ar-SA"/>
        </w:rPr>
        <w:t>o</w:t>
      </w:r>
      <w:r w:rsidRPr="000D6EF2">
        <w:rPr>
          <w:rFonts w:ascii="Times New Roman" w:hAnsi="Times New Roman" w:cs="Times New Roman"/>
          <w:kern w:val="0"/>
          <w:sz w:val="20"/>
          <w:szCs w:val="20"/>
          <w:lang w:val="en-US" w:bidi="ar-SA"/>
        </w:rPr>
        <w:t>vimenti.</w:t>
      </w:r>
    </w:p>
    <w:p w14:paraId="765C6F41" w14:textId="77777777" w:rsidR="00045DD8" w:rsidRPr="000D6EF2" w:rsidRDefault="00045DD8" w:rsidP="00045DD8">
      <w:pPr>
        <w:rPr>
          <w:rFonts w:ascii="Times New Roman" w:hAnsi="Times New Roman" w:cs="Times New Roman"/>
          <w:shd w:val="clear" w:color="auto" w:fill="00FF00"/>
        </w:rPr>
      </w:pPr>
    </w:p>
    <w:p w14:paraId="0FD56BB0" w14:textId="2A6F7125" w:rsidR="00E10315" w:rsidRPr="000D6EF2" w:rsidRDefault="00196B24">
      <w:pPr>
        <w:pStyle w:val="BodyText"/>
        <w:rPr>
          <w:rFonts w:cs="Times New Roman"/>
        </w:rPr>
      </w:pPr>
      <w:r w:rsidRPr="000D6EF2">
        <w:rPr>
          <w:rFonts w:cs="Times New Roman"/>
        </w:rPr>
        <w:t xml:space="preserve">Qui, ancora una volta, non si dovrebbero personificare i </w:t>
      </w:r>
      <w:r w:rsidRPr="000D6EF2">
        <w:rPr>
          <w:rFonts w:cs="Times New Roman"/>
          <w:i/>
          <w:iCs/>
        </w:rPr>
        <w:t>foedera naturae</w:t>
      </w:r>
      <w:r w:rsidRPr="000D6EF2">
        <w:rPr>
          <w:rFonts w:cs="Times New Roman"/>
        </w:rPr>
        <w:t xml:space="preserve"> pensa</w:t>
      </w:r>
      <w:r w:rsidR="00045DD8" w:rsidRPr="000D6EF2">
        <w:rPr>
          <w:rFonts w:cs="Times New Roman"/>
        </w:rPr>
        <w:t>n</w:t>
      </w:r>
      <w:r w:rsidRPr="000D6EF2">
        <w:rPr>
          <w:rFonts w:cs="Times New Roman"/>
        </w:rPr>
        <w:t xml:space="preserve">doli come principi antropomorfici e normativi che garantiscono o concedono o accordano qualcosa. I </w:t>
      </w:r>
      <w:r w:rsidRPr="000D6EF2">
        <w:rPr>
          <w:rFonts w:cs="Times New Roman"/>
          <w:i/>
          <w:iCs/>
        </w:rPr>
        <w:t xml:space="preserve">foedera </w:t>
      </w:r>
      <w:r w:rsidRPr="000D6EF2">
        <w:rPr>
          <w:rFonts w:cs="Times New Roman"/>
          <w:i/>
          <w:iCs/>
        </w:rPr>
        <w:lastRenderedPageBreak/>
        <w:t xml:space="preserve">naturae </w:t>
      </w:r>
      <w:r w:rsidRPr="000D6EF2">
        <w:rPr>
          <w:rFonts w:cs="Times New Roman"/>
        </w:rPr>
        <w:t>sono piuttosto le manifestazioni di ciò che le cose possono o non possono essere, a seconda delle caratteristiche, della natura e della costituzione atomica che sono stati in grado di riprodurre.</w:t>
      </w:r>
    </w:p>
    <w:p w14:paraId="0990FB8F" w14:textId="457C7A12" w:rsidR="00E10315" w:rsidRPr="000D6EF2" w:rsidRDefault="00196B24">
      <w:pPr>
        <w:pStyle w:val="BodyText"/>
        <w:rPr>
          <w:rFonts w:cs="Times New Roman"/>
        </w:rPr>
      </w:pPr>
      <w:r w:rsidRPr="000D6EF2">
        <w:rPr>
          <w:rFonts w:cs="Times New Roman"/>
        </w:rPr>
        <w:t xml:space="preserve">Il fatto che Lucrezio stia qui ripetendo la lettura di Epicuro </w:t>
      </w:r>
      <w:r w:rsidR="00045DD8" w:rsidRPr="000D6EF2">
        <w:rPr>
          <w:rFonts w:cs="Times New Roman"/>
        </w:rPr>
        <w:t>conforta</w:t>
      </w:r>
      <w:r w:rsidRPr="000D6EF2">
        <w:rPr>
          <w:rFonts w:cs="Times New Roman"/>
        </w:rPr>
        <w:t xml:space="preserve"> la tesi che il poeta latino </w:t>
      </w:r>
      <w:r w:rsidR="00045DD8" w:rsidRPr="000D6EF2">
        <w:rPr>
          <w:rFonts w:cs="Times New Roman"/>
        </w:rPr>
        <w:t xml:space="preserve">stia pensando </w:t>
      </w:r>
      <w:r w:rsidRPr="000D6EF2">
        <w:rPr>
          <w:rFonts w:cs="Times New Roman"/>
        </w:rPr>
        <w:t xml:space="preserve">al principio generale che descrive tutti i corpi </w:t>
      </w:r>
      <w:r w:rsidR="00045DD8" w:rsidRPr="000D6EF2">
        <w:rPr>
          <w:rFonts w:cs="Times New Roman"/>
        </w:rPr>
        <w:t>in modo eguale</w:t>
      </w:r>
      <w:r w:rsidRPr="000D6EF2">
        <w:rPr>
          <w:rStyle w:val="Richiamoallanotaapidipagina"/>
          <w:rFonts w:cs="Times New Roman"/>
        </w:rPr>
        <w:footnoteReference w:id="111"/>
      </w:r>
      <w:r w:rsidRPr="000D6EF2">
        <w:rPr>
          <w:rFonts w:cs="Times New Roman"/>
        </w:rPr>
        <w:t>. Come sottoli</w:t>
      </w:r>
      <w:r w:rsidR="00045DD8" w:rsidRPr="000D6EF2">
        <w:rPr>
          <w:rFonts w:cs="Times New Roman"/>
        </w:rPr>
        <w:t>ne</w:t>
      </w:r>
      <w:r w:rsidRPr="000D6EF2">
        <w:rPr>
          <w:rFonts w:cs="Times New Roman"/>
        </w:rPr>
        <w:t xml:space="preserve">ano Ernout e Robin, ancor più importante è il fatto che i </w:t>
      </w:r>
      <w:r w:rsidRPr="000D6EF2">
        <w:rPr>
          <w:rFonts w:cs="Times New Roman"/>
          <w:i/>
          <w:iCs/>
        </w:rPr>
        <w:t>foedera naturae</w:t>
      </w:r>
      <w:r w:rsidRPr="000D6EF2">
        <w:rPr>
          <w:rFonts w:cs="Times New Roman"/>
        </w:rPr>
        <w:t xml:space="preserve"> siano qui opposti ai </w:t>
      </w:r>
      <w:r w:rsidRPr="000D6EF2">
        <w:rPr>
          <w:rFonts w:cs="Times New Roman"/>
          <w:i/>
          <w:iCs/>
        </w:rPr>
        <w:t>fati foedera</w:t>
      </w:r>
      <w:r w:rsidRPr="000D6EF2">
        <w:rPr>
          <w:rStyle w:val="Richiamoallanotaapidipagina"/>
          <w:rFonts w:cs="Times New Roman"/>
        </w:rPr>
        <w:footnoteReference w:id="112"/>
      </w:r>
      <w:r w:rsidRPr="000D6EF2">
        <w:rPr>
          <w:rFonts w:cs="Times New Roman"/>
        </w:rPr>
        <w:t xml:space="preserve">. I </w:t>
      </w:r>
      <w:r w:rsidRPr="000D6EF2">
        <w:rPr>
          <w:rFonts w:cs="Times New Roman"/>
          <w:i/>
          <w:iCs/>
        </w:rPr>
        <w:t>foedera</w:t>
      </w:r>
      <w:r w:rsidRPr="000D6EF2">
        <w:rPr>
          <w:rFonts w:cs="Times New Roman"/>
        </w:rPr>
        <w:t xml:space="preserve"> della natura non sono leggi inflessibili imposte dal fato, ma la </w:t>
      </w:r>
      <w:r w:rsidRPr="000D6EF2">
        <w:rPr>
          <w:rFonts w:cs="Times New Roman"/>
          <w:i/>
          <w:iCs/>
        </w:rPr>
        <w:t>certa ratio</w:t>
      </w:r>
      <w:r w:rsidRPr="000D6EF2">
        <w:rPr>
          <w:rFonts w:cs="Times New Roman"/>
        </w:rPr>
        <w:t xml:space="preserve"> che esprime la regolarità della natura, in completa assenza di un legislatore personificato nel Fato. </w:t>
      </w:r>
    </w:p>
    <w:p w14:paraId="22971845" w14:textId="77777777" w:rsidR="00045DD8" w:rsidRPr="000D6EF2" w:rsidRDefault="00196B24" w:rsidP="00045DD8">
      <w:pPr>
        <w:pStyle w:val="BodyText"/>
        <w:rPr>
          <w:rFonts w:cs="Times New Roman"/>
        </w:rPr>
      </w:pPr>
      <w:r w:rsidRPr="000D6EF2">
        <w:rPr>
          <w:rFonts w:cs="Times New Roman"/>
        </w:rPr>
        <w:t xml:space="preserve">Al V.55 troviamo una delle occorrenze più importanti di </w:t>
      </w:r>
      <w:r w:rsidRPr="000D6EF2">
        <w:rPr>
          <w:rFonts w:cs="Times New Roman"/>
          <w:i/>
          <w:iCs/>
        </w:rPr>
        <w:t>foedera</w:t>
      </w:r>
      <w:r w:rsidRPr="000D6EF2">
        <w:rPr>
          <w:rFonts w:cs="Times New Roman"/>
        </w:rPr>
        <w:t>:</w:t>
      </w:r>
    </w:p>
    <w:p w14:paraId="003B67C9" w14:textId="77777777" w:rsidR="00045DD8" w:rsidRPr="000D6EF2" w:rsidRDefault="00045DD8" w:rsidP="00045DD8">
      <w:pPr>
        <w:pStyle w:val="BodyText"/>
        <w:rPr>
          <w:rFonts w:cs="Times New Roman"/>
        </w:rPr>
      </w:pPr>
    </w:p>
    <w:p w14:paraId="02094358" w14:textId="644F5A02" w:rsidR="00045DD8" w:rsidRPr="000D6EF2" w:rsidRDefault="00045DD8" w:rsidP="00045DD8">
      <w:pPr>
        <w:widowControl w:val="0"/>
        <w:suppressAutoHyphens w:val="0"/>
        <w:autoSpaceDE w:val="0"/>
        <w:autoSpaceDN w:val="0"/>
        <w:adjustRightInd w:val="0"/>
        <w:spacing w:after="283"/>
        <w:ind w:left="567" w:right="567"/>
        <w:jc w:val="both"/>
        <w:rPr>
          <w:rFonts w:ascii="Times New Roman" w:hAnsi="Times New Roman" w:cs="Times New Roman"/>
          <w:kern w:val="0"/>
          <w:sz w:val="20"/>
          <w:szCs w:val="20"/>
          <w:lang w:val="en-US" w:bidi="ar-SA"/>
        </w:rPr>
      </w:pPr>
      <w:r w:rsidRPr="000D6EF2">
        <w:rPr>
          <w:rFonts w:ascii="Times New Roman" w:hAnsi="Times New Roman" w:cs="Times New Roman"/>
          <w:kern w:val="0"/>
          <w:sz w:val="20"/>
          <w:szCs w:val="20"/>
          <w:lang w:val="en-US" w:bidi="ar-SA"/>
        </w:rPr>
        <w:t>[...] insegno con le mie parole, per quali foedere ogni cosa sia stata creata, in esse quanto sia necessario persistere, e che non sia in grado le forti leggi del tempo (ualeant aeui leges) spezzare.</w:t>
      </w:r>
    </w:p>
    <w:p w14:paraId="386938B9" w14:textId="77777777" w:rsidR="00045DD8" w:rsidRPr="000D6EF2" w:rsidRDefault="00045DD8" w:rsidP="00045DD8">
      <w:pPr>
        <w:pStyle w:val="BodyText"/>
        <w:rPr>
          <w:rFonts w:cs="Times New Roman"/>
        </w:rPr>
      </w:pPr>
    </w:p>
    <w:p w14:paraId="5C198041" w14:textId="61249AA5" w:rsidR="00E10315" w:rsidRPr="000D6EF2" w:rsidRDefault="00196B24" w:rsidP="00045DD8">
      <w:pPr>
        <w:pStyle w:val="BodyText"/>
        <w:rPr>
          <w:rFonts w:cs="Times New Roman"/>
        </w:rPr>
      </w:pPr>
      <w:r w:rsidRPr="000D6EF2">
        <w:rPr>
          <w:rFonts w:cs="Times New Roman"/>
          <w:i/>
          <w:iCs/>
        </w:rPr>
        <w:t xml:space="preserve">Foedera </w:t>
      </w:r>
      <w:r w:rsidRPr="000D6EF2">
        <w:rPr>
          <w:rFonts w:cs="Times New Roman"/>
        </w:rPr>
        <w:t xml:space="preserve">e </w:t>
      </w:r>
      <w:r w:rsidRPr="000D6EF2">
        <w:rPr>
          <w:rFonts w:cs="Times New Roman"/>
          <w:i/>
          <w:iCs/>
        </w:rPr>
        <w:t xml:space="preserve">leges </w:t>
      </w:r>
      <w:r w:rsidRPr="000D6EF2">
        <w:rPr>
          <w:rFonts w:cs="Times New Roman"/>
        </w:rPr>
        <w:t>sono qui vicini ed entrambi fanno riferimento al dominio naturale e alle condizioni</w:t>
      </w:r>
      <w:r w:rsidRPr="000D6EF2">
        <w:rPr>
          <w:rStyle w:val="Richiamoallanotaapidipagina"/>
          <w:rFonts w:cs="Times New Roman"/>
        </w:rPr>
        <w:footnoteReference w:id="113"/>
      </w:r>
      <w:r w:rsidRPr="000D6EF2">
        <w:rPr>
          <w:rFonts w:cs="Times New Roman"/>
        </w:rPr>
        <w:t xml:space="preserve"> e caratteristiche secondo le quali ogni cosa è stata creata e si riproduce, confermando la</w:t>
      </w:r>
      <w:r w:rsidR="00045DD8" w:rsidRPr="000D6EF2">
        <w:rPr>
          <w:rFonts w:cs="Times New Roman"/>
        </w:rPr>
        <w:t xml:space="preserve"> costanza e regolarità</w:t>
      </w:r>
      <w:r w:rsidRPr="000D6EF2">
        <w:rPr>
          <w:rFonts w:cs="Times New Roman"/>
        </w:rPr>
        <w:t xml:space="preserve"> della natura sopra descritte.</w:t>
      </w:r>
    </w:p>
    <w:p w14:paraId="595A1BB9" w14:textId="6BEDD25F" w:rsidR="00E10315" w:rsidRPr="000D6EF2" w:rsidRDefault="00196B24">
      <w:pPr>
        <w:pStyle w:val="BodyText"/>
        <w:rPr>
          <w:rFonts w:cs="Times New Roman"/>
          <w:i/>
          <w:iCs/>
        </w:rPr>
      </w:pPr>
      <w:r w:rsidRPr="000D6EF2">
        <w:rPr>
          <w:rFonts w:cs="Times New Roman"/>
        </w:rPr>
        <w:t xml:space="preserve">Benché il concetto di legge </w:t>
      </w:r>
      <w:r w:rsidR="00045DD8" w:rsidRPr="000D6EF2">
        <w:rPr>
          <w:rFonts w:cs="Times New Roman"/>
        </w:rPr>
        <w:t>di</w:t>
      </w:r>
      <w:r w:rsidRPr="000D6EF2">
        <w:rPr>
          <w:rFonts w:cs="Times New Roman"/>
        </w:rPr>
        <w:t xml:space="preserve"> natura non esista nella cultura antica, Lucrezio utilizza </w:t>
      </w:r>
      <w:r w:rsidRPr="000D6EF2">
        <w:rPr>
          <w:rFonts w:cs="Times New Roman"/>
          <w:i/>
          <w:iCs/>
        </w:rPr>
        <w:t>lex</w:t>
      </w:r>
      <w:r w:rsidRPr="000D6EF2">
        <w:rPr>
          <w:rFonts w:cs="Times New Roman"/>
        </w:rPr>
        <w:t xml:space="preserve"> per il mondo naturale. </w:t>
      </w:r>
      <w:r w:rsidRPr="000D6EF2">
        <w:rPr>
          <w:rFonts w:cs="Times New Roman"/>
          <w:i/>
          <w:iCs/>
        </w:rPr>
        <w:t xml:space="preserve">Lex </w:t>
      </w:r>
      <w:r w:rsidRPr="000D6EF2">
        <w:rPr>
          <w:rFonts w:cs="Times New Roman"/>
        </w:rPr>
        <w:t>compare dieci volte nel poema</w:t>
      </w:r>
      <w:r w:rsidRPr="000D6EF2">
        <w:rPr>
          <w:rStyle w:val="Richiamoallanotaapidipagina"/>
          <w:rFonts w:cs="Times New Roman"/>
        </w:rPr>
        <w:footnoteReference w:id="114"/>
      </w:r>
      <w:r w:rsidRPr="000D6EF2">
        <w:rPr>
          <w:rFonts w:cs="Times New Roman"/>
        </w:rPr>
        <w:t xml:space="preserve">, sette volte per parlare delle leggi umane o di </w:t>
      </w:r>
      <w:r w:rsidR="00045DD8" w:rsidRPr="000D6EF2">
        <w:rPr>
          <w:rFonts w:cs="Times New Roman"/>
        </w:rPr>
        <w:t xml:space="preserve">norme </w:t>
      </w:r>
      <w:r w:rsidRPr="000D6EF2">
        <w:rPr>
          <w:rFonts w:cs="Times New Roman"/>
        </w:rPr>
        <w:t>che riguardan</w:t>
      </w:r>
      <w:r w:rsidR="000D6EF2">
        <w:rPr>
          <w:rFonts w:cs="Times New Roman"/>
        </w:rPr>
        <w:t>o la sfera prettamente giuridica e</w:t>
      </w:r>
      <w:r w:rsidRPr="000D6EF2">
        <w:rPr>
          <w:rFonts w:cs="Times New Roman"/>
        </w:rPr>
        <w:t xml:space="preserve"> solo tre volte in riferimento alla natura o a oggetti naturali. In II.719, </w:t>
      </w:r>
      <w:r w:rsidRPr="000D6EF2">
        <w:rPr>
          <w:rFonts w:cs="Times New Roman"/>
          <w:i/>
          <w:iCs/>
        </w:rPr>
        <w:t>lex</w:t>
      </w:r>
      <w:r w:rsidRPr="000D6EF2">
        <w:rPr>
          <w:rFonts w:cs="Times New Roman"/>
        </w:rPr>
        <w:t xml:space="preserve"> è un sinonimo di </w:t>
      </w:r>
      <w:r w:rsidRPr="000D6EF2">
        <w:rPr>
          <w:rFonts w:cs="Times New Roman"/>
          <w:i/>
          <w:iCs/>
        </w:rPr>
        <w:t xml:space="preserve">ratio </w:t>
      </w:r>
      <w:r w:rsidRPr="000D6EF2">
        <w:rPr>
          <w:rFonts w:cs="Times New Roman"/>
        </w:rPr>
        <w:t xml:space="preserve">e </w:t>
      </w:r>
      <w:r w:rsidRPr="000D6EF2">
        <w:rPr>
          <w:rFonts w:cs="Times New Roman"/>
          <w:iCs/>
        </w:rPr>
        <w:t>tiene</w:t>
      </w:r>
      <w:r w:rsidRPr="000D6EF2">
        <w:rPr>
          <w:rFonts w:cs="Times New Roman"/>
        </w:rPr>
        <w:t xml:space="preserve"> le cose separate mediante i loro limiti</w:t>
      </w:r>
      <w:r w:rsidRPr="000D6EF2">
        <w:rPr>
          <w:rStyle w:val="Richiamoallanotaapidipagina"/>
          <w:rFonts w:cs="Times New Roman"/>
        </w:rPr>
        <w:footnoteReference w:id="115"/>
      </w:r>
      <w:r w:rsidRPr="000D6EF2">
        <w:rPr>
          <w:rFonts w:cs="Times New Roman"/>
        </w:rPr>
        <w:t xml:space="preserve">. In III.687, Lucrezio menziona una legge specifica che si applica inflessibilmente a tutte le cose, </w:t>
      </w:r>
      <w:r w:rsidR="0032163C" w:rsidRPr="000D6EF2">
        <w:rPr>
          <w:rFonts w:cs="Times New Roman"/>
        </w:rPr>
        <w:t>ovvero la «legge di morte»</w:t>
      </w:r>
      <w:r w:rsidRPr="000D6EF2">
        <w:rPr>
          <w:rFonts w:cs="Times New Roman"/>
        </w:rPr>
        <w:t xml:space="preserve"> o </w:t>
      </w:r>
      <w:r w:rsidRPr="000D6EF2">
        <w:rPr>
          <w:rFonts w:cs="Times New Roman"/>
          <w:i/>
          <w:iCs/>
        </w:rPr>
        <w:t>lex leti</w:t>
      </w:r>
      <w:r w:rsidRPr="000D6EF2">
        <w:rPr>
          <w:rFonts w:cs="Times New Roman"/>
        </w:rPr>
        <w:t xml:space="preserve">. L’occorrenza </w:t>
      </w:r>
      <w:r w:rsidR="0032163C" w:rsidRPr="000D6EF2">
        <w:rPr>
          <w:rFonts w:cs="Times New Roman"/>
        </w:rPr>
        <w:t>di</w:t>
      </w:r>
      <w:r w:rsidRPr="000D6EF2">
        <w:rPr>
          <w:rFonts w:cs="Times New Roman"/>
        </w:rPr>
        <w:t xml:space="preserve"> V.55 dovrebbe essere letta, credo, in questa luce, cioè per rispecchiare la</w:t>
      </w:r>
      <w:r w:rsidR="0032163C" w:rsidRPr="000D6EF2">
        <w:rPr>
          <w:rFonts w:cs="Times New Roman"/>
        </w:rPr>
        <w:t xml:space="preserve"> regolarità degli eventi attraverso le epoche, che non possono cambiare, ferme restando le medesime condizioni.</w:t>
      </w:r>
    </w:p>
    <w:p w14:paraId="70E66770" w14:textId="636D06DA" w:rsidR="00E10315" w:rsidRPr="000D6EF2" w:rsidRDefault="00196B24">
      <w:pPr>
        <w:pStyle w:val="BodyText"/>
        <w:rPr>
          <w:rFonts w:cs="Times New Roman"/>
          <w:i/>
          <w:iCs/>
        </w:rPr>
      </w:pPr>
      <w:r w:rsidRPr="000D6EF2">
        <w:rPr>
          <w:rFonts w:cs="Times New Roman"/>
        </w:rPr>
        <w:t xml:space="preserve">Ritengo che sia oltremodo importante che Lucrezio associ qui </w:t>
      </w:r>
      <w:r w:rsidRPr="000D6EF2">
        <w:rPr>
          <w:rFonts w:cs="Times New Roman"/>
          <w:i/>
          <w:iCs/>
        </w:rPr>
        <w:t xml:space="preserve">leges </w:t>
      </w:r>
      <w:r w:rsidRPr="000D6EF2">
        <w:rPr>
          <w:rFonts w:cs="Times New Roman"/>
        </w:rPr>
        <w:t>e</w:t>
      </w:r>
      <w:r w:rsidRPr="000D6EF2">
        <w:rPr>
          <w:rFonts w:cs="Times New Roman"/>
          <w:i/>
          <w:iCs/>
        </w:rPr>
        <w:t xml:space="preserve"> foedera. </w:t>
      </w:r>
      <w:r w:rsidRPr="000D6EF2">
        <w:rPr>
          <w:rFonts w:cs="Times New Roman"/>
        </w:rPr>
        <w:t xml:space="preserve">Ernout e Robin segnalano due esempi rilevanti: le </w:t>
      </w:r>
      <w:r w:rsidRPr="000D6EF2">
        <w:rPr>
          <w:rFonts w:cs="Times New Roman"/>
          <w:i/>
          <w:iCs/>
        </w:rPr>
        <w:t>Georgiche</w:t>
      </w:r>
      <w:r w:rsidRPr="000D6EF2">
        <w:rPr>
          <w:rFonts w:cs="Times New Roman"/>
        </w:rPr>
        <w:t xml:space="preserve"> di Virgilio I.60:</w:t>
      </w:r>
      <w:r w:rsidR="00FD50DA" w:rsidRPr="000D6EF2">
        <w:rPr>
          <w:rFonts w:cs="Times New Roman"/>
        </w:rPr>
        <w:t xml:space="preserve"> «</w:t>
      </w:r>
      <w:r w:rsidR="00FD50DA" w:rsidRPr="000D6EF2">
        <w:rPr>
          <w:rFonts w:cs="Times New Roman"/>
          <w:kern w:val="0"/>
          <w:lang w:val="en-US" w:bidi="ar-SA"/>
        </w:rPr>
        <w:t>Iamque irae patuere deum, manifestaque belli signa dedit mundus, legesque et foedera rerum praescia monstrifero vertit natura tumultu indixitque nefas</w:t>
      </w:r>
      <w:r w:rsidR="00FD50DA" w:rsidRPr="000D6EF2">
        <w:rPr>
          <w:rFonts w:cs="Times New Roman"/>
        </w:rPr>
        <w:t>» e Lucano</w:t>
      </w:r>
      <w:r w:rsidR="00FD50DA" w:rsidRPr="000D6EF2">
        <w:rPr>
          <w:rFonts w:cs="Times New Roman"/>
          <w:lang w:val="en-GB"/>
        </w:rPr>
        <w:t>: «Iamque irae patuere deum, manifestaque belli signa dedit mundus, legesque et foedera rerum praescia monstrifero vertit natura tumultu indixitque nefas».</w:t>
      </w:r>
      <w:r w:rsidR="00FD50DA" w:rsidRPr="000D6EF2">
        <w:rPr>
          <w:rStyle w:val="FootnoteReference"/>
          <w:rFonts w:cs="Times New Roman"/>
        </w:rPr>
        <w:footnoteReference w:id="116"/>
      </w:r>
      <w:r w:rsidRPr="000D6EF2">
        <w:rPr>
          <w:rFonts w:cs="Times New Roman"/>
        </w:rPr>
        <w:t xml:space="preserve"> Il riferimento a Lucano è davvero importante per la nostra ricerca, a causa del ruolo giocato dalla mostruosità nel rompere i </w:t>
      </w:r>
      <w:r w:rsidRPr="000D6EF2">
        <w:rPr>
          <w:rFonts w:cs="Times New Roman"/>
          <w:i/>
          <w:iCs/>
        </w:rPr>
        <w:t>foedera rerum legesque</w:t>
      </w:r>
      <w:r w:rsidRPr="000D6EF2">
        <w:rPr>
          <w:rFonts w:cs="Times New Roman"/>
        </w:rPr>
        <w:t>; l’universo mostra così di essere in guerra</w:t>
      </w:r>
      <w:r w:rsidRPr="000D6EF2">
        <w:rPr>
          <w:rStyle w:val="Richiamoallanotaapidipagina"/>
          <w:rFonts w:cs="Times New Roman"/>
        </w:rPr>
        <w:footnoteReference w:id="117"/>
      </w:r>
      <w:r w:rsidRPr="000D6EF2">
        <w:rPr>
          <w:rFonts w:cs="Times New Roman"/>
        </w:rPr>
        <w:t xml:space="preserve">. Lucrezio, però, segue una strada del tutto diversa per sostenere la natura immutabile dei </w:t>
      </w:r>
      <w:r w:rsidRPr="000D6EF2">
        <w:rPr>
          <w:rFonts w:cs="Times New Roman"/>
          <w:i/>
          <w:iCs/>
        </w:rPr>
        <w:t>foedera</w:t>
      </w:r>
      <w:r w:rsidRPr="000D6EF2">
        <w:rPr>
          <w:rFonts w:cs="Times New Roman"/>
        </w:rPr>
        <w:t xml:space="preserve">. Importante, di nuovo, è che questa immutabilità non </w:t>
      </w:r>
      <w:r w:rsidR="00FD50DA" w:rsidRPr="000D6EF2">
        <w:rPr>
          <w:rFonts w:cs="Times New Roman"/>
        </w:rPr>
        <w:t>provenga</w:t>
      </w:r>
      <w:r w:rsidRPr="000D6EF2">
        <w:rPr>
          <w:rFonts w:cs="Times New Roman"/>
        </w:rPr>
        <w:t xml:space="preserve"> dall’alto, come se Lucrezio stesse semplic</w:t>
      </w:r>
      <w:r w:rsidR="00FD50DA" w:rsidRPr="000D6EF2">
        <w:rPr>
          <w:rFonts w:cs="Times New Roman"/>
        </w:rPr>
        <w:t>e</w:t>
      </w:r>
      <w:r w:rsidRPr="000D6EF2">
        <w:rPr>
          <w:rFonts w:cs="Times New Roman"/>
        </w:rPr>
        <w:t>mente invertendo l’intenzione di Lucano: mentre per Lucano le leggi dell’universo possono essere stravolte, Lucrezio vede la</w:t>
      </w:r>
      <w:r w:rsidR="00FD50DA" w:rsidRPr="000D6EF2">
        <w:rPr>
          <w:rFonts w:cs="Times New Roman"/>
        </w:rPr>
        <w:t xml:space="preserve"> regolarità</w:t>
      </w:r>
      <w:r w:rsidRPr="000D6EF2">
        <w:rPr>
          <w:rFonts w:cs="Times New Roman"/>
        </w:rPr>
        <w:t xml:space="preserve"> immanente della natura.</w:t>
      </w:r>
    </w:p>
    <w:p w14:paraId="521B2EB8" w14:textId="412DBE9E" w:rsidR="00E10315" w:rsidRPr="000D6EF2" w:rsidRDefault="00196B24">
      <w:pPr>
        <w:pStyle w:val="BodyText"/>
        <w:rPr>
          <w:rFonts w:cs="Times New Roman"/>
          <w:i/>
          <w:iCs/>
        </w:rPr>
      </w:pPr>
      <w:r w:rsidRPr="000D6EF2">
        <w:rPr>
          <w:rFonts w:cs="Times New Roman"/>
        </w:rPr>
        <w:lastRenderedPageBreak/>
        <w:t>De Lacy porpone</w:t>
      </w:r>
      <w:r w:rsidR="00FD50DA" w:rsidRPr="000D6EF2">
        <w:rPr>
          <w:rFonts w:cs="Times New Roman"/>
        </w:rPr>
        <w:t xml:space="preserve"> Polistrato</w:t>
      </w:r>
      <w:r w:rsidRPr="000D6EF2">
        <w:rPr>
          <w:rFonts w:cs="Times New Roman"/>
        </w:rPr>
        <w:t xml:space="preserve"> come altra possibile fonte epicurea per la formualazione lucreziana del concetto di </w:t>
      </w:r>
      <w:r w:rsidRPr="000D6EF2">
        <w:rPr>
          <w:rFonts w:cs="Times New Roman"/>
          <w:i/>
          <w:iCs/>
        </w:rPr>
        <w:t>foedera</w:t>
      </w:r>
      <w:r w:rsidRPr="000D6EF2">
        <w:rPr>
          <w:rStyle w:val="Richiamoallanotaapidipagina"/>
          <w:rFonts w:cs="Times New Roman"/>
        </w:rPr>
        <w:footnoteReference w:id="118"/>
      </w:r>
      <w:r w:rsidRPr="000D6EF2">
        <w:rPr>
          <w:rFonts w:cs="Times New Roman"/>
        </w:rPr>
        <w:t xml:space="preserve">. Il suo significato, tuttavia, si fonda sul tentativo epicureo di dare una fondazione immanente alla natura, distinguendo le cose che sono possibili (δυνατὰ) da quelle che sono impossibili (μὴ [δυ]νατὰ). Anche Salem è d’accordo con questa lettura e sottolinea l’idea che la variazione dei fenomeni naturali, la </w:t>
      </w:r>
      <w:r w:rsidRPr="000D6EF2">
        <w:rPr>
          <w:rFonts w:cs="Times New Roman"/>
          <w:lang w:val="en-GB"/>
        </w:rPr>
        <w:t>παραλλαγή</w:t>
      </w:r>
      <w:r w:rsidRPr="000D6EF2">
        <w:rPr>
          <w:rFonts w:cs="Times New Roman"/>
        </w:rPr>
        <w:t>, può accadere solo entro determinati limiti fisici e immutabili</w:t>
      </w:r>
      <w:r w:rsidRPr="000D6EF2">
        <w:rPr>
          <w:rStyle w:val="Richiamoallanotaapidipagina"/>
          <w:rFonts w:cs="Times New Roman"/>
        </w:rPr>
        <w:footnoteReference w:id="119"/>
      </w:r>
      <w:r w:rsidRPr="000D6EF2">
        <w:rPr>
          <w:rFonts w:cs="Times New Roman"/>
        </w:rPr>
        <w:t xml:space="preserve">. Ogni fenomeno naturale può accadere solo tra un minimo e un massimo, </w:t>
      </w:r>
      <w:r w:rsidR="00FD50DA" w:rsidRPr="000D6EF2">
        <w:rPr>
          <w:rFonts w:cs="Times New Roman"/>
        </w:rPr>
        <w:t xml:space="preserve">entro </w:t>
      </w:r>
      <w:r w:rsidRPr="000D6EF2">
        <w:rPr>
          <w:rFonts w:cs="Times New Roman"/>
        </w:rPr>
        <w:t>i quali la fisica è</w:t>
      </w:r>
      <w:r w:rsidR="00FD50DA" w:rsidRPr="000D6EF2">
        <w:rPr>
          <w:rFonts w:cs="Times New Roman"/>
        </w:rPr>
        <w:t xml:space="preserve"> circoscritta,</w:t>
      </w:r>
      <w:r w:rsidRPr="000D6EF2">
        <w:rPr>
          <w:rFonts w:cs="Times New Roman"/>
        </w:rPr>
        <w:t xml:space="preserve"> </w:t>
      </w:r>
      <w:r w:rsidR="00FD50DA" w:rsidRPr="000D6EF2">
        <w:rPr>
          <w:rFonts w:cs="Times New Roman"/>
        </w:rPr>
        <w:t xml:space="preserve">nei «limiti ontologici» </w:t>
      </w:r>
      <w:r w:rsidRPr="000D6EF2">
        <w:rPr>
          <w:rFonts w:cs="Times New Roman"/>
        </w:rPr>
        <w:t xml:space="preserve">o </w:t>
      </w:r>
      <w:r w:rsidR="00FD50DA" w:rsidRPr="000D6EF2">
        <w:rPr>
          <w:rFonts w:cs="Times New Roman"/>
        </w:rPr>
        <w:t xml:space="preserve">nelle </w:t>
      </w:r>
      <w:r w:rsidRPr="000D6EF2">
        <w:rPr>
          <w:rFonts w:cs="Times New Roman"/>
        </w:rPr>
        <w:t>impossibilità metafisiche</w:t>
      </w:r>
      <w:r w:rsidRPr="000D6EF2">
        <w:rPr>
          <w:rStyle w:val="Richiamoallanotaapidipagina"/>
          <w:rFonts w:cs="Times New Roman"/>
        </w:rPr>
        <w:footnoteReference w:id="120"/>
      </w:r>
      <w:r w:rsidRPr="000D6EF2">
        <w:rPr>
          <w:rFonts w:cs="Times New Roman"/>
        </w:rPr>
        <w:t xml:space="preserve">. Un esempio di variazione possibile sarebbe la somiglianza di un figlio ai propri genitori, a uno dei due, quando abbia prevalso il seme dell’uno o dell’altro, o ad entrambi </w:t>
      </w:r>
      <w:r w:rsidRPr="000D6EF2">
        <w:rPr>
          <w:rFonts w:cs="Times New Roman"/>
          <w:i/>
          <w:iCs/>
        </w:rPr>
        <w:t xml:space="preserve">utriusque figurae, </w:t>
      </w:r>
      <w:r w:rsidRPr="000D6EF2">
        <w:rPr>
          <w:rFonts w:cs="Times New Roman"/>
        </w:rPr>
        <w:t>quando nessuno dei due semi abbia avuto la meglio</w:t>
      </w:r>
      <w:r w:rsidRPr="000D6EF2">
        <w:rPr>
          <w:rStyle w:val="Richiamoallanotaapidipagina"/>
          <w:rFonts w:cs="Times New Roman"/>
        </w:rPr>
        <w:footnoteReference w:id="121"/>
      </w:r>
      <w:r w:rsidRPr="000D6EF2">
        <w:rPr>
          <w:rFonts w:cs="Times New Roman"/>
        </w:rPr>
        <w:t xml:space="preserve">. </w:t>
      </w:r>
    </w:p>
    <w:p w14:paraId="77DC2C92" w14:textId="2550B639" w:rsidR="00E10315" w:rsidRPr="000D6EF2" w:rsidRDefault="00196B24">
      <w:pPr>
        <w:pStyle w:val="BodyText"/>
        <w:rPr>
          <w:rFonts w:cs="Times New Roman"/>
          <w:i/>
          <w:iCs/>
        </w:rPr>
      </w:pPr>
      <w:r w:rsidRPr="000D6EF2">
        <w:rPr>
          <w:rFonts w:cs="Times New Roman"/>
        </w:rPr>
        <w:t xml:space="preserve">L’argomento della somiglianza del figlio è stato usato anche da Aristotele, come esempio di mostruosità minore: all’interno dello schema teleologico, il bambino </w:t>
      </w:r>
      <w:r w:rsidRPr="000D6EF2">
        <w:rPr>
          <w:rFonts w:cs="Times New Roman"/>
          <w:i/>
          <w:iCs/>
        </w:rPr>
        <w:t>dovrebbe</w:t>
      </w:r>
      <w:r w:rsidRPr="000D6EF2">
        <w:rPr>
          <w:rFonts w:cs="Times New Roman"/>
        </w:rPr>
        <w:t xml:space="preserve"> assomigliare ai propri genitori. Ogni volta che ciò non accade, i bambini sono, in una certa misura, mostruosi</w:t>
      </w:r>
      <w:r w:rsidRPr="000D6EF2">
        <w:rPr>
          <w:rStyle w:val="Richiamoallanotaapidipagina"/>
          <w:rFonts w:cs="Times New Roman"/>
        </w:rPr>
        <w:footnoteReference w:id="122"/>
      </w:r>
      <w:r w:rsidRPr="000D6EF2">
        <w:rPr>
          <w:rFonts w:cs="Times New Roman"/>
        </w:rPr>
        <w:t>.</w:t>
      </w:r>
      <w:r w:rsidR="00A14345" w:rsidRPr="000D6EF2">
        <w:rPr>
          <w:rFonts w:cs="Times New Roman"/>
        </w:rPr>
        <w:t xml:space="preserve"> </w:t>
      </w:r>
      <w:r w:rsidRPr="000D6EF2">
        <w:rPr>
          <w:rFonts w:cs="Times New Roman"/>
        </w:rPr>
        <w:t xml:space="preserve">Ritengo che gli epicurei inquadrino la stessa tesi in una cornice completamente diversa, determinata materialmente e fisicamente dalle dinamiche meccaniche di mescolamento dei semi, evitando così ogni ricorso alla teleologia. Ancora una volta, quindi, i limiti non devono essere visti come leggi che governano dall’alto, e ancor meno come limiti metafisici, ma piuttosto come l’espressione di ciò che la natura diviene, seguendo solo le dinamiche meccaniche e nessun altro principio normativo. </w:t>
      </w:r>
    </w:p>
    <w:p w14:paraId="54A6D42D" w14:textId="2A561139" w:rsidR="00E10315" w:rsidRPr="000D6EF2" w:rsidRDefault="00196B24">
      <w:pPr>
        <w:pStyle w:val="BodyText"/>
        <w:rPr>
          <w:rFonts w:cs="Times New Roman"/>
          <w:i/>
          <w:iCs/>
        </w:rPr>
      </w:pPr>
      <w:r w:rsidRPr="000D6EF2">
        <w:rPr>
          <w:rFonts w:cs="Times New Roman"/>
        </w:rPr>
        <w:t>De Lacy sottolinea che questi limiti permettono anche una certa libertà di variazione al loro interno, ovvero tra il minimo e il massimo</w:t>
      </w:r>
      <w:r w:rsidR="00A14345" w:rsidRPr="000D6EF2">
        <w:rPr>
          <w:rFonts w:cs="Times New Roman"/>
        </w:rPr>
        <w:t>,</w:t>
      </w:r>
      <w:r w:rsidRPr="000D6EF2">
        <w:rPr>
          <w:rFonts w:cs="Times New Roman"/>
        </w:rPr>
        <w:t xml:space="preserve"> e la collega al </w:t>
      </w:r>
      <w:r w:rsidRPr="000D6EF2">
        <w:rPr>
          <w:rFonts w:cs="Times New Roman"/>
          <w:i/>
          <w:iCs/>
        </w:rPr>
        <w:t>clinamen</w:t>
      </w:r>
      <w:r w:rsidR="00A14345" w:rsidRPr="000D6EF2">
        <w:rPr>
          <w:rFonts w:cs="Times New Roman"/>
        </w:rPr>
        <w:t>. «</w:t>
      </w:r>
      <w:r w:rsidRPr="000D6EF2">
        <w:rPr>
          <w:rFonts w:cs="Times New Roman"/>
        </w:rPr>
        <w:t>Ma anche la</w:t>
      </w:r>
      <w:r w:rsidR="00A14345" w:rsidRPr="000D6EF2">
        <w:rPr>
          <w:rFonts w:cs="Times New Roman"/>
        </w:rPr>
        <w:t xml:space="preserve"> deviazione – </w:t>
      </w:r>
      <w:r w:rsidRPr="000D6EF2">
        <w:rPr>
          <w:rFonts w:cs="Times New Roman"/>
        </w:rPr>
        <w:t>a</w:t>
      </w:r>
      <w:r w:rsidR="00A14345" w:rsidRPr="000D6EF2">
        <w:rPr>
          <w:rFonts w:cs="Times New Roman"/>
        </w:rPr>
        <w:t xml:space="preserve">ggiunge – </w:t>
      </w:r>
      <w:r w:rsidRPr="000D6EF2">
        <w:rPr>
          <w:rFonts w:cs="Times New Roman"/>
        </w:rPr>
        <w:t>ha un limite: non può essere più del minimo (Lucr. 2.244). Le sue conseguenze non devono distruggere i limiti fissi del processo naturale ma può solo aggiungere una variazione all’interno di questi limiti</w:t>
      </w:r>
      <w:r w:rsidR="00A14345" w:rsidRPr="000D6EF2">
        <w:rPr>
          <w:rFonts w:cs="Times New Roman"/>
        </w:rPr>
        <w:t>»</w:t>
      </w:r>
      <w:r w:rsidRPr="000D6EF2">
        <w:rPr>
          <w:rStyle w:val="Richiamoallanotaapidipagina"/>
          <w:rFonts w:cs="Times New Roman"/>
        </w:rPr>
        <w:footnoteReference w:id="123"/>
      </w:r>
      <w:r w:rsidRPr="000D6EF2">
        <w:rPr>
          <w:rFonts w:cs="Times New Roman"/>
        </w:rPr>
        <w:t xml:space="preserve">. La deviazione ha sicuramente i suoi limiti, come </w:t>
      </w:r>
      <w:r w:rsidR="00A14345" w:rsidRPr="000D6EF2">
        <w:rPr>
          <w:rFonts w:cs="Times New Roman"/>
        </w:rPr>
        <w:t>qualunque</w:t>
      </w:r>
      <w:r w:rsidRPr="000D6EF2">
        <w:rPr>
          <w:rFonts w:cs="Times New Roman"/>
        </w:rPr>
        <w:t xml:space="preserve"> altra cosa in natura. Chi stabilisce questi limiti, però? Cosa significa che </w:t>
      </w:r>
      <w:r w:rsidRPr="000D6EF2">
        <w:rPr>
          <w:rFonts w:cs="Times New Roman"/>
          <w:i/>
          <w:iCs/>
        </w:rPr>
        <w:t xml:space="preserve">deve </w:t>
      </w:r>
      <w:r w:rsidRPr="000D6EF2">
        <w:rPr>
          <w:rFonts w:cs="Times New Roman"/>
        </w:rPr>
        <w:t xml:space="preserve">essere in un certo modo e non in un altro? Non un legislatore della Natura, credo, ma la materia stessa, spontaneamente organizzata all’origine del mondo, che </w:t>
      </w:r>
      <w:r w:rsidRPr="000D6EF2">
        <w:rPr>
          <w:rFonts w:cs="Times New Roman"/>
          <w:i/>
          <w:iCs/>
        </w:rPr>
        <w:t>quindi</w:t>
      </w:r>
      <w:r w:rsidRPr="000D6EF2">
        <w:rPr>
          <w:rFonts w:cs="Times New Roman"/>
        </w:rPr>
        <w:t xml:space="preserve"> ora opera in una determinata maniera. La parola “leggi” non chiarisce, ma piuttosto confonde, il senso della radicale immanenza che Lucrezio consapevolmente oppone, scegliendo accuratamente</w:t>
      </w:r>
      <w:r w:rsidRPr="000D6EF2">
        <w:rPr>
          <w:rFonts w:cs="Times New Roman"/>
          <w:i/>
          <w:iCs/>
        </w:rPr>
        <w:t xml:space="preserve"> foedus</w:t>
      </w:r>
      <w:r w:rsidRPr="000D6EF2">
        <w:rPr>
          <w:rFonts w:cs="Times New Roman"/>
        </w:rPr>
        <w:t>,</w:t>
      </w:r>
      <w:r w:rsidRPr="000D6EF2">
        <w:rPr>
          <w:rFonts w:cs="Times New Roman"/>
          <w:i/>
          <w:iCs/>
        </w:rPr>
        <w:t xml:space="preserve"> </w:t>
      </w:r>
      <w:r w:rsidRPr="000D6EF2">
        <w:rPr>
          <w:rFonts w:cs="Times New Roman"/>
        </w:rPr>
        <w:t xml:space="preserve">alla normatività trascendente dei sistemi filosofici alternativi. </w:t>
      </w:r>
    </w:p>
    <w:p w14:paraId="1F2694FF" w14:textId="1AFECE65" w:rsidR="00E10315" w:rsidRPr="000D6EF2" w:rsidRDefault="00196B24">
      <w:pPr>
        <w:pStyle w:val="BodyText"/>
        <w:rPr>
          <w:rFonts w:cs="Times New Roman"/>
          <w:i/>
          <w:iCs/>
        </w:rPr>
      </w:pPr>
      <w:r w:rsidRPr="000D6EF2">
        <w:rPr>
          <w:rFonts w:cs="Times New Roman"/>
        </w:rPr>
        <w:t>Questa è la ragione per la quale anche il fato può ora trasformarsi nelle mani di Lucrezio</w:t>
      </w:r>
      <w:r w:rsidR="00A14345" w:rsidRPr="000D6EF2">
        <w:rPr>
          <w:rFonts w:cs="Times New Roman"/>
        </w:rPr>
        <w:t>: «</w:t>
      </w:r>
      <w:r w:rsidR="00A14345" w:rsidRPr="000D6EF2">
        <w:rPr>
          <w:rFonts w:cs="Times New Roman"/>
          <w:kern w:val="0"/>
          <w:lang w:val="en-US" w:bidi="ar-SA"/>
        </w:rPr>
        <w:t>[...] anche le pietre esser vinte non vedi dal tempo, le alte torri crollare e finir in polvere le rocce, i templi degli dèi e le statue sfiniti screpolarsi, e il santo nume del fato i termini (</w:t>
      </w:r>
      <w:r w:rsidR="00A14345" w:rsidRPr="000D6EF2">
        <w:rPr>
          <w:rFonts w:cs="Times New Roman"/>
          <w:i/>
          <w:iCs/>
          <w:kern w:val="0"/>
          <w:lang w:val="en-US" w:bidi="ar-SA"/>
        </w:rPr>
        <w:t>finis</w:t>
      </w:r>
      <w:r w:rsidR="00A14345" w:rsidRPr="000D6EF2">
        <w:rPr>
          <w:rFonts w:cs="Times New Roman"/>
          <w:kern w:val="0"/>
          <w:lang w:val="en-US" w:bidi="ar-SA"/>
        </w:rPr>
        <w:t xml:space="preserve">) non poter prolungare e contro i </w:t>
      </w:r>
      <w:r w:rsidR="00A14345" w:rsidRPr="000D6EF2">
        <w:rPr>
          <w:rFonts w:cs="Times New Roman"/>
          <w:i/>
          <w:iCs/>
          <w:kern w:val="0"/>
          <w:lang w:val="en-US" w:bidi="ar-SA"/>
        </w:rPr>
        <w:t xml:space="preserve">naturae foedera </w:t>
      </w:r>
      <w:r w:rsidR="00A14345" w:rsidRPr="000D6EF2">
        <w:rPr>
          <w:rFonts w:cs="Times New Roman"/>
          <w:kern w:val="0"/>
          <w:lang w:val="en-US" w:bidi="ar-SA"/>
        </w:rPr>
        <w:t>sforzarsi?</w:t>
      </w:r>
      <w:r w:rsidR="00A14345" w:rsidRPr="000D6EF2">
        <w:rPr>
          <w:rFonts w:cs="Times New Roman"/>
        </w:rPr>
        <w:t>».</w:t>
      </w:r>
      <w:r w:rsidRPr="000D6EF2">
        <w:rPr>
          <w:rStyle w:val="Richiamoallanotaapidipagina"/>
          <w:rFonts w:cs="Times New Roman"/>
        </w:rPr>
        <w:footnoteReference w:id="124"/>
      </w:r>
      <w:r w:rsidRPr="000D6EF2">
        <w:rPr>
          <w:rFonts w:cs="Times New Roman"/>
        </w:rPr>
        <w:t xml:space="preserve"> Il fato e i </w:t>
      </w:r>
      <w:r w:rsidRPr="000D6EF2">
        <w:rPr>
          <w:rFonts w:cs="Times New Roman"/>
          <w:i/>
          <w:iCs/>
        </w:rPr>
        <w:t>foedera</w:t>
      </w:r>
      <w:r w:rsidRPr="000D6EF2">
        <w:rPr>
          <w:rFonts w:cs="Times New Roman"/>
        </w:rPr>
        <w:t xml:space="preserve"> stanno qui dalla stessa parte, una </w:t>
      </w:r>
      <w:r w:rsidR="00A14345" w:rsidRPr="000D6EF2">
        <w:rPr>
          <w:rFonts w:cs="Times New Roman"/>
        </w:rPr>
        <w:t xml:space="preserve">muraglia </w:t>
      </w:r>
      <w:r w:rsidRPr="000D6EF2">
        <w:rPr>
          <w:rFonts w:cs="Times New Roman"/>
        </w:rPr>
        <w:t>i</w:t>
      </w:r>
      <w:r w:rsidR="00A14345" w:rsidRPr="000D6EF2">
        <w:rPr>
          <w:rFonts w:cs="Times New Roman"/>
        </w:rPr>
        <w:t>n</w:t>
      </w:r>
      <w:r w:rsidRPr="000D6EF2">
        <w:rPr>
          <w:rFonts w:cs="Times New Roman"/>
        </w:rPr>
        <w:t>valicabile contro la supersitizione religiosa: metaforicamente, contro il suo</w:t>
      </w:r>
      <w:r w:rsidR="00A14345" w:rsidRPr="000D6EF2">
        <w:rPr>
          <w:rFonts w:cs="Times New Roman"/>
        </w:rPr>
        <w:t xml:space="preserve"> preteso</w:t>
      </w:r>
      <w:r w:rsidRPr="000D6EF2">
        <w:rPr>
          <w:rFonts w:cs="Times New Roman"/>
        </w:rPr>
        <w:t xml:space="preserve"> </w:t>
      </w:r>
      <w:r w:rsidRPr="000D6EF2">
        <w:rPr>
          <w:rFonts w:cs="Times New Roman"/>
          <w:i/>
          <w:iCs/>
        </w:rPr>
        <w:lastRenderedPageBreak/>
        <w:t>sanctum numen</w:t>
      </w:r>
      <w:r w:rsidRPr="000D6EF2">
        <w:rPr>
          <w:rFonts w:cs="Times New Roman"/>
        </w:rPr>
        <w:t xml:space="preserve"> e</w:t>
      </w:r>
      <w:r w:rsidR="00A14345" w:rsidRPr="000D6EF2">
        <w:rPr>
          <w:rFonts w:cs="Times New Roman"/>
        </w:rPr>
        <w:t>,</w:t>
      </w:r>
      <w:r w:rsidRPr="000D6EF2">
        <w:rPr>
          <w:rFonts w:cs="Times New Roman"/>
        </w:rPr>
        <w:t xml:space="preserve"> fisicamente, contro la resistenza materiale dei suoi templi, le cui rocce, come qualunque altra cosa, un giorno crolleranno al suolo. </w:t>
      </w:r>
    </w:p>
    <w:p w14:paraId="262EBB87" w14:textId="77777777" w:rsidR="00E10315" w:rsidRPr="000D6EF2" w:rsidRDefault="00196B24">
      <w:pPr>
        <w:pStyle w:val="BodyText"/>
        <w:rPr>
          <w:rFonts w:cs="Times New Roman"/>
          <w:i/>
          <w:iCs/>
        </w:rPr>
      </w:pPr>
      <w:r w:rsidRPr="000D6EF2">
        <w:rPr>
          <w:rFonts w:cs="Times New Roman"/>
        </w:rPr>
        <w:t xml:space="preserve">È seguendo questo percorso che Lucrezio porta il lettore all’argomento dei mostri in V.907-24. Solo alcuni di loro, come sappiamo, sono stati prodotti dalla terra, ma non quelli misti, </w:t>
      </w:r>
      <w:r w:rsidRPr="000D6EF2">
        <w:rPr>
          <w:rFonts w:cs="Times New Roman"/>
          <w:i/>
          <w:iCs/>
        </w:rPr>
        <w:t>inter se complexa</w:t>
      </w:r>
      <w:r w:rsidRPr="000D6EF2">
        <w:rPr>
          <w:rFonts w:cs="Times New Roman"/>
        </w:rPr>
        <w:t xml:space="preserve">, come i centauri e le chimere. Tutti gli animali, anche quelli prodotti dalla terra all’inizio, procedono </w:t>
      </w:r>
      <w:r w:rsidRPr="000D6EF2">
        <w:rPr>
          <w:rFonts w:cs="Times New Roman"/>
          <w:i/>
          <w:iCs/>
        </w:rPr>
        <w:t>suo ritu</w:t>
      </w:r>
      <w:r w:rsidRPr="000D6EF2">
        <w:rPr>
          <w:rFonts w:cs="Times New Roman"/>
        </w:rPr>
        <w:t xml:space="preserve"> e si distinguono dagli altri secondo i </w:t>
      </w:r>
      <w:r w:rsidRPr="000D6EF2">
        <w:rPr>
          <w:rFonts w:cs="Times New Roman"/>
          <w:i/>
          <w:iCs/>
        </w:rPr>
        <w:t>foedera naturae</w:t>
      </w:r>
      <w:r w:rsidRPr="000D6EF2">
        <w:rPr>
          <w:rFonts w:cs="Times New Roman"/>
        </w:rPr>
        <w:t>: principio immanente di distinzione, regolarità e combinazione.</w:t>
      </w:r>
    </w:p>
    <w:p w14:paraId="69DCE90E" w14:textId="03400EA0" w:rsidR="00E10315" w:rsidRPr="000D6EF2" w:rsidRDefault="00196B24">
      <w:pPr>
        <w:pStyle w:val="BodyText"/>
        <w:rPr>
          <w:rFonts w:cs="Times New Roman"/>
          <w:i/>
          <w:iCs/>
        </w:rPr>
      </w:pPr>
      <w:r w:rsidRPr="000D6EF2">
        <w:rPr>
          <w:rFonts w:cs="Times New Roman"/>
        </w:rPr>
        <w:t xml:space="preserve">L’idea di “legge” o “limite” </w:t>
      </w:r>
      <w:r w:rsidRPr="000D6EF2">
        <w:rPr>
          <w:rFonts w:cs="Times New Roman"/>
          <w:i/>
          <w:iCs/>
        </w:rPr>
        <w:t>imposta</w:t>
      </w:r>
      <w:r w:rsidRPr="000D6EF2">
        <w:rPr>
          <w:rFonts w:cs="Times New Roman"/>
        </w:rPr>
        <w:t xml:space="preserve"> dalla natura o dal fato mi sembra troppo rigida per i </w:t>
      </w:r>
      <w:r w:rsidRPr="000D6EF2">
        <w:rPr>
          <w:rFonts w:cs="Times New Roman"/>
          <w:i/>
          <w:iCs/>
        </w:rPr>
        <w:t>foedera naturae</w:t>
      </w:r>
      <w:r w:rsidRPr="000D6EF2">
        <w:rPr>
          <w:rFonts w:cs="Times New Roman"/>
        </w:rPr>
        <w:t xml:space="preserve"> e la possibilità, più che la necessità, dei mostri all’inizio del mondo ne è testimone. I sensi più significativi menzionati dall’OLD suggeriscono l’idea di un certo criterio che definisce le violazioni morali, come quello implicato dal suicidio, secondo Cicerone, che segue Platone e Pitagora</w:t>
      </w:r>
      <w:r w:rsidRPr="000D6EF2">
        <w:rPr>
          <w:rStyle w:val="Richiamoallanotaapidipagina"/>
          <w:rFonts w:cs="Times New Roman"/>
        </w:rPr>
        <w:footnoteReference w:id="125"/>
      </w:r>
      <w:r w:rsidRPr="000D6EF2">
        <w:rPr>
          <w:rFonts w:cs="Times New Roman"/>
        </w:rPr>
        <w:t>, o quello di un decreto volontariamente stabilito dalle Parche, come in Ovidio</w:t>
      </w:r>
      <w:r w:rsidRPr="000D6EF2">
        <w:rPr>
          <w:rStyle w:val="Richiamoallanotaapidipagina"/>
          <w:rFonts w:cs="Times New Roman"/>
        </w:rPr>
        <w:footnoteReference w:id="126"/>
      </w:r>
      <w:r w:rsidRPr="000D6EF2">
        <w:rPr>
          <w:rFonts w:cs="Times New Roman"/>
        </w:rPr>
        <w:t xml:space="preserve">. </w:t>
      </w:r>
      <w:r w:rsidR="00401795" w:rsidRPr="000D6EF2">
        <w:rPr>
          <w:rFonts w:cs="Times New Roman"/>
        </w:rPr>
        <w:t>In Manilio, l’uso</w:t>
      </w:r>
      <w:r w:rsidRPr="000D6EF2">
        <w:rPr>
          <w:rFonts w:cs="Times New Roman"/>
        </w:rPr>
        <w:t xml:space="preserve"> del termine </w:t>
      </w:r>
      <w:r w:rsidRPr="000D6EF2">
        <w:rPr>
          <w:rFonts w:cs="Times New Roman"/>
          <w:i/>
          <w:iCs/>
        </w:rPr>
        <w:t>foedus</w:t>
      </w:r>
      <w:r w:rsidRPr="000D6EF2">
        <w:rPr>
          <w:rFonts w:cs="Times New Roman"/>
        </w:rPr>
        <w:t xml:space="preserve"> è </w:t>
      </w:r>
      <w:r w:rsidR="00401795" w:rsidRPr="000D6EF2">
        <w:rPr>
          <w:rFonts w:cs="Times New Roman"/>
        </w:rPr>
        <w:t xml:space="preserve">altresì </w:t>
      </w:r>
      <w:r w:rsidRPr="000D6EF2">
        <w:rPr>
          <w:rFonts w:cs="Times New Roman"/>
        </w:rPr>
        <w:t>interessante:</w:t>
      </w:r>
      <w:r w:rsidR="007B08D4" w:rsidRPr="000D6EF2">
        <w:rPr>
          <w:rFonts w:cs="Times New Roman"/>
        </w:rPr>
        <w:t xml:space="preserve"> «Canterò infatti colui che con arcano disegno governa la Natura, Dio che pervade il cielo, la terra e il mare e che regge e tiene unita con comuni legami [</w:t>
      </w:r>
      <w:r w:rsidR="007B08D4" w:rsidRPr="000D6EF2">
        <w:rPr>
          <w:rFonts w:cs="Times New Roman"/>
          <w:i/>
        </w:rPr>
        <w:t>aequali foedere</w:t>
      </w:r>
      <w:r w:rsidR="007B08D4" w:rsidRPr="000D6EF2">
        <w:rPr>
          <w:rFonts w:cs="Times New Roman"/>
        </w:rPr>
        <w:t>] l’immensa mole [...]».</w:t>
      </w:r>
      <w:r w:rsidRPr="000D6EF2">
        <w:rPr>
          <w:rStyle w:val="Richiamoallanotaapidipagina"/>
          <w:rFonts w:cs="Times New Roman"/>
        </w:rPr>
        <w:footnoteReference w:id="127"/>
      </w:r>
      <w:r w:rsidRPr="000D6EF2">
        <w:rPr>
          <w:rFonts w:cs="Times New Roman"/>
        </w:rPr>
        <w:t xml:space="preserve"> </w:t>
      </w:r>
      <w:r w:rsidRPr="000D6EF2">
        <w:rPr>
          <w:rFonts w:cs="Times New Roman"/>
          <w:i/>
          <w:iCs/>
        </w:rPr>
        <w:t>Foedera</w:t>
      </w:r>
      <w:r w:rsidRPr="000D6EF2">
        <w:rPr>
          <w:rFonts w:cs="Times New Roman"/>
        </w:rPr>
        <w:t xml:space="preserve"> sono leggi date dal</w:t>
      </w:r>
      <w:r w:rsidR="00856099" w:rsidRPr="000D6EF2">
        <w:rPr>
          <w:rFonts w:cs="Times New Roman"/>
        </w:rPr>
        <w:t xml:space="preserve"> monarca</w:t>
      </w:r>
      <w:r w:rsidRPr="000D6EF2">
        <w:rPr>
          <w:rFonts w:cs="Times New Roman"/>
        </w:rPr>
        <w:t xml:space="preserve"> della natura.</w:t>
      </w:r>
      <w:r w:rsidR="00856099" w:rsidRPr="000D6EF2">
        <w:rPr>
          <w:rFonts w:cs="Times New Roman"/>
        </w:rPr>
        <w:t xml:space="preserve"> Inoltre, Manilio oppone tali leggi divine alla spontanea organizzazione del cosmo di matrice epicurea: «Chi potrebbe credere che opere così grandi siano sorte senza l’intervento di una divinità, da piccolissme particelle e che l’Universo sia stato creato da una cieca legge [</w:t>
      </w:r>
      <w:r w:rsidR="00856099" w:rsidRPr="000D6EF2">
        <w:rPr>
          <w:rFonts w:cs="Times New Roman"/>
          <w:i/>
        </w:rPr>
        <w:t>caeco foedere</w:t>
      </w:r>
      <w:r w:rsidR="00856099" w:rsidRPr="000D6EF2">
        <w:rPr>
          <w:rFonts w:cs="Times New Roman"/>
        </w:rPr>
        <w:t>]»?</w:t>
      </w:r>
      <w:r w:rsidRPr="000D6EF2">
        <w:rPr>
          <w:rStyle w:val="Richiamoallanotaapidipagina"/>
          <w:rFonts w:cs="Times New Roman"/>
        </w:rPr>
        <w:footnoteReference w:id="128"/>
      </w:r>
      <w:r w:rsidRPr="000D6EF2">
        <w:rPr>
          <w:rFonts w:cs="Times New Roman"/>
        </w:rPr>
        <w:t xml:space="preserve"> Il </w:t>
      </w:r>
      <w:r w:rsidRPr="000D6EF2">
        <w:rPr>
          <w:rFonts w:cs="Times New Roman"/>
          <w:i/>
          <w:iCs/>
        </w:rPr>
        <w:t>foedus</w:t>
      </w:r>
      <w:r w:rsidR="00401795" w:rsidRPr="000D6EF2">
        <w:rPr>
          <w:rFonts w:cs="Times New Roman"/>
        </w:rPr>
        <w:t xml:space="preserve"> è quindi usato dal filosofo</w:t>
      </w:r>
      <w:r w:rsidRPr="000D6EF2">
        <w:rPr>
          <w:rFonts w:cs="Times New Roman"/>
        </w:rPr>
        <w:t xml:space="preserve"> stoico</w:t>
      </w:r>
      <w:r w:rsidR="00401795" w:rsidRPr="000D6EF2">
        <w:rPr>
          <w:rFonts w:cs="Times New Roman"/>
        </w:rPr>
        <w:t xml:space="preserve"> </w:t>
      </w:r>
      <w:r w:rsidRPr="000D6EF2">
        <w:rPr>
          <w:rFonts w:cs="Times New Roman"/>
        </w:rPr>
        <w:t xml:space="preserve">in una polemica esplicitamente teleologica contro il caso epicureo e l’idea lucreziana di un necessario </w:t>
      </w:r>
      <w:r w:rsidRPr="000D6EF2">
        <w:rPr>
          <w:rFonts w:cs="Times New Roman"/>
          <w:i/>
          <w:iCs/>
        </w:rPr>
        <w:t>concorso</w:t>
      </w:r>
      <w:r w:rsidRPr="000D6EF2">
        <w:rPr>
          <w:rFonts w:cs="Times New Roman"/>
        </w:rPr>
        <w:t xml:space="preserve"> di diverse cose, di diverse condizioni, necessarie e sufficienti perché gli eventi accadano, o per</w:t>
      </w:r>
      <w:r w:rsidR="00132AB5" w:rsidRPr="000D6EF2">
        <w:rPr>
          <w:rFonts w:cs="Times New Roman"/>
        </w:rPr>
        <w:t>ché</w:t>
      </w:r>
      <w:r w:rsidRPr="000D6EF2">
        <w:rPr>
          <w:rFonts w:cs="Times New Roman"/>
        </w:rPr>
        <w:t xml:space="preserve"> gli esseri viventi sopravvivano. </w:t>
      </w:r>
    </w:p>
    <w:p w14:paraId="5AE5B512" w14:textId="76A585C8" w:rsidR="00E10315" w:rsidRPr="000D6EF2" w:rsidRDefault="00196B24">
      <w:pPr>
        <w:pStyle w:val="BodyText"/>
        <w:rPr>
          <w:rFonts w:cs="Times New Roman"/>
          <w:i/>
          <w:iCs/>
        </w:rPr>
      </w:pPr>
      <w:r w:rsidRPr="000D6EF2">
        <w:rPr>
          <w:rFonts w:cs="Times New Roman"/>
          <w:i/>
          <w:iCs/>
        </w:rPr>
        <w:t xml:space="preserve">Multa videmus rebus concurrere debere, </w:t>
      </w:r>
      <w:r w:rsidR="00132AB5" w:rsidRPr="000D6EF2">
        <w:rPr>
          <w:rFonts w:cs="Times New Roman"/>
        </w:rPr>
        <w:t>afferma</w:t>
      </w:r>
      <w:r w:rsidRPr="000D6EF2">
        <w:rPr>
          <w:rFonts w:cs="Times New Roman"/>
        </w:rPr>
        <w:t xml:space="preserve"> Lucrezio</w:t>
      </w:r>
      <w:r w:rsidRPr="000D6EF2">
        <w:rPr>
          <w:rStyle w:val="Richiamoallanotaapidipagina"/>
          <w:rFonts w:cs="Times New Roman"/>
        </w:rPr>
        <w:footnoteReference w:id="129"/>
      </w:r>
      <w:r w:rsidRPr="000D6EF2">
        <w:rPr>
          <w:rFonts w:cs="Times New Roman"/>
        </w:rPr>
        <w:t xml:space="preserve">. Questi sono i </w:t>
      </w:r>
      <w:r w:rsidRPr="000D6EF2">
        <w:rPr>
          <w:rFonts w:cs="Times New Roman"/>
          <w:i/>
          <w:iCs/>
        </w:rPr>
        <w:t>foedera naturae</w:t>
      </w:r>
      <w:r w:rsidRPr="000D6EF2">
        <w:rPr>
          <w:rFonts w:cs="Times New Roman"/>
        </w:rPr>
        <w:t>: non solo le condizioni imposte dalla natura, ma il</w:t>
      </w:r>
      <w:r w:rsidR="00132AB5" w:rsidRPr="000D6EF2">
        <w:rPr>
          <w:rFonts w:cs="Times New Roman"/>
        </w:rPr>
        <w:t xml:space="preserve"> concorso stesso delle</w:t>
      </w:r>
      <w:r w:rsidRPr="000D6EF2">
        <w:rPr>
          <w:rFonts w:cs="Times New Roman"/>
        </w:rPr>
        <w:t xml:space="preserve"> </w:t>
      </w:r>
      <w:r w:rsidRPr="000D6EF2">
        <w:rPr>
          <w:rFonts w:cs="Times New Roman"/>
          <w:i/>
          <w:iCs/>
        </w:rPr>
        <w:t>multae rebus</w:t>
      </w:r>
      <w:r w:rsidR="00132AB5" w:rsidRPr="000D6EF2">
        <w:rPr>
          <w:rFonts w:cs="Times New Roman"/>
        </w:rPr>
        <w:t xml:space="preserve"> con i</w:t>
      </w:r>
      <w:r w:rsidRPr="000D6EF2">
        <w:rPr>
          <w:rFonts w:cs="Times New Roman"/>
        </w:rPr>
        <w:t xml:space="preserve"> loro effetti naturali. Il concetto lucreziano di </w:t>
      </w:r>
      <w:r w:rsidRPr="000D6EF2">
        <w:rPr>
          <w:rFonts w:cs="Times New Roman"/>
          <w:i/>
          <w:iCs/>
        </w:rPr>
        <w:t>foedera</w:t>
      </w:r>
      <w:r w:rsidRPr="000D6EF2">
        <w:rPr>
          <w:rFonts w:cs="Times New Roman"/>
        </w:rPr>
        <w:t xml:space="preserve"> è quindi messo in luce dall’idea</w:t>
      </w:r>
      <w:r w:rsidR="00132AB5" w:rsidRPr="000D6EF2">
        <w:rPr>
          <w:rFonts w:cs="Times New Roman"/>
        </w:rPr>
        <w:t xml:space="preserve"> di accordo, di convenienza o anche di cooperazione</w:t>
      </w:r>
      <w:r w:rsidRPr="000D6EF2">
        <w:rPr>
          <w:rFonts w:cs="Times New Roman"/>
        </w:rPr>
        <w:t xml:space="preserve"> delle cose naturali, </w:t>
      </w:r>
      <w:r w:rsidRPr="000D6EF2">
        <w:rPr>
          <w:rFonts w:cs="Times New Roman"/>
          <w:i/>
          <w:iCs/>
        </w:rPr>
        <w:t>dalle quali</w:t>
      </w:r>
      <w:r w:rsidRPr="000D6EF2">
        <w:rPr>
          <w:rFonts w:cs="Times New Roman"/>
        </w:rPr>
        <w:t xml:space="preserve"> le regolarità nascono. La loro origine sembra essere negli </w:t>
      </w:r>
      <w:r w:rsidR="00132AB5" w:rsidRPr="000D6EF2">
        <w:rPr>
          <w:rFonts w:cs="Times New Roman"/>
        </w:rPr>
        <w:t>incontri</w:t>
      </w:r>
      <w:r w:rsidRPr="000D6EF2">
        <w:rPr>
          <w:rFonts w:cs="Times New Roman"/>
        </w:rPr>
        <w:t xml:space="preserve"> atomici, nel loro </w:t>
      </w:r>
      <w:r w:rsidRPr="000D6EF2">
        <w:rPr>
          <w:rFonts w:cs="Times New Roman"/>
          <w:i/>
          <w:iCs/>
        </w:rPr>
        <w:t xml:space="preserve">concurus. </w:t>
      </w:r>
      <w:r w:rsidRPr="000D6EF2">
        <w:rPr>
          <w:rFonts w:cs="Times New Roman"/>
        </w:rPr>
        <w:t xml:space="preserve">Prima di questi incontri e </w:t>
      </w:r>
      <w:r w:rsidR="00132AB5" w:rsidRPr="000D6EF2">
        <w:rPr>
          <w:rFonts w:cs="Times New Roman"/>
        </w:rPr>
        <w:t xml:space="preserve">dalle possibili convenienze </w:t>
      </w:r>
      <w:r w:rsidRPr="000D6EF2">
        <w:rPr>
          <w:rFonts w:cs="Times New Roman"/>
        </w:rPr>
        <w:t xml:space="preserve">che ne nascono, non esiste nessuna legge, nemmeno in principio, perché non esiste nessuna entità legislatrice. La natura è il risultato di un </w:t>
      </w:r>
      <w:r w:rsidRPr="000D6EF2">
        <w:rPr>
          <w:rFonts w:cs="Times New Roman"/>
          <w:i/>
          <w:iCs/>
        </w:rPr>
        <w:t>concursus</w:t>
      </w:r>
      <w:r w:rsidRPr="000D6EF2">
        <w:rPr>
          <w:rFonts w:cs="Times New Roman"/>
        </w:rPr>
        <w:t xml:space="preserve"> multiplo e la stabilizzazione</w:t>
      </w:r>
      <w:r w:rsidRPr="000D6EF2">
        <w:rPr>
          <w:rStyle w:val="Richiamoallanotaapidipagina"/>
          <w:rFonts w:cs="Times New Roman"/>
        </w:rPr>
        <w:footnoteReference w:id="130"/>
      </w:r>
      <w:r w:rsidRPr="000D6EF2">
        <w:rPr>
          <w:rFonts w:cs="Times New Roman"/>
        </w:rPr>
        <w:t xml:space="preserve"> è il risultato </w:t>
      </w:r>
      <w:r w:rsidR="00132AB5" w:rsidRPr="000D6EF2">
        <w:rPr>
          <w:rFonts w:cs="Times New Roman"/>
        </w:rPr>
        <w:t xml:space="preserve">dei </w:t>
      </w:r>
      <w:r w:rsidRPr="000D6EF2">
        <w:rPr>
          <w:rFonts w:cs="Times New Roman"/>
        </w:rPr>
        <w:t>molteplici</w:t>
      </w:r>
      <w:r w:rsidR="00132AB5" w:rsidRPr="000D6EF2">
        <w:rPr>
          <w:rFonts w:cs="Times New Roman"/>
        </w:rPr>
        <w:t xml:space="preserve"> accordi e convergenze</w:t>
      </w:r>
      <w:r w:rsidRPr="000D6EF2">
        <w:rPr>
          <w:rFonts w:cs="Times New Roman"/>
        </w:rPr>
        <w:t xml:space="preserve"> tra le cose, alcune delle quali durano, mentre altre no. Se non tutto sarebbe stato possibile, è </w:t>
      </w:r>
      <w:r w:rsidRPr="000D6EF2">
        <w:rPr>
          <w:rFonts w:cs="Times New Roman"/>
          <w:i/>
          <w:iCs/>
        </w:rPr>
        <w:t>solo</w:t>
      </w:r>
      <w:r w:rsidRPr="000D6EF2">
        <w:rPr>
          <w:rFonts w:cs="Times New Roman"/>
        </w:rPr>
        <w:t xml:space="preserve"> perché non tutto è </w:t>
      </w:r>
      <w:r w:rsidRPr="000D6EF2">
        <w:rPr>
          <w:rFonts w:cs="Times New Roman"/>
          <w:i/>
          <w:iCs/>
        </w:rPr>
        <w:t>effettivamente</w:t>
      </w:r>
      <w:r w:rsidRPr="000D6EF2">
        <w:rPr>
          <w:rFonts w:cs="Times New Roman"/>
        </w:rPr>
        <w:t xml:space="preserve"> accaduto. La regolarità e la necessità naturale includono più che escludere il caso. Queste vengono solo </w:t>
      </w:r>
      <w:r w:rsidRPr="000D6EF2">
        <w:rPr>
          <w:rFonts w:cs="Times New Roman"/>
          <w:i/>
          <w:iCs/>
        </w:rPr>
        <w:t>dopo</w:t>
      </w:r>
      <w:r w:rsidRPr="000D6EF2">
        <w:rPr>
          <w:rFonts w:cs="Times New Roman"/>
        </w:rPr>
        <w:t xml:space="preserve"> il caso, </w:t>
      </w:r>
      <w:r w:rsidR="00132AB5" w:rsidRPr="000D6EF2">
        <w:rPr>
          <w:rFonts w:cs="Times New Roman"/>
        </w:rPr>
        <w:t xml:space="preserve">e </w:t>
      </w:r>
      <w:r w:rsidRPr="000D6EF2">
        <w:rPr>
          <w:rFonts w:cs="Times New Roman"/>
        </w:rPr>
        <w:t xml:space="preserve">come </w:t>
      </w:r>
      <w:r w:rsidR="00132AB5" w:rsidRPr="000D6EF2">
        <w:rPr>
          <w:rFonts w:cs="Times New Roman"/>
        </w:rPr>
        <w:t>loro esito</w:t>
      </w:r>
      <w:r w:rsidRPr="000D6EF2">
        <w:rPr>
          <w:rStyle w:val="Richiamoallanotaapidipagina"/>
          <w:rFonts w:cs="Times New Roman"/>
        </w:rPr>
        <w:footnoteReference w:id="131"/>
      </w:r>
      <w:r w:rsidR="00132AB5" w:rsidRPr="000D6EF2">
        <w:rPr>
          <w:rFonts w:cs="Times New Roman"/>
        </w:rPr>
        <w:t>. «Legge della natura»</w:t>
      </w:r>
      <w:r w:rsidRPr="000D6EF2">
        <w:rPr>
          <w:rFonts w:cs="Times New Roman"/>
        </w:rPr>
        <w:t xml:space="preserve"> è quindi una traduzione fuorviante. Preferisco l’idea di</w:t>
      </w:r>
      <w:r w:rsidR="00132AB5" w:rsidRPr="000D6EF2">
        <w:rPr>
          <w:rFonts w:cs="Times New Roman"/>
        </w:rPr>
        <w:t xml:space="preserve"> concorso</w:t>
      </w:r>
      <w:r w:rsidRPr="000D6EF2">
        <w:rPr>
          <w:rFonts w:cs="Times New Roman"/>
        </w:rPr>
        <w:t>, la</w:t>
      </w:r>
      <w:r w:rsidR="00132AB5" w:rsidRPr="000D6EF2">
        <w:rPr>
          <w:rFonts w:cs="Times New Roman"/>
        </w:rPr>
        <w:t xml:space="preserve"> congiunzione e l’assemblaggio appropriato, </w:t>
      </w:r>
      <w:r w:rsidRPr="000D6EF2">
        <w:rPr>
          <w:rFonts w:cs="Times New Roman"/>
        </w:rPr>
        <w:t xml:space="preserve">simile al greco σύνοδος. </w:t>
      </w:r>
    </w:p>
    <w:p w14:paraId="39605E76" w14:textId="0003977A" w:rsidR="00E10315" w:rsidRPr="000D6EF2" w:rsidRDefault="00196B24">
      <w:pPr>
        <w:pStyle w:val="BodyText"/>
        <w:rPr>
          <w:rFonts w:cs="Times New Roman"/>
          <w:i/>
          <w:iCs/>
        </w:rPr>
      </w:pPr>
      <w:r w:rsidRPr="000D6EF2">
        <w:rPr>
          <w:rFonts w:cs="Times New Roman"/>
        </w:rPr>
        <w:lastRenderedPageBreak/>
        <w:t xml:space="preserve">Boyancé sostiene che i </w:t>
      </w:r>
      <w:r w:rsidRPr="000D6EF2">
        <w:rPr>
          <w:rFonts w:cs="Times New Roman"/>
          <w:i/>
          <w:iCs/>
        </w:rPr>
        <w:t>foedera naturae</w:t>
      </w:r>
      <w:r w:rsidRPr="000D6EF2">
        <w:rPr>
          <w:rFonts w:cs="Times New Roman"/>
        </w:rPr>
        <w:t xml:space="preserve"> possono essere considerati leggi naturali solo se si insiste sul carattere negativo e limitante delle leggi, piuttosto che sul carattere prescrittivo e positivo della natura. Le leggi, sostiene, permettono a Lucrezio di rivolgersi verso ciò che gli dèi immaginari </w:t>
      </w:r>
      <w:r w:rsidRPr="000D6EF2">
        <w:rPr>
          <w:rFonts w:cs="Times New Roman"/>
          <w:i/>
          <w:iCs/>
        </w:rPr>
        <w:t>non possono</w:t>
      </w:r>
      <w:r w:rsidRPr="000D6EF2">
        <w:rPr>
          <w:rFonts w:cs="Times New Roman"/>
        </w:rPr>
        <w:t xml:space="preserve"> fare, piutt</w:t>
      </w:r>
      <w:r w:rsidR="00CD5F1C" w:rsidRPr="000D6EF2">
        <w:rPr>
          <w:rFonts w:cs="Times New Roman"/>
        </w:rPr>
        <w:t>o</w:t>
      </w:r>
      <w:r w:rsidRPr="000D6EF2">
        <w:rPr>
          <w:rFonts w:cs="Times New Roman"/>
        </w:rPr>
        <w:t xml:space="preserve">sto che verso ciò che possono creare con la loro arbitraria immaginazione. L’aspetto etico-politico dei </w:t>
      </w:r>
      <w:r w:rsidRPr="000D6EF2">
        <w:rPr>
          <w:rFonts w:cs="Times New Roman"/>
          <w:i/>
          <w:iCs/>
        </w:rPr>
        <w:t>foedera</w:t>
      </w:r>
      <w:r w:rsidRPr="000D6EF2">
        <w:rPr>
          <w:rFonts w:cs="Times New Roman"/>
        </w:rPr>
        <w:t xml:space="preserve"> è indubbiamente presente nella mente di Lucrezio, ma non è necessario, qui, opporre il loro carattere positivo a quello negativo. I </w:t>
      </w:r>
      <w:r w:rsidRPr="000D6EF2">
        <w:rPr>
          <w:rFonts w:cs="Times New Roman"/>
          <w:i/>
          <w:iCs/>
        </w:rPr>
        <w:t>foedera</w:t>
      </w:r>
      <w:r w:rsidRPr="000D6EF2">
        <w:rPr>
          <w:rFonts w:cs="Times New Roman"/>
        </w:rPr>
        <w:t xml:space="preserve"> sono il concorso effettivo delle cose, che impedisce negativamente </w:t>
      </w:r>
      <w:r w:rsidR="00CD5F1C" w:rsidRPr="000D6EF2">
        <w:rPr>
          <w:rFonts w:cs="Times New Roman"/>
        </w:rPr>
        <w:t xml:space="preserve">e </w:t>
      </w:r>
      <w:r w:rsidRPr="000D6EF2">
        <w:rPr>
          <w:rFonts w:cs="Times New Roman"/>
        </w:rPr>
        <w:t>permette positivamente che le cose accadano</w:t>
      </w:r>
      <w:r w:rsidRPr="000D6EF2">
        <w:rPr>
          <w:rStyle w:val="Richiamoallanotaapidipagina"/>
          <w:rFonts w:cs="Times New Roman"/>
        </w:rPr>
        <w:footnoteReference w:id="132"/>
      </w:r>
      <w:r w:rsidRPr="000D6EF2">
        <w:rPr>
          <w:rFonts w:cs="Times New Roman"/>
        </w:rPr>
        <w:t>.</w:t>
      </w:r>
    </w:p>
    <w:p w14:paraId="4114B66D" w14:textId="71C2AE55" w:rsidR="00E10315" w:rsidRPr="000D6EF2" w:rsidRDefault="00196B24">
      <w:pPr>
        <w:pStyle w:val="BodyText"/>
        <w:rPr>
          <w:rFonts w:cs="Times New Roman"/>
          <w:i/>
          <w:iCs/>
        </w:rPr>
      </w:pPr>
      <w:r w:rsidRPr="000D6EF2">
        <w:rPr>
          <w:rFonts w:cs="Times New Roman"/>
        </w:rPr>
        <w:t xml:space="preserve">Bisogna aggiungere qualcosa rispetto al ruolo giocato dai </w:t>
      </w:r>
      <w:r w:rsidRPr="000D6EF2">
        <w:rPr>
          <w:rFonts w:cs="Times New Roman"/>
          <w:i/>
          <w:iCs/>
        </w:rPr>
        <w:t>foedera naturae</w:t>
      </w:r>
      <w:r w:rsidRPr="000D6EF2">
        <w:rPr>
          <w:rFonts w:cs="Times New Roman"/>
        </w:rPr>
        <w:t xml:space="preserve"> nella polemica epicurea contro la teleologia. Droz-Vincent suggerisce che il genitivo in </w:t>
      </w:r>
      <w:r w:rsidRPr="000D6EF2">
        <w:rPr>
          <w:rFonts w:cs="Times New Roman"/>
          <w:i/>
          <w:iCs/>
        </w:rPr>
        <w:t>foedera naturae</w:t>
      </w:r>
      <w:r w:rsidRPr="000D6EF2">
        <w:rPr>
          <w:rFonts w:cs="Times New Roman"/>
        </w:rPr>
        <w:t xml:space="preserve"> possa essere inteso sia in senso oggettivo che soggettivo</w:t>
      </w:r>
      <w:r w:rsidRPr="000D6EF2">
        <w:rPr>
          <w:rStyle w:val="Richiamoallanotaapidipagina"/>
          <w:rFonts w:cs="Times New Roman"/>
        </w:rPr>
        <w:footnoteReference w:id="133"/>
      </w:r>
      <w:r w:rsidRPr="000D6EF2">
        <w:rPr>
          <w:rFonts w:cs="Times New Roman"/>
        </w:rPr>
        <w:t xml:space="preserve">. Egli, però, esclude il secondo – leggi che “governano” o “controllano” la natura – perché è troppo vicino all’idea di legge di natura. Rimane dunque il primo valore – leggi “apaprtenenti” alla natura – nel senso di </w:t>
      </w:r>
      <w:r w:rsidRPr="000D6EF2">
        <w:rPr>
          <w:rFonts w:cs="Times New Roman"/>
          <w:i/>
          <w:iCs/>
        </w:rPr>
        <w:t>regole</w:t>
      </w:r>
      <w:r w:rsidRPr="000D6EF2">
        <w:rPr>
          <w:rFonts w:cs="Times New Roman"/>
        </w:rPr>
        <w:t xml:space="preserve"> che la natura impone e prescrive ai suoi fenomeni, in vista di garantirne la regolarità</w:t>
      </w:r>
      <w:r w:rsidRPr="000D6EF2">
        <w:rPr>
          <w:rStyle w:val="Richiamoallanotaapidipagina"/>
          <w:rFonts w:cs="Times New Roman"/>
        </w:rPr>
        <w:footnoteReference w:id="134"/>
      </w:r>
      <w:r w:rsidRPr="000D6EF2">
        <w:rPr>
          <w:rFonts w:cs="Times New Roman"/>
        </w:rPr>
        <w:t>. Droz-Vincent sostiene</w:t>
      </w:r>
      <w:r w:rsidRPr="000D6EF2">
        <w:rPr>
          <w:rStyle w:val="Richiamoallanotaapidipagina"/>
          <w:rFonts w:cs="Times New Roman"/>
        </w:rPr>
        <w:footnoteReference w:id="135"/>
      </w:r>
      <w:r w:rsidRPr="000D6EF2">
        <w:rPr>
          <w:rFonts w:cs="Times New Roman"/>
        </w:rPr>
        <w:t xml:space="preserve"> che Lucrezi</w:t>
      </w:r>
      <w:r w:rsidR="00CD5F1C" w:rsidRPr="000D6EF2">
        <w:rPr>
          <w:rFonts w:cs="Times New Roman"/>
        </w:rPr>
        <w:t>o stia</w:t>
      </w:r>
      <w:r w:rsidRPr="000D6EF2">
        <w:rPr>
          <w:rFonts w:cs="Times New Roman"/>
        </w:rPr>
        <w:t xml:space="preserve"> reintroducendo</w:t>
      </w:r>
      <w:r w:rsidR="00CD5F1C" w:rsidRPr="000D6EF2">
        <w:rPr>
          <w:rFonts w:cs="Times New Roman"/>
        </w:rPr>
        <w:t xml:space="preserve"> implicitamente</w:t>
      </w:r>
      <w:r w:rsidRPr="000D6EF2">
        <w:rPr>
          <w:rFonts w:cs="Times New Roman"/>
        </w:rPr>
        <w:t xml:space="preserve"> un qualche genere di teleologia, precisamente attraverso l’idea di un</w:t>
      </w:r>
      <w:r w:rsidR="00CD5F1C" w:rsidRPr="000D6EF2">
        <w:rPr>
          <w:rFonts w:cs="Times New Roman"/>
        </w:rPr>
        <w:t xml:space="preserve">a Natura datrice di leggi. </w:t>
      </w:r>
      <w:r w:rsidRPr="000D6EF2">
        <w:rPr>
          <w:rFonts w:cs="Times New Roman"/>
        </w:rPr>
        <w:t xml:space="preserve">Tale finalismo sarebbe confermato anche dall’uso di </w:t>
      </w:r>
      <w:r w:rsidRPr="000D6EF2">
        <w:rPr>
          <w:rFonts w:cs="Times New Roman"/>
          <w:i/>
          <w:iCs/>
        </w:rPr>
        <w:t>finis</w:t>
      </w:r>
      <w:r w:rsidRPr="000D6EF2">
        <w:rPr>
          <w:rFonts w:cs="Times New Roman"/>
        </w:rPr>
        <w:t xml:space="preserve"> con il doppio senso di fine e scopo. Al contrario, ritengo che Lucrezio non stia affatto reintroducendo alcun tipo di finalismo</w:t>
      </w:r>
      <w:r w:rsidR="00CD5F1C" w:rsidRPr="000D6EF2">
        <w:rPr>
          <w:rFonts w:cs="Times New Roman"/>
        </w:rPr>
        <w:t xml:space="preserve"> e che </w:t>
      </w:r>
      <w:r w:rsidRPr="000D6EF2">
        <w:rPr>
          <w:rFonts w:cs="Times New Roman"/>
        </w:rPr>
        <w:t xml:space="preserve">i </w:t>
      </w:r>
      <w:r w:rsidRPr="000D6EF2">
        <w:rPr>
          <w:rFonts w:cs="Times New Roman"/>
          <w:i/>
          <w:iCs/>
        </w:rPr>
        <w:t>foedera naturae</w:t>
      </w:r>
      <w:r w:rsidRPr="000D6EF2">
        <w:rPr>
          <w:rFonts w:cs="Times New Roman"/>
        </w:rPr>
        <w:t>, intesi come il concorso di moltissime cose, costituiscono proprio l’antidoto a ogni finalismo.</w:t>
      </w:r>
    </w:p>
    <w:p w14:paraId="52A73A1B" w14:textId="77777777" w:rsidR="00E10315" w:rsidRPr="000D6EF2" w:rsidRDefault="00196B24">
      <w:pPr>
        <w:pStyle w:val="BodyText"/>
        <w:rPr>
          <w:rFonts w:cs="Times New Roman"/>
        </w:rPr>
      </w:pPr>
      <w:r w:rsidRPr="000D6EF2">
        <w:rPr>
          <w:rFonts w:cs="Times New Roman"/>
        </w:rPr>
        <w:t xml:space="preserve">Lucrezio esclude esplicitamente, ad esempio, la subordinazione degli organi animali alla loro funzione, la quale agirebbe teleologicamente come un principio modellante: </w:t>
      </w:r>
    </w:p>
    <w:p w14:paraId="746CF4B9" w14:textId="77777777" w:rsidR="00E10315" w:rsidRPr="000D6EF2" w:rsidRDefault="00E10315">
      <w:pPr>
        <w:pStyle w:val="Testocitato"/>
        <w:rPr>
          <w:rFonts w:cs="Times New Roman"/>
          <w:shd w:val="clear" w:color="auto" w:fill="00FF00"/>
        </w:rPr>
      </w:pPr>
    </w:p>
    <w:p w14:paraId="230712DD" w14:textId="052F729E" w:rsidR="001A2ACD" w:rsidRPr="000D6EF2" w:rsidRDefault="00CD5F1C" w:rsidP="001A2ACD">
      <w:pPr>
        <w:pStyle w:val="Testocitato"/>
        <w:rPr>
          <w:rFonts w:cs="Times New Roman"/>
          <w:kern w:val="0"/>
          <w:sz w:val="20"/>
          <w:szCs w:val="20"/>
          <w:lang w:val="en-US" w:bidi="ar-SA"/>
        </w:rPr>
      </w:pPr>
      <w:r w:rsidRPr="000D6EF2">
        <w:rPr>
          <w:rFonts w:cs="Times New Roman"/>
          <w:kern w:val="0"/>
          <w:sz w:val="20"/>
          <w:szCs w:val="20"/>
          <w:lang w:val="en-US" w:bidi="ar-SA"/>
        </w:rPr>
        <w:t>In queste cose quel vizio con forza desideriamo che tu sfugga, e che eviti l’errore con molta cautela, che tu non ritenga le luminose luci degli occhi create perché noi si possa guardare, e che possiamo innanzi portare grandi passi, perciò esser in grado le sommità delle gambe e delle cosce, sui piedi fondate, di piegarsi, e inoltre le braccia siano attaccate ai forti muscoli e siano le mani fornite, da ambo i lati, servizievoli, perché potessimo far ciò che fosse alla vita utile. Il resto di questo genere, che dà tali spiegazioni, mette dopo ciò che viene prima, con ragionamento invertito (</w:t>
      </w:r>
      <w:r w:rsidRPr="000D6EF2">
        <w:rPr>
          <w:rFonts w:cs="Times New Roman"/>
          <w:i/>
          <w:iCs/>
          <w:kern w:val="0"/>
          <w:sz w:val="20"/>
          <w:szCs w:val="20"/>
          <w:lang w:val="en-US" w:bidi="ar-SA"/>
        </w:rPr>
        <w:t>omnia peruersa praepostera sunt ratione</w:t>
      </w:r>
      <w:r w:rsidRPr="000D6EF2">
        <w:rPr>
          <w:rFonts w:cs="Times New Roman"/>
          <w:kern w:val="0"/>
          <w:sz w:val="20"/>
          <w:szCs w:val="20"/>
          <w:lang w:val="en-US" w:bidi="ar-SA"/>
        </w:rPr>
        <w:t>),</w:t>
      </w:r>
      <w:r w:rsidRPr="000D6EF2">
        <w:rPr>
          <w:rFonts w:cs="Times New Roman"/>
          <w:kern w:val="0"/>
          <w:sz w:val="20"/>
          <w:szCs w:val="20"/>
          <w:vertAlign w:val="superscript"/>
          <w:lang w:val="en-US" w:bidi="ar-SA"/>
        </w:rPr>
        <w:t xml:space="preserve"> </w:t>
      </w:r>
      <w:r w:rsidRPr="000D6EF2">
        <w:rPr>
          <w:rFonts w:cs="Times New Roman"/>
          <w:kern w:val="0"/>
          <w:sz w:val="20"/>
          <w:szCs w:val="20"/>
          <w:lang w:val="en-US" w:bidi="ar-SA"/>
        </w:rPr>
        <w:t xml:space="preserve"> poiché nulla perciò è nato nel corpo sí da poterlo usare, ma ciò che è nato, questo crea l’uso (</w:t>
      </w:r>
      <w:r w:rsidRPr="000D6EF2">
        <w:rPr>
          <w:rFonts w:cs="Times New Roman"/>
          <w:i/>
          <w:iCs/>
          <w:kern w:val="0"/>
          <w:sz w:val="20"/>
          <w:szCs w:val="20"/>
          <w:lang w:val="en-US" w:bidi="ar-SA"/>
        </w:rPr>
        <w:t>quod natumst id procreat usum</w:t>
      </w:r>
      <w:r w:rsidRPr="000D6EF2">
        <w:rPr>
          <w:rFonts w:cs="Times New Roman"/>
          <w:kern w:val="0"/>
          <w:sz w:val="20"/>
          <w:szCs w:val="20"/>
          <w:lang w:val="en-US" w:bidi="ar-SA"/>
        </w:rPr>
        <w:t>). Non fu la vista prima che le luci degli occhi nascessero, non il dire parole eloquenti prima che la lingua fosse creata, ma piuttosto della lingua l’origine ha di gran lunga preceduto il discorso, e molto prima son state create l</w:t>
      </w:r>
      <w:bookmarkStart w:id="0" w:name="_GoBack"/>
      <w:bookmarkEnd w:id="0"/>
      <w:r w:rsidRPr="000D6EF2">
        <w:rPr>
          <w:rFonts w:cs="Times New Roman"/>
          <w:kern w:val="0"/>
          <w:sz w:val="20"/>
          <w:szCs w:val="20"/>
          <w:lang w:val="en-US" w:bidi="ar-SA"/>
        </w:rPr>
        <w:t>e orecchie che il suono fu udito, e tutte infine le membra prima son state, come credo, di quando fosse il loro uso; dunque non si sono potute sviluppare a causa di questo (</w:t>
      </w:r>
      <w:r w:rsidRPr="000D6EF2">
        <w:rPr>
          <w:rFonts w:cs="Times New Roman"/>
          <w:i/>
          <w:iCs/>
          <w:kern w:val="0"/>
          <w:sz w:val="20"/>
          <w:szCs w:val="20"/>
          <w:lang w:val="en-US" w:bidi="ar-SA"/>
        </w:rPr>
        <w:t>haud igitur potuere utendi crescere causa</w:t>
      </w:r>
      <w:r w:rsidRPr="000D6EF2">
        <w:rPr>
          <w:rFonts w:cs="Times New Roman"/>
          <w:kern w:val="0"/>
          <w:sz w:val="20"/>
          <w:szCs w:val="20"/>
          <w:lang w:val="en-US" w:bidi="ar-SA"/>
        </w:rPr>
        <w:t>).</w:t>
      </w:r>
      <w:r w:rsidR="001A2ACD" w:rsidRPr="000D6EF2">
        <w:rPr>
          <w:rStyle w:val="FootnoteReference"/>
          <w:rFonts w:cs="Times New Roman"/>
          <w:kern w:val="0"/>
          <w:sz w:val="20"/>
          <w:szCs w:val="20"/>
          <w:lang w:val="en-US" w:bidi="ar-SA"/>
        </w:rPr>
        <w:footnoteReference w:id="136"/>
      </w:r>
    </w:p>
    <w:p w14:paraId="60DCBA0C" w14:textId="672051E0" w:rsidR="001A2ACD" w:rsidRPr="000D6EF2" w:rsidRDefault="001A2ACD" w:rsidP="001A2ACD">
      <w:pPr>
        <w:pStyle w:val="Testocitato"/>
        <w:spacing w:after="0"/>
        <w:ind w:left="0" w:firstLine="284"/>
        <w:rPr>
          <w:rFonts w:cs="Times New Roman"/>
        </w:rPr>
      </w:pPr>
      <w:r w:rsidRPr="000D6EF2">
        <w:rPr>
          <w:rFonts w:cs="Times New Roman"/>
        </w:rPr>
        <w:t>Come l’ordine e la regolarità non pre-esistono l’ordinato e regolare sviluppo della natura, così le funzioni svolte dagli organi non pre-esistono la vita organica degli individui di determinante specie</w:t>
      </w:r>
      <w:r w:rsidRPr="000D6EF2">
        <w:rPr>
          <w:rStyle w:val="Richiamoallanotaapidipagina"/>
          <w:rFonts w:cs="Times New Roman"/>
        </w:rPr>
        <w:footnoteReference w:id="137"/>
      </w:r>
      <w:r w:rsidRPr="000D6EF2">
        <w:rPr>
          <w:rFonts w:cs="Times New Roman"/>
        </w:rPr>
        <w:t>.</w:t>
      </w:r>
    </w:p>
    <w:p w14:paraId="7B4C33BE" w14:textId="77777777" w:rsidR="000D6EF2" w:rsidRDefault="00196B24" w:rsidP="000D6EF2">
      <w:pPr>
        <w:pStyle w:val="Testocitato"/>
        <w:spacing w:after="0"/>
        <w:ind w:left="0" w:right="0" w:firstLine="284"/>
        <w:rPr>
          <w:rFonts w:cs="Times New Roman"/>
          <w:shd w:val="clear" w:color="auto" w:fill="00FF00"/>
        </w:rPr>
      </w:pPr>
      <w:r w:rsidRPr="000D6EF2">
        <w:rPr>
          <w:rFonts w:cs="Times New Roman"/>
        </w:rPr>
        <w:lastRenderedPageBreak/>
        <w:t>Abbiamo visto come l’atomismo di Epicuro e Lucrezio abbia sviluppato l’antico materialismo in modo originale e potente. Mi sono concentrato sulla trattazione lucreziana ed epicurea della generazione della vita, non solo sulla sua</w:t>
      </w:r>
      <w:r w:rsidR="001A2ACD" w:rsidRPr="000D6EF2">
        <w:rPr>
          <w:rFonts w:cs="Times New Roman"/>
        </w:rPr>
        <w:t xml:space="preserve"> regolarità</w:t>
      </w:r>
      <w:r w:rsidRPr="000D6EF2">
        <w:rPr>
          <w:rFonts w:cs="Times New Roman"/>
        </w:rPr>
        <w:t xml:space="preserve"> ma anche sulla sua mutevolezza: queste due idee rappresentano la sfida principale per gli atomisti, quando rispondono alla filosofia platonica e aristotelica delle idee e delle forme. Solo spiegando l’anormalità e la mostruosità gli atomisti possono dar senso alla loro ontologia immanente che, basata unicamente sulla materia in movimento, esclude ogni principio di organizzazione trascendente, divina e provvidenziale. L’ordine</w:t>
      </w:r>
      <w:r w:rsidRPr="000D6EF2">
        <w:rPr>
          <w:rFonts w:cs="Times New Roman"/>
          <w:i/>
          <w:iCs/>
        </w:rPr>
        <w:t xml:space="preserve"> esiste</w:t>
      </w:r>
      <w:r w:rsidRPr="000D6EF2">
        <w:rPr>
          <w:rFonts w:cs="Times New Roman"/>
        </w:rPr>
        <w:t xml:space="preserve"> nell’universo e</w:t>
      </w:r>
      <w:r w:rsidRPr="000D6EF2">
        <w:rPr>
          <w:rFonts w:cs="Times New Roman"/>
          <w:i/>
          <w:iCs/>
        </w:rPr>
        <w:t xml:space="preserve"> include</w:t>
      </w:r>
      <w:r w:rsidRPr="000D6EF2">
        <w:rPr>
          <w:rFonts w:cs="Times New Roman"/>
        </w:rPr>
        <w:t xml:space="preserve"> la mostruosità. Questo concetto deve essere spiegato all’interno dei limiti della natura, come fonte della sua diversità, e i </w:t>
      </w:r>
      <w:r w:rsidRPr="000D6EF2">
        <w:rPr>
          <w:rFonts w:cs="Times New Roman"/>
          <w:i/>
          <w:iCs/>
        </w:rPr>
        <w:t>fodera naturae</w:t>
      </w:r>
      <w:r w:rsidRPr="000D6EF2">
        <w:rPr>
          <w:rFonts w:cs="Times New Roman"/>
        </w:rPr>
        <w:t xml:space="preserve"> garantiscono la stabilità di quest’ordine. </w:t>
      </w:r>
    </w:p>
    <w:p w14:paraId="3FBFB3B4" w14:textId="77777777" w:rsidR="000D6EF2" w:rsidRDefault="00196B24" w:rsidP="000D6EF2">
      <w:pPr>
        <w:pStyle w:val="Testocitato"/>
        <w:spacing w:after="0"/>
        <w:ind w:left="0" w:right="0" w:firstLine="284"/>
        <w:rPr>
          <w:rFonts w:cs="Times New Roman"/>
        </w:rPr>
      </w:pPr>
      <w:r w:rsidRPr="000D6EF2">
        <w:rPr>
          <w:rFonts w:cs="Times New Roman"/>
        </w:rPr>
        <w:t xml:space="preserve">Ho tentato in questo articolo di sviluppare la tesi che i </w:t>
      </w:r>
      <w:r w:rsidRPr="000D6EF2">
        <w:rPr>
          <w:rFonts w:cs="Times New Roman"/>
          <w:i/>
          <w:iCs/>
        </w:rPr>
        <w:t>foedera naturae</w:t>
      </w:r>
      <w:r w:rsidRPr="000D6EF2">
        <w:rPr>
          <w:rFonts w:cs="Times New Roman"/>
        </w:rPr>
        <w:t xml:space="preserve"> sono i limiti della natura e non sono né imposti </w:t>
      </w:r>
      <w:r w:rsidRPr="000D6EF2">
        <w:rPr>
          <w:rFonts w:cs="Times New Roman"/>
          <w:i/>
          <w:iCs/>
        </w:rPr>
        <w:t xml:space="preserve">sulla </w:t>
      </w:r>
      <w:r w:rsidRPr="000D6EF2">
        <w:rPr>
          <w:rFonts w:cs="Times New Roman"/>
        </w:rPr>
        <w:t xml:space="preserve">natura, né stabiliti </w:t>
      </w:r>
      <w:r w:rsidRPr="000D6EF2">
        <w:rPr>
          <w:rFonts w:cs="Times New Roman"/>
          <w:i/>
          <w:iCs/>
        </w:rPr>
        <w:t xml:space="preserve">dalla </w:t>
      </w:r>
      <w:r w:rsidRPr="000D6EF2">
        <w:rPr>
          <w:rFonts w:cs="Times New Roman"/>
        </w:rPr>
        <w:t xml:space="preserve">natura nel suo regno. Sono il risultato dello spontaneo movimento atomico. Su un piano di radicale immanenza, la mia tesi è che non solo i </w:t>
      </w:r>
      <w:r w:rsidRPr="000D6EF2">
        <w:rPr>
          <w:rFonts w:cs="Times New Roman"/>
          <w:i/>
          <w:iCs/>
        </w:rPr>
        <w:t xml:space="preserve">foedera </w:t>
      </w:r>
      <w:r w:rsidR="001A2ACD" w:rsidRPr="000D6EF2">
        <w:rPr>
          <w:rFonts w:cs="Times New Roman"/>
        </w:rPr>
        <w:t>distinguono tra le possibili</w:t>
      </w:r>
      <w:r w:rsidRPr="000D6EF2">
        <w:rPr>
          <w:rFonts w:cs="Times New Roman"/>
        </w:rPr>
        <w:t xml:space="preserve"> e impossibili mostruosità prodotte sulla terra, come molta della critica ritiene, ma anche che le mostruosità</w:t>
      </w:r>
      <w:r w:rsidR="001A2ACD" w:rsidRPr="000D6EF2">
        <w:rPr>
          <w:rFonts w:cs="Times New Roman"/>
        </w:rPr>
        <w:t xml:space="preserve"> riuscite</w:t>
      </w:r>
      <w:r w:rsidRPr="000D6EF2">
        <w:rPr>
          <w:rFonts w:cs="Times New Roman"/>
        </w:rPr>
        <w:t xml:space="preserve"> giocano un ruolo nel determinare che cosa </w:t>
      </w:r>
      <w:r w:rsidR="001A2ACD" w:rsidRPr="000D6EF2">
        <w:rPr>
          <w:rFonts w:cs="Times New Roman"/>
        </w:rPr>
        <w:t xml:space="preserve">siano </w:t>
      </w:r>
      <w:r w:rsidRPr="000D6EF2">
        <w:rPr>
          <w:rFonts w:cs="Times New Roman"/>
        </w:rPr>
        <w:t xml:space="preserve">i </w:t>
      </w:r>
      <w:r w:rsidRPr="000D6EF2">
        <w:rPr>
          <w:rFonts w:cs="Times New Roman"/>
          <w:i/>
          <w:iCs/>
        </w:rPr>
        <w:t>foedera</w:t>
      </w:r>
      <w:r w:rsidRPr="000D6EF2">
        <w:rPr>
          <w:rFonts w:cs="Times New Roman"/>
        </w:rPr>
        <w:t xml:space="preserve">. Ho quindi argomentato che l’espressione lucreziana </w:t>
      </w:r>
      <w:r w:rsidRPr="000D6EF2">
        <w:rPr>
          <w:rFonts w:cs="Times New Roman"/>
          <w:i/>
          <w:iCs/>
        </w:rPr>
        <w:t>foedera naturae</w:t>
      </w:r>
      <w:r w:rsidRPr="000D6EF2">
        <w:rPr>
          <w:rFonts w:cs="Times New Roman"/>
        </w:rPr>
        <w:t xml:space="preserve"> si comprende meno come una legge naturale e più come una convergenza, una convenienza o un </w:t>
      </w:r>
      <w:r w:rsidR="001A2ACD" w:rsidRPr="000D6EF2">
        <w:rPr>
          <w:rFonts w:cs="Times New Roman"/>
        </w:rPr>
        <w:t>concorso</w:t>
      </w:r>
      <w:r w:rsidRPr="000D6EF2">
        <w:rPr>
          <w:rFonts w:cs="Times New Roman"/>
        </w:rPr>
        <w:t xml:space="preserve"> di eventi favorevoli. Questo significa che gli epicurei intendono l’apparire della mostruosità in modo completamente diverso da Aristotele. Mentre questi parla della necessità accidentale dei mostri, Lucrezio li vede contribuire necessariamente allo spontaneo modellare della regolarità della natura. </w:t>
      </w:r>
    </w:p>
    <w:p w14:paraId="4B63A8CD" w14:textId="385DDC7A" w:rsidR="00E10315" w:rsidRPr="000D6EF2" w:rsidRDefault="00196B24" w:rsidP="000D6EF2">
      <w:pPr>
        <w:pStyle w:val="Testocitato"/>
        <w:spacing w:after="0"/>
        <w:ind w:left="0" w:right="0" w:firstLine="284"/>
        <w:rPr>
          <w:rFonts w:cs="Times New Roman"/>
          <w:shd w:val="clear" w:color="auto" w:fill="00FF00"/>
        </w:rPr>
      </w:pPr>
      <w:r w:rsidRPr="000D6EF2">
        <w:rPr>
          <w:rFonts w:cs="Times New Roman"/>
        </w:rPr>
        <w:t>La filosofia di Epicuro e Lucrezio ci consente di vedere l’emergere di una metafisca che appiattisce l’universo su un monistico piano di immanenza, la cui ontologia esclude definitivamente ogni principio trascendente e ogni normatività superiore. Le eccezioni, le anomalie, le mostruosità sono elementi essenziali in questo sistema, che intende anche eliminare la paura e la superstizione. Contro Platone ed Aristotele, come mostrato nelle pagine precedent</w:t>
      </w:r>
      <w:r w:rsidR="00FC53ED" w:rsidRPr="000D6EF2">
        <w:rPr>
          <w:rFonts w:cs="Times New Roman"/>
        </w:rPr>
        <w:t xml:space="preserve">i, Epicuro e Lucrezio pensano </w:t>
      </w:r>
      <w:r w:rsidRPr="000D6EF2">
        <w:rPr>
          <w:rFonts w:cs="Times New Roman"/>
        </w:rPr>
        <w:t xml:space="preserve">la mostruosità non come una deviazione eccezionale, ma piuttosto come parte di una norma che si fa costantemente, </w:t>
      </w:r>
      <w:r w:rsidR="00FC53ED" w:rsidRPr="000D6EF2">
        <w:rPr>
          <w:rFonts w:cs="Times New Roman"/>
        </w:rPr>
        <w:t>in modo immanente e progressivo</w:t>
      </w:r>
      <w:r w:rsidRPr="000D6EF2">
        <w:rPr>
          <w:rFonts w:cs="Times New Roman"/>
        </w:rPr>
        <w:t>, a partire dallo sforzo autonomo della natura di riprodurre se stessa.</w:t>
      </w:r>
      <w:r w:rsidR="00FC53ED" w:rsidRPr="000D6EF2">
        <w:rPr>
          <w:rFonts w:cs="Times New Roman"/>
        </w:rPr>
        <w:t xml:space="preserve"> </w:t>
      </w:r>
      <w:r w:rsidRPr="000D6EF2">
        <w:rPr>
          <w:rFonts w:cs="Times New Roman"/>
        </w:rPr>
        <w:t>L’atomis</w:t>
      </w:r>
      <w:r w:rsidR="00FC53ED" w:rsidRPr="000D6EF2">
        <w:rPr>
          <w:rFonts w:cs="Times New Roman"/>
        </w:rPr>
        <w:t>m</w:t>
      </w:r>
      <w:r w:rsidRPr="000D6EF2">
        <w:rPr>
          <w:rFonts w:cs="Times New Roman"/>
        </w:rPr>
        <w:t>o, quindi, rappresenta un’alternativa valida all’idealismo platonico e al formalismo aristotelico.</w:t>
      </w:r>
      <w:r w:rsidR="00FC53ED" w:rsidRPr="000D6EF2">
        <w:rPr>
          <w:rFonts w:cs="Times New Roman"/>
        </w:rPr>
        <w:t xml:space="preserve"> L’importanza</w:t>
      </w:r>
      <w:r w:rsidRPr="000D6EF2">
        <w:rPr>
          <w:rFonts w:cs="Times New Roman"/>
        </w:rPr>
        <w:t xml:space="preserve"> della </w:t>
      </w:r>
      <w:r w:rsidR="00FC53ED" w:rsidRPr="000D6EF2">
        <w:rPr>
          <w:rFonts w:cs="Times New Roman"/>
        </w:rPr>
        <w:t>posta in gioco</w:t>
      </w:r>
      <w:r w:rsidRPr="000D6EF2">
        <w:rPr>
          <w:rFonts w:cs="Times New Roman"/>
        </w:rPr>
        <w:t xml:space="preserve"> può </w:t>
      </w:r>
      <w:r w:rsidR="00FC53ED" w:rsidRPr="000D6EF2">
        <w:rPr>
          <w:rFonts w:cs="Times New Roman"/>
        </w:rPr>
        <w:t xml:space="preserve">difficilmente </w:t>
      </w:r>
      <w:r w:rsidRPr="000D6EF2">
        <w:rPr>
          <w:rFonts w:cs="Times New Roman"/>
        </w:rPr>
        <w:t xml:space="preserve">essere </w:t>
      </w:r>
      <w:r w:rsidR="00FC53ED" w:rsidRPr="000D6EF2">
        <w:rPr>
          <w:rFonts w:cs="Times New Roman"/>
        </w:rPr>
        <w:t>sopravvalutata</w:t>
      </w:r>
      <w:r w:rsidRPr="000D6EF2">
        <w:rPr>
          <w:rFonts w:cs="Times New Roman"/>
        </w:rPr>
        <w:t xml:space="preserve">. </w:t>
      </w:r>
    </w:p>
    <w:p w14:paraId="40FEE249" w14:textId="77777777" w:rsidR="004B4167" w:rsidRPr="000D6EF2" w:rsidRDefault="004B4167" w:rsidP="00FC53ED">
      <w:pPr>
        <w:pStyle w:val="BodyText"/>
        <w:rPr>
          <w:rFonts w:cs="Times New Roman"/>
        </w:rPr>
      </w:pPr>
    </w:p>
    <w:sectPr w:rsidR="004B4167" w:rsidRPr="000D6EF2">
      <w:footerReference w:type="default" r:id="rId8"/>
      <w:pgSz w:w="11906" w:h="16838"/>
      <w:pgMar w:top="1134" w:right="1134" w:bottom="1648" w:left="1134" w:header="0" w:footer="1134" w:gutter="0"/>
      <w:cols w:space="720"/>
      <w:formProt w:val="0"/>
      <w:docGrid w:linePitch="312" w:charSpace="-6145"/>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44EADB" w14:textId="77777777" w:rsidR="00B82712" w:rsidRDefault="00B82712">
      <w:r>
        <w:separator/>
      </w:r>
    </w:p>
  </w:endnote>
  <w:endnote w:type="continuationSeparator" w:id="0">
    <w:p w14:paraId="1AD63506" w14:textId="77777777" w:rsidR="00B82712" w:rsidRDefault="00B827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1"/>
    <w:family w:val="roman"/>
    <w:pitch w:val="variable"/>
  </w:font>
  <w:font w:name="Noto Serif CJK SC">
    <w:panose1 w:val="00000000000000000000"/>
    <w:charset w:val="00"/>
    <w:family w:val="roman"/>
    <w:notTrueType/>
    <w:pitch w:val="default"/>
  </w:font>
  <w:font w:name="FreeSans">
    <w:panose1 w:val="00000000000000000000"/>
    <w:charset w:val="00"/>
    <w:family w:val="roman"/>
    <w:notTrueType/>
    <w:pitch w:val="default"/>
  </w:font>
  <w:font w:name="Times New Roman">
    <w:panose1 w:val="02020603050405020304"/>
    <w:charset w:val="00"/>
    <w:family w:val="auto"/>
    <w:pitch w:val="variable"/>
    <w:sig w:usb0="E0002AFF" w:usb1="C0007841"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ucida Grande">
    <w:panose1 w:val="020B0600040502020204"/>
    <w:charset w:val="00"/>
    <w:family w:val="auto"/>
    <w:pitch w:val="variable"/>
    <w:sig w:usb0="E1000AEF" w:usb1="5000A1FF" w:usb2="00000000" w:usb3="00000000" w:csb0="000001BF" w:csb1="00000000"/>
  </w:font>
  <w:font w:name="Times Roman">
    <w:panose1 w:val="00000500000000020000"/>
    <w:charset w:val="00"/>
    <w:family w:val="auto"/>
    <w:pitch w:val="variable"/>
    <w:sig w:usb0="E00002FF" w:usb1="5000205A"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92C91" w14:textId="77777777" w:rsidR="00B82712" w:rsidRDefault="00B82712">
    <w:pPr>
      <w:pStyle w:val="Pidipaginanumeropaginamot"/>
      <w:jc w:val="right"/>
    </w:pPr>
    <w:r>
      <w:fldChar w:fldCharType="begin"/>
    </w:r>
    <w:r>
      <w:instrText>PAGE</w:instrText>
    </w:r>
    <w:r>
      <w:fldChar w:fldCharType="separate"/>
    </w:r>
    <w:r w:rsidR="000D6EF2">
      <w:rPr>
        <w:noProof/>
      </w:rPr>
      <w:t>12</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C72DE8" w14:textId="77777777" w:rsidR="00B82712" w:rsidRDefault="00B82712">
      <w:pPr>
        <w:rPr>
          <w:sz w:val="12"/>
        </w:rPr>
      </w:pPr>
      <w:r>
        <w:separator/>
      </w:r>
    </w:p>
  </w:footnote>
  <w:footnote w:type="continuationSeparator" w:id="0">
    <w:p w14:paraId="0AA0EF9C" w14:textId="77777777" w:rsidR="00B82712" w:rsidRDefault="00B82712">
      <w:pPr>
        <w:rPr>
          <w:sz w:val="12"/>
        </w:rPr>
      </w:pPr>
      <w:r>
        <w:continuationSeparator/>
      </w:r>
    </w:p>
  </w:footnote>
  <w:footnote w:id="1">
    <w:p w14:paraId="799755A9" w14:textId="470FA042" w:rsidR="00B82712" w:rsidRPr="0076672D"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Epicur. Ep.[3], 114</w:t>
      </w:r>
      <w:r>
        <w:rPr>
          <w:rFonts w:cs="Times New Roman"/>
        </w:rPr>
        <w:t xml:space="preserve"> </w:t>
      </w:r>
      <w:r w:rsidRPr="006E0435">
        <w:rPr>
          <w:rFonts w:cs="Times New Roman"/>
        </w:rPr>
        <w:t>(=</w:t>
      </w:r>
      <w:r>
        <w:rPr>
          <w:rFonts w:cs="Times New Roman"/>
        </w:rPr>
        <w:t xml:space="preserve"> H. </w:t>
      </w:r>
      <w:r>
        <w:t>Usener, H</w:t>
      </w:r>
      <w:r w:rsidRPr="002B5B04">
        <w:t xml:space="preserve">. </w:t>
      </w:r>
      <w:r w:rsidRPr="002B5B04">
        <w:rPr>
          <w:i/>
        </w:rPr>
        <w:t>Epicurea</w:t>
      </w:r>
      <w:r>
        <w:t>,</w:t>
      </w:r>
      <w:r w:rsidRPr="002B5B04">
        <w:t xml:space="preserve"> in ædibus G. B. Teubneri</w:t>
      </w:r>
      <w:r w:rsidRPr="006E0435">
        <w:rPr>
          <w:rFonts w:cs="Times New Roman"/>
        </w:rPr>
        <w:t>,</w:t>
      </w:r>
      <w:r>
        <w:rPr>
          <w:rFonts w:cs="Times New Roman"/>
        </w:rPr>
        <w:t xml:space="preserve"> Lipsiae </w:t>
      </w:r>
      <w:r w:rsidRPr="002B5B04">
        <w:t>1887</w:t>
      </w:r>
      <w:r>
        <w:t>,</w:t>
      </w:r>
      <w:r w:rsidRPr="006E0435">
        <w:rPr>
          <w:rFonts w:cs="Times New Roman"/>
        </w:rPr>
        <w:t xml:space="preserve"> Ep. </w:t>
      </w:r>
      <w:r>
        <w:rPr>
          <w:rFonts w:cs="Times New Roman"/>
        </w:rPr>
        <w:t>53.114), Arrighetti in Epicuro,</w:t>
      </w:r>
      <w:r w:rsidRPr="00B313AF">
        <w:rPr>
          <w:rFonts w:cs="Times New Roman"/>
        </w:rPr>
        <w:t xml:space="preserve"> </w:t>
      </w:r>
      <w:r w:rsidRPr="00B313AF">
        <w:rPr>
          <w:rFonts w:cs="Times New Roman"/>
          <w:i/>
        </w:rPr>
        <w:t>Opere</w:t>
      </w:r>
      <w:r>
        <w:rPr>
          <w:rFonts w:cs="Times New Roman"/>
        </w:rPr>
        <w:t>, a cura di G. Arrighetti, Einaudi, Torino</w:t>
      </w:r>
      <w:r w:rsidRPr="00B313AF">
        <w:rPr>
          <w:rFonts w:cs="Times New Roman"/>
        </w:rPr>
        <w:t>1973</w:t>
      </w:r>
      <w:r w:rsidRPr="00B313AF">
        <w:rPr>
          <w:rFonts w:cs="Times New Roman"/>
          <w:vertAlign w:val="superscript"/>
        </w:rPr>
        <w:t>2</w:t>
      </w:r>
      <w:r>
        <w:rPr>
          <w:rFonts w:cs="Times New Roman"/>
          <w:vertAlign w:val="superscript"/>
        </w:rPr>
        <w:t xml:space="preserve"> </w:t>
      </w:r>
      <w:r>
        <w:rPr>
          <w:rFonts w:cs="Times New Roman"/>
        </w:rPr>
        <w:t xml:space="preserve">e H. </w:t>
      </w:r>
      <w:r w:rsidRPr="00B313AF">
        <w:rPr>
          <w:rFonts w:cs="Times New Roman"/>
        </w:rPr>
        <w:t xml:space="preserve">Usener, </w:t>
      </w:r>
      <w:r w:rsidRPr="00B313AF">
        <w:rPr>
          <w:rFonts w:cs="Times New Roman"/>
          <w:i/>
        </w:rPr>
        <w:t>Glossarium Epicureum</w:t>
      </w:r>
      <w:r>
        <w:rPr>
          <w:rFonts w:cs="Times New Roman"/>
        </w:rPr>
        <w:t xml:space="preserve">, </w:t>
      </w:r>
      <w:r w:rsidRPr="00B313AF">
        <w:rPr>
          <w:rFonts w:cs="Times New Roman"/>
        </w:rPr>
        <w:t>Edizioni dell’Ateneo</w:t>
      </w:r>
      <w:r>
        <w:rPr>
          <w:rFonts w:cs="Times New Roman"/>
        </w:rPr>
        <w:t>, Roma</w:t>
      </w:r>
      <w:r w:rsidRPr="009B4677">
        <w:rPr>
          <w:rFonts w:cs="Times New Roman"/>
        </w:rPr>
        <w:t xml:space="preserve"> </w:t>
      </w:r>
      <w:r w:rsidRPr="00B313AF">
        <w:rPr>
          <w:rFonts w:cs="Times New Roman"/>
        </w:rPr>
        <w:t>1977</w:t>
      </w:r>
      <w:r>
        <w:rPr>
          <w:rFonts w:cs="Times New Roman"/>
        </w:rPr>
        <w:t>,</w:t>
      </w:r>
      <w:r w:rsidRPr="006E0435">
        <w:rPr>
          <w:rFonts w:cs="Times New Roman"/>
        </w:rPr>
        <w:t xml:space="preserve"> pp. 663-4. Salvo alcune eccezioni, le abbreviazioni dei testi classici seguono il Diccionario griego-español (DGE): dge.cchs.csic.es o l’Oxford Latin Dictionary (OLD) e, qualora il DGE o l’OLD non le forniscano, ho adottato quelle convenzionali.</w:t>
      </w:r>
      <w:r>
        <w:rPr>
          <w:rFonts w:cs="Times New Roman"/>
        </w:rPr>
        <w:t xml:space="preserve"> Questo saggio è stato pubblicato precedentemente in inglese in F. Del Lucchese, </w:t>
      </w:r>
      <w:r w:rsidRPr="00B313AF">
        <w:rPr>
          <w:rFonts w:cs="Times New Roman"/>
          <w:i/>
        </w:rPr>
        <w:t>Monstrosity and Philosophy: Radical Otherness in Greek and Latin Culture</w:t>
      </w:r>
      <w:r>
        <w:rPr>
          <w:rFonts w:cs="Times New Roman"/>
        </w:rPr>
        <w:t xml:space="preserve">, Edinburgh University Press, </w:t>
      </w:r>
      <w:r w:rsidRPr="00B313AF">
        <w:rPr>
          <w:rFonts w:cs="Times New Roman"/>
        </w:rPr>
        <w:t>Edinburgh</w:t>
      </w:r>
      <w:r>
        <w:rPr>
          <w:rFonts w:cs="Times New Roman"/>
        </w:rPr>
        <w:t xml:space="preserve"> 2019</w:t>
      </w:r>
      <w:r w:rsidRPr="000C427C">
        <w:rPr>
          <w:rFonts w:cs="Times New Roman"/>
        </w:rPr>
        <w:t>.</w:t>
      </w:r>
    </w:p>
  </w:footnote>
  <w:footnote w:id="2">
    <w:p w14:paraId="3DBE1F8B" w14:textId="519E52C2"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Epicur. </w:t>
      </w:r>
      <w:r w:rsidRPr="006E0435">
        <w:rPr>
          <w:rFonts w:cs="Times New Roman"/>
          <w:i/>
        </w:rPr>
        <w:t>Fr.</w:t>
      </w:r>
      <w:r>
        <w:rPr>
          <w:rFonts w:cs="Times New Roman"/>
        </w:rPr>
        <w:t xml:space="preserve"> 333. Cfr. W. </w:t>
      </w:r>
      <w:r w:rsidRPr="00B313AF">
        <w:rPr>
          <w:rFonts w:cs="Times New Roman"/>
        </w:rPr>
        <w:t>Spoerri, Crescebant uteri terram radicibus apti.</w:t>
      </w:r>
      <w:r w:rsidRPr="00B313AF">
        <w:rPr>
          <w:rFonts w:cs="Times New Roman"/>
          <w:i/>
        </w:rPr>
        <w:t xml:space="preserve"> A propos de la zoogonie de Lucrèce (DRN, V, 791. sqq.)</w:t>
      </w:r>
      <w:r w:rsidRPr="00B313AF">
        <w:rPr>
          <w:rFonts w:cs="Times New Roman"/>
        </w:rPr>
        <w:t xml:space="preserve">, in D. Knoepfler et alii (éds.), </w:t>
      </w:r>
      <w:r w:rsidRPr="00B313AF">
        <w:rPr>
          <w:rFonts w:cs="Times New Roman"/>
          <w:i/>
        </w:rPr>
        <w:t>No</w:t>
      </w:r>
      <w:r>
        <w:rPr>
          <w:rFonts w:cs="Times New Roman"/>
          <w:i/>
        </w:rPr>
        <w:t>men latinum</w:t>
      </w:r>
      <w:r>
        <w:rPr>
          <w:rFonts w:cs="Times New Roman"/>
        </w:rPr>
        <w:t xml:space="preserve">, </w:t>
      </w:r>
      <w:r w:rsidRPr="00B313AF">
        <w:rPr>
          <w:rFonts w:cs="Times New Roman"/>
        </w:rPr>
        <w:t>Faculté de Lettres/Droz</w:t>
      </w:r>
      <w:r>
        <w:rPr>
          <w:rFonts w:cs="Times New Roman"/>
        </w:rPr>
        <w:t>,</w:t>
      </w:r>
      <w:r w:rsidRPr="00B313AF">
        <w:rPr>
          <w:rFonts w:cs="Times New Roman"/>
          <w:i/>
        </w:rPr>
        <w:t xml:space="preserve"> </w:t>
      </w:r>
      <w:r w:rsidRPr="00B313AF">
        <w:rPr>
          <w:rFonts w:cs="Times New Roman"/>
        </w:rPr>
        <w:t>Neuchâtel/Genève</w:t>
      </w:r>
      <w:r>
        <w:rPr>
          <w:rFonts w:cs="Times New Roman"/>
        </w:rPr>
        <w:t xml:space="preserve"> </w:t>
      </w:r>
      <w:r w:rsidRPr="00B313AF">
        <w:rPr>
          <w:rFonts w:cs="Times New Roman"/>
        </w:rPr>
        <w:t>1997</w:t>
      </w:r>
      <w:r>
        <w:rPr>
          <w:rFonts w:cs="Times New Roman"/>
        </w:rPr>
        <w:t xml:space="preserve"> pp. 55-82</w:t>
      </w:r>
      <w:r w:rsidRPr="006E0435">
        <w:rPr>
          <w:rFonts w:cs="Times New Roman"/>
        </w:rPr>
        <w:t>.</w:t>
      </w:r>
    </w:p>
  </w:footnote>
  <w:footnote w:id="3">
    <w:p w14:paraId="41CCE7BF"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D.L. X.26.</w:t>
      </w:r>
    </w:p>
  </w:footnote>
  <w:footnote w:id="4">
    <w:p w14:paraId="6CE35277" w14:textId="4A4EA604"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J. </w:t>
      </w:r>
      <w:r w:rsidRPr="002B5B04">
        <w:rPr>
          <w:rFonts w:cs="Times New Roman"/>
        </w:rPr>
        <w:t xml:space="preserve">Moreau, </w:t>
      </w:r>
      <w:r w:rsidRPr="002B5B04">
        <w:rPr>
          <w:rFonts w:cs="Times New Roman"/>
          <w:i/>
        </w:rPr>
        <w:t>Le mécanisme épicurien et l’ordre de la nature</w:t>
      </w:r>
      <w:r w:rsidRPr="002B5B04">
        <w:rPr>
          <w:rFonts w:cs="Times New Roman"/>
        </w:rPr>
        <w:t>.</w:t>
      </w:r>
      <w:r>
        <w:rPr>
          <w:rFonts w:cs="Times New Roman"/>
        </w:rPr>
        <w:t xml:space="preserve"> «</w:t>
      </w:r>
      <w:r w:rsidRPr="002B5B04">
        <w:rPr>
          <w:rFonts w:cs="Times New Roman"/>
        </w:rPr>
        <w:t>Les Etudes Philosophiques</w:t>
      </w:r>
      <w:r>
        <w:rPr>
          <w:rFonts w:cs="Times New Roman"/>
        </w:rPr>
        <w:t>», 1975,</w:t>
      </w:r>
      <w:r w:rsidRPr="006E0435">
        <w:rPr>
          <w:rFonts w:cs="Times New Roman"/>
        </w:rPr>
        <w:t xml:space="preserve"> p. 475, illustra come Democrito ed Epicuro condividano gli stessi principi, anche se li intendono in modi diversi. È difficile pensare che Epicuro, nelle parti perdute della sua grande opera sulla natura, non abbia colto l’occasione di discutere di un tema tanto importante pe</w:t>
      </w:r>
      <w:r>
        <w:rPr>
          <w:rFonts w:cs="Times New Roman"/>
        </w:rPr>
        <w:t>r il materialismo e l’atomismo.</w:t>
      </w:r>
    </w:p>
  </w:footnote>
  <w:footnote w:id="5">
    <w:p w14:paraId="67DF9564" w14:textId="0198E095"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Arrighetti in Epicuro,</w:t>
      </w:r>
      <w:r w:rsidRPr="00B313AF">
        <w:rPr>
          <w:rFonts w:cs="Times New Roman"/>
        </w:rPr>
        <w:t xml:space="preserve"> </w:t>
      </w:r>
      <w:r w:rsidRPr="00B313AF">
        <w:rPr>
          <w:rFonts w:cs="Times New Roman"/>
          <w:i/>
        </w:rPr>
        <w:t>Opere</w:t>
      </w:r>
      <w:r>
        <w:rPr>
          <w:rFonts w:cs="Times New Roman"/>
        </w:rPr>
        <w:t>, cit.</w:t>
      </w:r>
      <w:r w:rsidRPr="006E0435">
        <w:rPr>
          <w:rFonts w:cs="Times New Roman"/>
        </w:rPr>
        <w:t xml:space="preserve">, </w:t>
      </w:r>
      <w:r w:rsidRPr="006E0435">
        <w:rPr>
          <w:rFonts w:cs="Times New Roman"/>
          <w:i/>
        </w:rPr>
        <w:t xml:space="preserve">contra </w:t>
      </w:r>
      <w:r>
        <w:rPr>
          <w:rFonts w:cs="Times New Roman"/>
        </w:rPr>
        <w:t xml:space="preserve">J. </w:t>
      </w:r>
      <w:r w:rsidRPr="002B5B04">
        <w:rPr>
          <w:rFonts w:cs="Times New Roman"/>
          <w:color w:val="000000"/>
        </w:rPr>
        <w:t xml:space="preserve">Woltjer, </w:t>
      </w:r>
      <w:r w:rsidRPr="002B5B04">
        <w:rPr>
          <w:rFonts w:cs="Times New Roman"/>
          <w:i/>
          <w:color w:val="000000"/>
        </w:rPr>
        <w:t>Lucretii philosophia cum fontibus comparata</w:t>
      </w:r>
      <w:r>
        <w:rPr>
          <w:rFonts w:cs="Times New Roman"/>
          <w:color w:val="000000"/>
        </w:rPr>
        <w:t>, P. Noordhoff,</w:t>
      </w:r>
      <w:r w:rsidRPr="002B5B04">
        <w:rPr>
          <w:rFonts w:cs="Times New Roman"/>
          <w:color w:val="000000"/>
        </w:rPr>
        <w:t xml:space="preserve"> Groningae</w:t>
      </w:r>
      <w:r>
        <w:rPr>
          <w:rFonts w:cs="Times New Roman"/>
          <w:color w:val="000000"/>
        </w:rPr>
        <w:t xml:space="preserve"> </w:t>
      </w:r>
      <w:r w:rsidRPr="002B5B04">
        <w:rPr>
          <w:rFonts w:cs="Times New Roman"/>
          <w:color w:val="000000"/>
        </w:rPr>
        <w:t>1877</w:t>
      </w:r>
      <w:r w:rsidRPr="006E0435">
        <w:rPr>
          <w:rFonts w:cs="Times New Roman"/>
        </w:rPr>
        <w:t>, secondo il quale Lucrezio si limit</w:t>
      </w:r>
      <w:r>
        <w:rPr>
          <w:rFonts w:cs="Times New Roman"/>
        </w:rPr>
        <w:t xml:space="preserve">a a imitare Epicuro e </w:t>
      </w:r>
      <w:r w:rsidRPr="002B5B04">
        <w:rPr>
          <w:rFonts w:cs="Times New Roman"/>
        </w:rPr>
        <w:t>G. L.</w:t>
      </w:r>
      <w:r>
        <w:rPr>
          <w:rFonts w:cs="Times New Roman"/>
        </w:rPr>
        <w:t xml:space="preserve"> </w:t>
      </w:r>
      <w:r w:rsidRPr="002B5B04">
        <w:rPr>
          <w:rFonts w:cs="Times New Roman"/>
        </w:rPr>
        <w:t xml:space="preserve">Campbell, </w:t>
      </w:r>
      <w:r w:rsidRPr="002B5B04">
        <w:rPr>
          <w:rFonts w:cs="Times New Roman"/>
          <w:i/>
          <w:color w:val="000000"/>
        </w:rPr>
        <w:t>Lucretius on Creation and Evolution: A Commentary on De Rerum Natura, Book Five, Lines 772-1104</w:t>
      </w:r>
      <w:r>
        <w:rPr>
          <w:rFonts w:cs="Times New Roman"/>
          <w:color w:val="000000"/>
        </w:rPr>
        <w:t>,</w:t>
      </w:r>
      <w:r w:rsidRPr="002B5B04">
        <w:rPr>
          <w:rFonts w:cs="Times New Roman"/>
          <w:color w:val="000000"/>
        </w:rPr>
        <w:t xml:space="preserve"> Oxford University Press</w:t>
      </w:r>
      <w:r>
        <w:rPr>
          <w:rFonts w:cs="Times New Roman"/>
          <w:color w:val="000000"/>
        </w:rPr>
        <w:t xml:space="preserve">, </w:t>
      </w:r>
      <w:r w:rsidRPr="002B5B04">
        <w:rPr>
          <w:rFonts w:cs="Times New Roman"/>
          <w:color w:val="000000"/>
        </w:rPr>
        <w:t>Oxford</w:t>
      </w:r>
      <w:r>
        <w:rPr>
          <w:rFonts w:cs="Times New Roman"/>
          <w:color w:val="000000"/>
        </w:rPr>
        <w:t xml:space="preserve"> </w:t>
      </w:r>
      <w:r w:rsidRPr="002B5B04">
        <w:rPr>
          <w:rFonts w:cs="Times New Roman"/>
        </w:rPr>
        <w:t>2003</w:t>
      </w:r>
      <w:r w:rsidRPr="006E0435">
        <w:rPr>
          <w:rFonts w:cs="Times New Roman"/>
        </w:rPr>
        <w:t xml:space="preserve"> p. 101. Si veda ino</w:t>
      </w:r>
      <w:r>
        <w:rPr>
          <w:rFonts w:cs="Times New Roman"/>
        </w:rPr>
        <w:t xml:space="preserve">ltre la discussione in Spoerri, </w:t>
      </w:r>
      <w:r>
        <w:rPr>
          <w:rFonts w:cs="Times New Roman"/>
          <w:color w:val="000000"/>
        </w:rPr>
        <w:t>Crescebant uteri...</w:t>
      </w:r>
      <w:r w:rsidRPr="006E0435">
        <w:rPr>
          <w:rFonts w:cs="Times New Roman"/>
        </w:rPr>
        <w:t>,</w:t>
      </w:r>
      <w:r>
        <w:rPr>
          <w:rFonts w:cs="Times New Roman"/>
        </w:rPr>
        <w:t xml:space="preserve"> cit.,</w:t>
      </w:r>
      <w:r w:rsidRPr="006E0435">
        <w:rPr>
          <w:rFonts w:cs="Times New Roman"/>
        </w:rPr>
        <w:t xml:space="preserve"> </w:t>
      </w:r>
      <w:r w:rsidRPr="006E0435">
        <w:rPr>
          <w:rFonts w:cs="Times New Roman"/>
          <w:i/>
        </w:rPr>
        <w:t>Appendice: deux excursus sur les sources de Lucrèce</w:t>
      </w:r>
      <w:r w:rsidRPr="006E0435">
        <w:rPr>
          <w:rFonts w:cs="Times New Roman"/>
        </w:rPr>
        <w:t>.</w:t>
      </w:r>
    </w:p>
  </w:footnote>
  <w:footnote w:id="6">
    <w:p w14:paraId="07730868" w14:textId="15FC3745"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J. </w:t>
      </w:r>
      <w:r w:rsidRPr="002B5B04">
        <w:rPr>
          <w:color w:val="000000"/>
        </w:rPr>
        <w:t xml:space="preserve">Woltjer, </w:t>
      </w:r>
      <w:r w:rsidRPr="002B5B04">
        <w:rPr>
          <w:i/>
          <w:color w:val="000000"/>
        </w:rPr>
        <w:t>Lucretii philosophia</w:t>
      </w:r>
      <w:r>
        <w:rPr>
          <w:i/>
          <w:color w:val="000000"/>
        </w:rPr>
        <w:t>...</w:t>
      </w:r>
      <w:r>
        <w:rPr>
          <w:color w:val="000000"/>
        </w:rPr>
        <w:t>, cit.,</w:t>
      </w:r>
      <w:r>
        <w:rPr>
          <w:i/>
          <w:color w:val="000000"/>
        </w:rPr>
        <w:t xml:space="preserve"> </w:t>
      </w:r>
      <w:r>
        <w:rPr>
          <w:rFonts w:cs="Times New Roman"/>
        </w:rPr>
        <w:t xml:space="preserve">e P. </w:t>
      </w:r>
      <w:r w:rsidRPr="002B5B04">
        <w:t xml:space="preserve">Boyancé, </w:t>
      </w:r>
      <w:r w:rsidRPr="002B5B04">
        <w:rPr>
          <w:i/>
        </w:rPr>
        <w:t>Lucrèce et l’épicurisme</w:t>
      </w:r>
      <w:r>
        <w:t>,</w:t>
      </w:r>
      <w:r w:rsidRPr="002B5B04">
        <w:t xml:space="preserve"> Presses Universitaires de France</w:t>
      </w:r>
      <w:r>
        <w:t xml:space="preserve">, Paris </w:t>
      </w:r>
      <w:r w:rsidRPr="002B5B04">
        <w:t>1963</w:t>
      </w:r>
      <w:r w:rsidRPr="006E0435">
        <w:rPr>
          <w:rFonts w:cs="Times New Roman"/>
        </w:rPr>
        <w:t xml:space="preserve">. </w:t>
      </w:r>
    </w:p>
  </w:footnote>
  <w:footnote w:id="7">
    <w:p w14:paraId="6316208C" w14:textId="15C2EB50"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Usener e P. </w:t>
      </w:r>
      <w:r>
        <w:t>De Lacy,</w:t>
      </w:r>
      <w:r w:rsidRPr="002B5B04">
        <w:t xml:space="preserve"> </w:t>
      </w:r>
      <w:r w:rsidRPr="002B5B04">
        <w:rPr>
          <w:i/>
        </w:rPr>
        <w:t>Lucretius and the History of Epicureanism</w:t>
      </w:r>
      <w:r>
        <w:t>. «</w:t>
      </w:r>
      <w:r w:rsidRPr="002B5B04">
        <w:t>Transactions and Proceedings of the Ame</w:t>
      </w:r>
      <w:r>
        <w:t>rican Philological Association»,</w:t>
      </w:r>
      <w:r w:rsidRPr="002B5B04">
        <w:t xml:space="preserve"> 79</w:t>
      </w:r>
      <w:r>
        <w:t xml:space="preserve">, </w:t>
      </w:r>
      <w:r w:rsidRPr="002B5B04">
        <w:t>1948</w:t>
      </w:r>
      <w:r>
        <w:t>, pp.</w:t>
      </w:r>
      <w:r w:rsidRPr="002B5B04">
        <w:t xml:space="preserve"> 12-23</w:t>
      </w:r>
      <w:r w:rsidRPr="006E0435">
        <w:rPr>
          <w:rFonts w:cs="Times New Roman"/>
        </w:rPr>
        <w:t xml:space="preserve">. Si veda la ricostruzione di Bollack </w:t>
      </w:r>
      <w:r>
        <w:rPr>
          <w:rFonts w:cs="Times New Roman"/>
        </w:rPr>
        <w:t xml:space="preserve">di questo dibattito in M. </w:t>
      </w:r>
      <w:r w:rsidRPr="002B5B04">
        <w:t>Bollack</w:t>
      </w:r>
      <w:r>
        <w:t>,</w:t>
      </w:r>
      <w:r w:rsidRPr="002B5B04">
        <w:t xml:space="preserve"> </w:t>
      </w:r>
      <w:r w:rsidRPr="002B5B04">
        <w:rPr>
          <w:i/>
        </w:rPr>
        <w:t>La raison de Lucrèce. Constitution d’une poétique philosophique avec un essai d’interprétation de la critique lucrétienne</w:t>
      </w:r>
      <w:r>
        <w:t xml:space="preserve">, </w:t>
      </w:r>
      <w:r w:rsidRPr="002B5B04">
        <w:t>Editions de Minuit</w:t>
      </w:r>
      <w:r>
        <w:t xml:space="preserve">, Paris </w:t>
      </w:r>
      <w:r w:rsidRPr="002B5B04">
        <w:t>1978</w:t>
      </w:r>
      <w:r>
        <w:t>,</w:t>
      </w:r>
      <w:r>
        <w:rPr>
          <w:rFonts w:cs="Times New Roman"/>
        </w:rPr>
        <w:t xml:space="preserve"> pp. 96 sgg</w:t>
      </w:r>
      <w:r w:rsidRPr="006E0435">
        <w:rPr>
          <w:rFonts w:cs="Times New Roman"/>
        </w:rPr>
        <w:t>.</w:t>
      </w:r>
    </w:p>
  </w:footnote>
  <w:footnote w:id="8">
    <w:p w14:paraId="62EB7F7C" w14:textId="732CCB7D"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Arrighetti in Epicuro, </w:t>
      </w:r>
      <w:r>
        <w:rPr>
          <w:rFonts w:cs="Times New Roman"/>
          <w:i/>
        </w:rPr>
        <w:t xml:space="preserve">Opere, </w:t>
      </w:r>
      <w:r>
        <w:rPr>
          <w:rFonts w:cs="Times New Roman"/>
        </w:rPr>
        <w:t xml:space="preserve">cit., p. 493, M. </w:t>
      </w:r>
      <w:r w:rsidRPr="002B5B04">
        <w:rPr>
          <w:color w:val="000000"/>
        </w:rPr>
        <w:t xml:space="preserve">Gale, </w:t>
      </w:r>
      <w:r w:rsidRPr="002B5B04">
        <w:rPr>
          <w:i/>
          <w:color w:val="000000"/>
        </w:rPr>
        <w:t>Myth and Poetry in Lucretius</w:t>
      </w:r>
      <w:r>
        <w:rPr>
          <w:color w:val="000000"/>
        </w:rPr>
        <w:t>,</w:t>
      </w:r>
      <w:r w:rsidRPr="002B5B04">
        <w:rPr>
          <w:color w:val="000000"/>
        </w:rPr>
        <w:t xml:space="preserve"> Cambridge University Press</w:t>
      </w:r>
      <w:r>
        <w:rPr>
          <w:color w:val="000000"/>
        </w:rPr>
        <w:t xml:space="preserve">, Cambridge </w:t>
      </w:r>
      <w:r w:rsidRPr="002B5B04">
        <w:rPr>
          <w:color w:val="000000"/>
        </w:rPr>
        <w:t>1994</w:t>
      </w:r>
      <w:r>
        <w:rPr>
          <w:color w:val="000000"/>
        </w:rPr>
        <w:t xml:space="preserve">, </w:t>
      </w:r>
      <w:r>
        <w:rPr>
          <w:rFonts w:cs="Times New Roman"/>
        </w:rPr>
        <w:t xml:space="preserve">pp. 59 sgg., D. </w:t>
      </w:r>
      <w:r w:rsidRPr="002B5B04">
        <w:t>Sedley</w:t>
      </w:r>
      <w:r>
        <w:t>,</w:t>
      </w:r>
      <w:r w:rsidRPr="002B5B04">
        <w:t xml:space="preserve"> </w:t>
      </w:r>
      <w:r w:rsidRPr="002B5B04">
        <w:rPr>
          <w:i/>
        </w:rPr>
        <w:t>The Proems of Empedocles and Lucretius</w:t>
      </w:r>
      <w:r>
        <w:t>, «</w:t>
      </w:r>
      <w:r w:rsidRPr="002B5B04">
        <w:t>Greek</w:t>
      </w:r>
      <w:r>
        <w:t xml:space="preserve">, Roman, and Byzantine Studies» 30, </w:t>
      </w:r>
      <w:r w:rsidRPr="002B5B04">
        <w:t>1989</w:t>
      </w:r>
      <w:r>
        <w:t>,</w:t>
      </w:r>
      <w:r w:rsidRPr="002B5B04">
        <w:t xml:space="preserve"> </w:t>
      </w:r>
      <w:r>
        <w:t xml:space="preserve">pp. </w:t>
      </w:r>
      <w:r w:rsidRPr="002B5B04">
        <w:t>269-96</w:t>
      </w:r>
      <w:r w:rsidRPr="006E0435">
        <w:rPr>
          <w:rFonts w:cs="Times New Roman"/>
        </w:rPr>
        <w:t>,</w:t>
      </w:r>
      <w:r>
        <w:rPr>
          <w:rFonts w:cs="Times New Roman"/>
        </w:rPr>
        <w:t xml:space="preserve"> D. </w:t>
      </w:r>
      <w:r w:rsidRPr="002B5B04">
        <w:t>Sedley</w:t>
      </w:r>
      <w:r>
        <w:t>,</w:t>
      </w:r>
      <w:r w:rsidRPr="002B5B04">
        <w:t xml:space="preserve"> </w:t>
      </w:r>
      <w:r w:rsidRPr="002B5B04">
        <w:rPr>
          <w:i/>
        </w:rPr>
        <w:t>Lucretius and the Transformation of Greek Wisdom</w:t>
      </w:r>
      <w:r>
        <w:t>,</w:t>
      </w:r>
      <w:r w:rsidRPr="002B5B04">
        <w:t xml:space="preserve"> Cambridge University Press</w:t>
      </w:r>
      <w:r>
        <w:t xml:space="preserve">, Cambridge </w:t>
      </w:r>
      <w:r w:rsidRPr="002B5B04">
        <w:t>1998</w:t>
      </w:r>
      <w:r>
        <w:t>,</w:t>
      </w:r>
      <w:r w:rsidRPr="006E0435">
        <w:rPr>
          <w:rFonts w:cs="Times New Roman"/>
        </w:rPr>
        <w:t xml:space="preserve"> D. Sedley, </w:t>
      </w:r>
      <w:r w:rsidRPr="006E0435">
        <w:rPr>
          <w:rFonts w:cs="Times New Roman"/>
          <w:i/>
        </w:rPr>
        <w:t>The Empedoclean Opening</w:t>
      </w:r>
      <w:r>
        <w:rPr>
          <w:rFonts w:cs="Times New Roman"/>
        </w:rPr>
        <w:t xml:space="preserve">, in M. </w:t>
      </w:r>
      <w:r>
        <w:rPr>
          <w:color w:val="000000"/>
        </w:rPr>
        <w:t>Gale</w:t>
      </w:r>
      <w:r w:rsidRPr="002B5B04">
        <w:rPr>
          <w:color w:val="000000"/>
        </w:rPr>
        <w:t xml:space="preserve"> </w:t>
      </w:r>
      <w:r>
        <w:rPr>
          <w:color w:val="000000"/>
        </w:rPr>
        <w:t>ed</w:t>
      </w:r>
      <w:r w:rsidRPr="002B5B04">
        <w:rPr>
          <w:color w:val="000000"/>
        </w:rPr>
        <w:t>.</w:t>
      </w:r>
      <w:r>
        <w:rPr>
          <w:color w:val="000000"/>
        </w:rPr>
        <w:t>,</w:t>
      </w:r>
      <w:r w:rsidRPr="002B5B04">
        <w:rPr>
          <w:color w:val="000000"/>
        </w:rPr>
        <w:t xml:space="preserve"> </w:t>
      </w:r>
      <w:r w:rsidRPr="002B5B04">
        <w:rPr>
          <w:i/>
          <w:color w:val="000000"/>
        </w:rPr>
        <w:t>Oxford Readings in Classical Studies: Lucretius</w:t>
      </w:r>
      <w:r>
        <w:rPr>
          <w:color w:val="000000"/>
        </w:rPr>
        <w:t xml:space="preserve">, </w:t>
      </w:r>
      <w:r w:rsidRPr="002B5B04">
        <w:rPr>
          <w:color w:val="000000"/>
        </w:rPr>
        <w:t>Oxford University Press</w:t>
      </w:r>
      <w:r w:rsidRPr="006E0435">
        <w:rPr>
          <w:rFonts w:cs="Times New Roman"/>
        </w:rPr>
        <w:t>,</w:t>
      </w:r>
      <w:r>
        <w:rPr>
          <w:rFonts w:cs="Times New Roman"/>
        </w:rPr>
        <w:t xml:space="preserve"> Oxford </w:t>
      </w:r>
      <w:r w:rsidRPr="002B5B04">
        <w:rPr>
          <w:color w:val="000000"/>
        </w:rPr>
        <w:t>2007</w:t>
      </w:r>
      <w:r>
        <w:rPr>
          <w:color w:val="000000"/>
        </w:rPr>
        <w:t>,</w:t>
      </w:r>
      <w:r w:rsidRPr="006E0435">
        <w:rPr>
          <w:rFonts w:cs="Times New Roman"/>
        </w:rPr>
        <w:t xml:space="preserve"> pp. 48-87, L. Piazzi, </w:t>
      </w:r>
      <w:r w:rsidRPr="006E0435">
        <w:rPr>
          <w:rFonts w:cs="Times New Roman"/>
          <w:i/>
        </w:rPr>
        <w:t>Atomismo e polemica filosofica: Lucrezio e i presocratici</w:t>
      </w:r>
      <w:r w:rsidRPr="006E0435">
        <w:rPr>
          <w:rFonts w:cs="Times New Roman"/>
        </w:rPr>
        <w:t xml:space="preserve">, in </w:t>
      </w:r>
      <w:r>
        <w:rPr>
          <w:rFonts w:cs="Times New Roman"/>
        </w:rPr>
        <w:t xml:space="preserve">M. </w:t>
      </w:r>
      <w:r w:rsidRPr="002B5B04">
        <w:t xml:space="preserve">Beretta, </w:t>
      </w:r>
      <w:r>
        <w:t>F. Citti a cura di,</w:t>
      </w:r>
      <w:r w:rsidRPr="002B5B04">
        <w:t xml:space="preserve"> </w:t>
      </w:r>
      <w:r w:rsidRPr="002B5B04">
        <w:rPr>
          <w:i/>
        </w:rPr>
        <w:t>Lucrezio. La natura e la scienza</w:t>
      </w:r>
      <w:r>
        <w:t>,</w:t>
      </w:r>
      <w:r w:rsidRPr="002B5B04">
        <w:t xml:space="preserve"> Leo S. Olschki</w:t>
      </w:r>
      <w:r>
        <w:t>, Firenze 2008,</w:t>
      </w:r>
      <w:r w:rsidRPr="006E0435">
        <w:rPr>
          <w:rFonts w:cs="Times New Roman"/>
        </w:rPr>
        <w:t xml:space="preserve"> pp. 11-25. Si noti che il problema dell’influenza di Epicuro su Lucrezio ha uno spessore metafisico oltre che meramente storiografico: i primi autori cristiani, come Lattanzio e Arnobio ad esempio, cercano di salvare Lucrezio dall’empia influenza dell’ateo Epicuro. Benché Lattanzio sia disponibile ad accettare l’influenza di Empedocle su Lucrezio, egli cerca comunque di spezzare il nesso con Epicuro, sul quale fa ricadere tutta l’infamia. Si veda </w:t>
      </w:r>
      <w:r w:rsidRPr="006E0435">
        <w:rPr>
          <w:rFonts w:cs="Times New Roman"/>
          <w:i/>
        </w:rPr>
        <w:t>De opificio Dei</w:t>
      </w:r>
      <w:r>
        <w:rPr>
          <w:rFonts w:cs="Times New Roman"/>
        </w:rPr>
        <w:t xml:space="preserve"> VI.1 e M. </w:t>
      </w:r>
      <w:r w:rsidRPr="002B5B04">
        <w:t xml:space="preserve">Bollack, </w:t>
      </w:r>
      <w:r w:rsidRPr="002B5B04">
        <w:rPr>
          <w:i/>
        </w:rPr>
        <w:t>La raison de Lucrèce</w:t>
      </w:r>
      <w:r>
        <w:t xml:space="preserve">..., cit., </w:t>
      </w:r>
      <w:r w:rsidRPr="006E0435">
        <w:rPr>
          <w:rFonts w:cs="Times New Roman"/>
        </w:rPr>
        <w:t>pp. 118-9.</w:t>
      </w:r>
    </w:p>
  </w:footnote>
  <w:footnote w:id="9">
    <w:p w14:paraId="27D6BBCB" w14:textId="2CC3D609" w:rsidR="00B82712" w:rsidRPr="006E0435" w:rsidRDefault="00B82712" w:rsidP="000D6EF2">
      <w:pPr>
        <w:pStyle w:val="FootnoteText"/>
        <w:ind w:left="0"/>
        <w:rPr>
          <w:rFonts w:cs="Times New Roman"/>
          <w:lang w:val="fr-FR"/>
        </w:rPr>
      </w:pPr>
      <w:r w:rsidRPr="006E0435">
        <w:rPr>
          <w:rStyle w:val="FootnoteReference"/>
          <w:rFonts w:cs="Times New Roman"/>
        </w:rPr>
        <w:footnoteRef/>
      </w:r>
      <w:r w:rsidRPr="006E0435">
        <w:rPr>
          <w:rFonts w:cs="Times New Roman"/>
        </w:rPr>
        <w:t xml:space="preserve"> Epicur. </w:t>
      </w:r>
      <w:r w:rsidRPr="006E0435">
        <w:rPr>
          <w:rFonts w:cs="Times New Roman"/>
          <w:i/>
        </w:rPr>
        <w:t xml:space="preserve">Ep. </w:t>
      </w:r>
      <w:r w:rsidRPr="006E0435">
        <w:rPr>
          <w:rFonts w:cs="Times New Roman"/>
        </w:rPr>
        <w:t>[2], 38-9 (= Usener, pp. 5-6).</w:t>
      </w:r>
    </w:p>
  </w:footnote>
  <w:footnote w:id="10">
    <w:p w14:paraId="6E03E4AB" w14:textId="1945FCDD"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Bailey, </w:t>
      </w:r>
      <w:r>
        <w:t>Epicurus,</w:t>
      </w:r>
      <w:r w:rsidRPr="002B5B04">
        <w:t xml:space="preserve"> </w:t>
      </w:r>
      <w:r w:rsidRPr="002B5B04">
        <w:rPr>
          <w:i/>
        </w:rPr>
        <w:t>The Extant Remains</w:t>
      </w:r>
      <w:r>
        <w:t>,</w:t>
      </w:r>
      <w:r w:rsidRPr="002B5B04">
        <w:t xml:space="preserve"> With short critical apparatus, tra</w:t>
      </w:r>
      <w:r>
        <w:t>nslation and notes by C. Bailey,</w:t>
      </w:r>
      <w:r w:rsidRPr="002B5B04">
        <w:t xml:space="preserve"> Clarendon Press</w:t>
      </w:r>
      <w:r>
        <w:t xml:space="preserve">, Oxford </w:t>
      </w:r>
      <w:r w:rsidRPr="002B5B04">
        <w:t>1926</w:t>
      </w:r>
      <w:r>
        <w:t>,</w:t>
      </w:r>
      <w:r w:rsidRPr="006E0435">
        <w:rPr>
          <w:rFonts w:cs="Times New Roman"/>
        </w:rPr>
        <w:t xml:space="preserve"> p. 179.</w:t>
      </w:r>
    </w:p>
  </w:footnote>
  <w:footnote w:id="11">
    <w:p w14:paraId="2668785F"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 I.150, 159-60, e 215-6.</w:t>
      </w:r>
    </w:p>
  </w:footnote>
  <w:footnote w:id="12">
    <w:p w14:paraId="10DE9EEB" w14:textId="7E5A02D8"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Epicur. </w:t>
      </w:r>
      <w:r w:rsidRPr="006E0435">
        <w:rPr>
          <w:rFonts w:cs="Times New Roman"/>
          <w:i/>
        </w:rPr>
        <w:t xml:space="preserve">Ep. </w:t>
      </w:r>
      <w:r w:rsidRPr="006E0435">
        <w:rPr>
          <w:rFonts w:cs="Times New Roman"/>
        </w:rPr>
        <w:t>[2], 40. Lucrezio segue fedelemente la dimostrazione in Lucr.</w:t>
      </w:r>
      <w:r w:rsidRPr="006E0435">
        <w:rPr>
          <w:rFonts w:cs="Times New Roman"/>
          <w:i/>
        </w:rPr>
        <w:t xml:space="preserve"> </w:t>
      </w:r>
      <w:r w:rsidRPr="006E0435">
        <w:rPr>
          <w:rFonts w:cs="Times New Roman"/>
        </w:rPr>
        <w:t>I.418</w:t>
      </w:r>
      <w:r>
        <w:rPr>
          <w:rFonts w:cs="Times New Roman"/>
        </w:rPr>
        <w:t xml:space="preserve"> sgg</w:t>
      </w:r>
      <w:r w:rsidRPr="006E0435">
        <w:rPr>
          <w:rFonts w:cs="Times New Roman"/>
        </w:rPr>
        <w:t>.</w:t>
      </w:r>
    </w:p>
  </w:footnote>
  <w:footnote w:id="13">
    <w:p w14:paraId="47835F02" w14:textId="3D83EC5A"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Lucr. I.265 sgg</w:t>
      </w:r>
      <w:r w:rsidRPr="006E0435">
        <w:rPr>
          <w:rFonts w:cs="Times New Roman"/>
        </w:rPr>
        <w:t xml:space="preserve">. L’indivisibilità degli atomi gioca un ruolo importante nel negare le conseguenze anti-materialistiche della dialettica sviluppata dalla Scuola Eleatica e, in particolare, da Zenone, la cui divisibilità infinita della materia nullifica l’Essere stesso. Cfr. Plu. </w:t>
      </w:r>
      <w:r w:rsidRPr="006E0435">
        <w:rPr>
          <w:rFonts w:cs="Times New Roman"/>
          <w:i/>
        </w:rPr>
        <w:t>Adv. Coloten</w:t>
      </w:r>
      <w:r w:rsidRPr="006E0435">
        <w:rPr>
          <w:rFonts w:cs="Times New Roman"/>
        </w:rPr>
        <w:t xml:space="preserve"> in Usener,</w:t>
      </w:r>
      <w:r>
        <w:rPr>
          <w:rFonts w:cs="Times New Roman"/>
        </w:rPr>
        <w:t xml:space="preserve"> </w:t>
      </w:r>
      <w:r w:rsidRPr="006E0435">
        <w:rPr>
          <w:rFonts w:cs="Times New Roman"/>
        </w:rPr>
        <w:t>p. 202, fr. 282.</w:t>
      </w:r>
    </w:p>
  </w:footnote>
  <w:footnote w:id="14">
    <w:p w14:paraId="15E0AE10" w14:textId="77363C87"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Lucr. II.62 sgg</w:t>
      </w:r>
      <w:r w:rsidRPr="006E0435">
        <w:rPr>
          <w:rFonts w:cs="Times New Roman"/>
        </w:rPr>
        <w:t>.</w:t>
      </w:r>
    </w:p>
  </w:footnote>
  <w:footnote w:id="15">
    <w:p w14:paraId="67826996" w14:textId="48F1D9EB"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Lucr. II.333 sgg</w:t>
      </w:r>
      <w:r w:rsidRPr="006E0435">
        <w:rPr>
          <w:rFonts w:cs="Times New Roman"/>
        </w:rPr>
        <w:t>.</w:t>
      </w:r>
    </w:p>
  </w:footnote>
  <w:footnote w:id="16">
    <w:p w14:paraId="11198E2A" w14:textId="613C1F9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Epicur. </w:t>
      </w:r>
      <w:r w:rsidRPr="006E0435">
        <w:rPr>
          <w:rFonts w:cs="Times New Roman"/>
          <w:i/>
        </w:rPr>
        <w:t xml:space="preserve">Ep. </w:t>
      </w:r>
      <w:r w:rsidRPr="006E0435">
        <w:rPr>
          <w:rFonts w:cs="Times New Roman"/>
        </w:rPr>
        <w:t xml:space="preserve">[2], </w:t>
      </w:r>
      <w:r>
        <w:rPr>
          <w:rFonts w:cs="Times New Roman"/>
        </w:rPr>
        <w:t xml:space="preserve">50 (= Usener, p. 12 = Epicurus, </w:t>
      </w:r>
      <w:r w:rsidRPr="002B5B04">
        <w:rPr>
          <w:i/>
        </w:rPr>
        <w:t>The Extant Remains</w:t>
      </w:r>
      <w:r w:rsidRPr="006E0435">
        <w:rPr>
          <w:rFonts w:cs="Times New Roman"/>
        </w:rPr>
        <w:t>,</w:t>
      </w:r>
      <w:r>
        <w:rPr>
          <w:rFonts w:cs="Times New Roman"/>
        </w:rPr>
        <w:t xml:space="preserve"> cit.,</w:t>
      </w:r>
      <w:r w:rsidRPr="006E0435">
        <w:rPr>
          <w:rFonts w:cs="Times New Roman"/>
        </w:rPr>
        <w:t xml:space="preserve"> p. 29: </w:t>
      </w:r>
      <w:r>
        <w:rPr>
          <w:rFonts w:cs="Times New Roman"/>
          <w:kern w:val="0"/>
          <w:lang w:val="en-US" w:bidi="ar-SA"/>
        </w:rPr>
        <w:t>«</w:t>
      </w:r>
      <w:r w:rsidRPr="006E0435">
        <w:rPr>
          <w:rFonts w:cs="Times New Roman"/>
          <w:kern w:val="0"/>
          <w:lang w:val="en-US" w:bidi="ar-SA"/>
        </w:rPr>
        <w:t>[...] qualsiasi rappresentazione noi riceviamo per contatto diretto con la mente o con gli organi di senso, sia della forma sia degli accidenti, questa altro non è che la forma dell’oggetto solido [...]. La falsità e l’errore, invece, risiedono sempre nell’aggiungersi dell’opinione &lt;a ciò che attende&gt; di essere confermato o non smentito, mentre poi risu</w:t>
      </w:r>
      <w:r>
        <w:rPr>
          <w:rFonts w:cs="Times New Roman"/>
          <w:kern w:val="0"/>
          <w:lang w:val="en-US" w:bidi="ar-SA"/>
        </w:rPr>
        <w:t>lta non confermato &lt;o smentito&gt;».</w:t>
      </w:r>
    </w:p>
  </w:footnote>
  <w:footnote w:id="17">
    <w:p w14:paraId="2A9D5BFD" w14:textId="7042FB35" w:rsidR="00B82712" w:rsidRPr="006E0435" w:rsidRDefault="00B82712" w:rsidP="000D6EF2">
      <w:pPr>
        <w:pStyle w:val="FootnoteText"/>
        <w:ind w:left="0"/>
        <w:rPr>
          <w:rFonts w:cs="Times New Roman"/>
          <w:lang w:val="fr-FR"/>
        </w:rPr>
      </w:pPr>
      <w:r w:rsidRPr="006E0435">
        <w:rPr>
          <w:rStyle w:val="FootnoteReference"/>
          <w:rFonts w:cs="Times New Roman"/>
        </w:rPr>
        <w:footnoteRef/>
      </w:r>
      <w:r w:rsidRPr="006E0435">
        <w:rPr>
          <w:rFonts w:cs="Times New Roman"/>
        </w:rPr>
        <w:t xml:space="preserve"> </w:t>
      </w:r>
      <w:r w:rsidRPr="006E0435">
        <w:rPr>
          <w:rFonts w:cs="Times New Roman"/>
          <w:kern w:val="0"/>
          <w:lang w:val="en-US" w:bidi="ar-SA"/>
        </w:rPr>
        <w:t>Non ho tradotto, per il momento, questa espressione. Mostrerò più avanti perché la traduzione è essenziale per l’interpretazione e la comprensione di questo concetto centrale della fisica atomista.</w:t>
      </w:r>
    </w:p>
  </w:footnote>
  <w:footnote w:id="18">
    <w:p w14:paraId="197C734C" w14:textId="351F8CF6" w:rsidR="00B82712" w:rsidRPr="006E0435" w:rsidRDefault="00B82712" w:rsidP="000D6EF2">
      <w:pPr>
        <w:pStyle w:val="FootnoteText"/>
        <w:ind w:left="0"/>
        <w:rPr>
          <w:rFonts w:cs="Times New Roman"/>
          <w:lang w:val="fr-FR"/>
        </w:rPr>
      </w:pPr>
      <w:r w:rsidRPr="006E0435">
        <w:rPr>
          <w:rStyle w:val="FootnoteReference"/>
          <w:rFonts w:cs="Times New Roman"/>
        </w:rPr>
        <w:footnoteRef/>
      </w:r>
      <w:r w:rsidRPr="006E0435">
        <w:rPr>
          <w:rFonts w:cs="Times New Roman"/>
        </w:rPr>
        <w:t xml:space="preserve"> Lucr.</w:t>
      </w:r>
      <w:r w:rsidRPr="006E0435">
        <w:rPr>
          <w:rFonts w:cs="Times New Roman"/>
          <w:i/>
        </w:rPr>
        <w:t xml:space="preserve"> </w:t>
      </w:r>
      <w:r w:rsidRPr="006E0435">
        <w:rPr>
          <w:rFonts w:cs="Times New Roman"/>
        </w:rPr>
        <w:t>I.584-98.</w:t>
      </w:r>
    </w:p>
  </w:footnote>
  <w:footnote w:id="19">
    <w:p w14:paraId="24651AA2" w14:textId="0385A4E3"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F. </w:t>
      </w:r>
      <w:r w:rsidRPr="002B5B04">
        <w:t>Verde, Elachista</w:t>
      </w:r>
      <w:r w:rsidRPr="002B5B04">
        <w:rPr>
          <w:i/>
        </w:rPr>
        <w:t>. La dottrina dei minimi nell’epicureismo</w:t>
      </w:r>
      <w:r>
        <w:t>,</w:t>
      </w:r>
      <w:r w:rsidRPr="002B5B04">
        <w:t xml:space="preserve"> Leuven University Press</w:t>
      </w:r>
      <w:r>
        <w:t xml:space="preserve">, Leuven </w:t>
      </w:r>
      <w:r w:rsidRPr="002B5B04">
        <w:t>2013</w:t>
      </w:r>
      <w:r w:rsidRPr="006E0435">
        <w:rPr>
          <w:rFonts w:cs="Times New Roman"/>
        </w:rPr>
        <w:t>.</w:t>
      </w:r>
    </w:p>
  </w:footnote>
  <w:footnote w:id="20">
    <w:p w14:paraId="55BB70AC" w14:textId="18876124"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sidRPr="006E0435">
        <w:rPr>
          <w:rFonts w:cs="Times New Roman"/>
        </w:rPr>
        <w:t xml:space="preserve">I.449-50, sviluppando Epicur. </w:t>
      </w:r>
      <w:r w:rsidRPr="006E0435">
        <w:rPr>
          <w:rFonts w:cs="Times New Roman"/>
          <w:i/>
        </w:rPr>
        <w:t xml:space="preserve">Ep. </w:t>
      </w:r>
      <w:r>
        <w:rPr>
          <w:rFonts w:cs="Times New Roman"/>
        </w:rPr>
        <w:t xml:space="preserve">[2], 40 e 68-73. Bollack, </w:t>
      </w:r>
      <w:r w:rsidRPr="002B5B04">
        <w:rPr>
          <w:i/>
        </w:rPr>
        <w:t>La raison de Lucrèce</w:t>
      </w:r>
      <w:r>
        <w:rPr>
          <w:i/>
        </w:rPr>
        <w:t>...</w:t>
      </w:r>
      <w:r>
        <w:rPr>
          <w:rFonts w:cs="Times New Roman"/>
        </w:rPr>
        <w:t xml:space="preserve">, cit., </w:t>
      </w:r>
      <w:r w:rsidRPr="006E0435">
        <w:rPr>
          <w:rFonts w:cs="Times New Roman"/>
        </w:rPr>
        <w:t xml:space="preserve">p. 157, nota l’importante cambiamento introdotto dalla scelta traduttiva di Lucrezio. Secondo Bollack, Lucrezio non traduce i concetti epicurei di συμβεβηκότα e συμπτώματα con termini aventi lo stesso prefisso. </w:t>
      </w:r>
      <w:r w:rsidRPr="006E0435">
        <w:rPr>
          <w:rFonts w:cs="Times New Roman"/>
          <w:i/>
        </w:rPr>
        <w:t xml:space="preserve">Coniunta </w:t>
      </w:r>
      <w:r w:rsidRPr="006E0435">
        <w:rPr>
          <w:rFonts w:cs="Times New Roman"/>
        </w:rPr>
        <w:t xml:space="preserve">traduce le qualità strettamente legate alle cose (I.449), mentre </w:t>
      </w:r>
      <w:r w:rsidRPr="006E0435">
        <w:rPr>
          <w:rFonts w:cs="Times New Roman"/>
          <w:i/>
        </w:rPr>
        <w:t>euenta</w:t>
      </w:r>
      <w:r w:rsidRPr="006E0435">
        <w:rPr>
          <w:rFonts w:cs="Times New Roman"/>
        </w:rPr>
        <w:t xml:space="preserve"> traduce i suoi accidenti. Mentre Epicuro avvicina i due concetti, Lucrezio non traduce i termini, ma le idee, e distingue i due ordini, quello della base stabile (</w:t>
      </w:r>
      <w:r w:rsidRPr="006E0435">
        <w:rPr>
          <w:rFonts w:cs="Times New Roman"/>
          <w:i/>
        </w:rPr>
        <w:t>coniunctum</w:t>
      </w:r>
      <w:r w:rsidRPr="006E0435">
        <w:rPr>
          <w:rFonts w:cs="Times New Roman"/>
        </w:rPr>
        <w:t>) da un lato, e quello dell’evento puntuale e transitorio (</w:t>
      </w:r>
      <w:r w:rsidRPr="006E0435">
        <w:rPr>
          <w:rFonts w:cs="Times New Roman"/>
          <w:i/>
        </w:rPr>
        <w:t>euentum</w:t>
      </w:r>
      <w:r w:rsidRPr="006E0435">
        <w:rPr>
          <w:rFonts w:cs="Times New Roman"/>
        </w:rPr>
        <w:t xml:space="preserve">) dall’altro. Più avanti sottolinerò un altro aspetto importante che emerge da questa scelta di traduzione e, in particolare, dal concetto di </w:t>
      </w:r>
      <w:r w:rsidRPr="006E0435">
        <w:rPr>
          <w:rFonts w:cs="Times New Roman"/>
          <w:i/>
        </w:rPr>
        <w:t>coniunctum</w:t>
      </w:r>
      <w:r w:rsidRPr="006E0435">
        <w:rPr>
          <w:rFonts w:cs="Times New Roman"/>
        </w:rPr>
        <w:t>.</w:t>
      </w:r>
    </w:p>
  </w:footnote>
  <w:footnote w:id="21">
    <w:p w14:paraId="12DE6831"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Epicur. </w:t>
      </w:r>
      <w:r w:rsidRPr="006E0435">
        <w:rPr>
          <w:rFonts w:cs="Times New Roman"/>
          <w:i/>
        </w:rPr>
        <w:t xml:space="preserve">Ep. </w:t>
      </w:r>
      <w:r w:rsidRPr="006E0435">
        <w:rPr>
          <w:rFonts w:cs="Times New Roman"/>
        </w:rPr>
        <w:t>[2], 60 (= Usener, p. 18).</w:t>
      </w:r>
    </w:p>
  </w:footnote>
  <w:footnote w:id="22">
    <w:p w14:paraId="794FD898" w14:textId="47D92393"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w:t>
      </w:r>
      <w:r w:rsidRPr="006E0435">
        <w:rPr>
          <w:rFonts w:cs="Times New Roman"/>
          <w:i/>
        </w:rPr>
        <w:t xml:space="preserve">contra </w:t>
      </w:r>
      <w:r>
        <w:rPr>
          <w:rFonts w:cs="Times New Roman"/>
        </w:rPr>
        <w:t xml:space="preserve">V. </w:t>
      </w:r>
      <w:r w:rsidRPr="002B5B04">
        <w:t>Alfieri</w:t>
      </w:r>
      <w:r>
        <w:t>,</w:t>
      </w:r>
      <w:r w:rsidRPr="002B5B04">
        <w:t xml:space="preserve"> </w:t>
      </w:r>
      <w:r w:rsidRPr="002B5B04">
        <w:rPr>
          <w:i/>
        </w:rPr>
        <w:t>Atomos Idea. L’origine del concetto dell’atomo nel pensiero greco</w:t>
      </w:r>
      <w:r>
        <w:t>,</w:t>
      </w:r>
      <w:r w:rsidRPr="002B5B04">
        <w:t xml:space="preserve"> Le Monnier</w:t>
      </w:r>
      <w:r>
        <w:t xml:space="preserve">, Firenze </w:t>
      </w:r>
      <w:r w:rsidRPr="002B5B04">
        <w:t>1953</w:t>
      </w:r>
      <w:r>
        <w:t>,</w:t>
      </w:r>
      <w:r w:rsidRPr="006E0435">
        <w:rPr>
          <w:rFonts w:cs="Times New Roman"/>
        </w:rPr>
        <w:t xml:space="preserve"> p. 82, che sostiene come la posizione di Epicuro dipenda dall’idea aristotelica di un orientamento assoluto dello spazio, con un alto e un basso.</w:t>
      </w:r>
    </w:p>
  </w:footnote>
  <w:footnote w:id="23">
    <w:p w14:paraId="07353349" w14:textId="4ACEE489"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N. W. </w:t>
      </w:r>
      <w:r w:rsidRPr="002B5B04">
        <w:t xml:space="preserve">De Witt, </w:t>
      </w:r>
      <w:r w:rsidRPr="002B5B04">
        <w:rPr>
          <w:i/>
        </w:rPr>
        <w:t>Epicurus and His Philosophy</w:t>
      </w:r>
      <w:r>
        <w:t>,</w:t>
      </w:r>
      <w:r w:rsidRPr="002B5B04">
        <w:t xml:space="preserve"> University of Minnesota Press</w:t>
      </w:r>
      <w:r>
        <w:t xml:space="preserve">, Minneapolis </w:t>
      </w:r>
      <w:r w:rsidRPr="002B5B04">
        <w:t>1954</w:t>
      </w:r>
      <w:r>
        <w:t>,</w:t>
      </w:r>
      <w:r w:rsidRPr="006E0435">
        <w:rPr>
          <w:rFonts w:cs="Times New Roman"/>
        </w:rPr>
        <w:t xml:space="preserve"> p. 168.</w:t>
      </w:r>
    </w:p>
  </w:footnote>
  <w:footnote w:id="24">
    <w:p w14:paraId="1EFD38EF"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 II.216-24. Cfr. </w:t>
      </w:r>
      <w:r w:rsidRPr="006E0435">
        <w:rPr>
          <w:rFonts w:cs="Times New Roman"/>
          <w:i/>
        </w:rPr>
        <w:t xml:space="preserve">Fr. </w:t>
      </w:r>
      <w:r w:rsidRPr="006E0435">
        <w:rPr>
          <w:rFonts w:cs="Times New Roman"/>
        </w:rPr>
        <w:t xml:space="preserve">281 (= Usener, pp. 199-201) in Cic. </w:t>
      </w:r>
      <w:r w:rsidRPr="006E0435">
        <w:rPr>
          <w:rFonts w:cs="Times New Roman"/>
          <w:i/>
        </w:rPr>
        <w:t>Fin.</w:t>
      </w:r>
      <w:r w:rsidRPr="006E0435">
        <w:rPr>
          <w:rFonts w:cs="Times New Roman"/>
        </w:rPr>
        <w:t xml:space="preserve"> in particolare.</w:t>
      </w:r>
    </w:p>
  </w:footnote>
  <w:footnote w:id="25">
    <w:p w14:paraId="737DF240" w14:textId="4D3535D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Epicur. </w:t>
      </w:r>
      <w:r w:rsidRPr="006E0435">
        <w:rPr>
          <w:rFonts w:cs="Times New Roman"/>
          <w:i/>
        </w:rPr>
        <w:t xml:space="preserve">Ep. </w:t>
      </w:r>
      <w:r w:rsidRPr="006E0435">
        <w:rPr>
          <w:rFonts w:cs="Times New Roman"/>
        </w:rPr>
        <w:t>[4],</w:t>
      </w:r>
      <w:r w:rsidRPr="006E0435">
        <w:rPr>
          <w:rFonts w:cs="Times New Roman"/>
          <w:i/>
        </w:rPr>
        <w:t xml:space="preserve"> </w:t>
      </w:r>
      <w:r w:rsidRPr="006E0435">
        <w:rPr>
          <w:rFonts w:cs="Times New Roman"/>
        </w:rPr>
        <w:t xml:space="preserve">134. (= Usener, p. 65). Cfr. Marx, </w:t>
      </w:r>
      <w:r w:rsidRPr="006E0435">
        <w:rPr>
          <w:rFonts w:cs="Times New Roman"/>
          <w:i/>
        </w:rPr>
        <w:t xml:space="preserve">Doktordissertation: Differenz der demokritischen und epikureischen Naturphilosophie nebst einem </w:t>
      </w:r>
      <w:r w:rsidRPr="003C5A47">
        <w:rPr>
          <w:rFonts w:cs="Times New Roman"/>
          <w:i/>
        </w:rPr>
        <w:t>Anhange</w:t>
      </w:r>
      <w:r w:rsidRPr="003C5A47">
        <w:rPr>
          <w:rFonts w:cs="Times New Roman"/>
        </w:rPr>
        <w:t>, Ergänzungsband, erster teil, in</w:t>
      </w:r>
      <w:r>
        <w:rPr>
          <w:rFonts w:cs="Times New Roman"/>
        </w:rPr>
        <w:t xml:space="preserve"> K. </w:t>
      </w:r>
      <w:r w:rsidRPr="002B5B04">
        <w:t xml:space="preserve">Marx, </w:t>
      </w:r>
      <w:r>
        <w:t xml:space="preserve">F. </w:t>
      </w:r>
      <w:r w:rsidRPr="002B5B04">
        <w:t xml:space="preserve">Engels, </w:t>
      </w:r>
      <w:r w:rsidRPr="002B5B04">
        <w:rPr>
          <w:i/>
        </w:rPr>
        <w:t>Werke</w:t>
      </w:r>
      <w:r>
        <w:t>,</w:t>
      </w:r>
      <w:r w:rsidRPr="002B5B04">
        <w:t xml:space="preserve"> Dietz</w:t>
      </w:r>
      <w:r>
        <w:t xml:space="preserve">, Berlin </w:t>
      </w:r>
      <w:r w:rsidRPr="002B5B04">
        <w:t>1956-2015</w:t>
      </w:r>
      <w:r>
        <w:t>,</w:t>
      </w:r>
      <w:r w:rsidRPr="002B5B04">
        <w:t xml:space="preserve"> </w:t>
      </w:r>
      <w:r>
        <w:rPr>
          <w:rFonts w:cs="Times New Roman"/>
        </w:rPr>
        <w:t>pp. 278 sgg</w:t>
      </w:r>
      <w:r w:rsidRPr="006E0435">
        <w:rPr>
          <w:rFonts w:cs="Times New Roman"/>
        </w:rPr>
        <w:t>.</w:t>
      </w:r>
    </w:p>
  </w:footnote>
  <w:footnote w:id="26">
    <w:p w14:paraId="41C381C1" w14:textId="254C14A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Cic. </w:t>
      </w:r>
      <w:r w:rsidRPr="006E0435">
        <w:rPr>
          <w:rFonts w:cs="Times New Roman"/>
          <w:i/>
        </w:rPr>
        <w:t xml:space="preserve">Fin. </w:t>
      </w:r>
      <w:r w:rsidRPr="006E0435">
        <w:rPr>
          <w:rFonts w:cs="Times New Roman"/>
        </w:rPr>
        <w:t xml:space="preserve">I.19. Cfr. ancora Marx, </w:t>
      </w:r>
      <w:r>
        <w:rPr>
          <w:rFonts w:cs="Times New Roman"/>
          <w:i/>
        </w:rPr>
        <w:t>Doktordissertation...</w:t>
      </w:r>
      <w:r w:rsidR="00727C6D">
        <w:rPr>
          <w:rFonts w:cs="Times New Roman"/>
          <w:i/>
        </w:rPr>
        <w:t>,</w:t>
      </w:r>
      <w:r>
        <w:rPr>
          <w:rFonts w:cs="Times New Roman"/>
          <w:i/>
        </w:rPr>
        <w:t xml:space="preserve"> </w:t>
      </w:r>
      <w:r>
        <w:rPr>
          <w:rFonts w:cs="Times New Roman"/>
        </w:rPr>
        <w:t>cit.,</w:t>
      </w:r>
      <w:r w:rsidRPr="006E0435">
        <w:rPr>
          <w:rFonts w:cs="Times New Roman"/>
        </w:rPr>
        <w:t xml:space="preserve"> p. 282 e Usener, p. 200, fr. 281, 12-3.</w:t>
      </w:r>
    </w:p>
  </w:footnote>
  <w:footnote w:id="27">
    <w:p w14:paraId="04559060" w14:textId="233980A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Cic. </w:t>
      </w:r>
      <w:r w:rsidRPr="006E0435">
        <w:rPr>
          <w:rFonts w:cs="Times New Roman"/>
          <w:i/>
        </w:rPr>
        <w:t xml:space="preserve">Fin. </w:t>
      </w:r>
      <w:r w:rsidRPr="006E0435">
        <w:rPr>
          <w:rFonts w:cs="Times New Roman"/>
        </w:rPr>
        <w:t>I.19.</w:t>
      </w:r>
    </w:p>
  </w:footnote>
  <w:footnote w:id="28">
    <w:p w14:paraId="61905C62" w14:textId="6E45C6CB" w:rsidR="00B82712" w:rsidRPr="006E0435" w:rsidRDefault="00B82712" w:rsidP="000D6EF2">
      <w:pPr>
        <w:pStyle w:val="FootnoteText"/>
        <w:ind w:left="0"/>
        <w:rPr>
          <w:rFonts w:cs="Times New Roman"/>
        </w:rPr>
      </w:pPr>
      <w:r w:rsidRPr="008C2E37">
        <w:rPr>
          <w:rStyle w:val="Caratterinotaapidipagina"/>
          <w:rFonts w:cs="Times New Roman"/>
        </w:rPr>
        <w:footnoteRef/>
      </w:r>
      <w:r w:rsidRPr="008C2E37">
        <w:rPr>
          <w:rFonts w:cs="Times New Roman"/>
        </w:rPr>
        <w:t xml:space="preserve"> Epicur. </w:t>
      </w:r>
      <w:r w:rsidRPr="008C2E37">
        <w:rPr>
          <w:rFonts w:cs="Times New Roman"/>
          <w:i/>
        </w:rPr>
        <w:t xml:space="preserve">Ep. </w:t>
      </w:r>
      <w:r w:rsidRPr="008C2E37">
        <w:rPr>
          <w:rFonts w:cs="Times New Roman"/>
        </w:rPr>
        <w:t xml:space="preserve">[2], 45.4-11 (= Usener, p. 9). Si veda anche </w:t>
      </w:r>
      <w:r>
        <w:t>Epicuro,</w:t>
      </w:r>
      <w:r w:rsidRPr="008C2E37">
        <w:t xml:space="preserve"> </w:t>
      </w:r>
      <w:r>
        <w:rPr>
          <w:i/>
        </w:rPr>
        <w:t>Sulla natura. Libro II</w:t>
      </w:r>
      <w:r>
        <w:t>.</w:t>
      </w:r>
      <w:r w:rsidRPr="008C2E37">
        <w:rPr>
          <w:i/>
        </w:rPr>
        <w:t xml:space="preserve"> </w:t>
      </w:r>
      <w:r w:rsidRPr="008C2E37">
        <w:t>Edizione, traduzion</w:t>
      </w:r>
      <w:r>
        <w:t>e e commento a cura di G. Leone,</w:t>
      </w:r>
      <w:r w:rsidRPr="008C2E37">
        <w:t xml:space="preserve"> Bibliopolis</w:t>
      </w:r>
      <w:r>
        <w:t xml:space="preserve">, Napoli </w:t>
      </w:r>
      <w:r w:rsidRPr="008C2E37">
        <w:t>2012</w:t>
      </w:r>
      <w:r w:rsidRPr="008C2E37">
        <w:rPr>
          <w:rFonts w:cs="Times New Roman"/>
        </w:rPr>
        <w:t>, coll. 1-7 e il commento alle pagine 497-506.</w:t>
      </w:r>
    </w:p>
  </w:footnote>
  <w:footnote w:id="29">
    <w:p w14:paraId="7A350D90" w14:textId="09C8A51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Pr>
          <w:rFonts w:cs="Times New Roman"/>
        </w:rPr>
        <w:t>I.958 sgg</w:t>
      </w:r>
      <w:r w:rsidRPr="006E0435">
        <w:rPr>
          <w:rFonts w:cs="Times New Roman"/>
        </w:rPr>
        <w:t>.</w:t>
      </w:r>
    </w:p>
  </w:footnote>
  <w:footnote w:id="30">
    <w:p w14:paraId="60565814" w14:textId="41A91221"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Pr>
          <w:rFonts w:cs="Times New Roman"/>
        </w:rPr>
        <w:t>II.1048 sgg</w:t>
      </w:r>
      <w:r w:rsidRPr="006E0435">
        <w:rPr>
          <w:rFonts w:cs="Times New Roman"/>
        </w:rPr>
        <w:t>.</w:t>
      </w:r>
    </w:p>
  </w:footnote>
  <w:footnote w:id="31">
    <w:p w14:paraId="6B7DE063" w14:textId="6D9B420D"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sidRPr="006E0435">
        <w:rPr>
          <w:rFonts w:cs="Times New Roman"/>
          <w:i/>
        </w:rPr>
        <w:t>Fr</w:t>
      </w:r>
      <w:r w:rsidRPr="006E0435">
        <w:rPr>
          <w:rFonts w:cs="Times New Roman"/>
        </w:rPr>
        <w:t xml:space="preserve">. 76 (= Usener, p. 345). Cfr. </w:t>
      </w:r>
      <w:r w:rsidRPr="006E0435">
        <w:rPr>
          <w:rFonts w:cs="Times New Roman"/>
          <w:i/>
        </w:rPr>
        <w:t xml:space="preserve">contra </w:t>
      </w:r>
      <w:r>
        <w:rPr>
          <w:rFonts w:cs="Times New Roman"/>
        </w:rPr>
        <w:t xml:space="preserve">R. </w:t>
      </w:r>
      <w:r w:rsidRPr="002B5B04">
        <w:t xml:space="preserve">Mondolfo, </w:t>
      </w:r>
      <w:r w:rsidRPr="002B5B04">
        <w:rPr>
          <w:i/>
        </w:rPr>
        <w:t>L’infinito nel pensiero dell’antichità classica</w:t>
      </w:r>
      <w:r>
        <w:t>,</w:t>
      </w:r>
      <w:r w:rsidRPr="002B5B04">
        <w:t xml:space="preserve"> La Nuova Italia</w:t>
      </w:r>
      <w:r>
        <w:t xml:space="preserve">, Firenze </w:t>
      </w:r>
      <w:r w:rsidRPr="002B5B04">
        <w:t>1956</w:t>
      </w:r>
      <w:r>
        <w:t>,</w:t>
      </w:r>
      <w:r>
        <w:rPr>
          <w:rFonts w:cs="Times New Roman"/>
        </w:rPr>
        <w:t xml:space="preserve"> pp. 497 sgg</w:t>
      </w:r>
      <w:r w:rsidRPr="006E0435">
        <w:rPr>
          <w:rFonts w:cs="Times New Roman"/>
        </w:rPr>
        <w:t>. che, pur lodando la concezione atomista dell’infinito (p. 507) ritiene che la deviazione contraddica in qualche modo la premessa epicurea, introducendo un elemento incongruo.</w:t>
      </w:r>
    </w:p>
  </w:footnote>
  <w:footnote w:id="32">
    <w:p w14:paraId="6D585675" w14:textId="4102BF7F" w:rsidR="00B82712" w:rsidRPr="006E0435" w:rsidRDefault="00B82712" w:rsidP="000D6EF2">
      <w:pPr>
        <w:pStyle w:val="FootnoteText"/>
        <w:ind w:left="0"/>
        <w:rPr>
          <w:rFonts w:cs="Times New Roman"/>
          <w:lang w:val="fr-FR"/>
        </w:rPr>
      </w:pPr>
      <w:r w:rsidRPr="006E0435">
        <w:rPr>
          <w:rStyle w:val="FootnoteReference"/>
          <w:rFonts w:cs="Times New Roman"/>
        </w:rPr>
        <w:footnoteRef/>
      </w:r>
      <w:r w:rsidRPr="006E0435">
        <w:rPr>
          <w:rFonts w:cs="Times New Roman"/>
        </w:rPr>
        <w:t xml:space="preserve"> Lucr.</w:t>
      </w:r>
      <w:r w:rsidRPr="006E0435">
        <w:rPr>
          <w:rFonts w:cs="Times New Roman"/>
          <w:i/>
        </w:rPr>
        <w:t xml:space="preserve"> </w:t>
      </w:r>
      <w:r>
        <w:rPr>
          <w:rFonts w:cs="Times New Roman"/>
        </w:rPr>
        <w:t>I.1021-27. Cfr. Moreau</w:t>
      </w:r>
      <w:r w:rsidRPr="006E0435">
        <w:rPr>
          <w:rFonts w:cs="Times New Roman"/>
        </w:rPr>
        <w:t>,</w:t>
      </w:r>
      <w:r>
        <w:rPr>
          <w:rFonts w:cs="Times New Roman"/>
        </w:rPr>
        <w:t xml:space="preserve"> </w:t>
      </w:r>
      <w:r w:rsidRPr="002B5B04">
        <w:rPr>
          <w:rFonts w:cs="Times New Roman"/>
          <w:i/>
        </w:rPr>
        <w:t>Le mécanisme épicurien</w:t>
      </w:r>
      <w:r>
        <w:rPr>
          <w:rFonts w:cs="Times New Roman"/>
          <w:i/>
        </w:rPr>
        <w:t>...</w:t>
      </w:r>
      <w:r>
        <w:rPr>
          <w:rFonts w:cs="Times New Roman"/>
        </w:rPr>
        <w:t>, cit.,</w:t>
      </w:r>
      <w:r w:rsidRPr="006E0435">
        <w:rPr>
          <w:rFonts w:cs="Times New Roman"/>
        </w:rPr>
        <w:t xml:space="preserve"> pp. 472-3.</w:t>
      </w:r>
    </w:p>
  </w:footnote>
  <w:footnote w:id="33">
    <w:p w14:paraId="09400BEC"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sidRPr="006E0435">
        <w:rPr>
          <w:rFonts w:cs="Times New Roman"/>
          <w:i/>
        </w:rPr>
        <w:t>Fr</w:t>
      </w:r>
      <w:r w:rsidRPr="006E0435">
        <w:rPr>
          <w:rFonts w:cs="Times New Roman"/>
        </w:rPr>
        <w:t>. 307 (= Usener, p. 215).</w:t>
      </w:r>
    </w:p>
  </w:footnote>
  <w:footnote w:id="34">
    <w:p w14:paraId="7916123B"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Epicur. Ep. [3], 85 (= Usener, p. 36).</w:t>
      </w:r>
    </w:p>
  </w:footnote>
  <w:footnote w:id="35">
    <w:p w14:paraId="5EC655CC"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sidRPr="006E0435">
        <w:rPr>
          <w:rFonts w:cs="Times New Roman"/>
        </w:rPr>
        <w:t xml:space="preserve">I.62-79 e </w:t>
      </w:r>
      <w:r w:rsidRPr="006E0435">
        <w:rPr>
          <w:rFonts w:cs="Times New Roman"/>
          <w:i/>
        </w:rPr>
        <w:t>passim</w:t>
      </w:r>
      <w:r w:rsidRPr="006E0435">
        <w:rPr>
          <w:rFonts w:cs="Times New Roman"/>
        </w:rPr>
        <w:t>.</w:t>
      </w:r>
    </w:p>
  </w:footnote>
  <w:footnote w:id="36">
    <w:p w14:paraId="70064426" w14:textId="2E53DF27" w:rsidR="00B82712" w:rsidRPr="006E0435" w:rsidRDefault="00B82712" w:rsidP="000D6EF2">
      <w:pPr>
        <w:pStyle w:val="FootnoteText"/>
        <w:ind w:left="0"/>
        <w:rPr>
          <w:rFonts w:cs="Times New Roman"/>
          <w:lang w:val="fr-FR"/>
        </w:rPr>
      </w:pPr>
      <w:r w:rsidRPr="006E0435">
        <w:rPr>
          <w:rStyle w:val="FootnoteReference"/>
          <w:rFonts w:cs="Times New Roman"/>
        </w:rPr>
        <w:footnoteRef/>
      </w:r>
      <w:r w:rsidRPr="006E0435">
        <w:rPr>
          <w:rFonts w:cs="Times New Roman"/>
        </w:rPr>
        <w:t xml:space="preserve"> Lucr</w:t>
      </w:r>
      <w:r>
        <w:rPr>
          <w:rFonts w:cs="Times New Roman"/>
        </w:rPr>
        <w:t xml:space="preserve">. III.87-93. Munro in </w:t>
      </w:r>
      <w:r>
        <w:t>Lucretius,</w:t>
      </w:r>
      <w:r w:rsidRPr="002B5B04">
        <w:t xml:space="preserve"> </w:t>
      </w:r>
      <w:r w:rsidRPr="002B5B04">
        <w:rPr>
          <w:i/>
        </w:rPr>
        <w:t>T. Lucreti Cari De rerum natura libri sex</w:t>
      </w:r>
      <w:r>
        <w:t>. With notes by H. A. J. Munro,</w:t>
      </w:r>
      <w:r w:rsidRPr="002B5B04">
        <w:t xml:space="preserve"> Deighton Bell and Co.</w:t>
      </w:r>
      <w:r>
        <w:t xml:space="preserve">, Cambridge </w:t>
      </w:r>
      <w:r w:rsidRPr="002B5B04">
        <w:t>1891</w:t>
      </w:r>
      <w:r w:rsidRPr="002B5B04">
        <w:rPr>
          <w:vertAlign w:val="superscript"/>
        </w:rPr>
        <w:t>4</w:t>
      </w:r>
      <w:r w:rsidRPr="003C5A47">
        <w:rPr>
          <w:rFonts w:cs="Times New Roman"/>
        </w:rPr>
        <w:t xml:space="preserve"> e Rouse in</w:t>
      </w:r>
      <w:r>
        <w:rPr>
          <w:rFonts w:cs="Times New Roman"/>
        </w:rPr>
        <w:t xml:space="preserve"> </w:t>
      </w:r>
      <w:r w:rsidRPr="002B5B04">
        <w:t>Lucretius</w:t>
      </w:r>
      <w:r>
        <w:t>,</w:t>
      </w:r>
      <w:r w:rsidRPr="002B5B04">
        <w:t xml:space="preserve"> </w:t>
      </w:r>
      <w:r w:rsidRPr="002B5B04">
        <w:rPr>
          <w:i/>
        </w:rPr>
        <w:t>De rerum natura</w:t>
      </w:r>
      <w:r w:rsidRPr="002B5B04">
        <w:t>. With an English translation by W. H. D</w:t>
      </w:r>
      <w:r>
        <w:t>. Rouse, revised by M. F. Smith,</w:t>
      </w:r>
      <w:r w:rsidRPr="002B5B04">
        <w:t xml:space="preserve"> Harvard University</w:t>
      </w:r>
      <w:r>
        <w:t xml:space="preserve"> Press, Cambridge: MA </w:t>
      </w:r>
      <w:r w:rsidRPr="002B5B04">
        <w:t xml:space="preserve">1975 </w:t>
      </w:r>
      <w:r>
        <w:rPr>
          <w:rFonts w:cs="Times New Roman"/>
        </w:rPr>
        <w:t>traducono</w:t>
      </w:r>
      <w:r w:rsidRPr="006E0435">
        <w:rPr>
          <w:rFonts w:cs="Times New Roman"/>
        </w:rPr>
        <w:t xml:space="preserve"> come ‘law of nature’ le </w:t>
      </w:r>
      <w:r w:rsidRPr="006E0435">
        <w:rPr>
          <w:rFonts w:cs="Times New Roman"/>
          <w:i/>
          <w:iCs/>
        </w:rPr>
        <w:t>naturae species ratioque</w:t>
      </w:r>
      <w:r w:rsidRPr="006E0435">
        <w:rPr>
          <w:rFonts w:cs="Times New Roman"/>
        </w:rPr>
        <w:t>.</w:t>
      </w:r>
    </w:p>
  </w:footnote>
  <w:footnote w:id="37">
    <w:p w14:paraId="2DD71200" w14:textId="09BD355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R. M. </w:t>
      </w:r>
      <w:r w:rsidRPr="002B5B04">
        <w:t xml:space="preserve">Grant, </w:t>
      </w:r>
      <w:r w:rsidRPr="002B5B04">
        <w:rPr>
          <w:i/>
        </w:rPr>
        <w:t>Miracle and Natural Law in Graeco-Roman and Early Christian Thought</w:t>
      </w:r>
      <w:r>
        <w:t>;</w:t>
      </w:r>
      <w:r w:rsidRPr="002B5B04">
        <w:t xml:space="preserve"> North-Holland</w:t>
      </w:r>
      <w:r>
        <w:t xml:space="preserve">, Amsterdam </w:t>
      </w:r>
      <w:r w:rsidRPr="002B5B04">
        <w:t>1952</w:t>
      </w:r>
      <w:r>
        <w:t>,</w:t>
      </w:r>
      <w:r w:rsidRPr="006E0435">
        <w:rPr>
          <w:rFonts w:cs="Times New Roman"/>
        </w:rPr>
        <w:t xml:space="preserve"> p. 83.</w:t>
      </w:r>
    </w:p>
  </w:footnote>
  <w:footnote w:id="38">
    <w:p w14:paraId="2EDA65A4"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sidRPr="006E0435">
        <w:rPr>
          <w:rFonts w:cs="Times New Roman"/>
        </w:rPr>
        <w:t>V.146.</w:t>
      </w:r>
    </w:p>
  </w:footnote>
  <w:footnote w:id="39">
    <w:p w14:paraId="0B79FDAD"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Epicur. </w:t>
      </w:r>
      <w:r w:rsidRPr="006E0435">
        <w:rPr>
          <w:rFonts w:cs="Times New Roman"/>
          <w:i/>
        </w:rPr>
        <w:t xml:space="preserve">Ep. </w:t>
      </w:r>
      <w:r w:rsidRPr="006E0435">
        <w:rPr>
          <w:rFonts w:cs="Times New Roman"/>
        </w:rPr>
        <w:t>[2],</w:t>
      </w:r>
      <w:r w:rsidRPr="006E0435">
        <w:rPr>
          <w:rFonts w:cs="Times New Roman"/>
          <w:i/>
        </w:rPr>
        <w:t xml:space="preserve"> </w:t>
      </w:r>
      <w:r w:rsidRPr="006E0435">
        <w:rPr>
          <w:rFonts w:cs="Times New Roman"/>
        </w:rPr>
        <w:t>76-7 (= Usener, p. 28).</w:t>
      </w:r>
    </w:p>
  </w:footnote>
  <w:footnote w:id="40">
    <w:p w14:paraId="6205990E"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Epicuro chiarisce che la tranquillità dell’uomo è l’obiettivo più importante e il suo scopo non è, in questo senso, portare gli uomini a ribellarsi contro l’autorità. Cfr. Epicur. </w:t>
      </w:r>
      <w:r w:rsidRPr="006E0435">
        <w:rPr>
          <w:rFonts w:cs="Times New Roman"/>
          <w:i/>
        </w:rPr>
        <w:t xml:space="preserve">Ep. </w:t>
      </w:r>
      <w:r w:rsidRPr="006E0435">
        <w:rPr>
          <w:rFonts w:cs="Times New Roman"/>
        </w:rPr>
        <w:t>[2], 77 (= Usener, p. 28).</w:t>
      </w:r>
    </w:p>
  </w:footnote>
  <w:footnote w:id="41">
    <w:p w14:paraId="0BCDABAB" w14:textId="38DD3DF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La tesi di Bignone è stata criticata tante volte e con tante corrette argomentazioni che non è possibile </w:t>
      </w:r>
      <w:r>
        <w:rPr>
          <w:rFonts w:cs="Times New Roman"/>
        </w:rPr>
        <w:t xml:space="preserve">qui ripeterle. Si veda E. </w:t>
      </w:r>
      <w:r w:rsidRPr="00054EA9">
        <w:t>Bignone</w:t>
      </w:r>
      <w:r>
        <w:t>,</w:t>
      </w:r>
      <w:r w:rsidRPr="002B5B04">
        <w:t xml:space="preserve"> </w:t>
      </w:r>
      <w:r w:rsidRPr="002B5B04">
        <w:rPr>
          <w:i/>
        </w:rPr>
        <w:t>L’Aristotele perduto e la formazione filosofica di Epicuro</w:t>
      </w:r>
      <w:r>
        <w:t>,</w:t>
      </w:r>
      <w:r w:rsidRPr="002B5B04">
        <w:t xml:space="preserve"> La Nuova Italia</w:t>
      </w:r>
      <w:r>
        <w:t xml:space="preserve">, Firenze </w:t>
      </w:r>
      <w:r w:rsidRPr="002B5B04">
        <w:t>1936</w:t>
      </w:r>
      <w:r>
        <w:rPr>
          <w:rFonts w:cs="Times New Roman"/>
        </w:rPr>
        <w:t xml:space="preserve"> e G. P. </w:t>
      </w:r>
      <w:r>
        <w:t xml:space="preserve">Caratelli, </w:t>
      </w:r>
      <w:r w:rsidRPr="002B5B04">
        <w:t>a cura di</w:t>
      </w:r>
      <w:r>
        <w:t>,</w:t>
      </w:r>
      <w:r w:rsidRPr="002B5B04">
        <w:t xml:space="preserve"> </w:t>
      </w:r>
      <w:r w:rsidRPr="002B5B04">
        <w:rPr>
          <w:i/>
        </w:rPr>
        <w:t>Συζήτησισ. Studi sull’epicureismo greco e romano offerti a M. Gigante</w:t>
      </w:r>
      <w:r>
        <w:t>,</w:t>
      </w:r>
      <w:r w:rsidRPr="002B5B04">
        <w:t xml:space="preserve"> Macchiaroli</w:t>
      </w:r>
      <w:r>
        <w:t xml:space="preserve">, Napoli </w:t>
      </w:r>
      <w:r w:rsidRPr="002B5B04">
        <w:t>1983</w:t>
      </w:r>
      <w:r w:rsidRPr="006E0435">
        <w:rPr>
          <w:rFonts w:cs="Times New Roman"/>
        </w:rPr>
        <w:t xml:space="preserve">. Un Aristotele </w:t>
      </w:r>
      <w:r>
        <w:rPr>
          <w:rFonts w:cs="Times New Roman"/>
        </w:rPr>
        <w:t>esoterico</w:t>
      </w:r>
      <w:r w:rsidRPr="006E0435">
        <w:rPr>
          <w:rFonts w:cs="Times New Roman"/>
        </w:rPr>
        <w:t xml:space="preserve">, tuttavia, è esistito e conteneva certamente i tipi di argomentazioni ai quali Epicuro e, di conseguenza, Lucrezio stanno pensando. </w:t>
      </w:r>
    </w:p>
  </w:footnote>
  <w:footnote w:id="42">
    <w:p w14:paraId="6C3F8314" w14:textId="72C0C44C"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w:t>
      </w:r>
      <w:r w:rsidRPr="006E0435">
        <w:rPr>
          <w:rFonts w:cs="Times New Roman"/>
          <w:i/>
        </w:rPr>
        <w:t>contra</w:t>
      </w:r>
      <w:r>
        <w:rPr>
          <w:rFonts w:cs="Times New Roman"/>
        </w:rPr>
        <w:t xml:space="preserve"> G. </w:t>
      </w:r>
      <w:r w:rsidRPr="002B5B04">
        <w:t xml:space="preserve">Reale, </w:t>
      </w:r>
      <w:r w:rsidRPr="002B5B04">
        <w:rPr>
          <w:i/>
        </w:rPr>
        <w:t>Storia della filosofia antica</w:t>
      </w:r>
      <w:r>
        <w:t>,</w:t>
      </w:r>
      <w:r w:rsidRPr="002B5B04">
        <w:t xml:space="preserve"> Vita e Pensiero</w:t>
      </w:r>
      <w:r>
        <w:t xml:space="preserve">, Milano </w:t>
      </w:r>
      <w:r w:rsidRPr="002B5B04">
        <w:t>1975-80</w:t>
      </w:r>
      <w:r>
        <w:t>, III,</w:t>
      </w:r>
      <w:r w:rsidRPr="006E0435">
        <w:rPr>
          <w:rFonts w:cs="Times New Roman"/>
        </w:rPr>
        <w:t xml:space="preserve"> p. 217. Marx spiega il ruolo strategico giocato dalle spiegazioni multiple in </w:t>
      </w:r>
      <w:r w:rsidRPr="006E0435">
        <w:rPr>
          <w:rFonts w:cs="Times New Roman"/>
          <w:i/>
        </w:rPr>
        <w:t>Doktordissertation</w:t>
      </w:r>
      <w:r>
        <w:rPr>
          <w:rFonts w:cs="Times New Roman"/>
          <w:i/>
        </w:rPr>
        <w:t>...</w:t>
      </w:r>
      <w:r w:rsidR="00727C6D">
        <w:rPr>
          <w:rFonts w:cs="Times New Roman"/>
          <w:i/>
        </w:rPr>
        <w:t>,</w:t>
      </w:r>
      <w:r>
        <w:rPr>
          <w:rFonts w:cs="Times New Roman"/>
          <w:i/>
        </w:rPr>
        <w:t xml:space="preserve"> </w:t>
      </w:r>
      <w:r w:rsidRPr="003C5A47">
        <w:rPr>
          <w:rFonts w:cs="Times New Roman"/>
        </w:rPr>
        <w:t>cit.</w:t>
      </w:r>
      <w:r w:rsidRPr="006E0435">
        <w:rPr>
          <w:rFonts w:cs="Times New Roman"/>
        </w:rPr>
        <w:t>, p. 301.</w:t>
      </w:r>
    </w:p>
  </w:footnote>
  <w:footnote w:id="43">
    <w:p w14:paraId="5B948CCD"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sidRPr="006E0435">
        <w:rPr>
          <w:rFonts w:cs="Times New Roman"/>
          <w:i/>
        </w:rPr>
        <w:t>Fr</w:t>
      </w:r>
      <w:r w:rsidRPr="006E0435">
        <w:rPr>
          <w:rFonts w:cs="Times New Roman"/>
        </w:rPr>
        <w:t>. 368 (= Usener, p. 246).</w:t>
      </w:r>
    </w:p>
  </w:footnote>
  <w:footnote w:id="44">
    <w:p w14:paraId="6CEA7C19"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Come ritiene Simplicio. Cfr. </w:t>
      </w:r>
      <w:r w:rsidRPr="006E0435">
        <w:rPr>
          <w:rFonts w:cs="Times New Roman"/>
          <w:i/>
        </w:rPr>
        <w:t>Fr</w:t>
      </w:r>
      <w:r w:rsidRPr="006E0435">
        <w:rPr>
          <w:rFonts w:cs="Times New Roman"/>
        </w:rPr>
        <w:t>. 377 (= Usener, p. 254).</w:t>
      </w:r>
    </w:p>
  </w:footnote>
  <w:footnote w:id="45">
    <w:p w14:paraId="7AA7ACEF"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sidRPr="006E0435">
        <w:rPr>
          <w:rFonts w:cs="Times New Roman"/>
        </w:rPr>
        <w:t>V.419-31, che sostanzialmente ripete I.1021-27.</w:t>
      </w:r>
    </w:p>
  </w:footnote>
  <w:footnote w:id="46">
    <w:p w14:paraId="0DA255B9" w14:textId="623DA08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Il paradossografo Flegonte di Tralle collega esplicitamente la forza produttiva della terra nella sua giovinezza al progressivo esaurimento della stessa alla mostruosità. Nel suo </w:t>
      </w:r>
      <w:r w:rsidRPr="006E0435">
        <w:rPr>
          <w:rFonts w:cs="Times New Roman"/>
          <w:i/>
          <w:iCs/>
        </w:rPr>
        <w:t>Libro delle meraviglie</w:t>
      </w:r>
      <w:r w:rsidRPr="006E0435">
        <w:rPr>
          <w:rFonts w:cs="Times New Roman"/>
        </w:rPr>
        <w:t>, XIV e XV, Flegonte spiega  come, dopo i terremoti, riemergano gigantesche ossa, prima sepolte: «</w:t>
      </w:r>
      <w:r w:rsidRPr="006E0435">
        <w:rPr>
          <w:rFonts w:cs="Times New Roman"/>
          <w:kern w:val="0"/>
          <w:lang w:val="en-US" w:bidi="ar-SA"/>
        </w:rPr>
        <w:t>Per questo motivo non bisogna considerare con incredulità neppure tali prodigi, se si pensa a come la natura in pieno rigoglio delle origini abbia fatto crescere tutti gli esseri fino a far loro raggiungere una statura prossima a quella degli dèi mentre in seguito, sopraggiungendo per essa l’età del declino, si siano deteriorate di conserva anche le dimensioni degli esseri viventi</w:t>
      </w:r>
      <w:r w:rsidRPr="006E0435">
        <w:rPr>
          <w:rFonts w:cs="Times New Roman"/>
        </w:rPr>
        <w:t xml:space="preserve">» </w:t>
      </w:r>
      <w:r w:rsidRPr="006E0435">
        <w:rPr>
          <w:rFonts w:cs="Times New Roman"/>
          <w:color w:val="222222"/>
        </w:rPr>
        <w:t>(XV.2 (=</w:t>
      </w:r>
      <w:r>
        <w:rPr>
          <w:rFonts w:cs="Times New Roman"/>
          <w:color w:val="222222"/>
        </w:rPr>
        <w:t xml:space="preserve"> F. </w:t>
      </w:r>
      <w:r w:rsidRPr="002B5B04">
        <w:t xml:space="preserve">Jacoby, </w:t>
      </w:r>
      <w:r w:rsidRPr="002B5B04">
        <w:rPr>
          <w:i/>
        </w:rPr>
        <w:t>Die Fragmente der griechischen Historiker</w:t>
      </w:r>
      <w:r>
        <w:t>,</w:t>
      </w:r>
      <w:r w:rsidRPr="002B5B04">
        <w:t xml:space="preserve"> E. J. Brill</w:t>
      </w:r>
      <w:r>
        <w:t xml:space="preserve">, Leiden </w:t>
      </w:r>
      <w:r w:rsidRPr="002B5B04">
        <w:t>1929-58</w:t>
      </w:r>
      <w:r>
        <w:t>,</w:t>
      </w:r>
      <w:r w:rsidRPr="006E0435">
        <w:rPr>
          <w:rFonts w:cs="Times New Roman"/>
          <w:color w:val="222222"/>
        </w:rPr>
        <w:t xml:space="preserve"> 257 F. 36. XV).</w:t>
      </w:r>
      <w:r w:rsidRPr="006E0435">
        <w:rPr>
          <w:rFonts w:cs="Times New Roman"/>
        </w:rPr>
        <w:t xml:space="preserve"> La senescenza della terra è un tema ben noto in antichità, usato per spiegare l’attuale diminuzione della sua forza vitale. Flegonte, tuttavia, si spinge oltre, usando questo argomento per spiegare l’apparizione di vestigia di gigantesche e mostruose cr</w:t>
      </w:r>
      <w:r>
        <w:rPr>
          <w:rFonts w:cs="Times New Roman"/>
        </w:rPr>
        <w:t xml:space="preserve">eature. Si veda A. O. </w:t>
      </w:r>
      <w:r w:rsidRPr="002B5B04">
        <w:t xml:space="preserve">Lovejoy, </w:t>
      </w:r>
      <w:r>
        <w:t xml:space="preserve">G. </w:t>
      </w:r>
      <w:r w:rsidRPr="002B5B04">
        <w:t xml:space="preserve">Boas, </w:t>
      </w:r>
      <w:r>
        <w:t>eds.,</w:t>
      </w:r>
      <w:r w:rsidRPr="002B5B04">
        <w:t xml:space="preserve"> </w:t>
      </w:r>
      <w:r w:rsidRPr="002B5B04">
        <w:rPr>
          <w:i/>
        </w:rPr>
        <w:t>Primitivism and Related Ideas in Antiquity</w:t>
      </w:r>
      <w:r>
        <w:t>,</w:t>
      </w:r>
      <w:r w:rsidRPr="002B5B04">
        <w:t xml:space="preserve"> John Hopkins University Press</w:t>
      </w:r>
      <w:r>
        <w:t xml:space="preserve">, Baltimore </w:t>
      </w:r>
      <w:r w:rsidRPr="002B5B04">
        <w:t>1935</w:t>
      </w:r>
      <w:r>
        <w:t>,</w:t>
      </w:r>
      <w:r w:rsidRPr="006E0435">
        <w:rPr>
          <w:rFonts w:cs="Times New Roman"/>
        </w:rPr>
        <w:t xml:space="preserve"> pp. 98-102 e </w:t>
      </w:r>
      <w:r w:rsidRPr="002B5B04">
        <w:t xml:space="preserve">W. K. C. Guthrie, </w:t>
      </w:r>
      <w:r w:rsidRPr="002B5B04">
        <w:rPr>
          <w:i/>
        </w:rPr>
        <w:t>In the Beginning: Some Greek Views on the Origins of Life and the Early State of Man</w:t>
      </w:r>
      <w:r>
        <w:t>,</w:t>
      </w:r>
      <w:r w:rsidRPr="002B5B04">
        <w:t xml:space="preserve"> Methuen &amp; Co.</w:t>
      </w:r>
      <w:r>
        <w:t xml:space="preserve">, London </w:t>
      </w:r>
      <w:r w:rsidRPr="002B5B04">
        <w:t>1957</w:t>
      </w:r>
      <w:r w:rsidRPr="006E0435">
        <w:rPr>
          <w:rFonts w:cs="Times New Roman"/>
        </w:rPr>
        <w:t xml:space="preserve">, </w:t>
      </w:r>
      <w:r w:rsidRPr="006E0435">
        <w:rPr>
          <w:rFonts w:cs="Times New Roman"/>
          <w:i/>
        </w:rPr>
        <w:t>passim</w:t>
      </w:r>
      <w:r>
        <w:rPr>
          <w:rFonts w:cs="Times New Roman"/>
        </w:rPr>
        <w:t xml:space="preserve">. Seguendo A. </w:t>
      </w:r>
      <w:r w:rsidRPr="002B5B04">
        <w:t xml:space="preserve">Mayor, </w:t>
      </w:r>
      <w:r w:rsidRPr="002B5B04">
        <w:rPr>
          <w:i/>
        </w:rPr>
        <w:t>The First Fossil Hunters: Paleontology in Greek and Roman Times</w:t>
      </w:r>
      <w:r>
        <w:t>,</w:t>
      </w:r>
      <w:r w:rsidRPr="002B5B04">
        <w:t xml:space="preserve"> Princeton University Press</w:t>
      </w:r>
      <w:r w:rsidRPr="006E0435">
        <w:rPr>
          <w:rFonts w:cs="Times New Roman"/>
        </w:rPr>
        <w:t>,</w:t>
      </w:r>
      <w:r>
        <w:rPr>
          <w:rFonts w:cs="Times New Roman"/>
        </w:rPr>
        <w:t xml:space="preserve"> Princeton </w:t>
      </w:r>
      <w:r w:rsidRPr="002B5B04">
        <w:t>2001</w:t>
      </w:r>
      <w:r>
        <w:t>,</w:t>
      </w:r>
      <w:r w:rsidRPr="006E0435">
        <w:rPr>
          <w:rFonts w:cs="Times New Roman"/>
        </w:rPr>
        <w:t xml:space="preserve"> </w:t>
      </w:r>
      <w:r>
        <w:rPr>
          <w:rFonts w:cs="Times New Roman"/>
        </w:rPr>
        <w:t xml:space="preserve">I. </w:t>
      </w:r>
      <w:r w:rsidRPr="002B5B04">
        <w:t xml:space="preserve">Payón </w:t>
      </w:r>
      <w:r>
        <w:t>Leyra,</w:t>
      </w:r>
      <w:r w:rsidRPr="002B5B04">
        <w:t xml:space="preserve"> </w:t>
      </w:r>
      <w:r w:rsidRPr="002B5B04">
        <w:rPr>
          <w:i/>
        </w:rPr>
        <w:t>Entre ciencia y maravilla. El género literario de la paradoxografía griega</w:t>
      </w:r>
      <w:r>
        <w:t>,</w:t>
      </w:r>
      <w:r w:rsidRPr="002B5B04">
        <w:t xml:space="preserve"> Prensas Universitarias de Zaragoza</w:t>
      </w:r>
      <w:r>
        <w:t xml:space="preserve">, Zaragoza </w:t>
      </w:r>
      <w:r w:rsidRPr="002B5B04">
        <w:t>2011</w:t>
      </w:r>
      <w:r>
        <w:t>,</w:t>
      </w:r>
      <w:r>
        <w:rPr>
          <w:rFonts w:cs="Times New Roman"/>
          <w:color w:val="222222"/>
        </w:rPr>
        <w:t xml:space="preserve"> pp. 152 sgg</w:t>
      </w:r>
      <w:r w:rsidRPr="006E0435">
        <w:rPr>
          <w:rFonts w:cs="Times New Roman"/>
          <w:color w:val="222222"/>
        </w:rPr>
        <w:t xml:space="preserve">. legge l’argomento di Flegonte come una conferma del fatto che i greci fossero a conoscenza dei fossili e interpreta così una famosa rappresentazione della mostruosità, quella del cratere di Boston. L’artista disegna la principessa Esione di Troia vicno ad Eracle, che lancia pietre verso un minaccioso drago. Secondo </w:t>
      </w:r>
      <w:r w:rsidRPr="006E0435">
        <w:rPr>
          <w:rFonts w:cs="Times New Roman"/>
          <w:i/>
          <w:color w:val="222222"/>
        </w:rPr>
        <w:t xml:space="preserve">Il. </w:t>
      </w:r>
      <w:r w:rsidRPr="006E0435">
        <w:rPr>
          <w:rFonts w:cs="Times New Roman"/>
          <w:color w:val="222222"/>
        </w:rPr>
        <w:t>XX.144-8 si tratta di un mostro marino (κήτος), ma la testa gigantesca assomiglia molto ad un cranio fossile che emerge dalla terra.</w:t>
      </w:r>
    </w:p>
  </w:footnote>
  <w:footnote w:id="47">
    <w:p w14:paraId="27BF484A" w14:textId="3B2A2DB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Si veda P. H. </w:t>
      </w:r>
      <w:r w:rsidRPr="002B5B04">
        <w:t xml:space="preserve">Schrijvers, </w:t>
      </w:r>
      <w:r w:rsidRPr="002B5B04">
        <w:rPr>
          <w:i/>
        </w:rPr>
        <w:t>La pensée de Lucrèce sur l’origine de la vie, V, 780-820</w:t>
      </w:r>
      <w:r>
        <w:t>, «</w:t>
      </w:r>
      <w:r w:rsidRPr="002B5B04">
        <w:t>Mnemosyne</w:t>
      </w:r>
      <w:r>
        <w:t>»</w:t>
      </w:r>
      <w:r w:rsidRPr="002B5B04">
        <w:t xml:space="preserve"> 27</w:t>
      </w:r>
      <w:r>
        <w:t xml:space="preserve">, </w:t>
      </w:r>
      <w:r w:rsidRPr="002B5B04">
        <w:t>1974</w:t>
      </w:r>
      <w:r>
        <w:t>, pp.</w:t>
      </w:r>
      <w:r w:rsidRPr="002B5B04">
        <w:t xml:space="preserve"> 245-59</w:t>
      </w:r>
      <w:r>
        <w:t xml:space="preserve"> </w:t>
      </w:r>
      <w:r>
        <w:rPr>
          <w:rFonts w:cs="Times New Roman"/>
        </w:rPr>
        <w:t xml:space="preserve">e anche P. </w:t>
      </w:r>
      <w:r w:rsidRPr="002B5B04">
        <w:t xml:space="preserve">Casini, </w:t>
      </w:r>
      <w:r w:rsidRPr="002B5B04">
        <w:rPr>
          <w:i/>
        </w:rPr>
        <w:t>Zoogonia e trasformismo nella fisica epicurea</w:t>
      </w:r>
      <w:r>
        <w:t>, «</w:t>
      </w:r>
      <w:r w:rsidRPr="002B5B04">
        <w:t>Giornale critico della filosofia italiana</w:t>
      </w:r>
      <w:r>
        <w:t>»,</w:t>
      </w:r>
      <w:r w:rsidRPr="002B5B04">
        <w:t xml:space="preserve"> 42</w:t>
      </w:r>
      <w:r>
        <w:t xml:space="preserve">, </w:t>
      </w:r>
      <w:r w:rsidRPr="002B5B04">
        <w:t>1963</w:t>
      </w:r>
      <w:r>
        <w:t>, pp.</w:t>
      </w:r>
      <w:r w:rsidRPr="002B5B04">
        <w:t xml:space="preserve"> 178-207</w:t>
      </w:r>
      <w:r>
        <w:t xml:space="preserve"> (cfr. </w:t>
      </w:r>
      <w:r>
        <w:rPr>
          <w:rFonts w:cs="Times New Roman"/>
        </w:rPr>
        <w:t>pp. 200 sgg</w:t>
      </w:r>
      <w:r w:rsidRPr="006E0435">
        <w:rPr>
          <w:rFonts w:cs="Times New Roman"/>
        </w:rPr>
        <w:t>.</w:t>
      </w:r>
      <w:r>
        <w:rPr>
          <w:rFonts w:cs="Times New Roman"/>
        </w:rPr>
        <w:t>).</w:t>
      </w:r>
    </w:p>
  </w:footnote>
  <w:footnote w:id="48">
    <w:p w14:paraId="70450D8E" w14:textId="6481E57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J. H. </w:t>
      </w:r>
      <w:r w:rsidRPr="002B5B04">
        <w:t xml:space="preserve">Waszink, </w:t>
      </w:r>
      <w:r w:rsidRPr="002B5B04">
        <w:rPr>
          <w:i/>
        </w:rPr>
        <w:t>Lucretius and Poetry.</w:t>
      </w:r>
      <w:r w:rsidRPr="002B5B04">
        <w:t xml:space="preserve"> </w:t>
      </w:r>
      <w:r>
        <w:t>«</w:t>
      </w:r>
      <w:r w:rsidRPr="00236EB8">
        <w:t>Mededelingen der Koninklijke Nederlandse Akademie van Wetenschappen</w:t>
      </w:r>
      <w:r>
        <w:t>»</w:t>
      </w:r>
      <w:r w:rsidRPr="00236EB8">
        <w:t>,</w:t>
      </w:r>
      <w:r w:rsidRPr="002B5B04">
        <w:t xml:space="preserve"> 17</w:t>
      </w:r>
      <w:r>
        <w:t xml:space="preserve">, </w:t>
      </w:r>
      <w:r w:rsidRPr="002B5B04">
        <w:t>1954</w:t>
      </w:r>
      <w:r>
        <w:t>, pp.</w:t>
      </w:r>
      <w:r w:rsidRPr="002B5B04">
        <w:t xml:space="preserve"> 243-57</w:t>
      </w:r>
      <w:r w:rsidRPr="006E0435">
        <w:rPr>
          <w:rFonts w:cs="Times New Roman"/>
        </w:rPr>
        <w:t>. Cfr.</w:t>
      </w:r>
      <w:r>
        <w:rPr>
          <w:rFonts w:cs="Times New Roman"/>
        </w:rPr>
        <w:t xml:space="preserve"> anche W. </w:t>
      </w:r>
      <w:r w:rsidRPr="00236EB8">
        <w:t xml:space="preserve">Morgan, </w:t>
      </w:r>
      <w:r w:rsidRPr="00236EB8">
        <w:rPr>
          <w:i/>
        </w:rPr>
        <w:t>Constructing the Monster: Notions of the Monstrous in Classical Antiquity</w:t>
      </w:r>
      <w:r>
        <w:t>,</w:t>
      </w:r>
      <w:r w:rsidRPr="00236EB8">
        <w:t xml:space="preserve"> Unpublished PhD Thesis, School o</w:t>
      </w:r>
      <w:r>
        <w:t xml:space="preserve">f Humanities, Deakin University </w:t>
      </w:r>
      <w:r w:rsidRPr="00236EB8">
        <w:t>1984</w:t>
      </w:r>
      <w:r>
        <w:t xml:space="preserve">, </w:t>
      </w:r>
      <w:r>
        <w:rPr>
          <w:rFonts w:cs="Times New Roman"/>
        </w:rPr>
        <w:t>pp. 102 sgg</w:t>
      </w:r>
      <w:r w:rsidRPr="006E0435">
        <w:rPr>
          <w:rFonts w:cs="Times New Roman"/>
        </w:rPr>
        <w:t>.</w:t>
      </w:r>
    </w:p>
  </w:footnote>
  <w:footnote w:id="49">
    <w:p w14:paraId="2425F627" w14:textId="07D106C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w:t>
      </w:r>
      <w:r w:rsidRPr="006E0435">
        <w:rPr>
          <w:rFonts w:cs="Times New Roman"/>
          <w:i/>
        </w:rPr>
        <w:t xml:space="preserve">Vorsokr. </w:t>
      </w:r>
      <w:r w:rsidRPr="006E0435">
        <w:rPr>
          <w:rFonts w:cs="Times New Roman"/>
        </w:rPr>
        <w:t xml:space="preserve">31 B 35 (= LM [22] EMP. D75, R70 = Simp. </w:t>
      </w:r>
      <w:r w:rsidRPr="006E0435">
        <w:rPr>
          <w:rFonts w:cs="Times New Roman"/>
          <w:i/>
        </w:rPr>
        <w:t xml:space="preserve">in Cael. </w:t>
      </w:r>
      <w:r w:rsidRPr="006E0435">
        <w:rPr>
          <w:rFonts w:cs="Times New Roman"/>
        </w:rPr>
        <w:t xml:space="preserve">528, 30) e </w:t>
      </w:r>
      <w:r w:rsidRPr="006E0435">
        <w:rPr>
          <w:rFonts w:cs="Times New Roman"/>
          <w:i/>
        </w:rPr>
        <w:t>supra</w:t>
      </w:r>
      <w:r>
        <w:rPr>
          <w:rFonts w:cs="Times New Roman"/>
        </w:rPr>
        <w:t xml:space="preserve">. Cfr. anche A. </w:t>
      </w:r>
      <w:r w:rsidRPr="002B5B04">
        <w:rPr>
          <w:color w:val="000000"/>
        </w:rPr>
        <w:t xml:space="preserve">Ernout, </w:t>
      </w:r>
      <w:r>
        <w:rPr>
          <w:color w:val="000000"/>
        </w:rPr>
        <w:t xml:space="preserve">L. </w:t>
      </w:r>
      <w:r w:rsidRPr="002B5B04">
        <w:rPr>
          <w:color w:val="000000"/>
        </w:rPr>
        <w:t xml:space="preserve">Robin, </w:t>
      </w:r>
      <w:r w:rsidRPr="002B5B04">
        <w:rPr>
          <w:i/>
          <w:color w:val="000000"/>
        </w:rPr>
        <w:t>Lucrèce. De rerum natura</w:t>
      </w:r>
      <w:r w:rsidRPr="002B5B04">
        <w:rPr>
          <w:color w:val="000000"/>
        </w:rPr>
        <w:t>.</w:t>
      </w:r>
      <w:r w:rsidRPr="002B5B04">
        <w:rPr>
          <w:i/>
          <w:color w:val="000000"/>
        </w:rPr>
        <w:t xml:space="preserve"> Commentaire exégétique et critique</w:t>
      </w:r>
      <w:r>
        <w:rPr>
          <w:color w:val="000000"/>
        </w:rPr>
        <w:t>,</w:t>
      </w:r>
      <w:r w:rsidRPr="002B5B04">
        <w:rPr>
          <w:color w:val="000000"/>
        </w:rPr>
        <w:t xml:space="preserve"> Les Belles Lettres</w:t>
      </w:r>
      <w:r>
        <w:rPr>
          <w:color w:val="000000"/>
        </w:rPr>
        <w:t xml:space="preserve">, Paris </w:t>
      </w:r>
      <w:r w:rsidRPr="002B5B04">
        <w:rPr>
          <w:color w:val="000000"/>
        </w:rPr>
        <w:t>1925-28</w:t>
      </w:r>
      <w:r>
        <w:rPr>
          <w:rFonts w:cs="Times New Roman"/>
        </w:rPr>
        <w:t xml:space="preserve">, I, pp. 146-7, W. </w:t>
      </w:r>
      <w:r w:rsidRPr="002B5B04">
        <w:t xml:space="preserve">Spoerri, </w:t>
      </w:r>
      <w:r w:rsidRPr="002B5B04">
        <w:rPr>
          <w:i/>
        </w:rPr>
        <w:t>Späthellenistische Berichte über Welt, Kultur und Götte. Untersuchingen zur Diodoro von Sizilien</w:t>
      </w:r>
      <w:r>
        <w:t>,</w:t>
      </w:r>
      <w:r w:rsidRPr="002B5B04">
        <w:t xml:space="preserve"> Reinhardt</w:t>
      </w:r>
      <w:r>
        <w:t xml:space="preserve">, Basel </w:t>
      </w:r>
      <w:r w:rsidRPr="002B5B04">
        <w:t>1959</w:t>
      </w:r>
      <w:r>
        <w:t>,</w:t>
      </w:r>
      <w:r>
        <w:rPr>
          <w:rFonts w:cs="Times New Roman"/>
        </w:rPr>
        <w:t xml:space="preserve"> Spoerri, Crescebant uteri..., cit., e W. </w:t>
      </w:r>
      <w:r w:rsidRPr="002B5B04">
        <w:rPr>
          <w:color w:val="000000"/>
          <w:shd w:val="clear" w:color="auto" w:fill="FFFFFF"/>
        </w:rPr>
        <w:t xml:space="preserve">Kranz, </w:t>
      </w:r>
      <w:r w:rsidRPr="002B5B04">
        <w:rPr>
          <w:i/>
          <w:color w:val="000000"/>
          <w:shd w:val="clear" w:color="auto" w:fill="FFFFFF"/>
        </w:rPr>
        <w:t>Lukrez und Empedokles</w:t>
      </w:r>
      <w:r>
        <w:rPr>
          <w:color w:val="000000"/>
          <w:shd w:val="clear" w:color="auto" w:fill="FFFFFF"/>
        </w:rPr>
        <w:t>, «</w:t>
      </w:r>
      <w:r w:rsidRPr="002B5B04">
        <w:rPr>
          <w:color w:val="000000"/>
          <w:shd w:val="clear" w:color="auto" w:fill="FFFFFF"/>
        </w:rPr>
        <w:t>Philologus</w:t>
      </w:r>
      <w:r>
        <w:rPr>
          <w:color w:val="000000"/>
          <w:shd w:val="clear" w:color="auto" w:fill="FFFFFF"/>
        </w:rPr>
        <w:t>.</w:t>
      </w:r>
      <w:r w:rsidRPr="002B5B04">
        <w:rPr>
          <w:color w:val="000000"/>
          <w:shd w:val="clear" w:color="auto" w:fill="FFFFFF"/>
        </w:rPr>
        <w:t xml:space="preserve"> Zeitschrift für das klassische Altertum</w:t>
      </w:r>
      <w:r>
        <w:rPr>
          <w:color w:val="000000"/>
          <w:shd w:val="clear" w:color="auto" w:fill="FFFFFF"/>
        </w:rPr>
        <w:t>»,</w:t>
      </w:r>
      <w:r w:rsidRPr="002B5B04">
        <w:rPr>
          <w:color w:val="000000"/>
          <w:shd w:val="clear" w:color="auto" w:fill="FFFFFF"/>
        </w:rPr>
        <w:t xml:space="preserve"> 96</w:t>
      </w:r>
      <w:r>
        <w:rPr>
          <w:color w:val="000000"/>
          <w:shd w:val="clear" w:color="auto" w:fill="FFFFFF"/>
        </w:rPr>
        <w:t xml:space="preserve">, </w:t>
      </w:r>
      <w:r w:rsidRPr="002B5B04">
        <w:rPr>
          <w:color w:val="000000"/>
          <w:shd w:val="clear" w:color="auto" w:fill="FFFFFF"/>
        </w:rPr>
        <w:t>1944</w:t>
      </w:r>
      <w:r>
        <w:rPr>
          <w:color w:val="000000"/>
          <w:shd w:val="clear" w:color="auto" w:fill="FFFFFF"/>
        </w:rPr>
        <w:t>, pp.</w:t>
      </w:r>
      <w:r w:rsidRPr="002B5B04">
        <w:rPr>
          <w:color w:val="000000"/>
          <w:shd w:val="clear" w:color="auto" w:fill="FFFFFF"/>
        </w:rPr>
        <w:t xml:space="preserve"> 68-107</w:t>
      </w:r>
      <w:r>
        <w:rPr>
          <w:rFonts w:cs="Times New Roman"/>
        </w:rPr>
        <w:t xml:space="preserve">, </w:t>
      </w:r>
      <w:r w:rsidRPr="006E0435">
        <w:rPr>
          <w:rFonts w:cs="Times New Roman"/>
        </w:rPr>
        <w:t xml:space="preserve">p. 44. </w:t>
      </w:r>
      <w:r w:rsidRPr="006E0435">
        <w:rPr>
          <w:rFonts w:cs="Times New Roman"/>
          <w:i/>
        </w:rPr>
        <w:t xml:space="preserve">Contra </w:t>
      </w:r>
      <w:r>
        <w:rPr>
          <w:rFonts w:cs="Times New Roman"/>
        </w:rPr>
        <w:t xml:space="preserve">H. </w:t>
      </w:r>
      <w:r w:rsidRPr="002B5B04">
        <w:rPr>
          <w:color w:val="000000"/>
          <w:shd w:val="clear" w:color="auto" w:fill="FFFFFF"/>
        </w:rPr>
        <w:t xml:space="preserve">Jones, </w:t>
      </w:r>
      <w:r w:rsidRPr="002B5B04">
        <w:rPr>
          <w:i/>
          <w:color w:val="000000"/>
          <w:shd w:val="clear" w:color="auto" w:fill="FFFFFF"/>
        </w:rPr>
        <w:t>Lucretius and nature’s monsters</w:t>
      </w:r>
      <w:r>
        <w:rPr>
          <w:color w:val="000000"/>
          <w:shd w:val="clear" w:color="auto" w:fill="FFFFFF"/>
        </w:rPr>
        <w:t>, «</w:t>
      </w:r>
      <w:r w:rsidRPr="002B5B04">
        <w:rPr>
          <w:color w:val="000000"/>
          <w:shd w:val="clear" w:color="auto" w:fill="FFFFFF"/>
        </w:rPr>
        <w:t>Helmantica</w:t>
      </w:r>
      <w:r>
        <w:rPr>
          <w:color w:val="000000"/>
          <w:shd w:val="clear" w:color="auto" w:fill="FFFFFF"/>
        </w:rPr>
        <w:t>»,</w:t>
      </w:r>
      <w:r w:rsidRPr="002B5B04">
        <w:rPr>
          <w:color w:val="000000"/>
          <w:shd w:val="clear" w:color="auto" w:fill="FFFFFF"/>
        </w:rPr>
        <w:t xml:space="preserve"> 44</w:t>
      </w:r>
      <w:r>
        <w:rPr>
          <w:color w:val="000000"/>
          <w:shd w:val="clear" w:color="auto" w:fill="FFFFFF"/>
        </w:rPr>
        <w:t xml:space="preserve">, </w:t>
      </w:r>
      <w:r w:rsidRPr="002B5B04">
        <w:rPr>
          <w:color w:val="000000"/>
          <w:shd w:val="clear" w:color="auto" w:fill="FFFFFF"/>
        </w:rPr>
        <w:t>1993</w:t>
      </w:r>
      <w:r>
        <w:rPr>
          <w:color w:val="000000"/>
          <w:shd w:val="clear" w:color="auto" w:fill="FFFFFF"/>
        </w:rPr>
        <w:t>, pp.</w:t>
      </w:r>
      <w:r w:rsidRPr="002B5B04">
        <w:rPr>
          <w:color w:val="000000"/>
          <w:shd w:val="clear" w:color="auto" w:fill="FFFFFF"/>
        </w:rPr>
        <w:t xml:space="preserve"> 199-203</w:t>
      </w:r>
      <w:r w:rsidRPr="006E0435">
        <w:rPr>
          <w:rFonts w:cs="Times New Roman"/>
        </w:rPr>
        <w:t>.</w:t>
      </w:r>
    </w:p>
  </w:footnote>
  <w:footnote w:id="50">
    <w:p w14:paraId="5F60E97E" w14:textId="30AFDFFA"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Campbell, </w:t>
      </w:r>
      <w:r>
        <w:rPr>
          <w:rFonts w:cs="Times New Roman"/>
          <w:i/>
        </w:rPr>
        <w:t>Lucretius...</w:t>
      </w:r>
      <w:r w:rsidRPr="006E0435">
        <w:rPr>
          <w:rFonts w:cs="Times New Roman"/>
        </w:rPr>
        <w:t>,</w:t>
      </w:r>
      <w:r>
        <w:rPr>
          <w:rFonts w:cs="Times New Roman"/>
        </w:rPr>
        <w:t xml:space="preserve"> cit.,</w:t>
      </w:r>
      <w:r w:rsidRPr="006E0435">
        <w:rPr>
          <w:rFonts w:cs="Times New Roman"/>
        </w:rPr>
        <w:t xml:space="preserve"> pp. 56-7.</w:t>
      </w:r>
    </w:p>
  </w:footnote>
  <w:footnote w:id="51">
    <w:p w14:paraId="23EA70E0" w14:textId="7E9EF61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Campbell menziona Lovejoy e Boas, </w:t>
      </w:r>
      <w:r w:rsidRPr="006E0435">
        <w:rPr>
          <w:rFonts w:cs="Times New Roman"/>
          <w:i/>
        </w:rPr>
        <w:t>Some Meanings of Nature</w:t>
      </w:r>
      <w:r>
        <w:rPr>
          <w:rFonts w:cs="Times New Roman"/>
        </w:rPr>
        <w:t>, in Lovejoy, Boas</w:t>
      </w:r>
      <w:r w:rsidRPr="006E0435">
        <w:rPr>
          <w:rFonts w:cs="Times New Roman"/>
        </w:rPr>
        <w:t>,</w:t>
      </w:r>
      <w:r>
        <w:rPr>
          <w:rFonts w:cs="Times New Roman"/>
        </w:rPr>
        <w:t xml:space="preserve"> </w:t>
      </w:r>
      <w:r>
        <w:rPr>
          <w:rFonts w:cs="Times New Roman"/>
          <w:i/>
        </w:rPr>
        <w:t>Primitivism...</w:t>
      </w:r>
      <w:r>
        <w:rPr>
          <w:rFonts w:cs="Times New Roman"/>
        </w:rPr>
        <w:t>, cit.,</w:t>
      </w:r>
      <w:r w:rsidRPr="006E0435">
        <w:rPr>
          <w:rFonts w:cs="Times New Roman"/>
        </w:rPr>
        <w:t xml:space="preserve"> pp. 447-56.</w:t>
      </w:r>
    </w:p>
  </w:footnote>
  <w:footnote w:id="52">
    <w:p w14:paraId="73F8FCA4" w14:textId="261B19B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Ca</w:t>
      </w:r>
      <w:r>
        <w:rPr>
          <w:rFonts w:cs="Times New Roman"/>
        </w:rPr>
        <w:t xml:space="preserve">mpbell, </w:t>
      </w:r>
      <w:r>
        <w:rPr>
          <w:rFonts w:cs="Times New Roman"/>
          <w:i/>
        </w:rPr>
        <w:t>Lucretius...</w:t>
      </w:r>
      <w:r w:rsidRPr="006E0435">
        <w:rPr>
          <w:rFonts w:cs="Times New Roman"/>
        </w:rPr>
        <w:t>,</w:t>
      </w:r>
      <w:r>
        <w:rPr>
          <w:rFonts w:cs="Times New Roman"/>
        </w:rPr>
        <w:t xml:space="preserve"> cit.,</w:t>
      </w:r>
      <w:r w:rsidRPr="006E0435">
        <w:rPr>
          <w:rFonts w:cs="Times New Roman"/>
        </w:rPr>
        <w:t xml:space="preserve"> p. 82.</w:t>
      </w:r>
    </w:p>
  </w:footnote>
  <w:footnote w:id="53">
    <w:p w14:paraId="3201136B" w14:textId="68F15EAA"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D. </w:t>
      </w:r>
      <w:r w:rsidRPr="002B5B04">
        <w:rPr>
          <w:color w:val="000000"/>
        </w:rPr>
        <w:t xml:space="preserve">Fowler, </w:t>
      </w:r>
      <w:r w:rsidRPr="002B5B04">
        <w:rPr>
          <w:i/>
          <w:color w:val="000000"/>
        </w:rPr>
        <w:t xml:space="preserve">Lucretius on Atomic Motion: A Commentary on Lucretius </w:t>
      </w:r>
      <w:r>
        <w:rPr>
          <w:color w:val="000000"/>
        </w:rPr>
        <w:t>De rerum natura 2.1-332,</w:t>
      </w:r>
      <w:r w:rsidRPr="002B5B04">
        <w:rPr>
          <w:color w:val="000000"/>
        </w:rPr>
        <w:t xml:space="preserve"> Oxford University Press</w:t>
      </w:r>
      <w:r>
        <w:rPr>
          <w:color w:val="000000"/>
        </w:rPr>
        <w:t xml:space="preserve">, Oxford </w:t>
      </w:r>
      <w:r w:rsidRPr="002B5B04">
        <w:rPr>
          <w:color w:val="000000"/>
        </w:rPr>
        <w:t>2002</w:t>
      </w:r>
      <w:r w:rsidRPr="006E0435">
        <w:rPr>
          <w:rFonts w:cs="Times New Roman"/>
        </w:rPr>
        <w:t xml:space="preserve">. È interessante notare che anche Charles Darwin deve rispondere all’accusa di personificare la natura, accusa che proviene spesso da coloro che credono in un’entità personificata. </w:t>
      </w:r>
      <w:r w:rsidRPr="006E0435">
        <w:rPr>
          <w:rFonts w:cs="Times New Roman"/>
          <w:kern w:val="0"/>
          <w:lang w:val="en-US" w:bidi="ar-SA"/>
        </w:rPr>
        <w:t xml:space="preserve">Si veda C. Darwin, </w:t>
      </w:r>
      <w:r w:rsidRPr="006E0435">
        <w:rPr>
          <w:rFonts w:cs="Times New Roman"/>
          <w:i/>
          <w:iCs/>
          <w:kern w:val="0"/>
          <w:lang w:val="en-US" w:bidi="ar-SA"/>
        </w:rPr>
        <w:t>The Origin of Species</w:t>
      </w:r>
      <w:r>
        <w:rPr>
          <w:rFonts w:cs="Times New Roman"/>
          <w:kern w:val="0"/>
          <w:lang w:val="en-US" w:bidi="ar-SA"/>
        </w:rPr>
        <w:t xml:space="preserve">, IV, in C. </w:t>
      </w:r>
      <w:r w:rsidRPr="002B5B04">
        <w:t xml:space="preserve">Darwin, </w:t>
      </w:r>
      <w:r w:rsidRPr="002B5B04">
        <w:rPr>
          <w:i/>
        </w:rPr>
        <w:t>The Works of Charles Darwin</w:t>
      </w:r>
      <w:r>
        <w:t>.</w:t>
      </w:r>
      <w:r w:rsidRPr="002B5B04">
        <w:t xml:space="preserve"> Edited by </w:t>
      </w:r>
      <w:r>
        <w:t>P. H. Barrett and R. B. Freeman,</w:t>
      </w:r>
      <w:r w:rsidRPr="002B5B04">
        <w:t xml:space="preserve"> William Pickering</w:t>
      </w:r>
      <w:r w:rsidRPr="006E0435">
        <w:rPr>
          <w:rFonts w:cs="Times New Roman"/>
          <w:kern w:val="0"/>
          <w:lang w:val="en-US" w:bidi="ar-SA"/>
        </w:rPr>
        <w:t>,</w:t>
      </w:r>
      <w:r>
        <w:rPr>
          <w:rFonts w:cs="Times New Roman"/>
          <w:kern w:val="0"/>
          <w:lang w:val="en-US" w:bidi="ar-SA"/>
        </w:rPr>
        <w:t xml:space="preserve"> London </w:t>
      </w:r>
      <w:r w:rsidRPr="002B5B04">
        <w:t>1986-89</w:t>
      </w:r>
      <w:r>
        <w:t>,</w:t>
      </w:r>
      <w:r w:rsidRPr="006E0435">
        <w:rPr>
          <w:rFonts w:cs="Times New Roman"/>
          <w:kern w:val="0"/>
          <w:lang w:val="en-US" w:bidi="ar-SA"/>
        </w:rPr>
        <w:t xml:space="preserve"> XVI, sul concetto di selezione naturale: ‘Tutti sanno cosa si intende e cosa significano tali espressioni metaforiche. È per brevità, che esse sono necessarie. È dunque difficile evitare la personificazione della parola Natura, ma per Natura io intendo soltanto l’azione aggregata e il prodotto di molte leggi naturali e, per leggi, la sequenza degli eventi in quanto a noi nota. Con un po’ di pratica, queste obiezioni superficiali saranno presto dimenticate. [traduzione mia]’ </w:t>
      </w:r>
      <w:r>
        <w:rPr>
          <w:rFonts w:cs="Times New Roman"/>
        </w:rPr>
        <w:t xml:space="preserve">Cfr. Anche T. </w:t>
      </w:r>
      <w:r w:rsidRPr="002B5B04">
        <w:t xml:space="preserve">Pievani, </w:t>
      </w:r>
      <w:r w:rsidRPr="002B5B04">
        <w:rPr>
          <w:i/>
        </w:rPr>
        <w:t>Anatomia di una rivoluzione. La logica della scoperta scientifica di Darwin</w:t>
      </w:r>
      <w:r>
        <w:t>,</w:t>
      </w:r>
      <w:r w:rsidRPr="002B5B04">
        <w:t xml:space="preserve"> Mimesis</w:t>
      </w:r>
      <w:r>
        <w:t xml:space="preserve">, Milano </w:t>
      </w:r>
      <w:r w:rsidRPr="002B5B04">
        <w:t>2013</w:t>
      </w:r>
      <w:r w:rsidRPr="006E0435">
        <w:rPr>
          <w:rFonts w:cs="Times New Roman"/>
        </w:rPr>
        <w:t>.</w:t>
      </w:r>
    </w:p>
  </w:footnote>
  <w:footnote w:id="54">
    <w:p w14:paraId="6E52C2D0" w14:textId="16E6CA4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Campbell, </w:t>
      </w:r>
      <w:r>
        <w:rPr>
          <w:rFonts w:cs="Times New Roman"/>
          <w:i/>
        </w:rPr>
        <w:t>Lucretius...</w:t>
      </w:r>
      <w:r w:rsidRPr="006E0435">
        <w:rPr>
          <w:rFonts w:cs="Times New Roman"/>
        </w:rPr>
        <w:t>,</w:t>
      </w:r>
      <w:r>
        <w:rPr>
          <w:rFonts w:cs="Times New Roman"/>
        </w:rPr>
        <w:t xml:space="preserve"> cit.,</w:t>
      </w:r>
      <w:r w:rsidRPr="006E0435">
        <w:rPr>
          <w:rFonts w:cs="Times New Roman"/>
        </w:rPr>
        <w:t xml:space="preserve"> p. 59. Si veda </w:t>
      </w:r>
      <w:r w:rsidRPr="006E0435">
        <w:rPr>
          <w:rFonts w:cs="Times New Roman"/>
          <w:i/>
          <w:iCs/>
        </w:rPr>
        <w:t>infra</w:t>
      </w:r>
      <w:r w:rsidRPr="006E0435">
        <w:rPr>
          <w:rFonts w:cs="Times New Roman"/>
        </w:rPr>
        <w:t xml:space="preserve"> sui </w:t>
      </w:r>
      <w:r w:rsidRPr="006E0435">
        <w:rPr>
          <w:rFonts w:cs="Times New Roman"/>
          <w:i/>
          <w:iCs/>
        </w:rPr>
        <w:t>foedera naturae</w:t>
      </w:r>
      <w:r w:rsidRPr="006E0435">
        <w:rPr>
          <w:rFonts w:cs="Times New Roman"/>
        </w:rPr>
        <w:t>.</w:t>
      </w:r>
    </w:p>
  </w:footnote>
  <w:footnote w:id="55">
    <w:p w14:paraId="7808A8AF" w14:textId="7BA9460D"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Per la realzione tra il costante flusso della materia e i </w:t>
      </w:r>
      <w:r w:rsidRPr="006E0435">
        <w:rPr>
          <w:rFonts w:cs="Times New Roman"/>
          <w:i/>
        </w:rPr>
        <w:t>foedera naturae</w:t>
      </w:r>
      <w:r>
        <w:rPr>
          <w:rFonts w:cs="Times New Roman"/>
        </w:rPr>
        <w:t xml:space="preserve"> si veda A. A. </w:t>
      </w:r>
      <w:r w:rsidRPr="002B5B04">
        <w:t xml:space="preserve">Long, </w:t>
      </w:r>
      <w:r w:rsidRPr="002B5B04">
        <w:rPr>
          <w:i/>
        </w:rPr>
        <w:t>Chance and Natural Law in Epicureanism</w:t>
      </w:r>
      <w:r>
        <w:t>, «Phronesis»,</w:t>
      </w:r>
      <w:r w:rsidRPr="002B5B04">
        <w:t xml:space="preserve"> 22</w:t>
      </w:r>
      <w:r>
        <w:t xml:space="preserve">, </w:t>
      </w:r>
      <w:r w:rsidRPr="002B5B04">
        <w:t>1977</w:t>
      </w:r>
      <w:r>
        <w:t>, pp.</w:t>
      </w:r>
      <w:r w:rsidRPr="002B5B04">
        <w:t xml:space="preserve"> 63-88</w:t>
      </w:r>
      <w:r>
        <w:t xml:space="preserve"> (</w:t>
      </w:r>
      <w:r>
        <w:rPr>
          <w:rFonts w:cs="Times New Roman"/>
        </w:rPr>
        <w:t>pp. 81 sgg.).</w:t>
      </w:r>
    </w:p>
  </w:footnote>
  <w:footnote w:id="56">
    <w:p w14:paraId="7F3C3CFA" w14:textId="075B7E6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Bailey suggerisce che questo sia il passaggio dagli individui alle specie. Si veda Bailey, in</w:t>
      </w:r>
      <w:r>
        <w:rPr>
          <w:rFonts w:cs="Times New Roman"/>
        </w:rPr>
        <w:t xml:space="preserve"> </w:t>
      </w:r>
      <w:r>
        <w:t>Lucretius,</w:t>
      </w:r>
      <w:r w:rsidRPr="002B5B04">
        <w:t xml:space="preserve"> </w:t>
      </w:r>
      <w:r w:rsidRPr="002B5B04">
        <w:rPr>
          <w:i/>
        </w:rPr>
        <w:t>De rerum natura: libri sex</w:t>
      </w:r>
      <w:r w:rsidRPr="002B5B04">
        <w:t>. Edited with prolegomena, critical apparatus, translation and commentary by C.</w:t>
      </w:r>
      <w:r>
        <w:t xml:space="preserve"> Bailey,</w:t>
      </w:r>
      <w:r w:rsidRPr="002B5B04">
        <w:t xml:space="preserve"> Clarendon Press</w:t>
      </w:r>
      <w:r>
        <w:t xml:space="preserve">, Oxford </w:t>
      </w:r>
      <w:r w:rsidRPr="002B5B04">
        <w:t>1947</w:t>
      </w:r>
      <w:r>
        <w:t>,</w:t>
      </w:r>
      <w:r w:rsidRPr="006E0435">
        <w:rPr>
          <w:rFonts w:cs="Times New Roman"/>
        </w:rPr>
        <w:t xml:space="preserve"> III, p. 1465: </w:t>
      </w:r>
      <w:r>
        <w:rPr>
          <w:rFonts w:cs="Times New Roman"/>
          <w:kern w:val="0"/>
          <w:lang w:val="en-US" w:bidi="ar-SA"/>
        </w:rPr>
        <w:t>«When chance has developed an appropriate kind of animal, then that kind is established as a permanent species. Once again contingency establishes natural law (</w:t>
      </w:r>
      <w:r>
        <w:rPr>
          <w:rFonts w:cs="Times New Roman"/>
          <w:i/>
          <w:iCs/>
          <w:kern w:val="0"/>
          <w:lang w:val="en-US" w:bidi="ar-SA"/>
        </w:rPr>
        <w:t>foedus</w:t>
      </w:r>
      <w:r>
        <w:rPr>
          <w:rFonts w:cs="Times New Roman"/>
          <w:kern w:val="0"/>
          <w:lang w:val="en-US" w:bidi="ar-SA"/>
        </w:rPr>
        <w:t>)»</w:t>
      </w:r>
    </w:p>
  </w:footnote>
  <w:footnote w:id="57">
    <w:p w14:paraId="44FC4951"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sidRPr="006E0435">
        <w:rPr>
          <w:rFonts w:cs="Times New Roman"/>
        </w:rPr>
        <w:t>V.855-70.</w:t>
      </w:r>
    </w:p>
  </w:footnote>
  <w:footnote w:id="58">
    <w:p w14:paraId="32311029" w14:textId="1ECC5A3E" w:rsidR="00B82712" w:rsidRPr="009A6259" w:rsidRDefault="00B82712" w:rsidP="000D6EF2">
      <w:pPr>
        <w:pStyle w:val="FootnoteText"/>
        <w:ind w:left="0"/>
        <w:rPr>
          <w:lang w:val="fr-FR"/>
        </w:rPr>
      </w:pPr>
      <w:r>
        <w:rPr>
          <w:rStyle w:val="FootnoteReference"/>
        </w:rPr>
        <w:footnoteRef/>
      </w:r>
      <w:r>
        <w:t xml:space="preserve"> </w:t>
      </w:r>
      <w:r w:rsidRPr="006E0435">
        <w:rPr>
          <w:rFonts w:cs="Times New Roman"/>
        </w:rPr>
        <w:t>Lucr. V.871-77, traduzione modificata.</w:t>
      </w:r>
    </w:p>
  </w:footnote>
  <w:footnote w:id="59">
    <w:p w14:paraId="0BF83946" w14:textId="472A4EA5"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Ernout in </w:t>
      </w:r>
      <w:r>
        <w:t>Lucretius</w:t>
      </w:r>
      <w:r w:rsidRPr="002B5B04">
        <w:t xml:space="preserve"> </w:t>
      </w:r>
      <w:r w:rsidRPr="002B5B04">
        <w:rPr>
          <w:i/>
        </w:rPr>
        <w:t>De la nature</w:t>
      </w:r>
      <w:r w:rsidRPr="002B5B04">
        <w:t xml:space="preserve">. Texte </w:t>
      </w:r>
      <w:r>
        <w:t>établi et traduit pas A. Ernout,</w:t>
      </w:r>
      <w:r w:rsidRPr="002B5B04">
        <w:t xml:space="preserve"> Les Belles Lettres</w:t>
      </w:r>
      <w:r>
        <w:t xml:space="preserve">, Paris </w:t>
      </w:r>
      <w:r w:rsidRPr="002B5B04">
        <w:t>1924</w:t>
      </w:r>
      <w:r>
        <w:rPr>
          <w:rFonts w:cs="Times New Roman"/>
        </w:rPr>
        <w:t>: “</w:t>
      </w:r>
      <w:r w:rsidRPr="006E0435">
        <w:rPr>
          <w:rFonts w:cs="Times New Roman"/>
        </w:rPr>
        <w:t>chaînes de leur</w:t>
      </w:r>
      <w:r>
        <w:rPr>
          <w:rFonts w:cs="Times New Roman"/>
        </w:rPr>
        <w:t xml:space="preserve"> destinée”; Costa in </w:t>
      </w:r>
      <w:r>
        <w:t>Lucretius,</w:t>
      </w:r>
      <w:r w:rsidRPr="002B5B04">
        <w:t xml:space="preserve"> </w:t>
      </w:r>
      <w:r w:rsidRPr="002B5B04">
        <w:rPr>
          <w:i/>
        </w:rPr>
        <w:t>De rerum natura V</w:t>
      </w:r>
      <w:r w:rsidRPr="002B5B04">
        <w:t xml:space="preserve">. Edited, with introduction and </w:t>
      </w:r>
      <w:r>
        <w:t>commentary by C. D. N. Costa,</w:t>
      </w:r>
      <w:r w:rsidRPr="002B5B04">
        <w:t xml:space="preserve"> Clarendon Press</w:t>
      </w:r>
      <w:r>
        <w:t xml:space="preserve">, Oxford </w:t>
      </w:r>
      <w:r w:rsidRPr="002B5B04">
        <w:t>1984</w:t>
      </w:r>
      <w:r>
        <w:rPr>
          <w:rFonts w:cs="Times New Roman"/>
        </w:rPr>
        <w:t>: “</w:t>
      </w:r>
      <w:r w:rsidRPr="006E0435">
        <w:rPr>
          <w:rFonts w:cs="Times New Roman"/>
        </w:rPr>
        <w:t>chains</w:t>
      </w:r>
      <w:r>
        <w:rPr>
          <w:rFonts w:cs="Times New Roman"/>
        </w:rPr>
        <w:t xml:space="preserve"> of fate”; Flores in </w:t>
      </w:r>
      <w:r w:rsidRPr="002B5B04">
        <w:t>Lucretius</w:t>
      </w:r>
      <w:r>
        <w:t xml:space="preserve">, </w:t>
      </w:r>
      <w:r w:rsidRPr="002B5B04">
        <w:rPr>
          <w:i/>
        </w:rPr>
        <w:t>De rerum natura</w:t>
      </w:r>
      <w:r w:rsidRPr="002B5B04">
        <w:t>. Edizione critica con Introduzione e Versione a cura di E.</w:t>
      </w:r>
      <w:r>
        <w:t xml:space="preserve"> Flores,</w:t>
      </w:r>
      <w:r w:rsidRPr="002B5B04">
        <w:t xml:space="preserve"> Bibliopolis</w:t>
      </w:r>
      <w:r>
        <w:t xml:space="preserve">, Napoli </w:t>
      </w:r>
      <w:r w:rsidRPr="002B5B04">
        <w:t>2002-09</w:t>
      </w:r>
      <w:r>
        <w:rPr>
          <w:rFonts w:cs="Times New Roman"/>
        </w:rPr>
        <w:t>: “</w:t>
      </w:r>
      <w:r w:rsidRPr="006E0435">
        <w:rPr>
          <w:rFonts w:cs="Times New Roman"/>
        </w:rPr>
        <w:t>ceppi voluti dal fato</w:t>
      </w:r>
      <w:r>
        <w:rPr>
          <w:rFonts w:cs="Times New Roman"/>
        </w:rPr>
        <w:t>”.</w:t>
      </w:r>
    </w:p>
  </w:footnote>
  <w:footnote w:id="60">
    <w:p w14:paraId="4CB9F5A4" w14:textId="06BF544A"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J. </w:t>
      </w:r>
      <w:r>
        <w:t>Paulson, J.,</w:t>
      </w:r>
      <w:r w:rsidRPr="002B5B04">
        <w:t xml:space="preserve"> </w:t>
      </w:r>
      <w:r w:rsidRPr="002B5B04">
        <w:rPr>
          <w:i/>
        </w:rPr>
        <w:t>Index Lucretianus</w:t>
      </w:r>
      <w:r>
        <w:t>,</w:t>
      </w:r>
      <w:r w:rsidRPr="002B5B04">
        <w:t xml:space="preserve"> Typis expresserunt Zachrisson et socii</w:t>
      </w:r>
      <w:r>
        <w:t xml:space="preserve">, Gotoburgi </w:t>
      </w:r>
      <w:r w:rsidRPr="002B5B04">
        <w:t>1911</w:t>
      </w:r>
      <w:r>
        <w:rPr>
          <w:rFonts w:cs="Times New Roman"/>
        </w:rPr>
        <w:t xml:space="preserve"> e M. </w:t>
      </w:r>
      <w:r w:rsidRPr="002B5B04">
        <w:t xml:space="preserve">Wacht, </w:t>
      </w:r>
      <w:r w:rsidRPr="002B5B04">
        <w:rPr>
          <w:i/>
        </w:rPr>
        <w:t>Concordantia in Lucretium</w:t>
      </w:r>
      <w:r>
        <w:t>,</w:t>
      </w:r>
      <w:r w:rsidRPr="002B5B04">
        <w:t xml:space="preserve"> Olms-Weidmann</w:t>
      </w:r>
      <w:r>
        <w:t>,</w:t>
      </w:r>
      <w:r w:rsidRPr="00906A9D">
        <w:t xml:space="preserve"> </w:t>
      </w:r>
      <w:r w:rsidRPr="002B5B04">
        <w:t>Hildesheim-Zürich-New York</w:t>
      </w:r>
      <w:r>
        <w:t xml:space="preserve"> </w:t>
      </w:r>
      <w:r w:rsidRPr="002B5B04">
        <w:t>1990</w:t>
      </w:r>
      <w:r w:rsidRPr="006E0435">
        <w:rPr>
          <w:rFonts w:cs="Times New Roman"/>
        </w:rPr>
        <w:t>.</w:t>
      </w:r>
    </w:p>
  </w:footnote>
  <w:footnote w:id="61">
    <w:p w14:paraId="15116BCC" w14:textId="7EEFD7F9"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Bailey in Lucretius, </w:t>
      </w:r>
      <w:r>
        <w:rPr>
          <w:rFonts w:cs="Times New Roman"/>
          <w:i/>
        </w:rPr>
        <w:t>De rerum natura</w:t>
      </w:r>
      <w:r>
        <w:rPr>
          <w:rFonts w:cs="Times New Roman"/>
        </w:rPr>
        <w:t>, cit.</w:t>
      </w:r>
      <w:r>
        <w:rPr>
          <w:rFonts w:cs="Times New Roman"/>
          <w:i/>
        </w:rPr>
        <w:t xml:space="preserve"> </w:t>
      </w:r>
      <w:r>
        <w:rPr>
          <w:rFonts w:cs="Times New Roman"/>
        </w:rPr>
        <w:t xml:space="preserve">e Rouse e Smith, in Lucretius, </w:t>
      </w:r>
      <w:r>
        <w:rPr>
          <w:rFonts w:cs="Times New Roman"/>
          <w:i/>
        </w:rPr>
        <w:t>De rerum natura</w:t>
      </w:r>
      <w:r>
        <w:rPr>
          <w:rFonts w:cs="Times New Roman"/>
        </w:rPr>
        <w:t xml:space="preserve">, cit., </w:t>
      </w:r>
      <w:r w:rsidRPr="006E0435">
        <w:rPr>
          <w:rFonts w:cs="Times New Roman"/>
        </w:rPr>
        <w:t>si avvicinano a questa lettura, con “fateful chains”. Munro evita giustamente ogni riferimento al fato con “death-bringi</w:t>
      </w:r>
      <w:r>
        <w:rPr>
          <w:rFonts w:cs="Times New Roman"/>
        </w:rPr>
        <w:t xml:space="preserve">ng shackles”. Si veda Campbell, </w:t>
      </w:r>
      <w:r>
        <w:rPr>
          <w:rFonts w:cs="Times New Roman"/>
          <w:i/>
        </w:rPr>
        <w:t>Lucretius...</w:t>
      </w:r>
      <w:r w:rsidRPr="006E0435">
        <w:rPr>
          <w:rFonts w:cs="Times New Roman"/>
        </w:rPr>
        <w:t>,</w:t>
      </w:r>
      <w:r>
        <w:rPr>
          <w:rFonts w:cs="Times New Roman"/>
        </w:rPr>
        <w:t xml:space="preserve"> cit., </w:t>
      </w:r>
      <w:r w:rsidRPr="006E0435">
        <w:rPr>
          <w:rFonts w:cs="Times New Roman"/>
        </w:rPr>
        <w:t>p. 138 per un buon compromesso</w:t>
      </w:r>
      <w:r>
        <w:rPr>
          <w:rFonts w:cs="Times New Roman"/>
        </w:rPr>
        <w:t>:</w:t>
      </w:r>
      <w:r w:rsidRPr="006E0435">
        <w:rPr>
          <w:rFonts w:cs="Times New Roman"/>
        </w:rPr>
        <w:t xml:space="preserve"> Lucrezio</w:t>
      </w:r>
      <w:r w:rsidRPr="006E0435">
        <w:rPr>
          <w:rFonts w:cs="Times New Roman"/>
          <w:i/>
          <w:iCs/>
        </w:rPr>
        <w:t xml:space="preserve"> </w:t>
      </w:r>
      <w:r>
        <w:rPr>
          <w:rFonts w:cs="Times New Roman"/>
          <w:iCs/>
        </w:rPr>
        <w:t xml:space="preserve">penserebbe </w:t>
      </w:r>
      <w:r w:rsidRPr="006E0435">
        <w:rPr>
          <w:rFonts w:cs="Times New Roman"/>
        </w:rPr>
        <w:t xml:space="preserve">al Fato, ma </w:t>
      </w:r>
      <w:r>
        <w:rPr>
          <w:rFonts w:cs="Times New Roman"/>
        </w:rPr>
        <w:t xml:space="preserve">capovolgendone </w:t>
      </w:r>
      <w:r w:rsidRPr="006E0435">
        <w:rPr>
          <w:rFonts w:cs="Times New Roman"/>
        </w:rPr>
        <w:t>il significato: i “bonds of fate” son</w:t>
      </w:r>
      <w:r>
        <w:rPr>
          <w:rFonts w:cs="Times New Roman"/>
        </w:rPr>
        <w:t>o il punto in cui Lucrezio più si avvicina al linguaggio teleologico in questo luogo (con un rinvio uleriore a 811</w:t>
      </w:r>
      <w:r w:rsidRPr="006E0435">
        <w:rPr>
          <w:rFonts w:cs="Times New Roman"/>
        </w:rPr>
        <w:t>). Tutte queste idee sono</w:t>
      </w:r>
      <w:r>
        <w:rPr>
          <w:rFonts w:cs="Times New Roman"/>
        </w:rPr>
        <w:t xml:space="preserve"> ammisibili per </w:t>
      </w:r>
      <w:r w:rsidRPr="006E0435">
        <w:rPr>
          <w:rFonts w:cs="Times New Roman"/>
        </w:rPr>
        <w:t xml:space="preserve">Lucrezio: </w:t>
      </w:r>
      <w:r>
        <w:rPr>
          <w:rFonts w:cs="Times New Roman"/>
        </w:rPr>
        <w:t>«</w:t>
      </w:r>
      <w:r w:rsidRPr="006E0435">
        <w:rPr>
          <w:rFonts w:cs="Times New Roman"/>
        </w:rPr>
        <w:t>nemmeno l’odiata nozione di fato predestinato può sfuggire alla sua spietata approprazion</w:t>
      </w:r>
      <w:r>
        <w:rPr>
          <w:rFonts w:cs="Times New Roman"/>
        </w:rPr>
        <w:t>e e ricontestualizzazione […]».</w:t>
      </w:r>
    </w:p>
  </w:footnote>
  <w:footnote w:id="62">
    <w:p w14:paraId="58613511" w14:textId="7D30334C"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E. </w:t>
      </w:r>
      <w:r w:rsidRPr="002B5B04">
        <w:t xml:space="preserve">Ackermann, </w:t>
      </w:r>
      <w:r w:rsidRPr="002B5B04">
        <w:rPr>
          <w:i/>
        </w:rPr>
        <w:t>Lukrez und der Mythos</w:t>
      </w:r>
      <w:r w:rsidRPr="002B5B04">
        <w:t>. Steiner</w:t>
      </w:r>
      <w:r>
        <w:t xml:space="preserve">, Wiesbaden </w:t>
      </w:r>
      <w:r w:rsidRPr="002B5B04">
        <w:t>1979</w:t>
      </w:r>
      <w:r w:rsidRPr="006E0435">
        <w:rPr>
          <w:rFonts w:cs="Times New Roman"/>
        </w:rPr>
        <w:t>.</w:t>
      </w:r>
    </w:p>
  </w:footnote>
  <w:footnote w:id="63">
    <w:p w14:paraId="243DC3B7" w14:textId="3D4064FD"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Casini, </w:t>
      </w:r>
      <w:r>
        <w:rPr>
          <w:rFonts w:cs="Times New Roman"/>
          <w:i/>
        </w:rPr>
        <w:t>Zoogonia...</w:t>
      </w:r>
      <w:r w:rsidR="00C87D15">
        <w:rPr>
          <w:rFonts w:cs="Times New Roman"/>
        </w:rPr>
        <w:t>, cit</w:t>
      </w:r>
      <w:r>
        <w:rPr>
          <w:rFonts w:cs="Times New Roman"/>
        </w:rPr>
        <w:t>.</w:t>
      </w:r>
      <w:r w:rsidRPr="006E0435">
        <w:rPr>
          <w:rFonts w:cs="Times New Roman"/>
        </w:rPr>
        <w:t xml:space="preserve"> Si </w:t>
      </w:r>
      <w:r>
        <w:rPr>
          <w:rFonts w:cs="Times New Roman"/>
        </w:rPr>
        <w:t xml:space="preserve">veda la discussione in Spoerri, </w:t>
      </w:r>
      <w:r w:rsidRPr="003F694E">
        <w:rPr>
          <w:rFonts w:cs="Times New Roman"/>
        </w:rPr>
        <w:t>Crescebant uteri</w:t>
      </w:r>
      <w:r>
        <w:rPr>
          <w:rFonts w:cs="Times New Roman"/>
        </w:rPr>
        <w:t>..., cit</w:t>
      </w:r>
      <w:r w:rsidRPr="006E0435">
        <w:rPr>
          <w:rFonts w:cs="Times New Roman"/>
        </w:rPr>
        <w:t>.</w:t>
      </w:r>
    </w:p>
  </w:footnote>
  <w:footnote w:id="64">
    <w:p w14:paraId="708A0497" w14:textId="3FDA7273"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Munro.</w:t>
      </w:r>
      <w:r w:rsidRPr="006E0435">
        <w:rPr>
          <w:rFonts w:cs="Times New Roman"/>
        </w:rPr>
        <w:t xml:space="preserve"> Altrettanto assurdo, per Munro, è</w:t>
      </w:r>
      <w:r>
        <w:rPr>
          <w:rFonts w:cs="Times New Roman"/>
        </w:rPr>
        <w:t xml:space="preserve"> l’esempio concreto del</w:t>
      </w:r>
      <w:r w:rsidRPr="006E0435">
        <w:rPr>
          <w:rFonts w:cs="Times New Roman"/>
        </w:rPr>
        <w:t xml:space="preserve"> βουγενῆ ἀνδρόπρωρα, l’uomo con la testa di bue, che era già stata rifiutata dai campioni della causa finale, come Aristotele e i suoi commentatori Temistio e Simplicio.</w:t>
      </w:r>
    </w:p>
  </w:footnote>
  <w:footnote w:id="65">
    <w:p w14:paraId="79DF0F23" w14:textId="07539698"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Bailey in </w:t>
      </w:r>
      <w:r>
        <w:rPr>
          <w:rFonts w:cs="Times New Roman"/>
        </w:rPr>
        <w:t xml:space="preserve">Lucretius, </w:t>
      </w:r>
      <w:r>
        <w:rPr>
          <w:rFonts w:cs="Times New Roman"/>
          <w:i/>
        </w:rPr>
        <w:t>De rerum natura</w:t>
      </w:r>
      <w:r>
        <w:rPr>
          <w:rFonts w:cs="Times New Roman"/>
        </w:rPr>
        <w:t>, cit.,</w:t>
      </w:r>
      <w:r>
        <w:rPr>
          <w:rFonts w:cs="Times New Roman"/>
          <w:i/>
        </w:rPr>
        <w:t xml:space="preserve"> </w:t>
      </w:r>
      <w:r>
        <w:rPr>
          <w:rFonts w:cs="Times New Roman"/>
        </w:rPr>
        <w:t>III, p. 1461: «</w:t>
      </w:r>
      <w:r>
        <w:rPr>
          <w:rFonts w:ascii="Times Roman" w:hAnsi="Times Roman" w:cs="Times Roman"/>
          <w:kern w:val="0"/>
          <w:lang w:val="en-US" w:bidi="ar-SA"/>
        </w:rPr>
        <w:t>The idea of nature’s experiments had already been expressed by Empedocles, though many of his fantastic notions, such as the creation of parts of the body themselves, which went about seeking for union, and the creation of creatures of mixed species, were rightly rejected by Epicurus</w:t>
      </w:r>
      <w:r>
        <w:rPr>
          <w:rFonts w:cs="Times New Roman"/>
        </w:rPr>
        <w:t>».</w:t>
      </w:r>
    </w:p>
  </w:footnote>
  <w:footnote w:id="66">
    <w:p w14:paraId="7D549C56" w14:textId="0654DFD4"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Pr>
          <w:rFonts w:cs="Times New Roman"/>
        </w:rPr>
        <w:t>Ivi, p. 1461: «</w:t>
      </w:r>
      <w:r>
        <w:rPr>
          <w:rFonts w:ascii="Times Roman" w:hAnsi="Times Roman" w:cs="Times Roman"/>
          <w:kern w:val="0"/>
          <w:lang w:val="en-US" w:bidi="ar-SA"/>
        </w:rPr>
        <w:t>Here, as there, all sorts of combinations were produced which could survive. Once again what was produced by contingency then acquired the government of “natural law</w:t>
      </w:r>
      <w:r>
        <w:rPr>
          <w:rFonts w:cs="Times New Roman"/>
        </w:rPr>
        <w:t>».</w:t>
      </w:r>
    </w:p>
  </w:footnote>
  <w:footnote w:id="67">
    <w:p w14:paraId="31FE7B5D" w14:textId="213712EE"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Ivi, </w:t>
      </w:r>
      <w:r w:rsidRPr="006E0435">
        <w:rPr>
          <w:rFonts w:cs="Times New Roman"/>
        </w:rPr>
        <w:t>p. 1464. Si ved</w:t>
      </w:r>
      <w:r>
        <w:rPr>
          <w:rFonts w:cs="Times New Roman"/>
        </w:rPr>
        <w:t xml:space="preserve">a anche Campbell, </w:t>
      </w:r>
      <w:r>
        <w:rPr>
          <w:rFonts w:cs="Times New Roman"/>
          <w:i/>
        </w:rPr>
        <w:t xml:space="preserve">Lucretius... </w:t>
      </w:r>
      <w:r>
        <w:rPr>
          <w:rFonts w:cs="Times New Roman"/>
        </w:rPr>
        <w:t>cit., p. 115: «</w:t>
      </w:r>
      <w:r>
        <w:rPr>
          <w:rFonts w:ascii="Times Roman" w:hAnsi="Times Roman" w:cs="Times Roman"/>
          <w:kern w:val="0"/>
          <w:lang w:val="en-US" w:bidi="ar-SA"/>
        </w:rPr>
        <w:t xml:space="preserve">The </w:t>
      </w:r>
      <w:r>
        <w:rPr>
          <w:rFonts w:ascii="Times Roman" w:hAnsi="Times Roman" w:cs="Times Roman"/>
          <w:i/>
          <w:iCs/>
          <w:kern w:val="0"/>
          <w:lang w:val="en-US" w:bidi="ar-SA"/>
        </w:rPr>
        <w:t>portenta</w:t>
      </w:r>
      <w:r>
        <w:rPr>
          <w:rFonts w:ascii="Times Roman" w:hAnsi="Times Roman" w:cs="Times Roman"/>
          <w:kern w:val="0"/>
          <w:lang w:val="en-US" w:bidi="ar-SA"/>
        </w:rPr>
        <w:t xml:space="preserve"> are not variations from a norm, since no norm could exist until sexual reproduction took over from spontaneous generation and fixed creatures into discrete species</w:t>
      </w:r>
      <w:r>
        <w:rPr>
          <w:rFonts w:cs="Times New Roman"/>
        </w:rPr>
        <w:t>».</w:t>
      </w:r>
    </w:p>
  </w:footnote>
  <w:footnote w:id="68">
    <w:p w14:paraId="0ACF7CD3" w14:textId="26707D83"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Schrijvers, </w:t>
      </w:r>
      <w:r w:rsidRPr="006E0435">
        <w:rPr>
          <w:rFonts w:cs="Times New Roman"/>
          <w:i/>
        </w:rPr>
        <w:t xml:space="preserve">Un chapitre de l’histoire de l’humanité: Lucretius, </w:t>
      </w:r>
      <w:r w:rsidRPr="006E0435">
        <w:rPr>
          <w:rFonts w:cs="Times New Roman"/>
        </w:rPr>
        <w:t xml:space="preserve">De rerum natura </w:t>
      </w:r>
      <w:r w:rsidRPr="006E0435">
        <w:rPr>
          <w:rFonts w:cs="Times New Roman"/>
          <w:i/>
        </w:rPr>
        <w:t>V 837-854</w:t>
      </w:r>
      <w:r w:rsidRPr="006E0435">
        <w:rPr>
          <w:rFonts w:cs="Times New Roman"/>
        </w:rPr>
        <w:t xml:space="preserve">, in </w:t>
      </w:r>
      <w:r>
        <w:rPr>
          <w:rFonts w:cs="Times New Roman"/>
        </w:rPr>
        <w:t xml:space="preserve">G. </w:t>
      </w:r>
      <w:r w:rsidRPr="002B5B04">
        <w:rPr>
          <w:color w:val="000000"/>
        </w:rPr>
        <w:t xml:space="preserve">Giannantoni, </w:t>
      </w:r>
      <w:r>
        <w:rPr>
          <w:color w:val="000000"/>
        </w:rPr>
        <w:t xml:space="preserve">M. </w:t>
      </w:r>
      <w:r w:rsidRPr="002B5B04">
        <w:rPr>
          <w:color w:val="000000"/>
        </w:rPr>
        <w:t xml:space="preserve">Gigante, </w:t>
      </w:r>
      <w:r>
        <w:rPr>
          <w:color w:val="000000"/>
        </w:rPr>
        <w:t>a cura di,</w:t>
      </w:r>
      <w:r w:rsidRPr="002B5B04">
        <w:rPr>
          <w:color w:val="000000"/>
        </w:rPr>
        <w:t xml:space="preserve"> </w:t>
      </w:r>
      <w:r w:rsidRPr="002B5B04">
        <w:rPr>
          <w:i/>
          <w:color w:val="000000"/>
        </w:rPr>
        <w:t>Epicureismo greco e romano. Atti del Congresso Internazionale, Napoli 19-26 maggio 1993</w:t>
      </w:r>
      <w:r w:rsidRPr="002B5B04">
        <w:rPr>
          <w:color w:val="000000"/>
        </w:rPr>
        <w:t>. Bibliopolis</w:t>
      </w:r>
      <w:r>
        <w:rPr>
          <w:color w:val="000000"/>
        </w:rPr>
        <w:t xml:space="preserve">, Napoli </w:t>
      </w:r>
      <w:r w:rsidRPr="002B5B04">
        <w:rPr>
          <w:color w:val="000000"/>
        </w:rPr>
        <w:t>1984</w:t>
      </w:r>
      <w:r>
        <w:rPr>
          <w:color w:val="000000"/>
        </w:rPr>
        <w:t>,</w:t>
      </w:r>
      <w:r w:rsidRPr="006E0435">
        <w:rPr>
          <w:rFonts w:cs="Times New Roman"/>
          <w:color w:val="000000"/>
        </w:rPr>
        <w:t xml:space="preserve"> pp. 841-50. Sc</w:t>
      </w:r>
      <w:r>
        <w:rPr>
          <w:rFonts w:cs="Times New Roman"/>
          <w:color w:val="000000"/>
        </w:rPr>
        <w:t>hrijvers sviluppa la sua tesi su</w:t>
      </w:r>
      <w:r w:rsidRPr="006E0435">
        <w:rPr>
          <w:rFonts w:cs="Times New Roman"/>
          <w:color w:val="000000"/>
        </w:rPr>
        <w:t xml:space="preserve">lla somiglianza tra la teoria aristotelica, secondo la quale i mostri sono più frequenti nelle multipare, e l’idea di Lucrezio che la terra sia la multipara </w:t>
      </w:r>
      <w:r w:rsidRPr="006E0435">
        <w:rPr>
          <w:rFonts w:cs="Times New Roman"/>
          <w:i/>
          <w:iCs/>
          <w:color w:val="000000"/>
        </w:rPr>
        <w:t>par exellence</w:t>
      </w:r>
      <w:r w:rsidRPr="006E0435">
        <w:rPr>
          <w:rFonts w:cs="Times New Roman"/>
          <w:color w:val="000000"/>
        </w:rPr>
        <w:t>.</w:t>
      </w:r>
    </w:p>
  </w:footnote>
  <w:footnote w:id="69">
    <w:p w14:paraId="54F45C8E" w14:textId="3F445F0E"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J. </w:t>
      </w:r>
      <w:r w:rsidRPr="002B5B04">
        <w:t xml:space="preserve">Pigeaud, </w:t>
      </w:r>
      <w:r w:rsidRPr="002B5B04">
        <w:rPr>
          <w:i/>
        </w:rPr>
        <w:t>La greffe du monstre</w:t>
      </w:r>
      <w:r>
        <w:t>, «</w:t>
      </w:r>
      <w:r w:rsidRPr="002B5B04">
        <w:t>Revue des Etudes Latines</w:t>
      </w:r>
      <w:r>
        <w:t>»,</w:t>
      </w:r>
      <w:r w:rsidRPr="002B5B04">
        <w:t xml:space="preserve"> 66</w:t>
      </w:r>
      <w:r>
        <w:t xml:space="preserve">, </w:t>
      </w:r>
      <w:r w:rsidRPr="002B5B04">
        <w:t>1988: 197-218</w:t>
      </w:r>
      <w:r>
        <w:t xml:space="preserve">, </w:t>
      </w:r>
      <w:r>
        <w:rPr>
          <w:rFonts w:cs="Times New Roman"/>
        </w:rPr>
        <w:t>p. 205: «</w:t>
      </w:r>
      <w:r>
        <w:rPr>
          <w:rFonts w:ascii="Times Roman" w:hAnsi="Times Roman" w:cs="Times Roman"/>
          <w:kern w:val="0"/>
          <w:lang w:val="en-US" w:bidi="ar-SA"/>
        </w:rPr>
        <w:t>C’est lui qui met en péril l’ordre de la nature, en proposant une logique de la tératologie. Il n’y a pas de térato-logie</w:t>
      </w:r>
      <w:r>
        <w:rPr>
          <w:rFonts w:cs="Times New Roman"/>
        </w:rPr>
        <w:t>».</w:t>
      </w:r>
    </w:p>
  </w:footnote>
  <w:footnote w:id="70">
    <w:p w14:paraId="3D8F8C60" w14:textId="3EEBAB8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Sugli inne</w:t>
      </w:r>
      <w:r>
        <w:rPr>
          <w:rFonts w:cs="Times New Roman"/>
        </w:rPr>
        <w:t xml:space="preserve">sti in Virgilio si vedano </w:t>
      </w:r>
      <w:r w:rsidRPr="002B5B04">
        <w:t xml:space="preserve">D. O. jr. Ross, </w:t>
      </w:r>
      <w:r w:rsidRPr="002B5B04">
        <w:rPr>
          <w:i/>
        </w:rPr>
        <w:t xml:space="preserve">Virgil's Elements: Physics and Poetry in the </w:t>
      </w:r>
      <w:r w:rsidRPr="002B5B04">
        <w:t>Georgics. Princeton University Press</w:t>
      </w:r>
      <w:r>
        <w:t xml:space="preserve">, Princeton: N.J. </w:t>
      </w:r>
      <w:r w:rsidRPr="002B5B04">
        <w:t>1987</w:t>
      </w:r>
      <w:r w:rsidRPr="006E0435">
        <w:rPr>
          <w:rFonts w:cs="Times New Roman"/>
        </w:rPr>
        <w:t xml:space="preserve"> pp. 104-9 e A. Deremetz, </w:t>
      </w:r>
      <w:r w:rsidRPr="006E0435">
        <w:rPr>
          <w:rFonts w:cs="Times New Roman"/>
          <w:i/>
        </w:rPr>
        <w:t xml:space="preserve">The Marvellous in the </w:t>
      </w:r>
      <w:r>
        <w:rPr>
          <w:rFonts w:cs="Times New Roman"/>
        </w:rPr>
        <w:t xml:space="preserve">Georgics, in P. </w:t>
      </w:r>
      <w:r>
        <w:t>Hardie, P. ed.</w:t>
      </w:r>
      <w:r w:rsidRPr="002B5B04">
        <w:t xml:space="preserve"> </w:t>
      </w:r>
      <w:r w:rsidRPr="002B5B04">
        <w:rPr>
          <w:i/>
        </w:rPr>
        <w:t>Paradox and the Marvellous in Augustan Literature and Culture</w:t>
      </w:r>
      <w:r>
        <w:t xml:space="preserve">, </w:t>
      </w:r>
      <w:r w:rsidRPr="002B5B04">
        <w:t>Oxford University Press</w:t>
      </w:r>
      <w:r>
        <w:t xml:space="preserve">, Oxford </w:t>
      </w:r>
      <w:r w:rsidRPr="002B5B04">
        <w:t>2009</w:t>
      </w:r>
      <w:r>
        <w:t>,</w:t>
      </w:r>
      <w:r w:rsidRPr="006E0435">
        <w:rPr>
          <w:rFonts w:cs="Times New Roman"/>
        </w:rPr>
        <w:t xml:space="preserve"> pp. 123-25.</w:t>
      </w:r>
    </w:p>
  </w:footnote>
  <w:footnote w:id="71">
    <w:p w14:paraId="47092214" w14:textId="6CFCBC03"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Campbell, </w:t>
      </w:r>
      <w:r>
        <w:rPr>
          <w:rFonts w:cs="Times New Roman"/>
          <w:i/>
        </w:rPr>
        <w:t>Lucretius</w:t>
      </w:r>
      <w:r>
        <w:rPr>
          <w:rFonts w:cs="Times New Roman"/>
        </w:rPr>
        <w:t>..., cit.,</w:t>
      </w:r>
      <w:r>
        <w:rPr>
          <w:rFonts w:cs="Times New Roman"/>
          <w:i/>
        </w:rPr>
        <w:t xml:space="preserve"> </w:t>
      </w:r>
      <w:r>
        <w:rPr>
          <w:rFonts w:cs="Times New Roman"/>
        </w:rPr>
        <w:t>p. 114: «</w:t>
      </w:r>
      <w:r>
        <w:rPr>
          <w:rFonts w:ascii="Times Roman" w:hAnsi="Times Roman" w:cs="Times Roman"/>
          <w:kern w:val="0"/>
          <w:lang w:val="en-US" w:bidi="ar-SA"/>
        </w:rPr>
        <w:t xml:space="preserve">Earth produces random creatures to no avail since </w:t>
      </w:r>
      <w:r>
        <w:rPr>
          <w:rFonts w:ascii="Times Roman" w:hAnsi="Times Roman" w:cs="Times Roman"/>
          <w:i/>
          <w:iCs/>
          <w:kern w:val="0"/>
          <w:lang w:val="en-US" w:bidi="ar-SA"/>
        </w:rPr>
        <w:t>natura</w:t>
      </w:r>
      <w:r>
        <w:rPr>
          <w:rFonts w:ascii="Times Roman" w:hAnsi="Times Roman" w:cs="Times Roman"/>
          <w:kern w:val="0"/>
          <w:lang w:val="en-US" w:bidi="ar-SA"/>
        </w:rPr>
        <w:t>, here ‘physical necessity’ or simply the physical make-up of the creatures, prevents them surviving</w:t>
      </w:r>
      <w:r>
        <w:rPr>
          <w:rFonts w:cs="Times New Roman"/>
        </w:rPr>
        <w:t>».</w:t>
      </w:r>
      <w:r w:rsidRPr="006E0435">
        <w:rPr>
          <w:rFonts w:cs="Times New Roman"/>
        </w:rPr>
        <w:t xml:space="preserve"> Rispetto al diaologo di Lucrezio co</w:t>
      </w:r>
      <w:r>
        <w:rPr>
          <w:rFonts w:cs="Times New Roman"/>
        </w:rPr>
        <w:t>n le sue fonti si veda Spoerri, Crescebant uteri..., cit.</w:t>
      </w:r>
      <w:r w:rsidRPr="006E0435">
        <w:rPr>
          <w:rFonts w:cs="Times New Roman"/>
        </w:rPr>
        <w:t>, Appendix.</w:t>
      </w:r>
    </w:p>
  </w:footnote>
  <w:footnote w:id="72">
    <w:p w14:paraId="446D45FD" w14:textId="3FB856B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Il finalismo del XIX secolo, in un certo senso, risponde ancora alla questione della priorità da assegnare alla norma rispetto</w:t>
      </w:r>
      <w:r>
        <w:rPr>
          <w:rFonts w:cs="Times New Roman"/>
        </w:rPr>
        <w:t xml:space="preserve"> all’anormalità. Si veda P. </w:t>
      </w:r>
      <w:r w:rsidRPr="002B5B04">
        <w:rPr>
          <w:color w:val="000000"/>
        </w:rPr>
        <w:t xml:space="preserve">Janet, </w:t>
      </w:r>
      <w:r w:rsidRPr="002B5B04">
        <w:rPr>
          <w:i/>
          <w:color w:val="000000"/>
        </w:rPr>
        <w:t>Les causes finales</w:t>
      </w:r>
      <w:r w:rsidRPr="002B5B04">
        <w:rPr>
          <w:color w:val="000000"/>
        </w:rPr>
        <w:t>, G. Baillière</w:t>
      </w:r>
      <w:r>
        <w:rPr>
          <w:color w:val="000000"/>
        </w:rPr>
        <w:t xml:space="preserve">, Paris </w:t>
      </w:r>
      <w:r w:rsidRPr="002B5B04">
        <w:rPr>
          <w:color w:val="000000"/>
        </w:rPr>
        <w:t>1876</w:t>
      </w:r>
      <w:r>
        <w:rPr>
          <w:color w:val="000000"/>
        </w:rPr>
        <w:t>,</w:t>
      </w:r>
      <w:r w:rsidRPr="006E0435">
        <w:rPr>
          <w:rFonts w:cs="Times New Roman"/>
        </w:rPr>
        <w:t xml:space="preserve"> pp. 184-5 e p. 340 in particolare.</w:t>
      </w:r>
    </w:p>
  </w:footnote>
  <w:footnote w:id="73">
    <w:p w14:paraId="2F22C3E4" w14:textId="3541157C"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Si veda </w:t>
      </w:r>
      <w:r>
        <w:rPr>
          <w:rFonts w:cs="Times New Roman"/>
        </w:rPr>
        <w:t xml:space="preserve">ad esempio Bailey in Lucretius, </w:t>
      </w:r>
      <w:r>
        <w:rPr>
          <w:rFonts w:cs="Times New Roman"/>
          <w:i/>
        </w:rPr>
        <w:t>De rerum natura</w:t>
      </w:r>
      <w:r w:rsidRPr="006E0435">
        <w:rPr>
          <w:rFonts w:cs="Times New Roman"/>
        </w:rPr>
        <w:t>,</w:t>
      </w:r>
      <w:r>
        <w:rPr>
          <w:rFonts w:cs="Times New Roman"/>
        </w:rPr>
        <w:t xml:space="preserve"> cit.</w:t>
      </w:r>
      <w:r w:rsidRPr="006E0435">
        <w:rPr>
          <w:rFonts w:cs="Times New Roman"/>
        </w:rPr>
        <w:t xml:space="preserve"> III, p. 1462. Si veda anche </w:t>
      </w:r>
      <w:r w:rsidRPr="006E0435">
        <w:rPr>
          <w:rFonts w:cs="Times New Roman"/>
          <w:i/>
        </w:rPr>
        <w:t>infra</w:t>
      </w:r>
      <w:r>
        <w:rPr>
          <w:rFonts w:cs="Times New Roman"/>
        </w:rPr>
        <w:t xml:space="preserve"> ai vv. 855-77; Guthrie, </w:t>
      </w:r>
      <w:r>
        <w:rPr>
          <w:rFonts w:cs="Times New Roman"/>
          <w:i/>
        </w:rPr>
        <w:t>In the Beginning...</w:t>
      </w:r>
      <w:r>
        <w:rPr>
          <w:rFonts w:cs="Times New Roman"/>
        </w:rPr>
        <w:t>, cit., pp. 203 sgg., Casini</w:t>
      </w:r>
      <w:r w:rsidRPr="006E0435">
        <w:rPr>
          <w:rFonts w:cs="Times New Roman"/>
        </w:rPr>
        <w:t>,</w:t>
      </w:r>
      <w:r>
        <w:rPr>
          <w:rFonts w:cs="Times New Roman"/>
        </w:rPr>
        <w:t xml:space="preserve"> </w:t>
      </w:r>
      <w:r>
        <w:rPr>
          <w:rFonts w:cs="Times New Roman"/>
          <w:i/>
        </w:rPr>
        <w:t>Zoogonia...</w:t>
      </w:r>
      <w:r>
        <w:rPr>
          <w:rFonts w:cs="Times New Roman"/>
        </w:rPr>
        <w:t>, cit.,</w:t>
      </w:r>
      <w:r w:rsidRPr="006E0435">
        <w:rPr>
          <w:rFonts w:cs="Times New Roman"/>
        </w:rPr>
        <w:t xml:space="preserve"> che sostiene che è proprio</w:t>
      </w:r>
      <w:r w:rsidRPr="006E0435">
        <w:rPr>
          <w:rFonts w:cs="Times New Roman"/>
          <w:i/>
          <w:iCs/>
        </w:rPr>
        <w:t xml:space="preserve"> perché</w:t>
      </w:r>
      <w:r w:rsidRPr="006E0435">
        <w:rPr>
          <w:rFonts w:cs="Times New Roman"/>
        </w:rPr>
        <w:t xml:space="preserve"> Lucrezio segue Empedocle che non può essere consider</w:t>
      </w:r>
      <w:r>
        <w:rPr>
          <w:rFonts w:cs="Times New Roman"/>
        </w:rPr>
        <w:t xml:space="preserve">ato un evoluzionista; Campbell, </w:t>
      </w:r>
      <w:r>
        <w:rPr>
          <w:rFonts w:cs="Times New Roman"/>
          <w:i/>
        </w:rPr>
        <w:t>Lucretius...</w:t>
      </w:r>
      <w:r>
        <w:rPr>
          <w:rFonts w:cs="Times New Roman"/>
        </w:rPr>
        <w:t>, cit., pp. 101 sgg.; Costa in Lucretius</w:t>
      </w:r>
      <w:r w:rsidRPr="006E0435">
        <w:rPr>
          <w:rFonts w:cs="Times New Roman"/>
        </w:rPr>
        <w:t>,</w:t>
      </w:r>
      <w:r>
        <w:rPr>
          <w:rFonts w:cs="Times New Roman"/>
        </w:rPr>
        <w:t xml:space="preserve"> </w:t>
      </w:r>
      <w:r w:rsidR="00727C6D">
        <w:rPr>
          <w:rFonts w:cs="Times New Roman"/>
          <w:i/>
        </w:rPr>
        <w:t>De rerum natura</w:t>
      </w:r>
      <w:r>
        <w:rPr>
          <w:rFonts w:cs="Times New Roman"/>
          <w:i/>
        </w:rPr>
        <w:t xml:space="preserve">, </w:t>
      </w:r>
      <w:r w:rsidRPr="00906901">
        <w:rPr>
          <w:rFonts w:cs="Times New Roman"/>
        </w:rPr>
        <w:t>cit.,</w:t>
      </w:r>
      <w:r w:rsidRPr="006E0435">
        <w:rPr>
          <w:rFonts w:cs="Times New Roman"/>
        </w:rPr>
        <w:t xml:space="preserve"> pp. 102-3.</w:t>
      </w:r>
    </w:p>
  </w:footnote>
  <w:footnote w:id="74">
    <w:p w14:paraId="63C1D885" w14:textId="674FCED0"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V. </w:t>
      </w:r>
      <w:r>
        <w:rPr>
          <w:rFonts w:eastAsia="Times New Roman"/>
          <w:shd w:val="clear" w:color="auto" w:fill="FFFFFF"/>
          <w:lang w:val="en-US"/>
        </w:rPr>
        <w:t>Morfino,</w:t>
      </w:r>
      <w:r w:rsidRPr="002B5B04">
        <w:rPr>
          <w:rFonts w:eastAsia="Times New Roman"/>
          <w:shd w:val="clear" w:color="auto" w:fill="FFFFFF"/>
          <w:lang w:val="en-US"/>
        </w:rPr>
        <w:t xml:space="preserve"> </w:t>
      </w:r>
      <w:r w:rsidRPr="002B5B04">
        <w:rPr>
          <w:rFonts w:eastAsia="Times New Roman"/>
          <w:i/>
          <w:shd w:val="clear" w:color="auto" w:fill="FFFFFF"/>
          <w:lang w:val="en-US"/>
        </w:rPr>
        <w:t>Lucrèce et les monstres: entre Bergson et Canguilhem</w:t>
      </w:r>
      <w:r w:rsidRPr="002B5B04">
        <w:rPr>
          <w:rFonts w:eastAsia="Times New Roman"/>
          <w:shd w:val="clear" w:color="auto" w:fill="FFFFFF"/>
          <w:lang w:val="en-US"/>
        </w:rPr>
        <w:t xml:space="preserve">, in A. Gigandet éd. </w:t>
      </w:r>
      <w:r w:rsidRPr="002B5B04">
        <w:rPr>
          <w:rFonts w:eastAsia="Times New Roman"/>
          <w:i/>
          <w:shd w:val="clear" w:color="auto" w:fill="FFFFFF"/>
          <w:lang w:val="en-US"/>
        </w:rPr>
        <w:t>Lucrèce et la modernité: le vingtième siècle</w:t>
      </w:r>
      <w:r>
        <w:rPr>
          <w:rFonts w:eastAsia="Times New Roman"/>
          <w:shd w:val="clear" w:color="auto" w:fill="FFFFFF"/>
          <w:lang w:val="en-US"/>
        </w:rPr>
        <w:t>,</w:t>
      </w:r>
      <w:r w:rsidRPr="002B5B04">
        <w:rPr>
          <w:rFonts w:eastAsia="Times New Roman"/>
          <w:shd w:val="clear" w:color="auto" w:fill="FFFFFF"/>
          <w:lang w:val="en-US"/>
        </w:rPr>
        <w:t xml:space="preserve"> Arm</w:t>
      </w:r>
      <w:r>
        <w:rPr>
          <w:rFonts w:eastAsia="Times New Roman"/>
          <w:shd w:val="clear" w:color="auto" w:fill="FFFFFF"/>
          <w:lang w:val="en-US"/>
        </w:rPr>
        <w:t xml:space="preserve">and Colin, Paris </w:t>
      </w:r>
      <w:r w:rsidRPr="002B5B04">
        <w:rPr>
          <w:rFonts w:eastAsia="Times New Roman"/>
          <w:shd w:val="clear" w:color="auto" w:fill="FFFFFF"/>
          <w:lang w:val="en-US"/>
        </w:rPr>
        <w:t>2013</w:t>
      </w:r>
      <w:r>
        <w:rPr>
          <w:rFonts w:eastAsia="Times New Roman"/>
          <w:shd w:val="clear" w:color="auto" w:fill="FFFFFF"/>
          <w:lang w:val="en-US"/>
        </w:rPr>
        <w:t>, pp.</w:t>
      </w:r>
      <w:r w:rsidRPr="002B5B04">
        <w:rPr>
          <w:rFonts w:eastAsia="Times New Roman"/>
          <w:shd w:val="clear" w:color="auto" w:fill="FFFFFF"/>
          <w:lang w:val="en-US"/>
        </w:rPr>
        <w:t xml:space="preserve"> 55-76</w:t>
      </w:r>
      <w:r w:rsidRPr="006E0435">
        <w:rPr>
          <w:rFonts w:cs="Times New Roman"/>
        </w:rPr>
        <w:t>.</w:t>
      </w:r>
    </w:p>
  </w:footnote>
  <w:footnote w:id="75">
    <w:p w14:paraId="1E9C463A" w14:textId="6BB0F211"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Pr>
          <w:rFonts w:cs="Times New Roman"/>
        </w:rPr>
        <w:t>Cfr. Campbell</w:t>
      </w:r>
      <w:r w:rsidRPr="006E0435">
        <w:rPr>
          <w:rFonts w:cs="Times New Roman"/>
        </w:rPr>
        <w:t>,</w:t>
      </w:r>
      <w:r>
        <w:rPr>
          <w:rFonts w:cs="Times New Roman"/>
        </w:rPr>
        <w:t xml:space="preserve"> </w:t>
      </w:r>
      <w:r>
        <w:rPr>
          <w:rFonts w:cs="Times New Roman"/>
          <w:i/>
        </w:rPr>
        <w:t>Lucretius...</w:t>
      </w:r>
      <w:r>
        <w:rPr>
          <w:rFonts w:cs="Times New Roman"/>
        </w:rPr>
        <w:t>, cit.,</w:t>
      </w:r>
      <w:r w:rsidRPr="006E0435">
        <w:rPr>
          <w:rFonts w:cs="Times New Roman"/>
        </w:rPr>
        <w:t xml:space="preserve"> p. 115.</w:t>
      </w:r>
    </w:p>
  </w:footnote>
  <w:footnote w:id="76">
    <w:p w14:paraId="526331AF" w14:textId="3D71D5F7" w:rsidR="00B82712" w:rsidRPr="00FF7369" w:rsidRDefault="00B82712" w:rsidP="000D6EF2">
      <w:pPr>
        <w:pStyle w:val="FootnoteText"/>
        <w:ind w:left="0"/>
        <w:rPr>
          <w:lang w:val="fr-FR"/>
        </w:rPr>
      </w:pPr>
      <w:r>
        <w:rPr>
          <w:rStyle w:val="FootnoteReference"/>
        </w:rPr>
        <w:footnoteRef/>
      </w:r>
      <w:r>
        <w:t xml:space="preserve"> M. </w:t>
      </w:r>
      <w:r w:rsidRPr="002B5B04">
        <w:t xml:space="preserve">Serres, </w:t>
      </w:r>
      <w:r w:rsidRPr="002B5B04">
        <w:rPr>
          <w:i/>
        </w:rPr>
        <w:t>La naissance de la physique dans le texte de Lucrèce. Fleuves et turbulences</w:t>
      </w:r>
      <w:r>
        <w:t>,</w:t>
      </w:r>
      <w:r w:rsidRPr="002B5B04">
        <w:t xml:space="preserve"> Editions de Minuit</w:t>
      </w:r>
      <w:r>
        <w:t xml:space="preserve">, Paris </w:t>
      </w:r>
      <w:r w:rsidRPr="002B5B04">
        <w:t>1977</w:t>
      </w:r>
      <w:r>
        <w:rPr>
          <w:lang w:val="fr-FR"/>
        </w:rPr>
        <w:t>, p. 150.</w:t>
      </w:r>
    </w:p>
  </w:footnote>
  <w:footnote w:id="77">
    <w:p w14:paraId="43FFF56D" w14:textId="39D05454"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A. </w:t>
      </w:r>
      <w:r w:rsidRPr="002B5B04">
        <w:rPr>
          <w:color w:val="000000"/>
        </w:rPr>
        <w:t>Gigandet, Fama deum</w:t>
      </w:r>
      <w:r w:rsidRPr="002B5B04">
        <w:rPr>
          <w:i/>
          <w:color w:val="000000"/>
        </w:rPr>
        <w:t>. Lucrèce et les raisons du mythe</w:t>
      </w:r>
      <w:r>
        <w:rPr>
          <w:color w:val="000000"/>
        </w:rPr>
        <w:t>,</w:t>
      </w:r>
      <w:r w:rsidRPr="002B5B04">
        <w:rPr>
          <w:color w:val="000000"/>
        </w:rPr>
        <w:t xml:space="preserve"> Librairie philosophique J. Vrin</w:t>
      </w:r>
      <w:r>
        <w:rPr>
          <w:rFonts w:cs="Times New Roman"/>
        </w:rPr>
        <w:t xml:space="preserve">, Paris </w:t>
      </w:r>
      <w:r w:rsidRPr="002B5B04">
        <w:rPr>
          <w:color w:val="000000"/>
        </w:rPr>
        <w:t>1998</w:t>
      </w:r>
      <w:r>
        <w:rPr>
          <w:color w:val="000000"/>
        </w:rPr>
        <w:t>,</w:t>
      </w:r>
      <w:r>
        <w:rPr>
          <w:rFonts w:cs="Times New Roman"/>
        </w:rPr>
        <w:t xml:space="preserve"> p. 137: «</w:t>
      </w:r>
      <w:r w:rsidRPr="006E0435">
        <w:rPr>
          <w:rFonts w:cs="Times New Roman"/>
          <w:i/>
        </w:rPr>
        <w:t>multa videmus enim rebus concurrere debere</w:t>
      </w:r>
      <w:r w:rsidRPr="006E0435">
        <w:rPr>
          <w:rFonts w:cs="Times New Roman"/>
        </w:rPr>
        <w:t xml:space="preserve"> (v. 849): </w:t>
      </w:r>
      <w:r w:rsidRPr="006E0435">
        <w:rPr>
          <w:rFonts w:cs="Times New Roman"/>
          <w:i/>
        </w:rPr>
        <w:t>concours</w:t>
      </w:r>
      <w:r>
        <w:rPr>
          <w:rFonts w:cs="Times New Roman"/>
        </w:rPr>
        <w:t>, un incontro senza alcun presupposto finalistico e dipendente dalla statistica del caso [traduzione mia, di questo e degli altri passaggi di Gigandet]».</w:t>
      </w:r>
    </w:p>
  </w:footnote>
  <w:footnote w:id="78">
    <w:p w14:paraId="4D771CF4" w14:textId="158981C6"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Ivi</w:t>
      </w:r>
      <w:r w:rsidRPr="006E0435">
        <w:rPr>
          <w:rFonts w:cs="Times New Roman"/>
        </w:rPr>
        <w:t>, p. 137</w:t>
      </w:r>
      <w:r>
        <w:rPr>
          <w:rFonts w:cs="Times New Roman"/>
        </w:rPr>
        <w:t xml:space="preserve">: «In tale prospettiva, Lucrezio oppone i </w:t>
      </w:r>
      <w:r>
        <w:rPr>
          <w:rFonts w:cs="Times New Roman"/>
          <w:i/>
        </w:rPr>
        <w:t xml:space="preserve">tentativi </w:t>
      </w:r>
      <w:r>
        <w:rPr>
          <w:rFonts w:cs="Times New Roman"/>
        </w:rPr>
        <w:t xml:space="preserve">della terra e le </w:t>
      </w:r>
      <w:r>
        <w:rPr>
          <w:rFonts w:cs="Times New Roman"/>
          <w:i/>
        </w:rPr>
        <w:t xml:space="preserve">proibizioni </w:t>
      </w:r>
      <w:r>
        <w:rPr>
          <w:rFonts w:cs="Times New Roman"/>
        </w:rPr>
        <w:t>della natura (vv. 84-5) che riguardano la crescita e la riproduzione. In sostanza, i patti della natura (</w:t>
      </w:r>
      <w:r>
        <w:rPr>
          <w:rFonts w:cs="Times New Roman"/>
          <w:i/>
        </w:rPr>
        <w:t>foedera naturae</w:t>
      </w:r>
      <w:r>
        <w:rPr>
          <w:rFonts w:cs="Times New Roman"/>
        </w:rPr>
        <w:t>) si manifestano qui nella forma di condizioni negative, di limiti imposti alla profusione di forme effettivamente realizzabili».</w:t>
      </w:r>
    </w:p>
  </w:footnote>
  <w:footnote w:id="79">
    <w:p w14:paraId="6D9EABFB" w14:textId="10DF72E1"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Pr>
          <w:rFonts w:cs="Times New Roman"/>
        </w:rPr>
        <w:t>Ivi</w:t>
      </w:r>
      <w:r w:rsidRPr="006E0435">
        <w:rPr>
          <w:rFonts w:cs="Times New Roman"/>
        </w:rPr>
        <w:t>, p. 136. Su tale di</w:t>
      </w:r>
      <w:r>
        <w:rPr>
          <w:rFonts w:cs="Times New Roman"/>
        </w:rPr>
        <w:t xml:space="preserve">alettica si veda anche </w:t>
      </w:r>
      <w:r>
        <w:t>J.-M. Courtès,</w:t>
      </w:r>
      <w:r w:rsidRPr="002B5B04">
        <w:t xml:space="preserve"> </w:t>
      </w:r>
      <w:r w:rsidRPr="002B5B04">
        <w:rPr>
          <w:i/>
        </w:rPr>
        <w:t xml:space="preserve">La dialectique du réel et du possible dans le </w:t>
      </w:r>
      <w:r w:rsidRPr="002B5B04">
        <w:t xml:space="preserve">De rerum natura </w:t>
      </w:r>
      <w:r w:rsidRPr="002B5B04">
        <w:rPr>
          <w:i/>
        </w:rPr>
        <w:t>de Lucrèce</w:t>
      </w:r>
      <w:r>
        <w:t>, «Revue des Etudes latines»,</w:t>
      </w:r>
      <w:r w:rsidRPr="002B5B04">
        <w:t xml:space="preserve"> 46</w:t>
      </w:r>
      <w:r>
        <w:t xml:space="preserve">, </w:t>
      </w:r>
      <w:r w:rsidRPr="002B5B04">
        <w:t>1968</w:t>
      </w:r>
      <w:r>
        <w:t>, pp.</w:t>
      </w:r>
      <w:r w:rsidRPr="002B5B04">
        <w:t xml:space="preserve"> 170-79</w:t>
      </w:r>
      <w:r w:rsidRPr="006E0435">
        <w:rPr>
          <w:rFonts w:cs="Times New Roman"/>
        </w:rPr>
        <w:t>.</w:t>
      </w:r>
    </w:p>
  </w:footnote>
  <w:footnote w:id="80">
    <w:p w14:paraId="7B38B93C" w14:textId="2FC7F09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Gigandet</w:t>
      </w:r>
      <w:r w:rsidRPr="006E0435">
        <w:rPr>
          <w:rFonts w:cs="Times New Roman"/>
        </w:rPr>
        <w:t>,</w:t>
      </w:r>
      <w:r>
        <w:rPr>
          <w:rFonts w:cs="Times New Roman"/>
        </w:rPr>
        <w:t xml:space="preserve"> Fama deum... cit.,</w:t>
      </w:r>
      <w:r w:rsidRPr="006E0435">
        <w:rPr>
          <w:rFonts w:cs="Times New Roman"/>
        </w:rPr>
        <w:t xml:space="preserve"> pp. 146-7.</w:t>
      </w:r>
    </w:p>
  </w:footnote>
  <w:footnote w:id="81">
    <w:p w14:paraId="4A273925" w14:textId="71F43707"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P. </w:t>
      </w:r>
      <w:r w:rsidRPr="002B5B04">
        <w:t xml:space="preserve">De Lacy, </w:t>
      </w:r>
      <w:r w:rsidRPr="002B5B04">
        <w:rPr>
          <w:i/>
        </w:rPr>
        <w:t>Limits and Variation in the Epicurean Philosophy</w:t>
      </w:r>
      <w:r>
        <w:t>, «Phoenix»,</w:t>
      </w:r>
      <w:r w:rsidRPr="002B5B04">
        <w:t xml:space="preserve"> 23</w:t>
      </w:r>
      <w:r>
        <w:t xml:space="preserve">, </w:t>
      </w:r>
      <w:r w:rsidRPr="002B5B04">
        <w:t>1969</w:t>
      </w:r>
      <w:r>
        <w:t>, pp.</w:t>
      </w:r>
      <w:r w:rsidRPr="002B5B04">
        <w:t xml:space="preserve"> 104-13</w:t>
      </w:r>
      <w:r w:rsidRPr="006E0435">
        <w:rPr>
          <w:rFonts w:cs="Times New Roman"/>
        </w:rPr>
        <w:t xml:space="preserve">e </w:t>
      </w:r>
      <w:r w:rsidRPr="006E0435">
        <w:rPr>
          <w:rFonts w:cs="Times New Roman"/>
          <w:i/>
        </w:rPr>
        <w:t>infra</w:t>
      </w:r>
      <w:r w:rsidRPr="006E0435">
        <w:rPr>
          <w:rFonts w:cs="Times New Roman"/>
        </w:rPr>
        <w:t>.</w:t>
      </w:r>
    </w:p>
  </w:footnote>
  <w:footnote w:id="82">
    <w:p w14:paraId="5DC80E24" w14:textId="4FA30762"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Gigandet, Fama deum..., cit.</w:t>
      </w:r>
      <w:r w:rsidRPr="006E0435">
        <w:rPr>
          <w:rFonts w:cs="Times New Roman"/>
        </w:rPr>
        <w:t>, p. 143:</w:t>
      </w:r>
      <w:r>
        <w:rPr>
          <w:rFonts w:cs="Times New Roman"/>
        </w:rPr>
        <w:t xml:space="preserve"> «I mostri primitivo sono indissociabili dalle origini della vita, cioè dai “tentativi” della terra, intesi come eventi casuali, prove alla cieca che finiscono per produrre dei composti vivibili, creando così la loro propria necessità».</w:t>
      </w:r>
    </w:p>
  </w:footnote>
  <w:footnote w:id="83">
    <w:p w14:paraId="5ED362C7" w14:textId="5FD8E1A6"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Pr>
          <w:rFonts w:cs="Times New Roman"/>
        </w:rPr>
        <w:t>Ivi</w:t>
      </w:r>
      <w:r w:rsidRPr="006E0435">
        <w:rPr>
          <w:rFonts w:cs="Times New Roman"/>
        </w:rPr>
        <w:t xml:space="preserve">, p. 143. Gigandet menziona Cic. </w:t>
      </w:r>
      <w:r w:rsidRPr="006E0435">
        <w:rPr>
          <w:rFonts w:cs="Times New Roman"/>
          <w:i/>
        </w:rPr>
        <w:t>Div</w:t>
      </w:r>
      <w:r w:rsidRPr="006E0435">
        <w:rPr>
          <w:rFonts w:cs="Times New Roman"/>
        </w:rPr>
        <w:t xml:space="preserve">. I.13 e II.21. L’uso </w:t>
      </w:r>
      <w:r>
        <w:rPr>
          <w:rFonts w:cs="Times New Roman"/>
        </w:rPr>
        <w:t xml:space="preserve">ciceroniani </w:t>
      </w:r>
      <w:r w:rsidRPr="006E0435">
        <w:rPr>
          <w:rFonts w:cs="Times New Roman"/>
        </w:rPr>
        <w:t xml:space="preserve">della metafora mostra </w:t>
      </w:r>
      <w:r>
        <w:rPr>
          <w:rFonts w:cs="Times New Roman"/>
        </w:rPr>
        <w:t xml:space="preserve">la tensione </w:t>
      </w:r>
      <w:r w:rsidRPr="006E0435">
        <w:rPr>
          <w:rFonts w:cs="Times New Roman"/>
        </w:rPr>
        <w:t xml:space="preserve">problematica </w:t>
      </w:r>
      <w:r>
        <w:rPr>
          <w:rFonts w:cs="Times New Roman"/>
        </w:rPr>
        <w:t xml:space="preserve">con </w:t>
      </w:r>
      <w:r w:rsidRPr="006E0435">
        <w:rPr>
          <w:rFonts w:cs="Times New Roman"/>
        </w:rPr>
        <w:t xml:space="preserve">gli </w:t>
      </w:r>
      <w:r>
        <w:rPr>
          <w:rFonts w:cs="Times New Roman"/>
        </w:rPr>
        <w:t xml:space="preserve">argomenti </w:t>
      </w:r>
      <w:r w:rsidRPr="006E0435">
        <w:rPr>
          <w:rFonts w:cs="Times New Roman"/>
        </w:rPr>
        <w:t xml:space="preserve">atomisti. Cfr. </w:t>
      </w:r>
      <w:r w:rsidRPr="006E0435">
        <w:rPr>
          <w:rFonts w:cs="Times New Roman"/>
          <w:i/>
        </w:rPr>
        <w:t xml:space="preserve">Div. </w:t>
      </w:r>
      <w:r w:rsidRPr="006E0435">
        <w:rPr>
          <w:rFonts w:cs="Times New Roman"/>
        </w:rPr>
        <w:t>I.23:</w:t>
      </w:r>
      <w:r>
        <w:rPr>
          <w:rFonts w:cs="Times New Roman"/>
        </w:rPr>
        <w:t xml:space="preserve"> «Perché stai a domandare, Carneade, per qual motivo queste cose avvengano o con quale arte possano essere comprese? Io confesso di non saperlo, ma affermo che tu stesso devi riconoscere che avvengono. “Per caso”, dici tu. Ma davvero può accadere per caso ciò che ha in sé tutti i caratteri della verità [</w:t>
      </w:r>
      <w:r>
        <w:rPr>
          <w:rFonts w:cs="Times New Roman"/>
          <w:i/>
        </w:rPr>
        <w:t>numeros veritatis</w:t>
      </w:r>
      <w:r>
        <w:rPr>
          <w:rFonts w:cs="Times New Roman"/>
        </w:rPr>
        <w:t>]? Quattro dadi, lansciati a caso, dànno il “colpo di Venere”; ma se lancerai quattrocento dadi, e otterrai il colpo di Venere per tutte e cento le volte, crederai davvero che ciò sia dovuto al caso»?</w:t>
      </w:r>
    </w:p>
  </w:footnote>
  <w:footnote w:id="84">
    <w:p w14:paraId="6E81551D" w14:textId="0D76773C"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Cfr. Moreau</w:t>
      </w:r>
      <w:r w:rsidRPr="006E0435">
        <w:rPr>
          <w:rFonts w:cs="Times New Roman"/>
        </w:rPr>
        <w:t>,</w:t>
      </w:r>
      <w:r>
        <w:rPr>
          <w:rFonts w:cs="Times New Roman"/>
        </w:rPr>
        <w:t xml:space="preserve"> </w:t>
      </w:r>
      <w:r w:rsidRPr="002B5B04">
        <w:rPr>
          <w:rFonts w:cs="Times New Roman"/>
          <w:i/>
        </w:rPr>
        <w:t>Le mécanisme épicurien</w:t>
      </w:r>
      <w:r>
        <w:rPr>
          <w:rFonts w:cs="Times New Roman"/>
          <w:i/>
        </w:rPr>
        <w:t>...</w:t>
      </w:r>
      <w:r>
        <w:rPr>
          <w:rFonts w:cs="Times New Roman"/>
        </w:rPr>
        <w:t>, cit.</w:t>
      </w:r>
      <w:r w:rsidRPr="006E0435">
        <w:rPr>
          <w:rFonts w:cs="Times New Roman"/>
        </w:rPr>
        <w:t xml:space="preserve"> </w:t>
      </w:r>
      <w:r w:rsidRPr="006E0435">
        <w:rPr>
          <w:rFonts w:cs="Times New Roman"/>
          <w:i/>
        </w:rPr>
        <w:t>passim</w:t>
      </w:r>
      <w:r w:rsidRPr="006E0435">
        <w:rPr>
          <w:rFonts w:cs="Times New Roman"/>
        </w:rPr>
        <w:t>.</w:t>
      </w:r>
    </w:p>
  </w:footnote>
  <w:footnote w:id="85">
    <w:p w14:paraId="72AB3E28" w14:textId="7BADF354"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Ernout e Robin, </w:t>
      </w:r>
      <w:r>
        <w:rPr>
          <w:rFonts w:cs="Times New Roman"/>
          <w:i/>
        </w:rPr>
        <w:t xml:space="preserve">De rerum </w:t>
      </w:r>
      <w:r w:rsidRPr="005A0AF2">
        <w:rPr>
          <w:rFonts w:cs="Times New Roman"/>
          <w:i/>
        </w:rPr>
        <w:t>natura</w:t>
      </w:r>
      <w:r>
        <w:rPr>
          <w:rFonts w:cs="Times New Roman"/>
        </w:rPr>
        <w:t xml:space="preserve">, cit., </w:t>
      </w:r>
      <w:r w:rsidRPr="005A0AF2">
        <w:rPr>
          <w:rFonts w:cs="Times New Roman"/>
        </w:rPr>
        <w:t>III</w:t>
      </w:r>
      <w:r w:rsidRPr="006E0435">
        <w:rPr>
          <w:rFonts w:cs="Times New Roman"/>
        </w:rPr>
        <w:t>, p. 122 su Lucr.</w:t>
      </w:r>
      <w:r w:rsidRPr="006E0435">
        <w:rPr>
          <w:rFonts w:cs="Times New Roman"/>
          <w:i/>
        </w:rPr>
        <w:t xml:space="preserve"> </w:t>
      </w:r>
      <w:r>
        <w:rPr>
          <w:rFonts w:cs="Times New Roman"/>
        </w:rPr>
        <w:t>V.878 sgg</w:t>
      </w:r>
      <w:r w:rsidRPr="006E0435">
        <w:rPr>
          <w:rFonts w:cs="Times New Roman"/>
        </w:rPr>
        <w:t>.</w:t>
      </w:r>
    </w:p>
  </w:footnote>
  <w:footnote w:id="86">
    <w:p w14:paraId="2E7C71DA" w14:textId="27D21379"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B</w:t>
      </w:r>
      <w:r>
        <w:rPr>
          <w:rFonts w:cs="Times New Roman"/>
        </w:rPr>
        <w:t>ailey in Lucretius</w:t>
      </w:r>
      <w:r w:rsidRPr="006E0435">
        <w:rPr>
          <w:rFonts w:cs="Times New Roman"/>
        </w:rPr>
        <w:t>,</w:t>
      </w:r>
      <w:r>
        <w:rPr>
          <w:rFonts w:cs="Times New Roman"/>
        </w:rPr>
        <w:t xml:space="preserve"> </w:t>
      </w:r>
      <w:r>
        <w:rPr>
          <w:rFonts w:cs="Times New Roman"/>
          <w:i/>
        </w:rPr>
        <w:t>De rerum natura</w:t>
      </w:r>
      <w:r>
        <w:rPr>
          <w:rFonts w:cs="Times New Roman"/>
        </w:rPr>
        <w:t>, cit.,</w:t>
      </w:r>
      <w:r w:rsidRPr="006E0435">
        <w:rPr>
          <w:rFonts w:cs="Times New Roman"/>
        </w:rPr>
        <w:t xml:space="preserve"> III, p</w:t>
      </w:r>
      <w:r>
        <w:rPr>
          <w:rFonts w:cs="Times New Roman"/>
        </w:rPr>
        <w:t>. 1468. Si veda anche Gigandet</w:t>
      </w:r>
      <w:r w:rsidRPr="006E0435">
        <w:rPr>
          <w:rFonts w:cs="Times New Roman"/>
        </w:rPr>
        <w:t>,</w:t>
      </w:r>
      <w:r>
        <w:rPr>
          <w:rFonts w:cs="Times New Roman"/>
        </w:rPr>
        <w:t xml:space="preserve"> Fama deum..., cit.,</w:t>
      </w:r>
      <w:r w:rsidRPr="006E0435">
        <w:rPr>
          <w:rFonts w:cs="Times New Roman"/>
        </w:rPr>
        <w:t xml:space="preserve"> pp. 140-1.</w:t>
      </w:r>
    </w:p>
  </w:footnote>
  <w:footnote w:id="87">
    <w:p w14:paraId="772892A1"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 V.834-6.</w:t>
      </w:r>
    </w:p>
  </w:footnote>
  <w:footnote w:id="88">
    <w:p w14:paraId="6A8E33E8" w14:textId="4458BE23"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Lucr. V.878-81</w:t>
      </w:r>
      <w:r w:rsidRPr="006E0435">
        <w:rPr>
          <w:rFonts w:cs="Times New Roman"/>
        </w:rPr>
        <w:t xml:space="preserve">. 881 è incerto e la sua interpretazione non va senza conseguenze. Per un’mpia discussione di </w:t>
      </w:r>
      <w:r>
        <w:rPr>
          <w:rFonts w:cs="Times New Roman"/>
        </w:rPr>
        <w:t>questo passaggio si veda Bailey in Lucretius</w:t>
      </w:r>
      <w:r w:rsidRPr="006E0435">
        <w:rPr>
          <w:rFonts w:cs="Times New Roman"/>
        </w:rPr>
        <w:t>,</w:t>
      </w:r>
      <w:r>
        <w:rPr>
          <w:rFonts w:cs="Times New Roman"/>
        </w:rPr>
        <w:t xml:space="preserve"> </w:t>
      </w:r>
      <w:r>
        <w:rPr>
          <w:rFonts w:cs="Times New Roman"/>
          <w:i/>
        </w:rPr>
        <w:t>De rerum natura</w:t>
      </w:r>
      <w:r>
        <w:rPr>
          <w:rFonts w:cs="Times New Roman"/>
        </w:rPr>
        <w:t>, cit.,</w:t>
      </w:r>
      <w:r w:rsidRPr="006E0435">
        <w:rPr>
          <w:rFonts w:cs="Times New Roman"/>
        </w:rPr>
        <w:t xml:space="preserve"> III, p. 1468.</w:t>
      </w:r>
    </w:p>
  </w:footnote>
  <w:footnote w:id="89">
    <w:p w14:paraId="6C6A2A37"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w:t>
      </w:r>
      <w:r w:rsidRPr="006E0435">
        <w:rPr>
          <w:rFonts w:cs="Times New Roman"/>
        </w:rPr>
        <w:t xml:space="preserve"> V.833-900.</w:t>
      </w:r>
    </w:p>
  </w:footnote>
  <w:footnote w:id="90">
    <w:p w14:paraId="3FE25F24" w14:textId="3119AFE7"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Munro in Lucretius, </w:t>
      </w:r>
      <w:r>
        <w:rPr>
          <w:rFonts w:cs="Times New Roman"/>
          <w:i/>
        </w:rPr>
        <w:t xml:space="preserve">De rerum natura, </w:t>
      </w:r>
      <w:r>
        <w:rPr>
          <w:rFonts w:cs="Times New Roman"/>
        </w:rPr>
        <w:t>cit.,</w:t>
      </w:r>
      <w:r w:rsidRPr="006E0435">
        <w:rPr>
          <w:rFonts w:cs="Times New Roman"/>
        </w:rPr>
        <w:t xml:space="preserve"> </w:t>
      </w:r>
      <w:r w:rsidRPr="006E0435">
        <w:rPr>
          <w:rFonts w:cs="Times New Roman"/>
          <w:i/>
        </w:rPr>
        <w:t>ad loc.</w:t>
      </w:r>
      <w:r>
        <w:rPr>
          <w:rFonts w:cs="Times New Roman"/>
        </w:rPr>
        <w:t>: «</w:t>
      </w:r>
      <w:r>
        <w:rPr>
          <w:rFonts w:ascii="Times Roman" w:hAnsi="Times Roman" w:cs="Times Roman"/>
          <w:kern w:val="0"/>
          <w:lang w:val="en-US" w:bidi="ar-SA"/>
        </w:rPr>
        <w:t>This passage is extremely well and acutely reasoned out: he covertly refutes Empedocles’ notion of the βουγενῆ ἀνδρόπρωρα and the ἀνδροφυῆ βούκρανα which are as impossible as the centaurs Scyllas and chimeras of the poets. The man-woman or hermaphrodite is possible enough, because the natures of man and woman are not incompatible; and doubtless it and other monstrous things tries at first to continue existence; but the creatures here described never could begin to come into being</w:t>
      </w:r>
      <w:r>
        <w:rPr>
          <w:rFonts w:cs="Times New Roman"/>
        </w:rPr>
        <w:t>».</w:t>
      </w:r>
    </w:p>
  </w:footnote>
  <w:footnote w:id="91">
    <w:p w14:paraId="6A68B5ED" w14:textId="1CE1FD8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Schrijvers in Caratelli, </w:t>
      </w:r>
      <w:r w:rsidRPr="002B5B04">
        <w:t>a cura di</w:t>
      </w:r>
      <w:r>
        <w:t>,</w:t>
      </w:r>
      <w:r w:rsidRPr="002B5B04">
        <w:t xml:space="preserve"> </w:t>
      </w:r>
      <w:r w:rsidRPr="002B5B04">
        <w:rPr>
          <w:i/>
        </w:rPr>
        <w:t>Συζήτησισ</w:t>
      </w:r>
      <w:r w:rsidR="00727C6D">
        <w:rPr>
          <w:i/>
        </w:rPr>
        <w:t>...</w:t>
      </w:r>
      <w:r>
        <w:t>, cit</w:t>
      </w:r>
      <w:r w:rsidRPr="006E0435">
        <w:rPr>
          <w:rFonts w:cs="Times New Roman"/>
        </w:rPr>
        <w:t>. Si veda</w:t>
      </w:r>
      <w:r>
        <w:rPr>
          <w:rFonts w:cs="Times New Roman"/>
        </w:rPr>
        <w:t xml:space="preserve"> Palaeph. 1 (= N. </w:t>
      </w:r>
      <w:r w:rsidRPr="002B5B04">
        <w:t xml:space="preserve">Festa, </w:t>
      </w:r>
      <w:r>
        <w:t>et alii eds.,</w:t>
      </w:r>
      <w:r w:rsidRPr="002B5B04">
        <w:t xml:space="preserve"> </w:t>
      </w:r>
      <w:r w:rsidRPr="002B5B04">
        <w:rPr>
          <w:i/>
        </w:rPr>
        <w:t>Mytography Graeci</w:t>
      </w:r>
      <w:r w:rsidRPr="002B5B04">
        <w:t>. in aedibus G. B. Teubneri</w:t>
      </w:r>
      <w:r w:rsidRPr="006E0435">
        <w:rPr>
          <w:rFonts w:cs="Times New Roman"/>
        </w:rPr>
        <w:t>,</w:t>
      </w:r>
      <w:r>
        <w:rPr>
          <w:rFonts w:cs="Times New Roman"/>
        </w:rPr>
        <w:t xml:space="preserve"> Lipsiae </w:t>
      </w:r>
      <w:r w:rsidRPr="002B5B04">
        <w:t>1894-1902</w:t>
      </w:r>
      <w:r>
        <w:t>,</w:t>
      </w:r>
      <w:r w:rsidRPr="006E0435">
        <w:rPr>
          <w:rFonts w:cs="Times New Roman"/>
        </w:rPr>
        <w:t xml:space="preserve"> II</w:t>
      </w:r>
      <w:r>
        <w:rPr>
          <w:rFonts w:cs="Times New Roman"/>
        </w:rPr>
        <w:t>I.II, pp. 1-2): «</w:t>
      </w:r>
      <w:r>
        <w:rPr>
          <w:rFonts w:ascii="Times Roman" w:hAnsi="Times Roman" w:cs="Times Roman"/>
          <w:kern w:val="0"/>
          <w:lang w:val="en-US" w:bidi="ar-SA"/>
        </w:rPr>
        <w:t>Dicono dei Centauri che fossero bestie con in tutto l’aspetto di un cavallo, eccetto la testa e la parte superiore del corpo, che era di uomo. Se uno dunque crede che sia esistita una bestia di questo genere, crede una cosa impossibile. Infatti la natura del cavallo e quella dell’uomo non sono consone per altri aspetti, né il tipo di alimentazione è lo stesso, né il cibo del cavallo potrebbe passare attraverso la bocca e la gola dell’uomo. Se poi una tale forma fosse esistita allora, esisterebbe anche oggi</w:t>
      </w:r>
      <w:r>
        <w:rPr>
          <w:rFonts w:cs="Times New Roman"/>
        </w:rPr>
        <w:t>».</w:t>
      </w:r>
      <w:r w:rsidRPr="006E0435">
        <w:rPr>
          <w:rFonts w:cs="Times New Roman"/>
        </w:rPr>
        <w:t xml:space="preserve"> Sull’esegesi storica di</w:t>
      </w:r>
      <w:r>
        <w:rPr>
          <w:rFonts w:cs="Times New Roman"/>
        </w:rPr>
        <w:t xml:space="preserve"> Palefato</w:t>
      </w:r>
      <w:r w:rsidRPr="006E0435">
        <w:rPr>
          <w:rFonts w:cs="Times New Roman"/>
        </w:rPr>
        <w:t xml:space="preserve"> si veda </w:t>
      </w:r>
      <w:r w:rsidRPr="006E0435">
        <w:rPr>
          <w:rFonts w:cs="Times New Roman"/>
          <w:i/>
        </w:rPr>
        <w:t>supra</w:t>
      </w:r>
      <w:r w:rsidRPr="006E0435">
        <w:rPr>
          <w:rFonts w:cs="Times New Roman"/>
        </w:rPr>
        <w:t>. Si vedano anche</w:t>
      </w:r>
      <w:r>
        <w:rPr>
          <w:rFonts w:cs="Times New Roman"/>
        </w:rPr>
        <w:t xml:space="preserve"> Grant, </w:t>
      </w:r>
      <w:r w:rsidRPr="002B5B04">
        <w:rPr>
          <w:i/>
        </w:rPr>
        <w:t>Miracle and Natural Law</w:t>
      </w:r>
      <w:r>
        <w:rPr>
          <w:i/>
        </w:rPr>
        <w:t>...</w:t>
      </w:r>
      <w:r>
        <w:t>, cit.,</w:t>
      </w:r>
      <w:r>
        <w:rPr>
          <w:rFonts w:cs="Times New Roman"/>
        </w:rPr>
        <w:t xml:space="preserve"> pp. 47-8 e G. </w:t>
      </w:r>
      <w:r w:rsidRPr="002B5B04">
        <w:t xml:space="preserve">Hawes, </w:t>
      </w:r>
      <w:r w:rsidRPr="002B5B04">
        <w:rPr>
          <w:i/>
        </w:rPr>
        <w:t>Rationalizing Myth in Antiquity</w:t>
      </w:r>
      <w:r>
        <w:t>,</w:t>
      </w:r>
      <w:r w:rsidRPr="002B5B04">
        <w:t xml:space="preserve"> Oxford University Press</w:t>
      </w:r>
      <w:r w:rsidRPr="006E0435">
        <w:rPr>
          <w:rFonts w:cs="Times New Roman"/>
        </w:rPr>
        <w:t>,</w:t>
      </w:r>
      <w:r>
        <w:rPr>
          <w:rFonts w:cs="Times New Roman"/>
        </w:rPr>
        <w:t xml:space="preserve"> Oxford </w:t>
      </w:r>
      <w:r w:rsidRPr="002B5B04">
        <w:t>2014</w:t>
      </w:r>
      <w:r>
        <w:t>,</w:t>
      </w:r>
      <w:r w:rsidRPr="006E0435">
        <w:rPr>
          <w:rFonts w:cs="Times New Roman"/>
        </w:rPr>
        <w:t xml:space="preserve"> chap. 1.</w:t>
      </w:r>
    </w:p>
  </w:footnote>
  <w:footnote w:id="92">
    <w:p w14:paraId="4E183ABC" w14:textId="40834883"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Si veda anche Pigeaud</w:t>
      </w:r>
      <w:r w:rsidRPr="006E0435">
        <w:rPr>
          <w:rFonts w:cs="Times New Roman"/>
        </w:rPr>
        <w:t>,</w:t>
      </w:r>
      <w:r>
        <w:rPr>
          <w:rFonts w:cs="Times New Roman"/>
        </w:rPr>
        <w:t xml:space="preserve"> </w:t>
      </w:r>
      <w:r w:rsidRPr="002B5B04">
        <w:rPr>
          <w:i/>
        </w:rPr>
        <w:t>La greffe</w:t>
      </w:r>
      <w:r>
        <w:rPr>
          <w:i/>
        </w:rPr>
        <w:t>...</w:t>
      </w:r>
      <w:r>
        <w:t>, cit.,</w:t>
      </w:r>
      <w:r w:rsidRPr="006E0435">
        <w:rPr>
          <w:rFonts w:cs="Times New Roman"/>
        </w:rPr>
        <w:t xml:space="preserve"> p. 208.</w:t>
      </w:r>
    </w:p>
  </w:footnote>
  <w:footnote w:id="93">
    <w:p w14:paraId="12921EE2" w14:textId="5A15B28B"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Palaeph. introduzione: «</w:t>
      </w:r>
      <w:r>
        <w:rPr>
          <w:rFonts w:ascii="Times Roman" w:hAnsi="Times Roman" w:cs="Times Roman"/>
          <w:kern w:val="0"/>
          <w:lang w:val="en-US" w:bidi="ar-SA"/>
        </w:rPr>
        <w:t>Alcuni, fra gli uomini, più creduloni, prendono per buono tutto quello che si racconta [...] altri [...] ritengono invece che proprio niente sia avvenuto di ciò che si dice in tali storie incredibili. A me pare che dietro tutto quello che si racconta ci sia un evento: non è infatti che ci furono puri nomi e non ci fu nessun racconto di essi, ma prima avviene il fatto, poi, di conseguenza, il racconto che lo concerne</w:t>
      </w:r>
      <w:r>
        <w:rPr>
          <w:rFonts w:cs="Times New Roman"/>
        </w:rPr>
        <w:t>».</w:t>
      </w:r>
    </w:p>
  </w:footnote>
  <w:footnote w:id="94">
    <w:p w14:paraId="0AB77CC0" w14:textId="12E90A54"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Gigandet</w:t>
      </w:r>
      <w:r w:rsidRPr="006E0435">
        <w:rPr>
          <w:rFonts w:cs="Times New Roman"/>
        </w:rPr>
        <w:t>,</w:t>
      </w:r>
      <w:r>
        <w:rPr>
          <w:rFonts w:cs="Times New Roman"/>
        </w:rPr>
        <w:t xml:space="preserve"> Fama deum..., cit.,</w:t>
      </w:r>
      <w:r w:rsidRPr="006E0435">
        <w:rPr>
          <w:rFonts w:cs="Times New Roman"/>
        </w:rPr>
        <w:t xml:space="preserve"> pp. 44-5.</w:t>
      </w:r>
    </w:p>
  </w:footnote>
  <w:footnote w:id="95">
    <w:p w14:paraId="64192242" w14:textId="2802DC19" w:rsidR="00B82712" w:rsidRPr="00175089" w:rsidRDefault="00B82712" w:rsidP="000D6EF2">
      <w:pPr>
        <w:pStyle w:val="FootnoteText"/>
        <w:ind w:left="0"/>
        <w:rPr>
          <w:lang w:val="fr-FR"/>
        </w:rPr>
      </w:pPr>
      <w:r>
        <w:rPr>
          <w:rStyle w:val="FootnoteReference"/>
        </w:rPr>
        <w:footnoteRef/>
      </w:r>
      <w:r>
        <w:t xml:space="preserve"> </w:t>
      </w:r>
      <w:r w:rsidRPr="006E0435">
        <w:rPr>
          <w:rFonts w:cs="Times New Roman"/>
        </w:rPr>
        <w:t>Lucr. V.907-24.</w:t>
      </w:r>
    </w:p>
  </w:footnote>
  <w:footnote w:id="96">
    <w:p w14:paraId="07903E89" w14:textId="0DEF93D5"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Gigandet</w:t>
      </w:r>
      <w:r w:rsidRPr="006E0435">
        <w:rPr>
          <w:rFonts w:cs="Times New Roman"/>
        </w:rPr>
        <w:t>,</w:t>
      </w:r>
      <w:r>
        <w:rPr>
          <w:rFonts w:cs="Times New Roman"/>
        </w:rPr>
        <w:t xml:space="preserve"> Fama deum..., cit.,</w:t>
      </w:r>
      <w:r w:rsidRPr="006E0435">
        <w:rPr>
          <w:rFonts w:cs="Times New Roman"/>
        </w:rPr>
        <w:t xml:space="preserve"> p. 140.</w:t>
      </w:r>
    </w:p>
  </w:footnote>
  <w:footnote w:id="97">
    <w:p w14:paraId="43BBCF7B" w14:textId="120F68E4"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Morfino, </w:t>
      </w:r>
      <w:r w:rsidRPr="002B5B04">
        <w:rPr>
          <w:rFonts w:eastAsia="Times New Roman"/>
          <w:i/>
          <w:shd w:val="clear" w:color="auto" w:fill="FFFFFF"/>
          <w:lang w:val="en-US"/>
        </w:rPr>
        <w:t>Lucrèce et les monstres</w:t>
      </w:r>
      <w:r>
        <w:rPr>
          <w:rFonts w:eastAsia="Times New Roman"/>
          <w:shd w:val="clear" w:color="auto" w:fill="FFFFFF"/>
          <w:lang w:val="en-US"/>
        </w:rPr>
        <w:t>...</w:t>
      </w:r>
      <w:r>
        <w:rPr>
          <w:rFonts w:eastAsia="Times New Roman"/>
          <w:i/>
          <w:shd w:val="clear" w:color="auto" w:fill="FFFFFF"/>
          <w:lang w:val="en-US"/>
        </w:rPr>
        <w:t xml:space="preserve">, </w:t>
      </w:r>
      <w:r>
        <w:rPr>
          <w:rFonts w:eastAsia="Times New Roman"/>
          <w:shd w:val="clear" w:color="auto" w:fill="FFFFFF"/>
          <w:lang w:val="en-US"/>
        </w:rPr>
        <w:t>cit</w:t>
      </w:r>
      <w:r w:rsidRPr="006E0435">
        <w:rPr>
          <w:rFonts w:cs="Times New Roman"/>
        </w:rPr>
        <w:t>.</w:t>
      </w:r>
    </w:p>
  </w:footnote>
  <w:footnote w:id="98">
    <w:p w14:paraId="171386FD" w14:textId="3DF6D2D3"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Bollack</w:t>
      </w:r>
      <w:r w:rsidRPr="006E0435">
        <w:rPr>
          <w:rFonts w:cs="Times New Roman"/>
        </w:rPr>
        <w:t>,</w:t>
      </w:r>
      <w:r>
        <w:rPr>
          <w:rFonts w:cs="Times New Roman"/>
        </w:rPr>
        <w:t xml:space="preserve"> </w:t>
      </w:r>
      <w:r>
        <w:rPr>
          <w:i/>
        </w:rPr>
        <w:t xml:space="preserve">La raison de Lucrèce..., </w:t>
      </w:r>
      <w:r>
        <w:t>cit.,</w:t>
      </w:r>
      <w:r w:rsidRPr="006E0435">
        <w:rPr>
          <w:rFonts w:cs="Times New Roman"/>
        </w:rPr>
        <w:t xml:space="preserve"> pp. 246-59.</w:t>
      </w:r>
    </w:p>
  </w:footnote>
  <w:footnote w:id="99">
    <w:p w14:paraId="632E6190" w14:textId="7B59403D"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Moreau</w:t>
      </w:r>
      <w:r w:rsidRPr="006E0435">
        <w:rPr>
          <w:rFonts w:cs="Times New Roman"/>
        </w:rPr>
        <w:t>,</w:t>
      </w:r>
      <w:r>
        <w:rPr>
          <w:rFonts w:cs="Times New Roman"/>
        </w:rPr>
        <w:t xml:space="preserve"> </w:t>
      </w:r>
      <w:r w:rsidRPr="002B5B04">
        <w:rPr>
          <w:rFonts w:cs="Times New Roman"/>
          <w:i/>
        </w:rPr>
        <w:t>Le mécanisme épicurien</w:t>
      </w:r>
      <w:r>
        <w:rPr>
          <w:rFonts w:cs="Times New Roman"/>
          <w:i/>
        </w:rPr>
        <w:t>...</w:t>
      </w:r>
      <w:r>
        <w:rPr>
          <w:rFonts w:cs="Times New Roman"/>
        </w:rPr>
        <w:t>, cit.</w:t>
      </w:r>
      <w:r w:rsidRPr="006E0435">
        <w:rPr>
          <w:rFonts w:cs="Times New Roman"/>
        </w:rPr>
        <w:t xml:space="preserve">  p. 477.</w:t>
      </w:r>
    </w:p>
  </w:footnote>
  <w:footnote w:id="100">
    <w:p w14:paraId="0561C05C" w14:textId="4A87B9B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Sulle leggi naturali nella cultura antica si ved</w:t>
      </w:r>
      <w:r>
        <w:rPr>
          <w:rFonts w:cs="Times New Roman"/>
        </w:rPr>
        <w:t xml:space="preserve">ano Grant, </w:t>
      </w:r>
      <w:r w:rsidRPr="002B5B04">
        <w:rPr>
          <w:i/>
        </w:rPr>
        <w:t>Miracle and Natural Law</w:t>
      </w:r>
      <w:r>
        <w:rPr>
          <w:i/>
        </w:rPr>
        <w:t>...</w:t>
      </w:r>
      <w:r>
        <w:t>, cit.,</w:t>
      </w:r>
      <w:r>
        <w:rPr>
          <w:rFonts w:cs="Times New Roman"/>
        </w:rPr>
        <w:t xml:space="preserve"> A. H. </w:t>
      </w:r>
      <w:r w:rsidRPr="002B5B04">
        <w:t xml:space="preserve">Chroust, </w:t>
      </w:r>
      <w:r w:rsidRPr="002B5B04">
        <w:rPr>
          <w:i/>
        </w:rPr>
        <w:t>Some historical observations on Natural Law and «according to nature»</w:t>
      </w:r>
      <w:r>
        <w:t>, «</w:t>
      </w:r>
      <w:r w:rsidRPr="002B5B04">
        <w:t>Emerita</w:t>
      </w:r>
      <w:r>
        <w:t>.»</w:t>
      </w:r>
      <w:r w:rsidRPr="002B5B04">
        <w:t xml:space="preserve"> 31</w:t>
      </w:r>
      <w:r>
        <w:t xml:space="preserve">, </w:t>
      </w:r>
      <w:r w:rsidRPr="002B5B04">
        <w:t>1963</w:t>
      </w:r>
      <w:r>
        <w:t>, pp.</w:t>
      </w:r>
      <w:r w:rsidRPr="002B5B04">
        <w:t xml:space="preserve"> 285-98</w:t>
      </w:r>
      <w:r w:rsidRPr="006E0435">
        <w:rPr>
          <w:rFonts w:cs="Times New Roman"/>
        </w:rPr>
        <w:t xml:space="preserve">, </w:t>
      </w:r>
      <w:r>
        <w:rPr>
          <w:rFonts w:cs="Times New Roman"/>
        </w:rPr>
        <w:t xml:space="preserve">G. </w:t>
      </w:r>
      <w:r w:rsidRPr="002B5B04">
        <w:rPr>
          <w:color w:val="000000"/>
          <w:shd w:val="clear" w:color="auto" w:fill="FFFFFF"/>
        </w:rPr>
        <w:t xml:space="preserve">Koester, </w:t>
      </w:r>
      <w:r w:rsidRPr="002B5B04">
        <w:rPr>
          <w:i/>
          <w:color w:val="000000"/>
          <w:shd w:val="clear" w:color="auto" w:fill="FFFFFF"/>
        </w:rPr>
        <w:t>ΝΟΜΟΣ ΦΨΣΕΩΣ: The Concept of Natural Law in Greek Thought</w:t>
      </w:r>
      <w:r>
        <w:rPr>
          <w:color w:val="000000"/>
          <w:shd w:val="clear" w:color="auto" w:fill="FFFFFF"/>
        </w:rPr>
        <w:t xml:space="preserve">. In Neusner, J. ed. </w:t>
      </w:r>
      <w:r w:rsidRPr="002B5B04">
        <w:rPr>
          <w:i/>
          <w:color w:val="000000"/>
          <w:shd w:val="clear" w:color="auto" w:fill="FFFFFF"/>
        </w:rPr>
        <w:t>Religions in Antiquity: Essays in memory of E. R. Goodenough</w:t>
      </w:r>
      <w:r>
        <w:rPr>
          <w:color w:val="000000"/>
          <w:shd w:val="clear" w:color="auto" w:fill="FFFFFF"/>
        </w:rPr>
        <w:t>,</w:t>
      </w:r>
      <w:r w:rsidRPr="002B5B04">
        <w:t xml:space="preserve"> E. J. Brill</w:t>
      </w:r>
      <w:r w:rsidRPr="002B5B04">
        <w:rPr>
          <w:color w:val="000000"/>
          <w:shd w:val="clear" w:color="auto" w:fill="FFFFFF"/>
        </w:rPr>
        <w:t>,</w:t>
      </w:r>
      <w:r>
        <w:rPr>
          <w:color w:val="000000"/>
          <w:shd w:val="clear" w:color="auto" w:fill="FFFFFF"/>
        </w:rPr>
        <w:t xml:space="preserve"> </w:t>
      </w:r>
      <w:r w:rsidRPr="002B5B04">
        <w:rPr>
          <w:color w:val="000000"/>
        </w:rPr>
        <w:t>Leiden-Boston-Köln</w:t>
      </w:r>
      <w:r>
        <w:rPr>
          <w:color w:val="000000"/>
        </w:rPr>
        <w:t xml:space="preserve"> 1968,</w:t>
      </w:r>
      <w:r w:rsidRPr="002B5B04">
        <w:rPr>
          <w:color w:val="000000"/>
          <w:shd w:val="clear" w:color="auto" w:fill="FFFFFF"/>
        </w:rPr>
        <w:t xml:space="preserve"> pp. 521-41</w:t>
      </w:r>
      <w:r>
        <w:rPr>
          <w:rFonts w:cs="Times New Roman"/>
        </w:rPr>
        <w:t xml:space="preserve">, J. W. </w:t>
      </w:r>
      <w:r w:rsidRPr="002B5B04">
        <w:rPr>
          <w:rFonts w:eastAsia="Times New Roman"/>
          <w:bCs/>
          <w:color w:val="000000"/>
          <w:shd w:val="clear" w:color="auto" w:fill="FFFFFF"/>
          <w:lang w:val="en-US"/>
        </w:rPr>
        <w:t xml:space="preserve">Martens, </w:t>
      </w:r>
      <w:r w:rsidRPr="002B5B04">
        <w:rPr>
          <w:rFonts w:eastAsia="Times New Roman"/>
          <w:bCs/>
          <w:i/>
          <w:color w:val="000000"/>
          <w:shd w:val="clear" w:color="auto" w:fill="FFFFFF"/>
          <w:lang w:val="en-US"/>
        </w:rPr>
        <w:t>One God, One Law: Philo of Alexandria on the Mosaic and Greco-Roman Law</w:t>
      </w:r>
      <w:r>
        <w:rPr>
          <w:rFonts w:eastAsia="Times New Roman"/>
          <w:bCs/>
          <w:color w:val="000000"/>
          <w:shd w:val="clear" w:color="auto" w:fill="FFFFFF"/>
          <w:lang w:val="en-US"/>
        </w:rPr>
        <w:t>,</w:t>
      </w:r>
      <w:r w:rsidRPr="002B5B04">
        <w:t xml:space="preserve"> E. J. Brill</w:t>
      </w:r>
      <w:r>
        <w:t xml:space="preserve">, </w:t>
      </w:r>
      <w:r w:rsidRPr="002B5B04">
        <w:rPr>
          <w:color w:val="000000"/>
        </w:rPr>
        <w:t>Leiden-Boston-Köln</w:t>
      </w:r>
      <w:r>
        <w:rPr>
          <w:color w:val="000000"/>
        </w:rPr>
        <w:t xml:space="preserve"> 2003</w:t>
      </w:r>
      <w:r w:rsidRPr="006E0435">
        <w:rPr>
          <w:rFonts w:cs="Times New Roman"/>
        </w:rPr>
        <w:t>.</w:t>
      </w:r>
    </w:p>
  </w:footnote>
  <w:footnote w:id="101">
    <w:p w14:paraId="121D443E" w14:textId="5119071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Solo qualc</w:t>
      </w:r>
      <w:r>
        <w:rPr>
          <w:rFonts w:cs="Times New Roman"/>
        </w:rPr>
        <w:t xml:space="preserve">he esempio: Munro in Lucretius, </w:t>
      </w:r>
      <w:r>
        <w:rPr>
          <w:rFonts w:cs="Times New Roman"/>
          <w:i/>
        </w:rPr>
        <w:t>De rerum natura</w:t>
      </w:r>
      <w:r>
        <w:rPr>
          <w:rFonts w:cs="Times New Roman"/>
        </w:rPr>
        <w:t xml:space="preserve">, cit., Ernout in Lucretius, </w:t>
      </w:r>
      <w:r>
        <w:rPr>
          <w:rFonts w:cs="Times New Roman"/>
          <w:i/>
        </w:rPr>
        <w:t>De rerum natura</w:t>
      </w:r>
      <w:r>
        <w:rPr>
          <w:rFonts w:cs="Times New Roman"/>
        </w:rPr>
        <w:t xml:space="preserve">, cit., Bailey in Lucretius, </w:t>
      </w:r>
      <w:r>
        <w:rPr>
          <w:rFonts w:cs="Times New Roman"/>
          <w:i/>
        </w:rPr>
        <w:t>De rerum natura</w:t>
      </w:r>
      <w:r>
        <w:rPr>
          <w:rFonts w:cs="Times New Roman"/>
        </w:rPr>
        <w:t xml:space="preserve">, cit. Rouse e Smith in Lucretius, </w:t>
      </w:r>
      <w:r>
        <w:rPr>
          <w:rFonts w:cs="Times New Roman"/>
          <w:i/>
        </w:rPr>
        <w:t>De rerum natura</w:t>
      </w:r>
      <w:r>
        <w:rPr>
          <w:rFonts w:cs="Times New Roman"/>
        </w:rPr>
        <w:t xml:space="preserve">, cit. Flores in Lucretius, </w:t>
      </w:r>
      <w:r>
        <w:rPr>
          <w:rFonts w:cs="Times New Roman"/>
          <w:i/>
        </w:rPr>
        <w:t>De rerum natura</w:t>
      </w:r>
      <w:r>
        <w:rPr>
          <w:rFonts w:cs="Times New Roman"/>
        </w:rPr>
        <w:t>, cit</w:t>
      </w:r>
      <w:r w:rsidRPr="006E0435">
        <w:rPr>
          <w:rFonts w:cs="Times New Roman"/>
        </w:rPr>
        <w:t>.</w:t>
      </w:r>
    </w:p>
  </w:footnote>
  <w:footnote w:id="102">
    <w:p w14:paraId="07CFC88E" w14:textId="7C5F7774"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In questo senso Boyancé</w:t>
      </w:r>
      <w:r w:rsidRPr="006E0435">
        <w:rPr>
          <w:rFonts w:cs="Times New Roman"/>
        </w:rPr>
        <w:t>,</w:t>
      </w:r>
      <w:r>
        <w:rPr>
          <w:rFonts w:cs="Times New Roman"/>
        </w:rPr>
        <w:t xml:space="preserve"> </w:t>
      </w:r>
      <w:r w:rsidRPr="002B5B04">
        <w:rPr>
          <w:i/>
        </w:rPr>
        <w:t>Lucrèce et l’épicurisme</w:t>
      </w:r>
      <w:r>
        <w:rPr>
          <w:i/>
        </w:rPr>
        <w:t>...</w:t>
      </w:r>
      <w:r>
        <w:t>, cit.,</w:t>
      </w:r>
      <w:r w:rsidRPr="006E0435">
        <w:rPr>
          <w:rFonts w:cs="Times New Roman"/>
        </w:rPr>
        <w:t xml:space="preserve"> p. 86.</w:t>
      </w:r>
    </w:p>
  </w:footnote>
  <w:footnote w:id="103">
    <w:p w14:paraId="494DB4BF" w14:textId="20CB5802"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w:t>
      </w:r>
      <w:r>
        <w:rPr>
          <w:rFonts w:cs="Times New Roman"/>
        </w:rPr>
        <w:t xml:space="preserve">K. </w:t>
      </w:r>
      <w:r w:rsidRPr="002B5B04">
        <w:t xml:space="preserve">Reich, </w:t>
      </w:r>
      <w:r w:rsidRPr="002B5B04">
        <w:rPr>
          <w:i/>
        </w:rPr>
        <w:t>Der historische Ursprung des Naturgesetzbegriffs</w:t>
      </w:r>
      <w:r w:rsidRPr="002B5B04">
        <w:t xml:space="preserve">, in </w:t>
      </w:r>
      <w:r w:rsidRPr="002B5B04">
        <w:rPr>
          <w:i/>
        </w:rPr>
        <w:t>Festschrift Ernst Kapp zum 70. Geburtstag am 21. Januar 1958</w:t>
      </w:r>
      <w:r>
        <w:t>,</w:t>
      </w:r>
      <w:r w:rsidRPr="002B5B04">
        <w:t xml:space="preserve"> Marion von Schröder Verlag</w:t>
      </w:r>
      <w:r>
        <w:t xml:space="preserve">, Hamburg </w:t>
      </w:r>
      <w:r w:rsidRPr="002B5B04">
        <w:t>1958</w:t>
      </w:r>
      <w:r>
        <w:t>, pp.</w:t>
      </w:r>
      <w:r w:rsidRPr="002B5B04">
        <w:t xml:space="preserve"> 121-34</w:t>
      </w:r>
      <w:r>
        <w:rPr>
          <w:rFonts w:cs="Times New Roman"/>
        </w:rPr>
        <w:t xml:space="preserve">, p. 126, J. R. </w:t>
      </w:r>
      <w:r w:rsidRPr="002B5B04">
        <w:t xml:space="preserve">Milton, </w:t>
      </w:r>
      <w:r w:rsidRPr="002B5B04">
        <w:rPr>
          <w:i/>
        </w:rPr>
        <w:t>The Origin and Development of the Concept of the ‘Laws of Nature’</w:t>
      </w:r>
      <w:r>
        <w:t>, «</w:t>
      </w:r>
      <w:r w:rsidRPr="002B5B04">
        <w:t>Archives européennes de Sociologie</w:t>
      </w:r>
      <w:r>
        <w:t>»</w:t>
      </w:r>
      <w:r w:rsidRPr="002B5B04">
        <w:t xml:space="preserve"> 22</w:t>
      </w:r>
      <w:r>
        <w:t xml:space="preserve">, </w:t>
      </w:r>
      <w:r w:rsidRPr="002B5B04">
        <w:t>1981</w:t>
      </w:r>
      <w:r>
        <w:t>, pp.</w:t>
      </w:r>
      <w:r w:rsidRPr="002B5B04">
        <w:t xml:space="preserve"> 173-195</w:t>
      </w:r>
      <w:r w:rsidRPr="006E0435">
        <w:rPr>
          <w:rFonts w:cs="Times New Roman"/>
        </w:rPr>
        <w:t xml:space="preserve">, pp. 176-7, Catherine Wilson, </w:t>
      </w:r>
      <w:r w:rsidRPr="006E0435">
        <w:rPr>
          <w:rFonts w:cs="Times New Roman"/>
          <w:i/>
        </w:rPr>
        <w:t>From Limits to Law: The Construction of the Nomological Image of Nature in Early Modern Philosophy</w:t>
      </w:r>
      <w:r>
        <w:rPr>
          <w:rFonts w:cs="Times New Roman"/>
        </w:rPr>
        <w:t xml:space="preserve">, in L. </w:t>
      </w:r>
      <w:r w:rsidRPr="002B5B04">
        <w:t xml:space="preserve">Daston, </w:t>
      </w:r>
      <w:r>
        <w:t>M. Stolleis, M. eds.</w:t>
      </w:r>
      <w:r w:rsidRPr="002B5B04">
        <w:t xml:space="preserve"> </w:t>
      </w:r>
      <w:r w:rsidRPr="002B5B04">
        <w:rPr>
          <w:i/>
        </w:rPr>
        <w:t>Natural Laws and Laws of Nature in Early Modern Europe</w:t>
      </w:r>
      <w:r>
        <w:t>,</w:t>
      </w:r>
      <w:r w:rsidRPr="002B5B04">
        <w:t xml:space="preserve"> Ashgate</w:t>
      </w:r>
      <w:r>
        <w:t xml:space="preserve">, Burlington VT </w:t>
      </w:r>
      <w:r w:rsidRPr="002B5B04">
        <w:t>2008</w:t>
      </w:r>
      <w:r>
        <w:t>,</w:t>
      </w:r>
      <w:r w:rsidRPr="006E0435">
        <w:rPr>
          <w:rFonts w:cs="Times New Roman"/>
        </w:rPr>
        <w:t xml:space="preserve"> pp. 13-28.</w:t>
      </w:r>
    </w:p>
  </w:footnote>
  <w:footnote w:id="104">
    <w:p w14:paraId="451BCFF7" w14:textId="1AE451DB"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Ro</w:t>
      </w:r>
      <w:r>
        <w:rPr>
          <w:rFonts w:cs="Times New Roman"/>
        </w:rPr>
        <w:t xml:space="preserve">use e Smith, in Lucretius, </w:t>
      </w:r>
      <w:r>
        <w:rPr>
          <w:rFonts w:cs="Times New Roman"/>
          <w:i/>
        </w:rPr>
        <w:t>De rerum natura</w:t>
      </w:r>
      <w:r>
        <w:rPr>
          <w:rFonts w:cs="Times New Roman"/>
        </w:rPr>
        <w:t>, cit</w:t>
      </w:r>
      <w:r w:rsidRPr="006E0435">
        <w:rPr>
          <w:rFonts w:cs="Times New Roman"/>
        </w:rPr>
        <w:t>.</w:t>
      </w:r>
    </w:p>
  </w:footnote>
  <w:footnote w:id="105">
    <w:p w14:paraId="570602A2" w14:textId="1B31F45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Proposto</w:t>
      </w:r>
      <w:r>
        <w:rPr>
          <w:rFonts w:cs="Times New Roman"/>
        </w:rPr>
        <w:t xml:space="preserve"> da Grant</w:t>
      </w:r>
      <w:r w:rsidRPr="006E0435">
        <w:rPr>
          <w:rFonts w:cs="Times New Roman"/>
        </w:rPr>
        <w:t>,</w:t>
      </w:r>
      <w:r>
        <w:rPr>
          <w:rFonts w:cs="Times New Roman"/>
        </w:rPr>
        <w:t xml:space="preserve"> </w:t>
      </w:r>
      <w:r w:rsidRPr="002B5B04">
        <w:rPr>
          <w:i/>
        </w:rPr>
        <w:t>Miracle and Natural Law</w:t>
      </w:r>
      <w:r>
        <w:rPr>
          <w:i/>
        </w:rPr>
        <w:t>...</w:t>
      </w:r>
      <w:r>
        <w:t>, cit.,</w:t>
      </w:r>
      <w:r w:rsidRPr="006E0435">
        <w:rPr>
          <w:rFonts w:cs="Times New Roman"/>
        </w:rPr>
        <w:t xml:space="preserve"> p. 24. Grant suggerisce di considerare un testo importante per la tradizione di cui sto parlando, ovvero l’</w:t>
      </w:r>
      <w:r w:rsidRPr="006E0435">
        <w:rPr>
          <w:rFonts w:cs="Times New Roman"/>
          <w:i/>
          <w:iCs/>
        </w:rPr>
        <w:t>Octavius</w:t>
      </w:r>
      <w:r w:rsidRPr="006E0435">
        <w:rPr>
          <w:rFonts w:cs="Times New Roman"/>
        </w:rPr>
        <w:t xml:space="preserve"> di</w:t>
      </w:r>
      <w:r>
        <w:rPr>
          <w:rFonts w:cs="Times New Roman"/>
        </w:rPr>
        <w:t xml:space="preserve"> Minucio Felice, </w:t>
      </w:r>
      <w:r w:rsidRPr="006E0435">
        <w:rPr>
          <w:rFonts w:cs="Times New Roman"/>
        </w:rPr>
        <w:t>un dialogo tra uno scettico pagano e un cristi</w:t>
      </w:r>
      <w:r>
        <w:rPr>
          <w:rFonts w:cs="Times New Roman"/>
        </w:rPr>
        <w:t>ano. Grant sottolinea come Minuc</w:t>
      </w:r>
      <w:r w:rsidRPr="006E0435">
        <w:rPr>
          <w:rFonts w:cs="Times New Roman"/>
        </w:rPr>
        <w:t>io usi il concetto di legge naturale, il</w:t>
      </w:r>
      <w:r>
        <w:rPr>
          <w:rFonts w:cs="Times New Roman"/>
        </w:rPr>
        <w:t xml:space="preserve"> “patto di nature” che </w:t>
      </w:r>
      <w:r w:rsidRPr="006E0435">
        <w:rPr>
          <w:rFonts w:cs="Times New Roman"/>
        </w:rPr>
        <w:t>corrisponde</w:t>
      </w:r>
      <w:r>
        <w:rPr>
          <w:rFonts w:cs="Times New Roman"/>
        </w:rPr>
        <w:t xml:space="preserve">rebbe </w:t>
      </w:r>
      <w:r w:rsidRPr="006E0435">
        <w:rPr>
          <w:rFonts w:cs="Times New Roman"/>
        </w:rPr>
        <w:t xml:space="preserve">ai </w:t>
      </w:r>
      <w:r w:rsidRPr="006E0435">
        <w:rPr>
          <w:rFonts w:cs="Times New Roman"/>
          <w:i/>
          <w:iCs/>
        </w:rPr>
        <w:t>foedera naturae</w:t>
      </w:r>
      <w:r w:rsidRPr="006E0435">
        <w:rPr>
          <w:rFonts w:cs="Times New Roman"/>
        </w:rPr>
        <w:t xml:space="preserve"> di Lucrezio, egualmente nell’argomentazione dello scettico e del cr</w:t>
      </w:r>
      <w:r>
        <w:rPr>
          <w:rFonts w:cs="Times New Roman"/>
        </w:rPr>
        <w:t>istiano, pur dando loro un sign</w:t>
      </w:r>
      <w:r w:rsidRPr="006E0435">
        <w:rPr>
          <w:rFonts w:cs="Times New Roman"/>
        </w:rPr>
        <w:t>ificato opposto. Si veda anch</w:t>
      </w:r>
      <w:r>
        <w:rPr>
          <w:rFonts w:cs="Times New Roman"/>
        </w:rPr>
        <w:t xml:space="preserve">e Minucius Felix </w:t>
      </w:r>
      <w:r w:rsidRPr="006E0435">
        <w:rPr>
          <w:rFonts w:cs="Times New Roman"/>
        </w:rPr>
        <w:t xml:space="preserve">17. 7-9 e 34. 2-3. Diversamente, credo che, proprio perché questo concetto non corrisponde all’idea moderna di </w:t>
      </w:r>
      <w:r w:rsidRPr="006E0435">
        <w:rPr>
          <w:rFonts w:cs="Times New Roman"/>
          <w:i/>
          <w:iCs/>
        </w:rPr>
        <w:t>lex naturalis</w:t>
      </w:r>
      <w:r w:rsidRPr="006E0435">
        <w:rPr>
          <w:rFonts w:cs="Times New Roman"/>
        </w:rPr>
        <w:t>, è abbastanza ampio per accogliere sia tesi provvidenzialiste che anti-provvidenzial</w:t>
      </w:r>
      <w:r>
        <w:rPr>
          <w:rFonts w:cs="Times New Roman"/>
        </w:rPr>
        <w:t>iste. Si veda anche Reich</w:t>
      </w:r>
      <w:r w:rsidRPr="006E0435">
        <w:rPr>
          <w:rFonts w:cs="Times New Roman"/>
        </w:rPr>
        <w:t>,</w:t>
      </w:r>
      <w:r>
        <w:rPr>
          <w:rFonts w:cs="Times New Roman"/>
        </w:rPr>
        <w:t xml:space="preserve"> </w:t>
      </w:r>
      <w:r w:rsidRPr="002B5B04">
        <w:rPr>
          <w:i/>
        </w:rPr>
        <w:t>Der historische Ursprung</w:t>
      </w:r>
      <w:r>
        <w:rPr>
          <w:i/>
        </w:rPr>
        <w:t>...</w:t>
      </w:r>
      <w:r>
        <w:t>, cit.,</w:t>
      </w:r>
      <w:r w:rsidRPr="006E0435">
        <w:rPr>
          <w:rFonts w:cs="Times New Roman"/>
        </w:rPr>
        <w:t xml:space="preserve"> p. 125.</w:t>
      </w:r>
    </w:p>
  </w:footnote>
  <w:footnote w:id="106">
    <w:p w14:paraId="1C9FDAC5" w14:textId="4C5A1F76"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Come suggerito da Ernout e Robin, in Luc</w:t>
      </w:r>
      <w:r>
        <w:rPr>
          <w:rFonts w:cs="Times New Roman"/>
        </w:rPr>
        <w:t>retius</w:t>
      </w:r>
      <w:r w:rsidRPr="006E0435">
        <w:rPr>
          <w:rFonts w:cs="Times New Roman"/>
        </w:rPr>
        <w:t>,</w:t>
      </w:r>
      <w:r>
        <w:rPr>
          <w:rFonts w:cs="Times New Roman"/>
        </w:rPr>
        <w:t xml:space="preserve"> </w:t>
      </w:r>
      <w:r>
        <w:rPr>
          <w:rFonts w:cs="Times New Roman"/>
          <w:i/>
        </w:rPr>
        <w:t>De rerum natura</w:t>
      </w:r>
      <w:r>
        <w:rPr>
          <w:rFonts w:cs="Times New Roman"/>
        </w:rPr>
        <w:t>, cit.</w:t>
      </w:r>
      <w:r w:rsidRPr="006E0435">
        <w:rPr>
          <w:rFonts w:cs="Times New Roman"/>
        </w:rPr>
        <w:t xml:space="preserve"> I, p. 129.</w:t>
      </w:r>
    </w:p>
  </w:footnote>
  <w:footnote w:id="107">
    <w:p w14:paraId="3B9869D8" w14:textId="5382CEFC"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Lucretius,</w:t>
      </w:r>
      <w:r w:rsidRPr="006E0435">
        <w:rPr>
          <w:rFonts w:cs="Times New Roman"/>
        </w:rPr>
        <w:t xml:space="preserve"> I, p. 128. See </w:t>
      </w:r>
      <w:r w:rsidRPr="006E0435">
        <w:rPr>
          <w:rFonts w:cs="Times New Roman"/>
          <w:i/>
        </w:rPr>
        <w:t xml:space="preserve">Vorsokr. </w:t>
      </w:r>
      <w:r w:rsidRPr="006E0435">
        <w:rPr>
          <w:rFonts w:cs="Times New Roman"/>
        </w:rPr>
        <w:t xml:space="preserve">31 B, 30 (= LM [22] EMP. D94, R74 = Inwood 35, p. 225 = Arist. </w:t>
      </w:r>
      <w:r w:rsidRPr="006E0435">
        <w:rPr>
          <w:rFonts w:cs="Times New Roman"/>
          <w:i/>
        </w:rPr>
        <w:t xml:space="preserve">Metaph. </w:t>
      </w:r>
      <w:r w:rsidRPr="006E0435">
        <w:rPr>
          <w:rFonts w:cs="Times New Roman"/>
        </w:rPr>
        <w:t xml:space="preserve">III.4, 1000 b 12) e </w:t>
      </w:r>
      <w:r w:rsidRPr="006E0435">
        <w:rPr>
          <w:rFonts w:cs="Times New Roman"/>
          <w:i/>
        </w:rPr>
        <w:t xml:space="preserve">Vorsokr. </w:t>
      </w:r>
      <w:r w:rsidRPr="006E0435">
        <w:rPr>
          <w:rFonts w:cs="Times New Roman"/>
        </w:rPr>
        <w:t xml:space="preserve">31 B 115 (= LM [22] EMP. D10, D11, R48, R50, R89 = Inwood 11, p. 207 = Hippol. </w:t>
      </w:r>
      <w:r w:rsidRPr="006E0435">
        <w:rPr>
          <w:rFonts w:cs="Times New Roman"/>
          <w:i/>
        </w:rPr>
        <w:t xml:space="preserve">Haer. </w:t>
      </w:r>
      <w:r>
        <w:rPr>
          <w:rFonts w:cs="Times New Roman"/>
        </w:rPr>
        <w:t>VI</w:t>
      </w:r>
      <w:r w:rsidRPr="00A81FCC">
        <w:rPr>
          <w:rFonts w:cs="Times New Roman"/>
        </w:rPr>
        <w:t xml:space="preserve">I.29). Si veda anche Boyancé, </w:t>
      </w:r>
      <w:r w:rsidRPr="00A81FCC">
        <w:rPr>
          <w:rFonts w:cs="Times New Roman"/>
          <w:i/>
        </w:rPr>
        <w:t>Lucrèce et l’épicurisme...</w:t>
      </w:r>
      <w:r w:rsidRPr="00A81FCC">
        <w:rPr>
          <w:rFonts w:cs="Times New Roman"/>
        </w:rPr>
        <w:t xml:space="preserve">, cit., p. 87 e, </w:t>
      </w:r>
      <w:r w:rsidRPr="00A81FCC">
        <w:rPr>
          <w:rFonts w:cs="Times New Roman"/>
          <w:i/>
        </w:rPr>
        <w:t>contra</w:t>
      </w:r>
      <w:r w:rsidRPr="00A81FCC">
        <w:rPr>
          <w:rFonts w:cs="Times New Roman"/>
        </w:rPr>
        <w:t>,</w:t>
      </w:r>
      <w:r w:rsidRPr="00A81FCC">
        <w:rPr>
          <w:rFonts w:cs="Times New Roman"/>
          <w:i/>
        </w:rPr>
        <w:t xml:space="preserve"> </w:t>
      </w:r>
      <w:r w:rsidRPr="00A81FCC">
        <w:rPr>
          <w:rFonts w:cs="Times New Roman"/>
        </w:rPr>
        <w:t xml:space="preserve">Droz-Vincent, </w:t>
      </w:r>
      <w:r w:rsidRPr="00A81FCC">
        <w:rPr>
          <w:rFonts w:cs="Times New Roman"/>
          <w:i/>
        </w:rPr>
        <w:t xml:space="preserve">Les </w:t>
      </w:r>
      <w:r w:rsidRPr="00A81FCC">
        <w:rPr>
          <w:rFonts w:cs="Times New Roman"/>
        </w:rPr>
        <w:t xml:space="preserve">foedera naturae </w:t>
      </w:r>
      <w:r w:rsidRPr="00A81FCC">
        <w:rPr>
          <w:rFonts w:cs="Times New Roman"/>
          <w:i/>
        </w:rPr>
        <w:t>chez Lucrèce</w:t>
      </w:r>
      <w:r w:rsidRPr="00A81FCC">
        <w:rPr>
          <w:rFonts w:cs="Times New Roman"/>
        </w:rPr>
        <w:t xml:space="preserve">, in </w:t>
      </w:r>
      <w:r>
        <w:rPr>
          <w:rFonts w:cs="Times New Roman"/>
        </w:rPr>
        <w:t xml:space="preserve">C. </w:t>
      </w:r>
      <w:r>
        <w:rPr>
          <w:rFonts w:cs="Times New Roman"/>
          <w:kern w:val="0"/>
          <w:lang w:val="en-US" w:bidi="ar-SA"/>
        </w:rPr>
        <w:t>Lévy, éd.,</w:t>
      </w:r>
      <w:r w:rsidRPr="00A81FCC">
        <w:rPr>
          <w:rFonts w:cs="Times New Roman"/>
          <w:kern w:val="0"/>
          <w:lang w:val="en-US" w:bidi="ar-SA"/>
        </w:rPr>
        <w:t xml:space="preserve"> </w:t>
      </w:r>
      <w:r w:rsidRPr="00A81FCC">
        <w:rPr>
          <w:rFonts w:cs="Times New Roman"/>
          <w:i/>
          <w:kern w:val="0"/>
          <w:lang w:val="en-US" w:bidi="ar-SA"/>
        </w:rPr>
        <w:t>Le concept de nature à Rome. La physique</w:t>
      </w:r>
      <w:r>
        <w:rPr>
          <w:rFonts w:cs="Times New Roman"/>
          <w:kern w:val="0"/>
          <w:lang w:val="en-US" w:bidi="ar-SA"/>
        </w:rPr>
        <w:t>,</w:t>
      </w:r>
      <w:r w:rsidRPr="00A81FCC">
        <w:rPr>
          <w:rFonts w:cs="Times New Roman"/>
          <w:kern w:val="0"/>
          <w:lang w:val="en-US" w:bidi="ar-SA"/>
        </w:rPr>
        <w:t xml:space="preserve"> Rue d’Ulm</w:t>
      </w:r>
      <w:r>
        <w:rPr>
          <w:rFonts w:cs="Times New Roman"/>
          <w:kern w:val="0"/>
          <w:lang w:val="en-US" w:bidi="ar-SA"/>
        </w:rPr>
        <w:t xml:space="preserve">, Paris </w:t>
      </w:r>
      <w:r w:rsidRPr="00A81FCC">
        <w:rPr>
          <w:rFonts w:cs="Times New Roman"/>
          <w:kern w:val="0"/>
          <w:lang w:val="en-US" w:bidi="ar-SA"/>
        </w:rPr>
        <w:t>1996</w:t>
      </w:r>
      <w:r w:rsidRPr="00A81FCC">
        <w:rPr>
          <w:rFonts w:cs="Times New Roman"/>
        </w:rPr>
        <w:t xml:space="preserve">, </w:t>
      </w:r>
      <w:r w:rsidRPr="006E0435">
        <w:rPr>
          <w:rFonts w:cs="Times New Roman"/>
        </w:rPr>
        <w:t>pp. 191-211, che ritiene che la filosofia di Lucrezio sia aliena al carattere antropomorfico dei</w:t>
      </w:r>
      <w:r>
        <w:rPr>
          <w:rFonts w:cs="Times New Roman"/>
        </w:rPr>
        <w:t xml:space="preserve"> patti</w:t>
      </w:r>
      <w:r w:rsidRPr="006E0435">
        <w:rPr>
          <w:rFonts w:cs="Times New Roman"/>
        </w:rPr>
        <w:t xml:space="preserve"> empedoclei.</w:t>
      </w:r>
    </w:p>
  </w:footnote>
  <w:footnote w:id="108">
    <w:p w14:paraId="612158BC" w14:textId="1C28486D"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Sull’uso di Lucrezio di </w:t>
      </w:r>
      <w:r w:rsidRPr="006E0435">
        <w:rPr>
          <w:rFonts w:cs="Times New Roman"/>
          <w:i/>
        </w:rPr>
        <w:t>animus/anima</w:t>
      </w:r>
      <w:r>
        <w:rPr>
          <w:rFonts w:cs="Times New Roman"/>
        </w:rPr>
        <w:t xml:space="preserve"> si veda Bailey, in Lucretius</w:t>
      </w:r>
      <w:r w:rsidRPr="006E0435">
        <w:rPr>
          <w:rFonts w:cs="Times New Roman"/>
        </w:rPr>
        <w:t>,</w:t>
      </w:r>
      <w:r>
        <w:rPr>
          <w:rFonts w:cs="Times New Roman"/>
        </w:rPr>
        <w:t xml:space="preserve"> </w:t>
      </w:r>
      <w:r>
        <w:rPr>
          <w:rFonts w:cs="Times New Roman"/>
          <w:i/>
        </w:rPr>
        <w:t>De rerum natura</w:t>
      </w:r>
      <w:r>
        <w:rPr>
          <w:rFonts w:cs="Times New Roman"/>
        </w:rPr>
        <w:t>, cit.</w:t>
      </w:r>
      <w:r w:rsidRPr="006E0435">
        <w:rPr>
          <w:rFonts w:cs="Times New Roman"/>
        </w:rPr>
        <w:t xml:space="preserve"> II, p. 1006.</w:t>
      </w:r>
    </w:p>
  </w:footnote>
  <w:footnote w:id="109">
    <w:p w14:paraId="57561942" w14:textId="43B3B2F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Uno dei termini più frequenti nel poema, meno frequente solo di </w:t>
      </w:r>
      <w:r w:rsidRPr="006E0435">
        <w:rPr>
          <w:rFonts w:cs="Times New Roman"/>
          <w:i/>
        </w:rPr>
        <w:t>corpus</w:t>
      </w:r>
      <w:r w:rsidRPr="006E0435">
        <w:rPr>
          <w:rFonts w:cs="Times New Roman"/>
        </w:rPr>
        <w:t xml:space="preserve">, </w:t>
      </w:r>
      <w:r w:rsidRPr="006E0435">
        <w:rPr>
          <w:rFonts w:cs="Times New Roman"/>
          <w:i/>
        </w:rPr>
        <w:t>terra</w:t>
      </w:r>
      <w:r w:rsidRPr="006E0435">
        <w:rPr>
          <w:rFonts w:cs="Times New Roman"/>
        </w:rPr>
        <w:t xml:space="preserve">, e </w:t>
      </w:r>
      <w:r w:rsidRPr="006E0435">
        <w:rPr>
          <w:rFonts w:cs="Times New Roman"/>
          <w:i/>
        </w:rPr>
        <w:t>natura</w:t>
      </w:r>
      <w:r>
        <w:rPr>
          <w:rFonts w:cs="Times New Roman"/>
        </w:rPr>
        <w:t xml:space="preserve">. Si veda Wacht, </w:t>
      </w:r>
      <w:r>
        <w:rPr>
          <w:rFonts w:cs="Times New Roman"/>
          <w:i/>
        </w:rPr>
        <w:t>Concordantia...</w:t>
      </w:r>
      <w:r>
        <w:rPr>
          <w:rFonts w:cs="Times New Roman"/>
        </w:rPr>
        <w:t>, cit.</w:t>
      </w:r>
      <w:r w:rsidRPr="006E0435">
        <w:rPr>
          <w:rFonts w:cs="Times New Roman"/>
        </w:rPr>
        <w:t>.</w:t>
      </w:r>
    </w:p>
  </w:footnote>
  <w:footnote w:id="110">
    <w:p w14:paraId="1DE7D969" w14:textId="24C808D3" w:rsidR="00B82712" w:rsidRPr="00045DD8" w:rsidRDefault="00B82712" w:rsidP="000D6EF2">
      <w:pPr>
        <w:pStyle w:val="FootnoteText"/>
        <w:ind w:left="0"/>
        <w:rPr>
          <w:lang w:val="fr-FR"/>
        </w:rPr>
      </w:pPr>
      <w:r>
        <w:rPr>
          <w:rStyle w:val="FootnoteReference"/>
        </w:rPr>
        <w:footnoteRef/>
      </w:r>
      <w:r>
        <w:t xml:space="preserve"> </w:t>
      </w:r>
      <w:r w:rsidRPr="006E0435">
        <w:rPr>
          <w:rFonts w:cs="Times New Roman"/>
        </w:rPr>
        <w:t xml:space="preserve">De Lacy, </w:t>
      </w:r>
      <w:r w:rsidRPr="006E0435">
        <w:rPr>
          <w:rFonts w:cs="Times New Roman"/>
          <w:i/>
        </w:rPr>
        <w:t>Lucretius and Plato</w:t>
      </w:r>
      <w:r>
        <w:rPr>
          <w:rFonts w:cs="Times New Roman"/>
        </w:rPr>
        <w:t>, in Caratelli</w:t>
      </w:r>
      <w:r w:rsidRPr="00B82712">
        <w:t xml:space="preserve"> </w:t>
      </w:r>
      <w:r w:rsidRPr="002B5B04">
        <w:t>a cura di</w:t>
      </w:r>
      <w:r>
        <w:t>,</w:t>
      </w:r>
      <w:r w:rsidRPr="002B5B04">
        <w:t xml:space="preserve"> </w:t>
      </w:r>
      <w:r w:rsidRPr="002B5B04">
        <w:rPr>
          <w:i/>
        </w:rPr>
        <w:t>Συζήτησισ</w:t>
      </w:r>
      <w:r w:rsidR="00727C6D">
        <w:rPr>
          <w:i/>
        </w:rPr>
        <w:t>...</w:t>
      </w:r>
      <w:r>
        <w:t>, cit</w:t>
      </w:r>
      <w:r w:rsidRPr="006E0435">
        <w:rPr>
          <w:rFonts w:cs="Times New Roman"/>
        </w:rPr>
        <w:t>., p. 293.</w:t>
      </w:r>
      <w:r>
        <w:rPr>
          <w:rFonts w:cs="Times New Roman"/>
        </w:rPr>
        <w:t xml:space="preserve"> Traduzione mia.</w:t>
      </w:r>
    </w:p>
  </w:footnote>
  <w:footnote w:id="111">
    <w:p w14:paraId="1FA7A9C7" w14:textId="290745E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sidRPr="006E0435">
        <w:rPr>
          <w:rFonts w:cs="Times New Roman"/>
          <w:i/>
        </w:rPr>
        <w:t xml:space="preserve">Ep. </w:t>
      </w:r>
      <w:r>
        <w:rPr>
          <w:rFonts w:cs="Times New Roman"/>
        </w:rPr>
        <w:t>I.39. Cfr. Ernout e Robin</w:t>
      </w:r>
      <w:r w:rsidRPr="006E0435">
        <w:rPr>
          <w:rFonts w:cs="Times New Roman"/>
        </w:rPr>
        <w:t>,</w:t>
      </w:r>
      <w:r>
        <w:rPr>
          <w:rFonts w:cs="Times New Roman"/>
        </w:rPr>
        <w:t xml:space="preserve"> </w:t>
      </w:r>
      <w:r>
        <w:rPr>
          <w:rFonts w:cs="Times New Roman"/>
          <w:i/>
        </w:rPr>
        <w:t>Lucrèce</w:t>
      </w:r>
      <w:r w:rsidR="00727C6D">
        <w:rPr>
          <w:rFonts w:cs="Times New Roman"/>
          <w:i/>
        </w:rPr>
        <w:t>...</w:t>
      </w:r>
      <w:r>
        <w:rPr>
          <w:rFonts w:cs="Times New Roman"/>
        </w:rPr>
        <w:t>, cit.,</w:t>
      </w:r>
      <w:r w:rsidRPr="006E0435">
        <w:rPr>
          <w:rFonts w:cs="Times New Roman"/>
        </w:rPr>
        <w:t xml:space="preserve"> I, p. 255.</w:t>
      </w:r>
    </w:p>
  </w:footnote>
  <w:footnote w:id="112">
    <w:p w14:paraId="7E28F3AF" w14:textId="40B5C6EA"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Ernout e </w:t>
      </w:r>
      <w:r>
        <w:rPr>
          <w:rFonts w:cs="Times New Roman"/>
        </w:rPr>
        <w:t>Robin, Ibid. e Morfino,</w:t>
      </w:r>
      <w:r w:rsidRPr="00B82712">
        <w:rPr>
          <w:rFonts w:eastAsia="Times New Roman"/>
          <w:i/>
          <w:shd w:val="clear" w:color="auto" w:fill="FFFFFF"/>
          <w:lang w:val="en-US"/>
        </w:rPr>
        <w:t xml:space="preserve"> </w:t>
      </w:r>
      <w:r w:rsidRPr="002B5B04">
        <w:rPr>
          <w:rFonts w:eastAsia="Times New Roman"/>
          <w:i/>
          <w:shd w:val="clear" w:color="auto" w:fill="FFFFFF"/>
          <w:lang w:val="en-US"/>
        </w:rPr>
        <w:t>Lucrèce et les monstres</w:t>
      </w:r>
      <w:r>
        <w:rPr>
          <w:rFonts w:eastAsia="Times New Roman"/>
          <w:shd w:val="clear" w:color="auto" w:fill="FFFFFF"/>
          <w:lang w:val="en-US"/>
        </w:rPr>
        <w:t>...</w:t>
      </w:r>
      <w:r>
        <w:rPr>
          <w:rFonts w:eastAsia="Times New Roman"/>
          <w:i/>
          <w:shd w:val="clear" w:color="auto" w:fill="FFFFFF"/>
          <w:lang w:val="en-US"/>
        </w:rPr>
        <w:t xml:space="preserve">, </w:t>
      </w:r>
      <w:r>
        <w:rPr>
          <w:rFonts w:eastAsia="Times New Roman"/>
          <w:shd w:val="clear" w:color="auto" w:fill="FFFFFF"/>
          <w:lang w:val="en-US"/>
        </w:rPr>
        <w:t>cit</w:t>
      </w:r>
      <w:r w:rsidRPr="006E0435">
        <w:rPr>
          <w:rFonts w:cs="Times New Roman"/>
        </w:rPr>
        <w:t>..</w:t>
      </w:r>
    </w:p>
  </w:footnote>
  <w:footnote w:id="113">
    <w:p w14:paraId="041969DA" w14:textId="2B61144B"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Flores traduce </w:t>
      </w:r>
      <w:r w:rsidRPr="006E0435">
        <w:rPr>
          <w:rFonts w:cs="Times New Roman"/>
          <w:i/>
        </w:rPr>
        <w:t>foedera</w:t>
      </w:r>
      <w:r>
        <w:rPr>
          <w:rFonts w:cs="Times New Roman"/>
        </w:rPr>
        <w:t xml:space="preserve"> con “condizioni”.</w:t>
      </w:r>
    </w:p>
  </w:footnote>
  <w:footnote w:id="114">
    <w:p w14:paraId="5DFE8B9D" w14:textId="2D83FA8E"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Vis-à-vis, ancora una volta, le 222 occorrenze di </w:t>
      </w:r>
      <w:r w:rsidRPr="006E0435">
        <w:rPr>
          <w:rFonts w:cs="Times New Roman"/>
          <w:i/>
        </w:rPr>
        <w:t>ratio</w:t>
      </w:r>
      <w:r>
        <w:rPr>
          <w:rFonts w:cs="Times New Roman"/>
        </w:rPr>
        <w:t xml:space="preserve">. Cfr. Wacht </w:t>
      </w:r>
      <w:r>
        <w:rPr>
          <w:rFonts w:cs="Times New Roman"/>
          <w:i/>
        </w:rPr>
        <w:t>Concordantia...</w:t>
      </w:r>
      <w:r>
        <w:rPr>
          <w:rFonts w:cs="Times New Roman"/>
        </w:rPr>
        <w:t>, cit.</w:t>
      </w:r>
      <w:r w:rsidRPr="006E0435">
        <w:rPr>
          <w:rFonts w:cs="Times New Roman"/>
          <w:i/>
        </w:rPr>
        <w:t>.</w:t>
      </w:r>
    </w:p>
  </w:footnote>
  <w:footnote w:id="115">
    <w:p w14:paraId="093EE174" w14:textId="0C36BB45"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Pr>
          <w:rFonts w:cs="Times New Roman"/>
        </w:rPr>
        <w:t>II.718-20: «</w:t>
      </w:r>
      <w:r>
        <w:rPr>
          <w:rFonts w:ascii="Times Roman" w:hAnsi="Times Roman" w:cs="Times Roman"/>
          <w:kern w:val="0"/>
          <w:lang w:val="en-US" w:bidi="ar-SA"/>
        </w:rPr>
        <w:t>Ma perché tu per caso non abbia a pensare che i soli esseri animati siano legati a queste leggi (</w:t>
      </w:r>
      <w:r>
        <w:rPr>
          <w:rFonts w:ascii="Times Roman" w:hAnsi="Times Roman" w:cs="Times Roman"/>
          <w:i/>
          <w:iCs/>
          <w:kern w:val="0"/>
          <w:lang w:val="en-US" w:bidi="ar-SA"/>
        </w:rPr>
        <w:t>legibus</w:t>
      </w:r>
      <w:r>
        <w:rPr>
          <w:rFonts w:ascii="Times Roman" w:hAnsi="Times Roman" w:cs="Times Roman"/>
          <w:kern w:val="0"/>
          <w:lang w:val="en-US" w:bidi="ar-SA"/>
        </w:rPr>
        <w:t>), il medesimo principio razionale (</w:t>
      </w:r>
      <w:r>
        <w:rPr>
          <w:rFonts w:ascii="Times Roman" w:hAnsi="Times Roman" w:cs="Times Roman"/>
          <w:i/>
          <w:iCs/>
          <w:kern w:val="0"/>
          <w:lang w:val="en-US" w:bidi="ar-SA"/>
        </w:rPr>
        <w:t>ratio</w:t>
      </w:r>
      <w:r>
        <w:rPr>
          <w:rFonts w:ascii="Times Roman" w:hAnsi="Times Roman" w:cs="Times Roman"/>
          <w:kern w:val="0"/>
          <w:lang w:val="en-US" w:bidi="ar-SA"/>
        </w:rPr>
        <w:t>) limita tutte le cose</w:t>
      </w:r>
      <w:r>
        <w:rPr>
          <w:rFonts w:cs="Times New Roman"/>
        </w:rPr>
        <w:t>».</w:t>
      </w:r>
    </w:p>
  </w:footnote>
  <w:footnote w:id="116">
    <w:p w14:paraId="2A23BDB9" w14:textId="1711215C" w:rsidR="00B82712" w:rsidRPr="00FD50DA" w:rsidRDefault="00B82712" w:rsidP="000D6EF2">
      <w:pPr>
        <w:pStyle w:val="FootnoteText"/>
        <w:ind w:left="0"/>
        <w:rPr>
          <w:lang w:val="fr-FR"/>
        </w:rPr>
      </w:pPr>
      <w:r>
        <w:rPr>
          <w:rStyle w:val="FootnoteReference"/>
        </w:rPr>
        <w:footnoteRef/>
      </w:r>
      <w:r>
        <w:t xml:space="preserve"> </w:t>
      </w:r>
      <w:r>
        <w:rPr>
          <w:rFonts w:cs="Times New Roman"/>
        </w:rPr>
        <w:t>Ernout e Robin</w:t>
      </w:r>
      <w:r w:rsidRPr="006E0435">
        <w:rPr>
          <w:rFonts w:cs="Times New Roman"/>
        </w:rPr>
        <w:t>,</w:t>
      </w:r>
      <w:r>
        <w:rPr>
          <w:rFonts w:cs="Times New Roman"/>
        </w:rPr>
        <w:t xml:space="preserve"> </w:t>
      </w:r>
      <w:r>
        <w:rPr>
          <w:rFonts w:cs="Times New Roman"/>
          <w:i/>
        </w:rPr>
        <w:t>Lucrèce</w:t>
      </w:r>
      <w:r w:rsidR="00727C6D">
        <w:rPr>
          <w:rFonts w:cs="Times New Roman"/>
          <w:i/>
        </w:rPr>
        <w:t>...</w:t>
      </w:r>
      <w:r>
        <w:rPr>
          <w:rFonts w:cs="Times New Roman"/>
        </w:rPr>
        <w:t>, cit.,</w:t>
      </w:r>
      <w:r w:rsidRPr="006E0435">
        <w:rPr>
          <w:rFonts w:cs="Times New Roman"/>
        </w:rPr>
        <w:t xml:space="preserve"> </w:t>
      </w:r>
      <w:r w:rsidRPr="00275438">
        <w:rPr>
          <w:rFonts w:cs="Times New Roman"/>
          <w:i/>
        </w:rPr>
        <w:t>ad loc</w:t>
      </w:r>
      <w:r w:rsidRPr="006E0435">
        <w:rPr>
          <w:rFonts w:cs="Times New Roman"/>
        </w:rPr>
        <w:t>.</w:t>
      </w:r>
    </w:p>
  </w:footnote>
  <w:footnote w:id="117">
    <w:p w14:paraId="77616373"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Vedi </w:t>
      </w:r>
      <w:r w:rsidRPr="006E0435">
        <w:rPr>
          <w:rFonts w:cs="Times New Roman"/>
          <w:i/>
        </w:rPr>
        <w:t>infra</w:t>
      </w:r>
      <w:r w:rsidRPr="006E0435">
        <w:rPr>
          <w:rFonts w:cs="Times New Roman"/>
        </w:rPr>
        <w:t>.</w:t>
      </w:r>
    </w:p>
  </w:footnote>
  <w:footnote w:id="118">
    <w:p w14:paraId="6E312F3B" w14:textId="7077610B"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E, in particolare, il Περὶ ἀλόγου καταφρονήσεως. Cfr.</w:t>
      </w:r>
      <w:r>
        <w:rPr>
          <w:rFonts w:cs="Times New Roman"/>
        </w:rPr>
        <w:t xml:space="preserve"> </w:t>
      </w:r>
      <w:r w:rsidRPr="002B5B04">
        <w:rPr>
          <w:i/>
        </w:rPr>
        <w:t>Polystrati epicurei Peri alogou kataphroneseos libellus</w:t>
      </w:r>
      <w:r w:rsidRPr="002B5B04">
        <w:t>. Hrsg C. Wilke. B. G. Teubneri</w:t>
      </w:r>
      <w:r>
        <w:t xml:space="preserve"> Lipsiae 1905 </w:t>
      </w:r>
      <w:r>
        <w:rPr>
          <w:rFonts w:cs="Times New Roman"/>
        </w:rPr>
        <w:t>e De Lacy</w:t>
      </w:r>
      <w:r w:rsidRPr="006E0435">
        <w:rPr>
          <w:rFonts w:cs="Times New Roman"/>
        </w:rPr>
        <w:t>,</w:t>
      </w:r>
      <w:r>
        <w:rPr>
          <w:rFonts w:cs="Times New Roman"/>
        </w:rPr>
        <w:t xml:space="preserve"> </w:t>
      </w:r>
      <w:r>
        <w:rPr>
          <w:rFonts w:cs="Times New Roman"/>
          <w:i/>
        </w:rPr>
        <w:t>Limits and Variation</w:t>
      </w:r>
      <w:r>
        <w:rPr>
          <w:rFonts w:cs="Times New Roman"/>
        </w:rPr>
        <w:t>..., cit.,</w:t>
      </w:r>
      <w:r w:rsidRPr="006E0435">
        <w:rPr>
          <w:rFonts w:cs="Times New Roman"/>
        </w:rPr>
        <w:t xml:space="preserve"> p. 104 e </w:t>
      </w:r>
      <w:r w:rsidRPr="006E0435">
        <w:rPr>
          <w:rFonts w:cs="Times New Roman"/>
          <w:i/>
        </w:rPr>
        <w:t>passim</w:t>
      </w:r>
      <w:r w:rsidRPr="006E0435">
        <w:rPr>
          <w:rFonts w:cs="Times New Roman"/>
        </w:rPr>
        <w:t>. Il concetto di limiti è, per gli epicurei, lo strumento più potente per confutare la trascendenza.</w:t>
      </w:r>
    </w:p>
  </w:footnote>
  <w:footnote w:id="119">
    <w:p w14:paraId="6FEDDF65" w14:textId="3C747EEA"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J. </w:t>
      </w:r>
      <w:r w:rsidRPr="002B5B04">
        <w:t xml:space="preserve">Salem, </w:t>
      </w:r>
      <w:r w:rsidRPr="002B5B04">
        <w:rPr>
          <w:i/>
        </w:rPr>
        <w:t>Tel un dieu parmi les hommes. L’éthique d’Epicure</w:t>
      </w:r>
      <w:r>
        <w:t>,</w:t>
      </w:r>
      <w:r w:rsidRPr="002B5B04">
        <w:t xml:space="preserve"> Librairie philosophique J. Vrin</w:t>
      </w:r>
      <w:r w:rsidRPr="006E0435">
        <w:rPr>
          <w:rFonts w:cs="Times New Roman"/>
        </w:rPr>
        <w:t>,</w:t>
      </w:r>
      <w:r>
        <w:rPr>
          <w:rFonts w:cs="Times New Roman"/>
        </w:rPr>
        <w:t xml:space="preserve"> Paris </w:t>
      </w:r>
      <w:r w:rsidRPr="002B5B04">
        <w:t>1994</w:t>
      </w:r>
      <w:r>
        <w:t>,</w:t>
      </w:r>
      <w:r w:rsidRPr="006E0435">
        <w:rPr>
          <w:rFonts w:cs="Times New Roman"/>
        </w:rPr>
        <w:t xml:space="preserve"> pp</w:t>
      </w:r>
      <w:r>
        <w:rPr>
          <w:rFonts w:cs="Times New Roman"/>
        </w:rPr>
        <w:t>. 83 sgg. seguendo De Lacy</w:t>
      </w:r>
      <w:r w:rsidRPr="006E0435">
        <w:rPr>
          <w:rFonts w:cs="Times New Roman"/>
        </w:rPr>
        <w:t xml:space="preserve">, </w:t>
      </w:r>
      <w:r>
        <w:rPr>
          <w:rFonts w:cs="Times New Roman"/>
        </w:rPr>
        <w:t xml:space="preserve"> </w:t>
      </w:r>
      <w:r>
        <w:rPr>
          <w:rFonts w:cs="Times New Roman"/>
          <w:i/>
        </w:rPr>
        <w:t>Limits and Variation...</w:t>
      </w:r>
      <w:r>
        <w:rPr>
          <w:rFonts w:cs="Times New Roman"/>
        </w:rPr>
        <w:t xml:space="preserve">, cit., </w:t>
      </w:r>
      <w:r w:rsidRPr="006E0435">
        <w:rPr>
          <w:rFonts w:cs="Times New Roman"/>
        </w:rPr>
        <w:t>p. 107, Salem cita anche</w:t>
      </w:r>
      <w:r>
        <w:rPr>
          <w:rFonts w:cs="Times New Roman"/>
        </w:rPr>
        <w:t xml:space="preserve"> </w:t>
      </w:r>
      <w:r w:rsidRPr="006E0435">
        <w:rPr>
          <w:rFonts w:cs="Times New Roman"/>
        </w:rPr>
        <w:t xml:space="preserve">Phld. </w:t>
      </w:r>
      <w:r w:rsidRPr="006E0435">
        <w:rPr>
          <w:rFonts w:cs="Times New Roman"/>
          <w:i/>
        </w:rPr>
        <w:t>Sign</w:t>
      </w:r>
      <w:r>
        <w:rPr>
          <w:rFonts w:cs="Times New Roman"/>
        </w:rPr>
        <w:t>, cioè</w:t>
      </w:r>
      <w:r w:rsidRPr="006E0435">
        <w:rPr>
          <w:rFonts w:cs="Times New Roman"/>
        </w:rPr>
        <w:t xml:space="preserve"> il Περὶ σημείων καὶ σημειώ</w:t>
      </w:r>
      <w:r>
        <w:rPr>
          <w:rFonts w:cs="Times New Roman"/>
        </w:rPr>
        <w:t>σεων</w:t>
      </w:r>
      <w:r w:rsidRPr="006E0435">
        <w:rPr>
          <w:rFonts w:cs="Times New Roman"/>
        </w:rPr>
        <w:t>.</w:t>
      </w:r>
    </w:p>
  </w:footnote>
  <w:footnote w:id="120">
    <w:p w14:paraId="13A0145D" w14:textId="043E37D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See Courtès, </w:t>
      </w:r>
      <w:r>
        <w:rPr>
          <w:rFonts w:cs="Times New Roman"/>
          <w:i/>
        </w:rPr>
        <w:t>La dialectique</w:t>
      </w:r>
      <w:r>
        <w:rPr>
          <w:rFonts w:cs="Times New Roman"/>
        </w:rPr>
        <w:t>..., cit</w:t>
      </w:r>
      <w:r w:rsidRPr="006E0435">
        <w:rPr>
          <w:rFonts w:cs="Times New Roman"/>
        </w:rPr>
        <w:t>.</w:t>
      </w:r>
    </w:p>
  </w:footnote>
  <w:footnote w:id="121">
    <w:p w14:paraId="7F39F232"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w:t>
      </w:r>
      <w:r w:rsidRPr="006E0435">
        <w:rPr>
          <w:rFonts w:cs="Times New Roman"/>
          <w:i/>
        </w:rPr>
        <w:t xml:space="preserve"> </w:t>
      </w:r>
      <w:r w:rsidRPr="006E0435">
        <w:rPr>
          <w:rFonts w:cs="Times New Roman"/>
        </w:rPr>
        <w:t>IV.1209-17.</w:t>
      </w:r>
    </w:p>
  </w:footnote>
  <w:footnote w:id="122">
    <w:p w14:paraId="6D0D7421" w14:textId="232C6C36"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Cfr. Arist. </w:t>
      </w:r>
      <w:r w:rsidRPr="006E0435">
        <w:rPr>
          <w:rFonts w:cs="Times New Roman"/>
          <w:i/>
        </w:rPr>
        <w:t xml:space="preserve">GA </w:t>
      </w:r>
      <w:r w:rsidRPr="006E0435">
        <w:rPr>
          <w:rFonts w:cs="Times New Roman"/>
        </w:rPr>
        <w:t xml:space="preserve">IV.3, 767 b 10 – 13 e </w:t>
      </w:r>
      <w:r w:rsidRPr="006E0435">
        <w:rPr>
          <w:rFonts w:cs="Times New Roman"/>
          <w:i/>
        </w:rPr>
        <w:t>supra</w:t>
      </w:r>
      <w:r>
        <w:rPr>
          <w:rFonts w:cs="Times New Roman"/>
        </w:rPr>
        <w:t>. De Lacy 1969</w:t>
      </w:r>
      <w:r w:rsidRPr="006E0435">
        <w:rPr>
          <w:rFonts w:cs="Times New Roman"/>
        </w:rPr>
        <w:t>, p. 109.</w:t>
      </w:r>
    </w:p>
  </w:footnote>
  <w:footnote w:id="123">
    <w:p w14:paraId="382CFB84" w14:textId="296AA649"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De Lacy</w:t>
      </w:r>
      <w:r w:rsidRPr="006E0435">
        <w:rPr>
          <w:rFonts w:cs="Times New Roman"/>
        </w:rPr>
        <w:t>,</w:t>
      </w:r>
      <w:r>
        <w:rPr>
          <w:rFonts w:cs="Times New Roman"/>
        </w:rPr>
        <w:t xml:space="preserve"> </w:t>
      </w:r>
      <w:r>
        <w:rPr>
          <w:rFonts w:cs="Times New Roman"/>
          <w:i/>
        </w:rPr>
        <w:t>Limits and Variation...</w:t>
      </w:r>
      <w:r>
        <w:rPr>
          <w:rFonts w:cs="Times New Roman"/>
        </w:rPr>
        <w:t>, cit.,</w:t>
      </w:r>
      <w:r w:rsidRPr="006E0435">
        <w:rPr>
          <w:rFonts w:cs="Times New Roman"/>
        </w:rPr>
        <w:t xml:space="preserve"> pp. 108-9.</w:t>
      </w:r>
    </w:p>
  </w:footnote>
  <w:footnote w:id="124">
    <w:p w14:paraId="30B9D597"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 V.310.</w:t>
      </w:r>
    </w:p>
  </w:footnote>
  <w:footnote w:id="125">
    <w:p w14:paraId="6443C524" w14:textId="7868E7F0" w:rsidR="00B82712" w:rsidRPr="00EE7B92"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Pr>
          <w:rFonts w:cs="Times New Roman"/>
        </w:rPr>
        <w:t xml:space="preserve">Cic. </w:t>
      </w:r>
      <w:r>
        <w:rPr>
          <w:rFonts w:cs="Times New Roman"/>
          <w:i/>
        </w:rPr>
        <w:t xml:space="preserve">Scaur. </w:t>
      </w:r>
      <w:r>
        <w:rPr>
          <w:rFonts w:cs="Times New Roman"/>
        </w:rPr>
        <w:t>5: «[Pitagora e Platone] celebrano sí la morte, non senza però affermare che non è lecito fuggire la vita e che ciò è contrario al contratto e alla legge di natura [</w:t>
      </w:r>
      <w:r>
        <w:rPr>
          <w:rFonts w:cs="Times New Roman"/>
          <w:i/>
        </w:rPr>
        <w:t>contra foedus legemque naturae</w:t>
      </w:r>
      <w:r>
        <w:rPr>
          <w:rFonts w:cs="Times New Roman"/>
        </w:rPr>
        <w:t>]».</w:t>
      </w:r>
    </w:p>
  </w:footnote>
  <w:footnote w:id="126">
    <w:p w14:paraId="16EED444"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Ou. </w:t>
      </w:r>
      <w:r w:rsidRPr="006E0435">
        <w:rPr>
          <w:rFonts w:cs="Times New Roman"/>
          <w:i/>
        </w:rPr>
        <w:t>Met</w:t>
      </w:r>
      <w:r w:rsidRPr="006E0435">
        <w:rPr>
          <w:rFonts w:cs="Times New Roman"/>
        </w:rPr>
        <w:t>., V.532. In Ovidio è spesso esplicito il significato di un comando o di un ordine convogliato da questo concetto.</w:t>
      </w:r>
    </w:p>
  </w:footnote>
  <w:footnote w:id="127">
    <w:p w14:paraId="6351F48A" w14:textId="45A45F64"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Manil. II.62.</w:t>
      </w:r>
    </w:p>
  </w:footnote>
  <w:footnote w:id="128">
    <w:p w14:paraId="5A1F490B"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Manil. I.492-3.</w:t>
      </w:r>
    </w:p>
  </w:footnote>
  <w:footnote w:id="129">
    <w:p w14:paraId="7D420EF2" w14:textId="77777777"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Lucr. V.849.</w:t>
      </w:r>
    </w:p>
  </w:footnote>
  <w:footnote w:id="130">
    <w:p w14:paraId="6A4465F4" w14:textId="6F5E3DD1"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È interessante che Moreau</w:t>
      </w:r>
      <w:r w:rsidRPr="006E0435">
        <w:rPr>
          <w:rFonts w:cs="Times New Roman"/>
        </w:rPr>
        <w:t>,</w:t>
      </w:r>
      <w:r>
        <w:rPr>
          <w:rFonts w:cs="Times New Roman"/>
        </w:rPr>
        <w:t xml:space="preserve"> </w:t>
      </w:r>
      <w:r w:rsidRPr="002B5B04">
        <w:rPr>
          <w:rFonts w:cs="Times New Roman"/>
          <w:i/>
        </w:rPr>
        <w:t>Le mécanisme épicurien</w:t>
      </w:r>
      <w:r>
        <w:rPr>
          <w:rFonts w:cs="Times New Roman"/>
          <w:i/>
        </w:rPr>
        <w:t>...</w:t>
      </w:r>
      <w:r>
        <w:rPr>
          <w:rFonts w:cs="Times New Roman"/>
        </w:rPr>
        <w:t>, cit.,</w:t>
      </w:r>
      <w:r w:rsidRPr="006E0435">
        <w:rPr>
          <w:rFonts w:cs="Times New Roman"/>
        </w:rPr>
        <w:t xml:space="preserve"> p. 474, parli dell’abitudine della natura di riprodurre se stessa in modo regolare. La natura “si abitua” a qualcosa (e si</w:t>
      </w:r>
      <w:r>
        <w:rPr>
          <w:rFonts w:cs="Times New Roman"/>
        </w:rPr>
        <w:t xml:space="preserve"> libera</w:t>
      </w:r>
      <w:r w:rsidRPr="006E0435">
        <w:rPr>
          <w:rFonts w:cs="Times New Roman"/>
        </w:rPr>
        <w:t xml:space="preserve"> di qualcos’altro) e questa è la sua unica legge. </w:t>
      </w:r>
    </w:p>
  </w:footnote>
  <w:footnote w:id="131">
    <w:p w14:paraId="5D082E36" w14:textId="3B0D631B"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Si veda anche Costa,</w:t>
      </w:r>
      <w:r>
        <w:rPr>
          <w:rFonts w:cs="Times New Roman"/>
        </w:rPr>
        <w:t xml:space="preserve"> in Lucretius,</w:t>
      </w:r>
      <w:r w:rsidR="00C87D15">
        <w:rPr>
          <w:rFonts w:cs="Times New Roman"/>
        </w:rPr>
        <w:t xml:space="preserve"> </w:t>
      </w:r>
      <w:r w:rsidR="00C87D15">
        <w:rPr>
          <w:rFonts w:cs="Times New Roman"/>
          <w:i/>
        </w:rPr>
        <w:t>De rerum natura</w:t>
      </w:r>
      <w:r w:rsidR="00C87D15">
        <w:rPr>
          <w:rFonts w:cs="Times New Roman"/>
        </w:rPr>
        <w:t>, cit.</w:t>
      </w:r>
      <w:r w:rsidRPr="006E0435">
        <w:rPr>
          <w:rFonts w:cs="Times New Roman"/>
        </w:rPr>
        <w:t xml:space="preserve"> p. 104.</w:t>
      </w:r>
    </w:p>
  </w:footnote>
  <w:footnote w:id="132">
    <w:p w14:paraId="1DE1AF07" w14:textId="7538C89C"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Si veda Boyancé</w:t>
      </w:r>
      <w:r w:rsidRPr="006E0435">
        <w:rPr>
          <w:rFonts w:cs="Times New Roman"/>
        </w:rPr>
        <w:t>,</w:t>
      </w:r>
      <w:r>
        <w:rPr>
          <w:rFonts w:cs="Times New Roman"/>
        </w:rPr>
        <w:t xml:space="preserve"> </w:t>
      </w:r>
      <w:r w:rsidRPr="002B5B04">
        <w:rPr>
          <w:i/>
        </w:rPr>
        <w:t>Lucrèce et l’épicurisme</w:t>
      </w:r>
      <w:r>
        <w:rPr>
          <w:i/>
        </w:rPr>
        <w:t>...</w:t>
      </w:r>
      <w:r>
        <w:t>, cit.,</w:t>
      </w:r>
      <w:r w:rsidRPr="006E0435">
        <w:rPr>
          <w:rFonts w:cs="Times New Roman"/>
        </w:rPr>
        <w:t xml:space="preserve"> </w:t>
      </w:r>
      <w:r w:rsidRPr="006E0435">
        <w:rPr>
          <w:rFonts w:cs="Times New Roman"/>
          <w:i/>
        </w:rPr>
        <w:t>passim</w:t>
      </w:r>
      <w:r>
        <w:rPr>
          <w:rFonts w:cs="Times New Roman"/>
        </w:rPr>
        <w:t>. Si vedano anche Morgan</w:t>
      </w:r>
      <w:r w:rsidRPr="006E0435">
        <w:rPr>
          <w:rFonts w:cs="Times New Roman"/>
        </w:rPr>
        <w:t>,</w:t>
      </w:r>
      <w:r w:rsidR="00C87D15">
        <w:rPr>
          <w:rFonts w:cs="Times New Roman"/>
        </w:rPr>
        <w:t xml:space="preserve"> </w:t>
      </w:r>
      <w:r w:rsidR="00C87D15">
        <w:rPr>
          <w:rFonts w:cs="Times New Roman"/>
          <w:i/>
        </w:rPr>
        <w:t>Constructing the Monster...</w:t>
      </w:r>
      <w:r w:rsidR="00C87D15">
        <w:rPr>
          <w:rFonts w:cs="Times New Roman"/>
        </w:rPr>
        <w:t>, cit.,</w:t>
      </w:r>
      <w:r w:rsidRPr="006E0435">
        <w:rPr>
          <w:rFonts w:cs="Times New Roman"/>
        </w:rPr>
        <w:t xml:space="preserve"> p. 110 e </w:t>
      </w:r>
      <w:r w:rsidRPr="006E0435">
        <w:rPr>
          <w:rFonts w:cs="Times New Roman"/>
          <w:i/>
        </w:rPr>
        <w:t>passim</w:t>
      </w:r>
      <w:r w:rsidRPr="006E0435">
        <w:rPr>
          <w:rFonts w:cs="Times New Roman"/>
        </w:rPr>
        <w:t>.</w:t>
      </w:r>
    </w:p>
  </w:footnote>
  <w:footnote w:id="133">
    <w:p w14:paraId="7604581C" w14:textId="521032C2"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G. Droz-Vincent, </w:t>
      </w:r>
      <w:r w:rsidRPr="006E0435">
        <w:rPr>
          <w:rFonts w:cs="Times New Roman"/>
          <w:i/>
        </w:rPr>
        <w:t xml:space="preserve">Les </w:t>
      </w:r>
      <w:r w:rsidRPr="006E0435">
        <w:rPr>
          <w:rFonts w:cs="Times New Roman"/>
        </w:rPr>
        <w:t xml:space="preserve">foedera naturae </w:t>
      </w:r>
      <w:r w:rsidRPr="006E0435">
        <w:rPr>
          <w:rFonts w:cs="Times New Roman"/>
          <w:i/>
        </w:rPr>
        <w:t>chez Lucrèce</w:t>
      </w:r>
      <w:r w:rsidR="00C87D15">
        <w:rPr>
          <w:rFonts w:cs="Times New Roman"/>
        </w:rPr>
        <w:t xml:space="preserve">..., cit., </w:t>
      </w:r>
      <w:r w:rsidRPr="006E0435">
        <w:rPr>
          <w:rFonts w:cs="Times New Roman"/>
        </w:rPr>
        <w:t>pp.191-211.</w:t>
      </w:r>
    </w:p>
  </w:footnote>
  <w:footnote w:id="134">
    <w:p w14:paraId="1FB52FB2" w14:textId="33D2CB94" w:rsidR="00B82712" w:rsidRPr="006E0435" w:rsidRDefault="00B82712" w:rsidP="000D6EF2">
      <w:pPr>
        <w:pStyle w:val="FootnoteText"/>
        <w:ind w:left="0"/>
        <w:rPr>
          <w:rFonts w:cs="Times New Roman"/>
        </w:rPr>
      </w:pPr>
      <w:r w:rsidRPr="006E0435">
        <w:rPr>
          <w:rStyle w:val="Caratterinotaapidipagina"/>
          <w:rFonts w:cs="Times New Roman"/>
        </w:rPr>
        <w:footnoteRef/>
      </w:r>
      <w:r w:rsidRPr="006E0435">
        <w:rPr>
          <w:rFonts w:cs="Times New Roman"/>
        </w:rPr>
        <w:t xml:space="preserve"> </w:t>
      </w:r>
      <w:r>
        <w:rPr>
          <w:rFonts w:cs="Times New Roman"/>
        </w:rPr>
        <w:t>Ivi</w:t>
      </w:r>
      <w:r w:rsidRPr="006E0435">
        <w:rPr>
          <w:rFonts w:cs="Times New Roman"/>
        </w:rPr>
        <w:t>, p. 210.</w:t>
      </w:r>
    </w:p>
  </w:footnote>
  <w:footnote w:id="135">
    <w:p w14:paraId="04F38D85" w14:textId="33422458" w:rsidR="00B82712" w:rsidRPr="006E0435" w:rsidRDefault="00B82712" w:rsidP="000D6EF2">
      <w:pPr>
        <w:pStyle w:val="FootnoteText"/>
        <w:ind w:left="0"/>
        <w:rPr>
          <w:rFonts w:cs="Times New Roman"/>
        </w:rPr>
      </w:pPr>
      <w:r w:rsidRPr="006E0435">
        <w:rPr>
          <w:rStyle w:val="Caratterinotaapidipagina"/>
          <w:rFonts w:cs="Times New Roman"/>
        </w:rPr>
        <w:footnoteRef/>
      </w:r>
      <w:r>
        <w:rPr>
          <w:rFonts w:cs="Times New Roman"/>
        </w:rPr>
        <w:t xml:space="preserve"> Seguendo </w:t>
      </w:r>
      <w:r w:rsidR="00C87D15">
        <w:rPr>
          <w:rFonts w:cs="Times New Roman"/>
        </w:rPr>
        <w:t xml:space="preserve">P. </w:t>
      </w:r>
      <w:r w:rsidR="00C87D15" w:rsidRPr="002B5B04">
        <w:t xml:space="preserve">Mesnard, </w:t>
      </w:r>
      <w:r w:rsidR="00C87D15" w:rsidRPr="002B5B04">
        <w:rPr>
          <w:i/>
        </w:rPr>
        <w:t>Antifinalisme et finalité chez Lucrèce</w:t>
      </w:r>
      <w:r w:rsidR="00C87D15">
        <w:t>, «</w:t>
      </w:r>
      <w:r w:rsidR="00C87D15" w:rsidRPr="002B5B04">
        <w:t>Revue des Sciences Humaines</w:t>
      </w:r>
      <w:r w:rsidR="00C87D15">
        <w:t>»,</w:t>
      </w:r>
      <w:r w:rsidR="00C87D15" w:rsidRPr="002B5B04">
        <w:t> 46</w:t>
      </w:r>
      <w:r w:rsidR="00C87D15">
        <w:t xml:space="preserve">, </w:t>
      </w:r>
      <w:r w:rsidR="00C87D15" w:rsidRPr="002B5B04">
        <w:t>1947</w:t>
      </w:r>
      <w:r w:rsidR="00C87D15">
        <w:t>, pp.</w:t>
      </w:r>
      <w:r w:rsidR="00C87D15" w:rsidRPr="002B5B04">
        <w:t xml:space="preserve"> 97-116</w:t>
      </w:r>
      <w:r w:rsidRPr="006E0435">
        <w:rPr>
          <w:rFonts w:cs="Times New Roman"/>
        </w:rPr>
        <w:t xml:space="preserve">. </w:t>
      </w:r>
      <w:r w:rsidRPr="006E0435">
        <w:rPr>
          <w:rFonts w:cs="Times New Roman"/>
          <w:i/>
        </w:rPr>
        <w:t xml:space="preserve">Contra </w:t>
      </w:r>
      <w:r>
        <w:rPr>
          <w:rFonts w:cs="Times New Roman"/>
        </w:rPr>
        <w:t>Casini</w:t>
      </w:r>
      <w:r w:rsidR="00C87D15">
        <w:rPr>
          <w:rFonts w:cs="Times New Roman"/>
        </w:rPr>
        <w:t xml:space="preserve">, </w:t>
      </w:r>
      <w:r w:rsidR="00C87D15">
        <w:rPr>
          <w:rFonts w:cs="Times New Roman"/>
          <w:i/>
        </w:rPr>
        <w:t>Zoogonia...</w:t>
      </w:r>
      <w:r w:rsidR="00C87D15">
        <w:rPr>
          <w:rFonts w:cs="Times New Roman"/>
        </w:rPr>
        <w:t>, cit</w:t>
      </w:r>
      <w:r w:rsidRPr="006E0435">
        <w:rPr>
          <w:rFonts w:cs="Times New Roman"/>
        </w:rPr>
        <w:t>.</w:t>
      </w:r>
    </w:p>
  </w:footnote>
  <w:footnote w:id="136">
    <w:p w14:paraId="084CD585" w14:textId="0920AEC6" w:rsidR="00B82712" w:rsidRPr="001A2ACD" w:rsidRDefault="00B82712" w:rsidP="000D6EF2">
      <w:pPr>
        <w:pStyle w:val="FootnoteText"/>
        <w:ind w:left="0"/>
        <w:rPr>
          <w:lang w:val="fr-FR"/>
        </w:rPr>
      </w:pPr>
      <w:r>
        <w:rPr>
          <w:rStyle w:val="FootnoteReference"/>
        </w:rPr>
        <w:footnoteRef/>
      </w:r>
      <w:r>
        <w:t xml:space="preserve"> </w:t>
      </w:r>
      <w:r w:rsidRPr="006E0435">
        <w:rPr>
          <w:rFonts w:cs="Times New Roman"/>
        </w:rPr>
        <w:t>Lucr. IV.825-42.</w:t>
      </w:r>
    </w:p>
  </w:footnote>
  <w:footnote w:id="137">
    <w:p w14:paraId="0EDA489C" w14:textId="23A75D96" w:rsidR="00B82712" w:rsidRPr="006E0435" w:rsidRDefault="00B82712" w:rsidP="000D6EF2">
      <w:pPr>
        <w:pStyle w:val="FootnoteText"/>
        <w:ind w:left="0"/>
        <w:rPr>
          <w:rFonts w:cs="Times New Roman"/>
        </w:rPr>
      </w:pPr>
      <w:r w:rsidRPr="006E0435">
        <w:rPr>
          <w:rStyle w:val="Caratterinotaapidipagina"/>
          <w:rFonts w:cs="Times New Roman"/>
        </w:rPr>
        <w:footnoteRef/>
      </w:r>
      <w:r w:rsidR="00C87D15">
        <w:rPr>
          <w:rFonts w:cs="Times New Roman"/>
        </w:rPr>
        <w:t xml:space="preserve"> Casini, </w:t>
      </w:r>
      <w:r w:rsidR="00C87D15">
        <w:rPr>
          <w:rFonts w:cs="Times New Roman"/>
          <w:i/>
        </w:rPr>
        <w:t>Zoogonia...</w:t>
      </w:r>
      <w:r w:rsidR="00C87D15">
        <w:rPr>
          <w:rFonts w:cs="Times New Roman"/>
        </w:rPr>
        <w:t xml:space="preserve">, cit., </w:t>
      </w:r>
      <w:r w:rsidRPr="006E0435">
        <w:rPr>
          <w:rFonts w:cs="Times New Roman"/>
        </w:rPr>
        <w:t>sottolinea la natura anti-aristotelica di questa tesi così come la sua fedeltà vis-à-vis il nodo centrale della dottrina i</w:t>
      </w:r>
      <w:r>
        <w:rPr>
          <w:rFonts w:cs="Times New Roman"/>
        </w:rPr>
        <w:t xml:space="preserve">n Diodoro I,7 ed Epicuro </w:t>
      </w:r>
      <w:r w:rsidRPr="001A2ACD">
        <w:rPr>
          <w:rFonts w:cs="Times New Roman"/>
          <w:i/>
        </w:rPr>
        <w:t>ad</w:t>
      </w:r>
      <w:r w:rsidRPr="006E0435">
        <w:rPr>
          <w:rFonts w:cs="Times New Roman"/>
          <w:i/>
        </w:rPr>
        <w:t xml:space="preserve"> Herodotus</w:t>
      </w:r>
      <w:r w:rsidRPr="006E0435">
        <w:rPr>
          <w:rFonts w:cs="Times New Roman"/>
        </w:rPr>
        <w:t xml:space="preserve">, </w:t>
      </w:r>
      <w:r w:rsidRPr="006E0435">
        <w:rPr>
          <w:rFonts w:cs="Times New Roman"/>
          <w:i/>
        </w:rPr>
        <w:t xml:space="preserve">Ep. </w:t>
      </w:r>
      <w:r w:rsidRPr="006E0435">
        <w:rPr>
          <w:rFonts w:cs="Times New Roman"/>
        </w:rPr>
        <w:t xml:space="preserve">73-6. In questo concordi con la teleologia aristotelica, anche gli stoici sono presi di mira da Lucrezio. </w:t>
      </w:r>
      <w:r w:rsidRPr="006E0435">
        <w:rPr>
          <w:rFonts w:cs="Times New Roman"/>
          <w:i/>
        </w:rPr>
        <w:t>Contra</w:t>
      </w:r>
      <w:r w:rsidRPr="006E0435">
        <w:rPr>
          <w:rFonts w:cs="Times New Roman"/>
        </w:rPr>
        <w:t xml:space="preserve"> Schrijvers, </w:t>
      </w:r>
      <w:r w:rsidRPr="006E0435">
        <w:rPr>
          <w:rFonts w:cs="Times New Roman"/>
          <w:i/>
        </w:rPr>
        <w:t xml:space="preserve">L’homme et l’animal in the </w:t>
      </w:r>
      <w:r w:rsidRPr="006E0435">
        <w:rPr>
          <w:rFonts w:cs="Times New Roman"/>
        </w:rPr>
        <w:t>De rerum natura, in</w:t>
      </w:r>
      <w:r>
        <w:rPr>
          <w:rFonts w:cs="Times New Roman"/>
        </w:rPr>
        <w:t xml:space="preserve"> </w:t>
      </w:r>
      <w:r w:rsidR="00C87D15">
        <w:rPr>
          <w:rFonts w:cs="Times New Roman"/>
        </w:rPr>
        <w:t xml:space="preserve">K. </w:t>
      </w:r>
      <w:r w:rsidR="00C87D15" w:rsidRPr="002B5B04">
        <w:t xml:space="preserve">Algra, </w:t>
      </w:r>
      <w:r w:rsidR="00C87D15">
        <w:t xml:space="preserve">M. H. </w:t>
      </w:r>
      <w:r w:rsidR="00C87D15" w:rsidRPr="002B5B04">
        <w:t xml:space="preserve">Koenen, </w:t>
      </w:r>
      <w:r w:rsidR="00C87D15">
        <w:t xml:space="preserve">P. H. </w:t>
      </w:r>
      <w:r w:rsidR="00C87D15" w:rsidRPr="002B5B04">
        <w:t>Schrijvers,</w:t>
      </w:r>
      <w:r w:rsidR="00C87D15">
        <w:t xml:space="preserve"> eds.</w:t>
      </w:r>
      <w:r w:rsidR="00C87D15" w:rsidRPr="002B5B04">
        <w:t xml:space="preserve"> </w:t>
      </w:r>
      <w:r w:rsidR="00C87D15" w:rsidRPr="002B5B04">
        <w:rPr>
          <w:i/>
        </w:rPr>
        <w:t>Lucretius and his intellectual background</w:t>
      </w:r>
      <w:r w:rsidR="00C87D15" w:rsidRPr="002B5B04">
        <w:t>. Royal Netherland Academy of Arts and Sciences</w:t>
      </w:r>
      <w:r w:rsidRPr="006E0435">
        <w:rPr>
          <w:rFonts w:cs="Times New Roman"/>
        </w:rPr>
        <w:t>,</w:t>
      </w:r>
      <w:r w:rsidR="00C87D15">
        <w:rPr>
          <w:rFonts w:cs="Times New Roman"/>
        </w:rPr>
        <w:t xml:space="preserve"> Amsterdam </w:t>
      </w:r>
      <w:r w:rsidR="00C87D15" w:rsidRPr="002B5B04">
        <w:t>1997</w:t>
      </w:r>
      <w:r w:rsidR="00C87D15">
        <w:t>,</w:t>
      </w:r>
      <w:r w:rsidRPr="006E0435">
        <w:rPr>
          <w:rFonts w:cs="Times New Roman"/>
        </w:rPr>
        <w:t xml:space="preserve"> pp. 151-61, che ritiene si dovrebbero intepretare diversamente le spiegazioni finaliste e anti-finaliste in Lucrezio, in quanto un certo tipo di finalismo, per lo meno negli umoini, risulta dalla loro iniziale formazione a partire dal caso. Su</w:t>
      </w:r>
      <w:r>
        <w:rPr>
          <w:rFonts w:cs="Times New Roman"/>
        </w:rPr>
        <w:t xml:space="preserve"> Lucrezio e Diodoro si vedano anche Woltjer, </w:t>
      </w:r>
      <w:r>
        <w:rPr>
          <w:rFonts w:cs="Times New Roman"/>
          <w:i/>
        </w:rPr>
        <w:t>Lucretii philosophia...</w:t>
      </w:r>
      <w:r>
        <w:rPr>
          <w:rFonts w:cs="Times New Roman"/>
        </w:rPr>
        <w:t>, cit., e Spoerri</w:t>
      </w:r>
      <w:r w:rsidR="00C87D15">
        <w:rPr>
          <w:rFonts w:cs="Times New Roman"/>
        </w:rPr>
        <w:t xml:space="preserve">, </w:t>
      </w:r>
      <w:r w:rsidR="00C87D15" w:rsidRPr="002B5B04">
        <w:rPr>
          <w:i/>
        </w:rPr>
        <w:t>Späthellenistische Berichte</w:t>
      </w:r>
      <w:r w:rsidR="00C87D15">
        <w:t>..., cit</w:t>
      </w:r>
      <w:r w:rsidRPr="006E0435">
        <w:rPr>
          <w:rFonts w:cs="Times New Roman"/>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7D53EF"/>
    <w:multiLevelType w:val="multilevel"/>
    <w:tmpl w:val="A22E5084"/>
    <w:lvl w:ilvl="0">
      <w:start w:val="1"/>
      <w:numFmt w:val="decimal"/>
      <w:lvlText w:val="%1."/>
      <w:lvlJc w:val="left"/>
      <w:pPr>
        <w:tabs>
          <w:tab w:val="num" w:pos="397"/>
        </w:tabs>
        <w:ind w:left="754" w:hanging="397"/>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1">
    <w:nsid w:val="54354DD9"/>
    <w:multiLevelType w:val="multilevel"/>
    <w:tmpl w:val="6D80344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defaultTabStop w:val="709"/>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0315"/>
    <w:rsid w:val="000021F4"/>
    <w:rsid w:val="0002397D"/>
    <w:rsid w:val="00045DD8"/>
    <w:rsid w:val="00054EA9"/>
    <w:rsid w:val="000816CA"/>
    <w:rsid w:val="000A78C5"/>
    <w:rsid w:val="000C427C"/>
    <w:rsid w:val="000D6EF2"/>
    <w:rsid w:val="000F11C0"/>
    <w:rsid w:val="000F2EA2"/>
    <w:rsid w:val="001035F0"/>
    <w:rsid w:val="00132AB5"/>
    <w:rsid w:val="0014158F"/>
    <w:rsid w:val="00175089"/>
    <w:rsid w:val="0017548C"/>
    <w:rsid w:val="00184C75"/>
    <w:rsid w:val="00185DB2"/>
    <w:rsid w:val="00196B24"/>
    <w:rsid w:val="001A2ACD"/>
    <w:rsid w:val="001F33DF"/>
    <w:rsid w:val="001F6BF0"/>
    <w:rsid w:val="001F7AC4"/>
    <w:rsid w:val="002179FA"/>
    <w:rsid w:val="00223CB8"/>
    <w:rsid w:val="00236EB8"/>
    <w:rsid w:val="002565DC"/>
    <w:rsid w:val="00275438"/>
    <w:rsid w:val="00291DB2"/>
    <w:rsid w:val="00294CD1"/>
    <w:rsid w:val="002B27FB"/>
    <w:rsid w:val="002D2ED1"/>
    <w:rsid w:val="00300CD6"/>
    <w:rsid w:val="00313AF3"/>
    <w:rsid w:val="0032163C"/>
    <w:rsid w:val="0037693A"/>
    <w:rsid w:val="003C5A47"/>
    <w:rsid w:val="003F1A00"/>
    <w:rsid w:val="003F694E"/>
    <w:rsid w:val="00401795"/>
    <w:rsid w:val="00404901"/>
    <w:rsid w:val="004456F0"/>
    <w:rsid w:val="004871FF"/>
    <w:rsid w:val="00493DFC"/>
    <w:rsid w:val="004A0ACF"/>
    <w:rsid w:val="004B4167"/>
    <w:rsid w:val="004C3082"/>
    <w:rsid w:val="004F2210"/>
    <w:rsid w:val="00513C53"/>
    <w:rsid w:val="00577C0E"/>
    <w:rsid w:val="005A0AF2"/>
    <w:rsid w:val="005F6658"/>
    <w:rsid w:val="0061777A"/>
    <w:rsid w:val="00637526"/>
    <w:rsid w:val="00650B7A"/>
    <w:rsid w:val="00656876"/>
    <w:rsid w:val="006D7BA2"/>
    <w:rsid w:val="006E0435"/>
    <w:rsid w:val="0071403E"/>
    <w:rsid w:val="00727C6D"/>
    <w:rsid w:val="00753D19"/>
    <w:rsid w:val="0076672D"/>
    <w:rsid w:val="007A6F98"/>
    <w:rsid w:val="007B08D4"/>
    <w:rsid w:val="007E3331"/>
    <w:rsid w:val="007F32F6"/>
    <w:rsid w:val="008415ED"/>
    <w:rsid w:val="00856099"/>
    <w:rsid w:val="008B0BCA"/>
    <w:rsid w:val="008B18A6"/>
    <w:rsid w:val="008C2E37"/>
    <w:rsid w:val="00906901"/>
    <w:rsid w:val="00906A9D"/>
    <w:rsid w:val="00916687"/>
    <w:rsid w:val="009835C9"/>
    <w:rsid w:val="009A5305"/>
    <w:rsid w:val="009A6259"/>
    <w:rsid w:val="009B4677"/>
    <w:rsid w:val="009C7B5E"/>
    <w:rsid w:val="009D6EAA"/>
    <w:rsid w:val="009E3D58"/>
    <w:rsid w:val="009E5BBA"/>
    <w:rsid w:val="009F5D4B"/>
    <w:rsid w:val="00A14345"/>
    <w:rsid w:val="00A81FCC"/>
    <w:rsid w:val="00A915AD"/>
    <w:rsid w:val="00AD78D5"/>
    <w:rsid w:val="00AE1F1A"/>
    <w:rsid w:val="00B54ECF"/>
    <w:rsid w:val="00B65EC8"/>
    <w:rsid w:val="00B7245E"/>
    <w:rsid w:val="00B7256D"/>
    <w:rsid w:val="00B82712"/>
    <w:rsid w:val="00BF6DEA"/>
    <w:rsid w:val="00C60F60"/>
    <w:rsid w:val="00C87D15"/>
    <w:rsid w:val="00CB7772"/>
    <w:rsid w:val="00CC1A08"/>
    <w:rsid w:val="00CC3695"/>
    <w:rsid w:val="00CD5F1C"/>
    <w:rsid w:val="00CE48FA"/>
    <w:rsid w:val="00D4661F"/>
    <w:rsid w:val="00D915F7"/>
    <w:rsid w:val="00D94090"/>
    <w:rsid w:val="00D9468E"/>
    <w:rsid w:val="00E10315"/>
    <w:rsid w:val="00E26B7C"/>
    <w:rsid w:val="00E50DCF"/>
    <w:rsid w:val="00E72D6C"/>
    <w:rsid w:val="00EC7AFB"/>
    <w:rsid w:val="00EE7B92"/>
    <w:rsid w:val="00EF25C3"/>
    <w:rsid w:val="00F205C5"/>
    <w:rsid w:val="00F3289F"/>
    <w:rsid w:val="00F9470D"/>
    <w:rsid w:val="00FC53ED"/>
    <w:rsid w:val="00FD50DA"/>
    <w:rsid w:val="00FD5C4C"/>
    <w:rsid w:val="00FF1F6D"/>
    <w:rsid w:val="00FF73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362B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oto Serif CJK SC" w:hAnsi="Liberation Serif" w:cs="FreeSans"/>
        <w:kern w:val="2"/>
        <w:sz w:val="24"/>
        <w:szCs w:val="24"/>
        <w:lang w:val="it-IT" w:eastAsia="zh-CN" w:bidi="hi-IN"/>
      </w:rPr>
    </w:rPrDefault>
    <w:pPrDefault>
      <w:pPr>
        <w:suppressAutoHyphens/>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ratteridinumerazione">
    <w:name w:val="Caratteri di numerazione"/>
    <w:qFormat/>
  </w:style>
  <w:style w:type="character" w:customStyle="1" w:styleId="Numeronotaapipaginamot">
    <w:name w:val="Numero nota a piè pagina_mot"/>
    <w:basedOn w:val="Caratterinotaapidipagina"/>
    <w:qFormat/>
    <w:rPr>
      <w:sz w:val="21"/>
      <w:vertAlign w:val="superscript"/>
    </w:rPr>
  </w:style>
  <w:style w:type="character" w:customStyle="1" w:styleId="Caratterinotaapidipagina">
    <w:name w:val="Caratteri nota a piè di pagina"/>
    <w:qFormat/>
  </w:style>
  <w:style w:type="character" w:customStyle="1" w:styleId="Numeronotacorpotestomot">
    <w:name w:val="Numero nota corpo testo_mot"/>
    <w:basedOn w:val="Richiamoallanotaapidipagina"/>
    <w:qFormat/>
    <w:rPr>
      <w:vertAlign w:val="superscript"/>
    </w:rPr>
  </w:style>
  <w:style w:type="character" w:customStyle="1" w:styleId="Richiamoallanotaapidipagina">
    <w:name w:val="Richiamo alla nota a piè di pagina"/>
    <w:rPr>
      <w:vertAlign w:val="superscript"/>
    </w:rPr>
  </w:style>
  <w:style w:type="character" w:customStyle="1" w:styleId="Numerodipagina">
    <w:name w:val="Numero di pagina"/>
  </w:style>
  <w:style w:type="character" w:customStyle="1" w:styleId="Numeropaginamot">
    <w:name w:val="Numero pagina mot"/>
    <w:basedOn w:val="Numerodipagina"/>
    <w:qFormat/>
    <w:rPr>
      <w:sz w:val="21"/>
    </w:rPr>
  </w:style>
  <w:style w:type="character" w:customStyle="1" w:styleId="FootnoteCharacters">
    <w:name w:val="Footnote Characters"/>
    <w:qFormat/>
    <w:rPr>
      <w:vertAlign w:val="superscript"/>
    </w:rPr>
  </w:style>
  <w:style w:type="character" w:customStyle="1" w:styleId="Caratterinotadichiusura">
    <w:name w:val="Caratteri nota di chiusura"/>
    <w:qFormat/>
  </w:style>
  <w:style w:type="character" w:customStyle="1" w:styleId="Richiamoallanotadichiusura">
    <w:name w:val="Richiamo alla nota di chiusura"/>
    <w:rPr>
      <w:vertAlign w:val="superscript"/>
    </w:rPr>
  </w:style>
  <w:style w:type="paragraph" w:customStyle="1" w:styleId="Titolo">
    <w:name w:val="Titolo"/>
    <w:basedOn w:val="Normal"/>
    <w:next w:val="BodyText"/>
    <w:qFormat/>
    <w:pPr>
      <w:keepNext/>
      <w:spacing w:before="240" w:after="120"/>
    </w:pPr>
    <w:rPr>
      <w:rFonts w:ascii="Liberation Sans" w:eastAsia="Noto Sans CJK SC" w:hAnsi="Liberation Sans"/>
      <w:sz w:val="28"/>
      <w:szCs w:val="28"/>
    </w:rPr>
  </w:style>
  <w:style w:type="paragraph" w:styleId="BodyText">
    <w:name w:val="Body Text"/>
    <w:basedOn w:val="Normal"/>
    <w:pPr>
      <w:spacing w:line="276" w:lineRule="auto"/>
      <w:ind w:firstLine="210"/>
      <w:jc w:val="both"/>
    </w:pPr>
    <w:rPr>
      <w:rFonts w:ascii="Times New Roman" w:hAnsi="Times New Roman"/>
    </w:r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ice">
    <w:name w:val="Indice"/>
    <w:basedOn w:val="Normal"/>
    <w:qFormat/>
    <w:pPr>
      <w:suppressLineNumbers/>
    </w:pPr>
  </w:style>
  <w:style w:type="paragraph" w:customStyle="1" w:styleId="Intestazioneepidipagina">
    <w:name w:val="Intestazione e piè di pagina"/>
    <w:basedOn w:val="Normal"/>
    <w:qFormat/>
    <w:pPr>
      <w:suppressLineNumbers/>
      <w:tabs>
        <w:tab w:val="center" w:pos="4819"/>
        <w:tab w:val="right" w:pos="9638"/>
      </w:tabs>
    </w:pPr>
  </w:style>
  <w:style w:type="paragraph" w:styleId="Footer">
    <w:name w:val="footer"/>
    <w:basedOn w:val="Intestazioneepidipagina"/>
  </w:style>
  <w:style w:type="paragraph" w:styleId="Title">
    <w:name w:val="Title"/>
    <w:basedOn w:val="Titolo"/>
    <w:next w:val="BodyText"/>
    <w:qFormat/>
    <w:pPr>
      <w:jc w:val="center"/>
    </w:pPr>
    <w:rPr>
      <w:i/>
      <w:sz w:val="56"/>
      <w:szCs w:val="56"/>
    </w:rPr>
  </w:style>
  <w:style w:type="paragraph" w:customStyle="1" w:styleId="Titolomot">
    <w:name w:val="Titolo_mot"/>
    <w:basedOn w:val="Title"/>
    <w:qFormat/>
    <w:pPr>
      <w:spacing w:after="184"/>
    </w:pPr>
    <w:rPr>
      <w:rFonts w:ascii="Liberation Serif" w:hAnsi="Liberation Serif"/>
      <w:sz w:val="44"/>
    </w:rPr>
  </w:style>
  <w:style w:type="paragraph" w:customStyle="1" w:styleId="Sottotitolomot">
    <w:name w:val="Sottotitolo_mot"/>
    <w:basedOn w:val="Title"/>
    <w:qFormat/>
    <w:pPr>
      <w:numPr>
        <w:numId w:val="2"/>
      </w:numPr>
      <w:spacing w:after="184"/>
      <w:ind w:left="0" w:firstLine="0"/>
      <w:jc w:val="left"/>
    </w:pPr>
    <w:rPr>
      <w:rFonts w:ascii="Liberation Serif" w:hAnsi="Liberation Serif"/>
      <w:sz w:val="36"/>
    </w:rPr>
  </w:style>
  <w:style w:type="paragraph" w:customStyle="1" w:styleId="Corpodeltestomot">
    <w:name w:val="Corpo del testo_mot"/>
    <w:basedOn w:val="BodyText"/>
    <w:qFormat/>
    <w:pPr>
      <w:ind w:firstLine="283"/>
    </w:pPr>
  </w:style>
  <w:style w:type="paragraph" w:customStyle="1" w:styleId="Testocitatomot">
    <w:name w:val="Testo citato_mot"/>
    <w:basedOn w:val="Testocitato"/>
    <w:qFormat/>
    <w:rPr>
      <w:sz w:val="21"/>
    </w:rPr>
  </w:style>
  <w:style w:type="paragraph" w:customStyle="1" w:styleId="Testocitato">
    <w:name w:val="Testo citato"/>
    <w:basedOn w:val="Normal"/>
    <w:qFormat/>
    <w:pPr>
      <w:spacing w:after="283"/>
      <w:ind w:left="567" w:right="567"/>
      <w:jc w:val="both"/>
    </w:pPr>
    <w:rPr>
      <w:rFonts w:ascii="Times New Roman" w:hAnsi="Times New Roman"/>
    </w:rPr>
  </w:style>
  <w:style w:type="paragraph" w:customStyle="1" w:styleId="Notapidipaginamot">
    <w:name w:val="Nota piè di pagina_mot"/>
    <w:basedOn w:val="FootnoteText"/>
    <w:autoRedefine/>
    <w:qFormat/>
    <w:rPr>
      <w:rFonts w:ascii="Liberation Serif" w:hAnsi="Liberation Serif"/>
      <w:sz w:val="21"/>
    </w:rPr>
  </w:style>
  <w:style w:type="paragraph" w:styleId="FootnoteText">
    <w:name w:val="footnote text"/>
    <w:basedOn w:val="Normal"/>
    <w:pPr>
      <w:suppressLineNumbers/>
      <w:ind w:left="340"/>
      <w:jc w:val="both"/>
    </w:pPr>
    <w:rPr>
      <w:rFonts w:ascii="Times New Roman" w:hAnsi="Times New Roman"/>
      <w:sz w:val="20"/>
      <w:szCs w:val="20"/>
    </w:rPr>
  </w:style>
  <w:style w:type="paragraph" w:customStyle="1" w:styleId="Pidipaginaasinistra">
    <w:name w:val="Piè di pagina a sinistra"/>
    <w:basedOn w:val="Footer"/>
    <w:qFormat/>
  </w:style>
  <w:style w:type="paragraph" w:customStyle="1" w:styleId="Pidipaginanumeropaginamot">
    <w:name w:val="Piè di pagina_numero pagina_mot"/>
    <w:basedOn w:val="Pidipaginaasinistra"/>
    <w:qFormat/>
    <w:rPr>
      <w:sz w:val="20"/>
    </w:rPr>
  </w:style>
  <w:style w:type="paragraph" w:customStyle="1" w:styleId="Stileparagrafomot">
    <w:name w:val="Stile paragrafo_mot"/>
    <w:basedOn w:val="Normal"/>
    <w:qFormat/>
  </w:style>
  <w:style w:type="paragraph" w:customStyle="1" w:styleId="Bibliografiamot">
    <w:name w:val="Bibliografia_mot"/>
    <w:basedOn w:val="Titolomot"/>
    <w:qFormat/>
    <w:pPr>
      <w:jc w:val="both"/>
    </w:pPr>
    <w:rPr>
      <w:sz w:val="36"/>
    </w:rPr>
  </w:style>
  <w:style w:type="paragraph" w:customStyle="1" w:styleId="Vocibibliografiche">
    <w:name w:val="Voci bibliografiche"/>
    <w:basedOn w:val="Corpodeltestomot"/>
    <w:qFormat/>
    <w:pPr>
      <w:spacing w:after="156" w:line="240" w:lineRule="auto"/>
      <w:ind w:firstLine="0"/>
    </w:pPr>
  </w:style>
  <w:style w:type="numbering" w:customStyle="1" w:styleId="Numerazione123">
    <w:name w:val="Numerazione 123"/>
    <w:qFormat/>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2D2ED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D2ED1"/>
    <w:rPr>
      <w:rFonts w:ascii="Lucida Grande" w:hAnsi="Lucida Grande" w:cs="Lucida Grande"/>
      <w:sz w:val="18"/>
      <w:szCs w:val="18"/>
    </w:rPr>
  </w:style>
  <w:style w:type="character" w:styleId="FootnoteReference">
    <w:name w:val="footnote reference"/>
    <w:basedOn w:val="DefaultParagraphFont"/>
    <w:uiPriority w:val="99"/>
    <w:unhideWhenUsed/>
    <w:rsid w:val="00196B24"/>
    <w:rPr>
      <w:vertAlign w:val="superscript"/>
    </w:rPr>
  </w:style>
  <w:style w:type="character" w:styleId="Hyperlink">
    <w:name w:val="Hyperlink"/>
    <w:basedOn w:val="DefaultParagraphFont"/>
    <w:uiPriority w:val="99"/>
    <w:semiHidden/>
    <w:unhideWhenUsed/>
    <w:rsid w:val="00401795"/>
    <w:rPr>
      <w:color w:val="0000FF"/>
      <w:u w:val="single"/>
    </w:rPr>
  </w:style>
  <w:style w:type="paragraph" w:styleId="CommentSubject">
    <w:name w:val="annotation subject"/>
    <w:basedOn w:val="CommentText"/>
    <w:next w:val="CommentText"/>
    <w:link w:val="CommentSubjectChar"/>
    <w:uiPriority w:val="99"/>
    <w:semiHidden/>
    <w:unhideWhenUsed/>
    <w:rsid w:val="00856099"/>
    <w:rPr>
      <w:b/>
      <w:bCs/>
      <w:sz w:val="20"/>
      <w:szCs w:val="20"/>
    </w:rPr>
  </w:style>
  <w:style w:type="character" w:customStyle="1" w:styleId="CommentSubjectChar">
    <w:name w:val="Comment Subject Char"/>
    <w:basedOn w:val="CommentTextChar"/>
    <w:link w:val="CommentSubject"/>
    <w:uiPriority w:val="99"/>
    <w:semiHidden/>
    <w:rsid w:val="00856099"/>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oto Serif CJK SC" w:hAnsi="Liberation Serif" w:cs="FreeSans"/>
        <w:kern w:val="2"/>
        <w:sz w:val="24"/>
        <w:szCs w:val="24"/>
        <w:lang w:val="it-IT" w:eastAsia="zh-CN" w:bidi="hi-IN"/>
      </w:rPr>
    </w:rPrDefault>
    <w:pPrDefault>
      <w:pPr>
        <w:suppressAutoHyphens/>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ratteridinumerazione">
    <w:name w:val="Caratteri di numerazione"/>
    <w:qFormat/>
  </w:style>
  <w:style w:type="character" w:customStyle="1" w:styleId="Numeronotaapipaginamot">
    <w:name w:val="Numero nota a piè pagina_mot"/>
    <w:basedOn w:val="Caratterinotaapidipagina"/>
    <w:qFormat/>
    <w:rPr>
      <w:sz w:val="21"/>
      <w:vertAlign w:val="superscript"/>
    </w:rPr>
  </w:style>
  <w:style w:type="character" w:customStyle="1" w:styleId="Caratterinotaapidipagina">
    <w:name w:val="Caratteri nota a piè di pagina"/>
    <w:qFormat/>
  </w:style>
  <w:style w:type="character" w:customStyle="1" w:styleId="Numeronotacorpotestomot">
    <w:name w:val="Numero nota corpo testo_mot"/>
    <w:basedOn w:val="Richiamoallanotaapidipagina"/>
    <w:qFormat/>
    <w:rPr>
      <w:vertAlign w:val="superscript"/>
    </w:rPr>
  </w:style>
  <w:style w:type="character" w:customStyle="1" w:styleId="Richiamoallanotaapidipagina">
    <w:name w:val="Richiamo alla nota a piè di pagina"/>
    <w:rPr>
      <w:vertAlign w:val="superscript"/>
    </w:rPr>
  </w:style>
  <w:style w:type="character" w:customStyle="1" w:styleId="Numerodipagina">
    <w:name w:val="Numero di pagina"/>
  </w:style>
  <w:style w:type="character" w:customStyle="1" w:styleId="Numeropaginamot">
    <w:name w:val="Numero pagina mot"/>
    <w:basedOn w:val="Numerodipagina"/>
    <w:qFormat/>
    <w:rPr>
      <w:sz w:val="21"/>
    </w:rPr>
  </w:style>
  <w:style w:type="character" w:customStyle="1" w:styleId="FootnoteCharacters">
    <w:name w:val="Footnote Characters"/>
    <w:qFormat/>
    <w:rPr>
      <w:vertAlign w:val="superscript"/>
    </w:rPr>
  </w:style>
  <w:style w:type="character" w:customStyle="1" w:styleId="Caratterinotadichiusura">
    <w:name w:val="Caratteri nota di chiusura"/>
    <w:qFormat/>
  </w:style>
  <w:style w:type="character" w:customStyle="1" w:styleId="Richiamoallanotadichiusura">
    <w:name w:val="Richiamo alla nota di chiusura"/>
    <w:rPr>
      <w:vertAlign w:val="superscript"/>
    </w:rPr>
  </w:style>
  <w:style w:type="paragraph" w:customStyle="1" w:styleId="Titolo">
    <w:name w:val="Titolo"/>
    <w:basedOn w:val="Normal"/>
    <w:next w:val="BodyText"/>
    <w:qFormat/>
    <w:pPr>
      <w:keepNext/>
      <w:spacing w:before="240" w:after="120"/>
    </w:pPr>
    <w:rPr>
      <w:rFonts w:ascii="Liberation Sans" w:eastAsia="Noto Sans CJK SC" w:hAnsi="Liberation Sans"/>
      <w:sz w:val="28"/>
      <w:szCs w:val="28"/>
    </w:rPr>
  </w:style>
  <w:style w:type="paragraph" w:styleId="BodyText">
    <w:name w:val="Body Text"/>
    <w:basedOn w:val="Normal"/>
    <w:pPr>
      <w:spacing w:line="276" w:lineRule="auto"/>
      <w:ind w:firstLine="210"/>
      <w:jc w:val="both"/>
    </w:pPr>
    <w:rPr>
      <w:rFonts w:ascii="Times New Roman" w:hAnsi="Times New Roman"/>
    </w:r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ice">
    <w:name w:val="Indice"/>
    <w:basedOn w:val="Normal"/>
    <w:qFormat/>
    <w:pPr>
      <w:suppressLineNumbers/>
    </w:pPr>
  </w:style>
  <w:style w:type="paragraph" w:customStyle="1" w:styleId="Intestazioneepidipagina">
    <w:name w:val="Intestazione e piè di pagina"/>
    <w:basedOn w:val="Normal"/>
    <w:qFormat/>
    <w:pPr>
      <w:suppressLineNumbers/>
      <w:tabs>
        <w:tab w:val="center" w:pos="4819"/>
        <w:tab w:val="right" w:pos="9638"/>
      </w:tabs>
    </w:pPr>
  </w:style>
  <w:style w:type="paragraph" w:styleId="Footer">
    <w:name w:val="footer"/>
    <w:basedOn w:val="Intestazioneepidipagina"/>
  </w:style>
  <w:style w:type="paragraph" w:styleId="Title">
    <w:name w:val="Title"/>
    <w:basedOn w:val="Titolo"/>
    <w:next w:val="BodyText"/>
    <w:qFormat/>
    <w:pPr>
      <w:jc w:val="center"/>
    </w:pPr>
    <w:rPr>
      <w:i/>
      <w:sz w:val="56"/>
      <w:szCs w:val="56"/>
    </w:rPr>
  </w:style>
  <w:style w:type="paragraph" w:customStyle="1" w:styleId="Titolomot">
    <w:name w:val="Titolo_mot"/>
    <w:basedOn w:val="Title"/>
    <w:qFormat/>
    <w:pPr>
      <w:spacing w:after="184"/>
    </w:pPr>
    <w:rPr>
      <w:rFonts w:ascii="Liberation Serif" w:hAnsi="Liberation Serif"/>
      <w:sz w:val="44"/>
    </w:rPr>
  </w:style>
  <w:style w:type="paragraph" w:customStyle="1" w:styleId="Sottotitolomot">
    <w:name w:val="Sottotitolo_mot"/>
    <w:basedOn w:val="Title"/>
    <w:qFormat/>
    <w:pPr>
      <w:numPr>
        <w:numId w:val="2"/>
      </w:numPr>
      <w:spacing w:after="184"/>
      <w:ind w:left="0" w:firstLine="0"/>
      <w:jc w:val="left"/>
    </w:pPr>
    <w:rPr>
      <w:rFonts w:ascii="Liberation Serif" w:hAnsi="Liberation Serif"/>
      <w:sz w:val="36"/>
    </w:rPr>
  </w:style>
  <w:style w:type="paragraph" w:customStyle="1" w:styleId="Corpodeltestomot">
    <w:name w:val="Corpo del testo_mot"/>
    <w:basedOn w:val="BodyText"/>
    <w:qFormat/>
    <w:pPr>
      <w:ind w:firstLine="283"/>
    </w:pPr>
  </w:style>
  <w:style w:type="paragraph" w:customStyle="1" w:styleId="Testocitatomot">
    <w:name w:val="Testo citato_mot"/>
    <w:basedOn w:val="Testocitato"/>
    <w:qFormat/>
    <w:rPr>
      <w:sz w:val="21"/>
    </w:rPr>
  </w:style>
  <w:style w:type="paragraph" w:customStyle="1" w:styleId="Testocitato">
    <w:name w:val="Testo citato"/>
    <w:basedOn w:val="Normal"/>
    <w:qFormat/>
    <w:pPr>
      <w:spacing w:after="283"/>
      <w:ind w:left="567" w:right="567"/>
      <w:jc w:val="both"/>
    </w:pPr>
    <w:rPr>
      <w:rFonts w:ascii="Times New Roman" w:hAnsi="Times New Roman"/>
    </w:rPr>
  </w:style>
  <w:style w:type="paragraph" w:customStyle="1" w:styleId="Notapidipaginamot">
    <w:name w:val="Nota piè di pagina_mot"/>
    <w:basedOn w:val="FootnoteText"/>
    <w:autoRedefine/>
    <w:qFormat/>
    <w:rPr>
      <w:rFonts w:ascii="Liberation Serif" w:hAnsi="Liberation Serif"/>
      <w:sz w:val="21"/>
    </w:rPr>
  </w:style>
  <w:style w:type="paragraph" w:styleId="FootnoteText">
    <w:name w:val="footnote text"/>
    <w:basedOn w:val="Normal"/>
    <w:pPr>
      <w:suppressLineNumbers/>
      <w:ind w:left="340"/>
      <w:jc w:val="both"/>
    </w:pPr>
    <w:rPr>
      <w:rFonts w:ascii="Times New Roman" w:hAnsi="Times New Roman"/>
      <w:sz w:val="20"/>
      <w:szCs w:val="20"/>
    </w:rPr>
  </w:style>
  <w:style w:type="paragraph" w:customStyle="1" w:styleId="Pidipaginaasinistra">
    <w:name w:val="Piè di pagina a sinistra"/>
    <w:basedOn w:val="Footer"/>
    <w:qFormat/>
  </w:style>
  <w:style w:type="paragraph" w:customStyle="1" w:styleId="Pidipaginanumeropaginamot">
    <w:name w:val="Piè di pagina_numero pagina_mot"/>
    <w:basedOn w:val="Pidipaginaasinistra"/>
    <w:qFormat/>
    <w:rPr>
      <w:sz w:val="20"/>
    </w:rPr>
  </w:style>
  <w:style w:type="paragraph" w:customStyle="1" w:styleId="Stileparagrafomot">
    <w:name w:val="Stile paragrafo_mot"/>
    <w:basedOn w:val="Normal"/>
    <w:qFormat/>
  </w:style>
  <w:style w:type="paragraph" w:customStyle="1" w:styleId="Bibliografiamot">
    <w:name w:val="Bibliografia_mot"/>
    <w:basedOn w:val="Titolomot"/>
    <w:qFormat/>
    <w:pPr>
      <w:jc w:val="both"/>
    </w:pPr>
    <w:rPr>
      <w:sz w:val="36"/>
    </w:rPr>
  </w:style>
  <w:style w:type="paragraph" w:customStyle="1" w:styleId="Vocibibliografiche">
    <w:name w:val="Voci bibliografiche"/>
    <w:basedOn w:val="Corpodeltestomot"/>
    <w:qFormat/>
    <w:pPr>
      <w:spacing w:after="156" w:line="240" w:lineRule="auto"/>
      <w:ind w:firstLine="0"/>
    </w:pPr>
  </w:style>
  <w:style w:type="numbering" w:customStyle="1" w:styleId="Numerazione123">
    <w:name w:val="Numerazione 123"/>
    <w:qFormat/>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2D2ED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D2ED1"/>
    <w:rPr>
      <w:rFonts w:ascii="Lucida Grande" w:hAnsi="Lucida Grande" w:cs="Lucida Grande"/>
      <w:sz w:val="18"/>
      <w:szCs w:val="18"/>
    </w:rPr>
  </w:style>
  <w:style w:type="character" w:styleId="FootnoteReference">
    <w:name w:val="footnote reference"/>
    <w:basedOn w:val="DefaultParagraphFont"/>
    <w:uiPriority w:val="99"/>
    <w:unhideWhenUsed/>
    <w:rsid w:val="00196B24"/>
    <w:rPr>
      <w:vertAlign w:val="superscript"/>
    </w:rPr>
  </w:style>
  <w:style w:type="character" w:styleId="Hyperlink">
    <w:name w:val="Hyperlink"/>
    <w:basedOn w:val="DefaultParagraphFont"/>
    <w:uiPriority w:val="99"/>
    <w:semiHidden/>
    <w:unhideWhenUsed/>
    <w:rsid w:val="00401795"/>
    <w:rPr>
      <w:color w:val="0000FF"/>
      <w:u w:val="single"/>
    </w:rPr>
  </w:style>
  <w:style w:type="paragraph" w:styleId="CommentSubject">
    <w:name w:val="annotation subject"/>
    <w:basedOn w:val="CommentText"/>
    <w:next w:val="CommentText"/>
    <w:link w:val="CommentSubjectChar"/>
    <w:uiPriority w:val="99"/>
    <w:semiHidden/>
    <w:unhideWhenUsed/>
    <w:rsid w:val="00856099"/>
    <w:rPr>
      <w:b/>
      <w:bCs/>
      <w:sz w:val="20"/>
      <w:szCs w:val="20"/>
    </w:rPr>
  </w:style>
  <w:style w:type="character" w:customStyle="1" w:styleId="CommentSubjectChar">
    <w:name w:val="Comment Subject Char"/>
    <w:basedOn w:val="CommentTextChar"/>
    <w:link w:val="CommentSubject"/>
    <w:uiPriority w:val="99"/>
    <w:semiHidden/>
    <w:rsid w:val="0085609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792507">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11192</Words>
  <Characters>63796</Characters>
  <Application>Microsoft Macintosh Word</Application>
  <DocSecurity>0</DocSecurity>
  <Lines>531</Lines>
  <Paragraphs>149</Paragraphs>
  <ScaleCrop>false</ScaleCrop>
  <Company/>
  <LinksUpToDate>false</LinksUpToDate>
  <CharactersWithSpaces>74839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Mot_articoloDEF</dc:title>
  <dc:subject/>
  <dc:creator>Filippo Del Lucchese</dc:creator>
  <dc:description/>
  <cp:lastModifiedBy>Filippo Del Lucchese</cp:lastModifiedBy>
  <cp:revision>2</cp:revision>
  <dcterms:created xsi:type="dcterms:W3CDTF">2022-03-09T17:08:00Z</dcterms:created>
  <dcterms:modified xsi:type="dcterms:W3CDTF">2022-03-09T17:08:00Z</dcterms:modified>
  <dc:language>it-IT</dc:language>
</cp:coreProperties>
</file>