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B18A5A" w14:textId="77777777" w:rsidR="00AC42F0" w:rsidRDefault="00AC42F0" w:rsidP="00AC42F0">
      <w:pPr>
        <w:pStyle w:val="Didascalia"/>
        <w:keepNext/>
        <w:rPr>
          <w:rFonts w:ascii="Arial" w:hAnsi="Arial"/>
          <w:sz w:val="18"/>
          <w:szCs w:val="18"/>
          <w:lang w:val="en-GB"/>
        </w:rPr>
      </w:pPr>
      <w:r>
        <w:rPr>
          <w:rFonts w:ascii="Arial" w:hAnsi="Arial"/>
          <w:sz w:val="18"/>
          <w:szCs w:val="18"/>
          <w:lang w:val="en-GB"/>
        </w:rPr>
        <w:t>Table 1S Predictive factors for IgG HG</w:t>
      </w:r>
    </w:p>
    <w:tbl>
      <w:tblPr>
        <w:tblW w:w="7785" w:type="dxa"/>
        <w:tblInd w:w="134" w:type="dxa"/>
        <w:tblLayout w:type="fixed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3250"/>
        <w:gridCol w:w="1559"/>
        <w:gridCol w:w="1700"/>
        <w:gridCol w:w="1276"/>
      </w:tblGrid>
      <w:tr w:rsidR="00AC42F0" w14:paraId="2769317F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7915570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Factor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42B90B4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OR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4FF1706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95% CI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7C71738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 value</w:t>
            </w:r>
          </w:p>
        </w:tc>
      </w:tr>
      <w:tr w:rsidR="00AC42F0" w14:paraId="57B5035A" w14:textId="77777777" w:rsidTr="00614B9B">
        <w:trPr>
          <w:trHeight w:val="274"/>
        </w:trPr>
        <w:tc>
          <w:tcPr>
            <w:tcW w:w="325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99CA4F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Age</w:t>
            </w:r>
          </w:p>
        </w:tc>
        <w:tc>
          <w:tcPr>
            <w:tcW w:w="1559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9704FD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1.03</w:t>
            </w:r>
          </w:p>
        </w:tc>
        <w:tc>
          <w:tcPr>
            <w:tcW w:w="170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4B313D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1.01-1.05</w:t>
            </w:r>
          </w:p>
        </w:tc>
        <w:tc>
          <w:tcPr>
            <w:tcW w:w="1276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50BFB5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0.001</w:t>
            </w:r>
          </w:p>
        </w:tc>
      </w:tr>
      <w:tr w:rsidR="00AC42F0" w14:paraId="0CB52D0B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64E84F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Age ≥ 50 years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D50A9F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1.82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A952A3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1.19-2.76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78176B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0.006</w:t>
            </w:r>
          </w:p>
        </w:tc>
      </w:tr>
      <w:tr w:rsidR="00AC42F0" w14:paraId="17D32960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D8DC68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Sex (female versus male)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306FAF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1.16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DD6DD9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0.74-1.81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6FF364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3F53612B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AE715F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Drug (RTX versus OCR)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E41EF7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1.58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28C2FB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1.02-2.46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70FAC5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0.042</w:t>
            </w:r>
          </w:p>
        </w:tc>
      </w:tr>
      <w:tr w:rsidR="00AC42F0" w14:paraId="0A51EC44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CC3871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Number of previous DMTs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4232AD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1.14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4305D7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0.97-1.34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E7F725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23D07CE5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3E1A7D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Number of treatment cycles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2F0093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1.21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D9D77D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1.09-1.33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D0B412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&lt;0.001</w:t>
            </w:r>
          </w:p>
        </w:tc>
      </w:tr>
      <w:tr w:rsidR="00AC42F0" w14:paraId="69148FE7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054285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Presence of comorbidities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79C98E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1.18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DA3979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0.78-1.79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7FB270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1EF96668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4E18DB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  <w:t>Progressive phenotype or NMOSD versus RRMS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C07C9C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1.18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1D3C42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0.96-1.46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418301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2E40EDC7" w14:textId="77777777" w:rsidTr="00614B9B">
        <w:trPr>
          <w:trHeight w:val="274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0DA66E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 xml:space="preserve">EDSS at </w:t>
            </w:r>
            <w:proofErr w:type="gramStart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anti</w:t>
            </w:r>
            <w:proofErr w:type="gramEnd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-CD20 start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35AB159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1.07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F693CD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0.96-1.20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34FFA4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033C806C" w14:textId="77777777" w:rsidTr="00614B9B">
        <w:trPr>
          <w:trHeight w:val="18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BEEB46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Previous Immunosuppressive therapy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F8C8ED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1.30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E51A94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0.71-2.38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DD6C47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641B187F" w14:textId="77777777" w:rsidTr="00614B9B">
        <w:trPr>
          <w:trHeight w:val="18"/>
        </w:trPr>
        <w:tc>
          <w:tcPr>
            <w:tcW w:w="325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3176BA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Persistent CD19 depletion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488C26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1.32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D96BBC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0.79-2.20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AAE19A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</w:tbl>
    <w:p w14:paraId="7E87B180" w14:textId="77777777" w:rsidR="00AC42F0" w:rsidRDefault="00AC42F0" w:rsidP="00AC42F0">
      <w:pPr>
        <w:pStyle w:val="Didascalia"/>
        <w:rPr>
          <w:rFonts w:ascii="Arial" w:hAnsi="Arial"/>
          <w:sz w:val="18"/>
          <w:szCs w:val="18"/>
        </w:rPr>
      </w:pPr>
    </w:p>
    <w:p w14:paraId="36B174E2" w14:textId="77777777" w:rsidR="00AC42F0" w:rsidRDefault="00AC42F0" w:rsidP="00AC42F0">
      <w:pPr>
        <w:pStyle w:val="Didascalia"/>
        <w:keepNext/>
        <w:rPr>
          <w:rFonts w:ascii="Arial" w:hAnsi="Arial"/>
          <w:sz w:val="18"/>
          <w:szCs w:val="18"/>
          <w:lang w:val="en-GB"/>
        </w:rPr>
      </w:pPr>
      <w:r>
        <w:rPr>
          <w:rFonts w:ascii="Arial" w:hAnsi="Arial"/>
          <w:sz w:val="18"/>
          <w:szCs w:val="18"/>
          <w:lang w:val="en-GB"/>
        </w:rPr>
        <w:t>Table 2S Predictive factors for IgM HG</w:t>
      </w:r>
    </w:p>
    <w:tbl>
      <w:tblPr>
        <w:tblW w:w="6555" w:type="dxa"/>
        <w:tblInd w:w="134" w:type="dxa"/>
        <w:tblLayout w:type="fixed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3399"/>
        <w:gridCol w:w="979"/>
        <w:gridCol w:w="1198"/>
        <w:gridCol w:w="979"/>
      </w:tblGrid>
      <w:tr w:rsidR="00AC42F0" w14:paraId="6284C207" w14:textId="77777777" w:rsidTr="00614B9B">
        <w:trPr>
          <w:trHeight w:val="324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50DDE5D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Factor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6BC6ED2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OR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4984C3A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95% CI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05532A2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 value</w:t>
            </w:r>
          </w:p>
        </w:tc>
      </w:tr>
      <w:tr w:rsidR="00AC42F0" w14:paraId="6E8F0042" w14:textId="77777777" w:rsidTr="00614B9B">
        <w:trPr>
          <w:trHeight w:val="324"/>
        </w:trPr>
        <w:tc>
          <w:tcPr>
            <w:tcW w:w="340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A1478A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Age</w:t>
            </w:r>
          </w:p>
        </w:tc>
        <w:tc>
          <w:tcPr>
            <w:tcW w:w="98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E65B76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1.01</w:t>
            </w:r>
          </w:p>
        </w:tc>
        <w:tc>
          <w:tcPr>
            <w:tcW w:w="1199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3F38986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1.00-1.03</w:t>
            </w:r>
          </w:p>
        </w:tc>
        <w:tc>
          <w:tcPr>
            <w:tcW w:w="98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93B2F3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1D63F006" w14:textId="77777777" w:rsidTr="00614B9B">
        <w:trPr>
          <w:trHeight w:val="324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F09D57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Age ≥50 years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75023C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1.38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87A785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0.97-1.96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D68828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330C14AE" w14:textId="77777777" w:rsidTr="00614B9B">
        <w:trPr>
          <w:trHeight w:val="324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DFBE98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Sex female versus male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439ACB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0.78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3A4B55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0.54-1.12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30CC920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0676D58B" w14:textId="77777777" w:rsidTr="00614B9B">
        <w:trPr>
          <w:trHeight w:val="324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18218C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Drug RTX versus OCR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6FD3B4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2.01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BD8A4A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1.38-2.95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13196E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&lt;0.001</w:t>
            </w:r>
          </w:p>
        </w:tc>
      </w:tr>
      <w:tr w:rsidR="00AC42F0" w14:paraId="660F8FD6" w14:textId="77777777" w:rsidTr="00614B9B">
        <w:trPr>
          <w:trHeight w:val="489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7EADCC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Number of previous DMTs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823DF3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1.19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336E13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1.03-1.37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B6A3F6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0.017</w:t>
            </w:r>
          </w:p>
        </w:tc>
      </w:tr>
      <w:tr w:rsidR="00AC42F0" w14:paraId="05B88E13" w14:textId="77777777" w:rsidTr="00614B9B">
        <w:trPr>
          <w:trHeight w:val="324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E0DFCD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Number of treatment cycles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9AA178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1.11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D566CD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1.02-1.21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79A4E3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0.019</w:t>
            </w:r>
          </w:p>
        </w:tc>
      </w:tr>
      <w:tr w:rsidR="00AC42F0" w14:paraId="4C49255E" w14:textId="77777777" w:rsidTr="00614B9B">
        <w:trPr>
          <w:trHeight w:val="324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42F117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Previous immunosuppressive therapy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CBD122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0.64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C6DACB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0.36-1.14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688E1C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3483D29F" w14:textId="77777777" w:rsidTr="00614B9B">
        <w:trPr>
          <w:trHeight w:val="324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D2B5DD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Presence of comorbidities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3BBE10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1.03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9B41D1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0.72-1.46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DCDA01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54871C66" w14:textId="77777777" w:rsidTr="00614B9B">
        <w:trPr>
          <w:trHeight w:val="551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033FB0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lastRenderedPageBreak/>
              <w:t xml:space="preserve">EDSS at </w:t>
            </w:r>
            <w:proofErr w:type="gramStart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anti</w:t>
            </w:r>
            <w:proofErr w:type="gramEnd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-CD20 start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532DAA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0.97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AFBADC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0.88-1.07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445CAF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751E68BD" w14:textId="77777777" w:rsidTr="00614B9B">
        <w:trPr>
          <w:trHeight w:val="333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E594C4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Progressive phenotype or NMOSD versus RRMS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2CFDD6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1.17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B6D158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0.98-1.40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2DEB6F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  <w:tr w:rsidR="00AC42F0" w14:paraId="6F682E0E" w14:textId="77777777" w:rsidTr="00614B9B">
        <w:trPr>
          <w:trHeight w:val="845"/>
        </w:trPr>
        <w:tc>
          <w:tcPr>
            <w:tcW w:w="34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AA5054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Persistent CD19 depletion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7C8874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0.78</w:t>
            </w:r>
          </w:p>
        </w:tc>
        <w:tc>
          <w:tcPr>
            <w:tcW w:w="11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2FA8CC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0.52-1.18</w:t>
            </w:r>
          </w:p>
        </w:tc>
        <w:tc>
          <w:tcPr>
            <w:tcW w:w="9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0F6996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ns</w:t>
            </w:r>
          </w:p>
        </w:tc>
      </w:tr>
    </w:tbl>
    <w:p w14:paraId="0ABBC8EC" w14:textId="77777777" w:rsidR="00AC42F0" w:rsidRDefault="00AC42F0" w:rsidP="00AC42F0">
      <w:pPr>
        <w:spacing w:line="276" w:lineRule="auto"/>
        <w:jc w:val="both"/>
        <w:rPr>
          <w:rFonts w:ascii="Arial" w:hAnsi="Arial"/>
          <w:sz w:val="18"/>
          <w:szCs w:val="18"/>
        </w:rPr>
      </w:pPr>
    </w:p>
    <w:p w14:paraId="6117C6B2" w14:textId="77777777" w:rsidR="00AC42F0" w:rsidRDefault="00AC42F0" w:rsidP="00AC42F0">
      <w:pPr>
        <w:pStyle w:val="Didascalia"/>
        <w:keepNext/>
        <w:rPr>
          <w:rFonts w:ascii="Arial" w:hAnsi="Arial"/>
          <w:sz w:val="18"/>
          <w:szCs w:val="18"/>
          <w:lang w:val="en-GB"/>
        </w:rPr>
      </w:pPr>
      <w:r>
        <w:rPr>
          <w:rFonts w:ascii="Arial" w:hAnsi="Arial"/>
          <w:sz w:val="18"/>
          <w:szCs w:val="18"/>
          <w:lang w:val="en-GB"/>
        </w:rPr>
        <w:t>Table 3S Predictive factors of non-COVID related SI</w:t>
      </w:r>
    </w:p>
    <w:tbl>
      <w:tblPr>
        <w:tblW w:w="6960" w:type="dxa"/>
        <w:tblInd w:w="134" w:type="dxa"/>
        <w:tblLayout w:type="fixed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3281"/>
        <w:gridCol w:w="1120"/>
        <w:gridCol w:w="1461"/>
        <w:gridCol w:w="1098"/>
      </w:tblGrid>
      <w:tr w:rsidR="00AC42F0" w14:paraId="2CF11F28" w14:textId="77777777" w:rsidTr="00614B9B">
        <w:trPr>
          <w:trHeight w:val="300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682E870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Predictive factor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5BFE4A9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OR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45806E2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95% CI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6B0EAC3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 value</w:t>
            </w:r>
          </w:p>
        </w:tc>
      </w:tr>
      <w:tr w:rsidR="00AC42F0" w14:paraId="6398C7D4" w14:textId="77777777" w:rsidTr="00614B9B">
        <w:trPr>
          <w:trHeight w:val="424"/>
        </w:trPr>
        <w:tc>
          <w:tcPr>
            <w:tcW w:w="328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39451A7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Age</w:t>
            </w:r>
          </w:p>
        </w:tc>
        <w:tc>
          <w:tcPr>
            <w:tcW w:w="11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B155EB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0.98</w:t>
            </w:r>
          </w:p>
        </w:tc>
        <w:tc>
          <w:tcPr>
            <w:tcW w:w="146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DE036C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0.92-1.05</w:t>
            </w:r>
          </w:p>
        </w:tc>
        <w:tc>
          <w:tcPr>
            <w:tcW w:w="1098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DA23A0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486AEE40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736ED1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Age ≥ 50 years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131E2A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0.92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1D1A23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0.20-4.14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2483D7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036C920E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942D5E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Sex female versus male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415ECA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0.69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8243FF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0.15-3.11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1B6F89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2E4A96D6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72BCF9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Drug RTX versus OCR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6C7D00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0.42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A83DC2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0.50-3.52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FA2A96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4C9B4776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E895A3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Number of previous DMTs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657054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1.36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373A85B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0.85-2.15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70E59E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5FBCDDFA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C11463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Number of infusions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DBFAFB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1.13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DC472D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0.82-1.57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475A16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0D5F513D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B9CB4A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Presence of comorbidities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5CA8B8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0.18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656E05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0.21-1.54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DE9CCB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7C2A5390" w14:textId="77777777" w:rsidTr="00614B9B">
        <w:trPr>
          <w:trHeight w:val="717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CBC530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 xml:space="preserve">EDSS at </w:t>
            </w:r>
            <w:proofErr w:type="gramStart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anti</w:t>
            </w:r>
            <w:proofErr w:type="gramEnd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-CD20 start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FC9DA0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0.89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DBF32D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0.56-1.41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B0F11CB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4DA8687F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ED4ABB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Progressive phenotype or NMOSD versus RRMS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3FCC03E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0.87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0BEF4A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0.39-1.94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8BCCA4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3DE668BE" w14:textId="77777777" w:rsidTr="00614B9B">
        <w:trPr>
          <w:trHeight w:val="573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0BDA92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IgG levels &lt;700 mg/</w:t>
            </w:r>
            <w:proofErr w:type="gramStart"/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dL  during</w:t>
            </w:r>
            <w:proofErr w:type="gramEnd"/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 xml:space="preserve"> treatment 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70F0EEB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  <w:t>5.51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7BC075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  <w:t>1.21-24.98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3736B4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  <w:t>0.027</w:t>
            </w:r>
          </w:p>
        </w:tc>
      </w:tr>
      <w:tr w:rsidR="00AC42F0" w14:paraId="2072FA85" w14:textId="77777777" w:rsidTr="00614B9B">
        <w:trPr>
          <w:trHeight w:val="503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B4D097B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IgM levels &lt;40 mg/</w:t>
            </w:r>
            <w:proofErr w:type="gramStart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dL  during</w:t>
            </w:r>
            <w:proofErr w:type="gramEnd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 xml:space="preserve"> treatment 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5717FF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2.67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E46D6C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0.59-12.04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EA9BAE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2C0BC62F" w14:textId="77777777" w:rsidTr="00614B9B">
        <w:trPr>
          <w:trHeight w:val="424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6017D4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 xml:space="preserve">Baseline IgG HG 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23113F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4.08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FD8DE7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0.77-21.59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DDAC02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43A78419" w14:textId="77777777" w:rsidTr="00614B9B">
        <w:trPr>
          <w:trHeight w:val="717"/>
        </w:trPr>
        <w:tc>
          <w:tcPr>
            <w:tcW w:w="32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ABEBD4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Persistent CD19 depletion</w:t>
            </w:r>
          </w:p>
        </w:tc>
        <w:tc>
          <w:tcPr>
            <w:tcW w:w="11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26F720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1.21</w:t>
            </w:r>
          </w:p>
        </w:tc>
        <w:tc>
          <w:tcPr>
            <w:tcW w:w="14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8775E3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0.23-6.30</w:t>
            </w:r>
          </w:p>
        </w:tc>
        <w:tc>
          <w:tcPr>
            <w:tcW w:w="109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6659F9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</w:tbl>
    <w:p w14:paraId="0C8387AE" w14:textId="77777777" w:rsidR="00AC42F0" w:rsidRDefault="00AC42F0" w:rsidP="00AC42F0">
      <w:pPr>
        <w:spacing w:line="276" w:lineRule="auto"/>
        <w:jc w:val="both"/>
        <w:rPr>
          <w:rFonts w:ascii="Arial" w:hAnsi="Arial"/>
          <w:sz w:val="18"/>
          <w:szCs w:val="18"/>
        </w:rPr>
      </w:pPr>
    </w:p>
    <w:p w14:paraId="2CF8D476" w14:textId="77777777" w:rsidR="00AC42F0" w:rsidRDefault="00AC42F0" w:rsidP="00AC42F0">
      <w:pPr>
        <w:spacing w:line="276" w:lineRule="auto"/>
        <w:jc w:val="both"/>
        <w:rPr>
          <w:rFonts w:ascii="Arial" w:hAnsi="Arial"/>
          <w:sz w:val="18"/>
          <w:szCs w:val="18"/>
        </w:rPr>
      </w:pPr>
    </w:p>
    <w:p w14:paraId="3445981C" w14:textId="77777777" w:rsidR="00AC42F0" w:rsidRDefault="00AC42F0" w:rsidP="00AC42F0">
      <w:pPr>
        <w:spacing w:line="276" w:lineRule="auto"/>
        <w:jc w:val="both"/>
        <w:rPr>
          <w:rFonts w:ascii="Arial" w:hAnsi="Arial"/>
          <w:sz w:val="18"/>
          <w:szCs w:val="18"/>
          <w:lang w:val="en-GB"/>
        </w:rPr>
      </w:pPr>
    </w:p>
    <w:p w14:paraId="4B619E95" w14:textId="77777777" w:rsidR="00AC42F0" w:rsidRDefault="00AC42F0" w:rsidP="00AC42F0">
      <w:pPr>
        <w:spacing w:line="276" w:lineRule="auto"/>
        <w:jc w:val="both"/>
        <w:rPr>
          <w:rFonts w:ascii="Arial" w:hAnsi="Arial"/>
          <w:sz w:val="18"/>
          <w:szCs w:val="18"/>
          <w:lang w:val="en-GB"/>
        </w:rPr>
      </w:pPr>
    </w:p>
    <w:p w14:paraId="60FB79D3" w14:textId="6CE940A3" w:rsidR="00AC42F0" w:rsidRPr="00AC42F0" w:rsidRDefault="00AC42F0" w:rsidP="00AC42F0">
      <w:pPr>
        <w:spacing w:line="276" w:lineRule="auto"/>
        <w:jc w:val="both"/>
        <w:rPr>
          <w:rFonts w:ascii="Arial" w:hAnsi="Arial"/>
          <w:i/>
          <w:iCs/>
          <w:sz w:val="18"/>
          <w:szCs w:val="18"/>
          <w:lang w:val="en-GB"/>
        </w:rPr>
      </w:pPr>
      <w:r w:rsidRPr="00AC42F0">
        <w:rPr>
          <w:rFonts w:ascii="Arial" w:hAnsi="Arial"/>
          <w:i/>
          <w:iCs/>
          <w:sz w:val="18"/>
          <w:szCs w:val="18"/>
          <w:lang w:val="en-GB"/>
        </w:rPr>
        <w:lastRenderedPageBreak/>
        <w:t>Table 4S Predictive factors for recurrent infections</w:t>
      </w:r>
    </w:p>
    <w:tbl>
      <w:tblPr>
        <w:tblW w:w="7785" w:type="dxa"/>
        <w:tblInd w:w="134" w:type="dxa"/>
        <w:tblLayout w:type="fixed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3250"/>
        <w:gridCol w:w="1559"/>
        <w:gridCol w:w="1700"/>
        <w:gridCol w:w="1276"/>
      </w:tblGrid>
      <w:tr w:rsidR="00AC42F0" w14:paraId="34EE4839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2A7D6E0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Factor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28F26B8B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OR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7714700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95% CI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hideMark/>
          </w:tcPr>
          <w:p w14:paraId="661B007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 value</w:t>
            </w:r>
          </w:p>
        </w:tc>
      </w:tr>
      <w:tr w:rsidR="00AC42F0" w14:paraId="0AB27570" w14:textId="77777777" w:rsidTr="00614B9B">
        <w:trPr>
          <w:trHeight w:val="274"/>
        </w:trPr>
        <w:tc>
          <w:tcPr>
            <w:tcW w:w="3252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34558ED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Age</w:t>
            </w:r>
          </w:p>
        </w:tc>
        <w:tc>
          <w:tcPr>
            <w:tcW w:w="1559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156C48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1.02</w:t>
            </w:r>
          </w:p>
        </w:tc>
        <w:tc>
          <w:tcPr>
            <w:tcW w:w="170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8BE156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0.99-1.05</w:t>
            </w:r>
          </w:p>
        </w:tc>
        <w:tc>
          <w:tcPr>
            <w:tcW w:w="1276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F48109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67C75A4A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B4FFCD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Age ≥ 50 years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6A4867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1.66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0C6AD7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0.85-3.26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0F87C5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037C0A22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65DFC1A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Sex (female versus male)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4158F7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1.96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A2DB9F8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0.88-4.37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74454F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483A815A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89D66A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Drug (RTX versus OCR)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9773C1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1.41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E4996D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0.70-2.85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82BED4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7B82FEEB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7813B5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Number of previous DMTs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3CDD2F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1.02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A242D1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0.77-1.34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28E1DA5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739AF24E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B7A751B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:lang w:val="en-US"/>
                <w14:ligatures w14:val="standardContextual"/>
              </w:rPr>
              <w:t>Number of treatment cycles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3EB70D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  <w:t>1.33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A54AE7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  <w:t>1.14-1.55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DB5D43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b/>
                <w:bCs/>
                <w:kern w:val="2"/>
                <w:sz w:val="18"/>
                <w:szCs w:val="18"/>
                <w14:ligatures w14:val="standardContextual"/>
              </w:rPr>
              <w:t>&lt;0.001</w:t>
            </w:r>
          </w:p>
        </w:tc>
      </w:tr>
      <w:tr w:rsidR="00AC42F0" w14:paraId="63BF4BD2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A4EA0A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Presence of comorbidities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577274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1.20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72A902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0.62-2.34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16E82AD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0C741ED8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CCCA47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  <w:t>Progressive phenotype or NMOSD versus RRMS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1CE0F4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2.05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92D949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1.02-4.11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4A9AD8F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0.044</w:t>
            </w:r>
          </w:p>
        </w:tc>
      </w:tr>
      <w:tr w:rsidR="00AC42F0" w14:paraId="65DBDC85" w14:textId="77777777" w:rsidTr="00614B9B">
        <w:trPr>
          <w:trHeight w:val="274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5DCFFA6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GB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 xml:space="preserve">EDSS at </w:t>
            </w:r>
            <w:proofErr w:type="gramStart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anti</w:t>
            </w:r>
            <w:proofErr w:type="gramEnd"/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-CD20 start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0EC6AC5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1.13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76CD8A4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0.96-1.33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hideMark/>
          </w:tcPr>
          <w:p w14:paraId="463E7A0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5E83B46F" w14:textId="77777777" w:rsidTr="00614B9B">
        <w:trPr>
          <w:trHeight w:val="18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EA7B7D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Previous immunosuppressive therapy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3440DDE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2.55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4D4CCED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1.15-5.68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2C65A5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0.021</w:t>
            </w:r>
          </w:p>
        </w:tc>
      </w:tr>
      <w:tr w:rsidR="00AC42F0" w14:paraId="56500348" w14:textId="77777777" w:rsidTr="00614B9B">
        <w:trPr>
          <w:trHeight w:val="18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DADEC7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Persistent CD19 depletion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454E7B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1.28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84A661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0.60-2.72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93A8D6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79FAE85D" w14:textId="77777777" w:rsidTr="00614B9B">
        <w:trPr>
          <w:trHeight w:val="18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69AD106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IgG HG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C51B44A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2.04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57E3DF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0.99-4.19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471B3632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1454DEF6" w14:textId="77777777" w:rsidTr="00614B9B">
        <w:trPr>
          <w:trHeight w:val="18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9B12D93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IgM HG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D2E289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1.38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ED6CCB7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0.70-2.72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51786F5B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052BDD22" w14:textId="77777777" w:rsidTr="00614B9B">
        <w:trPr>
          <w:trHeight w:val="18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6FA423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Baseline IgG HG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19CBBA7C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1.22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37BDF3D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0.41-3.58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D40ACA5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  <w:tr w:rsidR="00AC42F0" w14:paraId="44EB2E4C" w14:textId="77777777" w:rsidTr="00614B9B">
        <w:trPr>
          <w:trHeight w:val="18"/>
        </w:trPr>
        <w:tc>
          <w:tcPr>
            <w:tcW w:w="325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7ECF14C0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:lang w:val="en-US"/>
                <w14:ligatures w14:val="standardContextual"/>
              </w:rPr>
              <w:t>Baseline IgM HG</w:t>
            </w:r>
          </w:p>
        </w:tc>
        <w:tc>
          <w:tcPr>
            <w:tcW w:w="155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695BFAD1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2.55</w:t>
            </w:r>
          </w:p>
        </w:tc>
        <w:tc>
          <w:tcPr>
            <w:tcW w:w="17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08B20184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0.93-7.01</w:t>
            </w:r>
          </w:p>
        </w:tc>
        <w:tc>
          <w:tcPr>
            <w:tcW w:w="127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hideMark/>
          </w:tcPr>
          <w:p w14:paraId="2FF0D369" w14:textId="77777777" w:rsidR="00AC42F0" w:rsidRDefault="00AC42F0" w:rsidP="00614B9B">
            <w:pPr>
              <w:widowControl w:val="0"/>
              <w:spacing w:line="276" w:lineRule="auto"/>
              <w:jc w:val="both"/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</w:pPr>
            <w:r>
              <w:rPr>
                <w:rFonts w:ascii="Arial" w:hAnsi="Arial"/>
                <w:kern w:val="2"/>
                <w:sz w:val="18"/>
                <w:szCs w:val="18"/>
                <w14:ligatures w14:val="standardContextual"/>
              </w:rPr>
              <w:t>ns</w:t>
            </w:r>
          </w:p>
        </w:tc>
      </w:tr>
    </w:tbl>
    <w:p w14:paraId="3CA2669F" w14:textId="77777777" w:rsidR="00AC42F0" w:rsidRDefault="00AC42F0"/>
    <w:sectPr w:rsidR="00AC42F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2F0"/>
    <w:rsid w:val="00044967"/>
    <w:rsid w:val="00AC4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88F6B"/>
  <w15:chartTrackingRefBased/>
  <w15:docId w15:val="{0650C164-268D-4556-923F-B0F5A5D50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C42F0"/>
    <w:pPr>
      <w:suppressAutoHyphens/>
      <w:spacing w:line="252" w:lineRule="auto"/>
    </w:pPr>
    <w:rPr>
      <w:rFonts w:ascii="Calibri" w:eastAsia="Yu Mincho" w:hAnsi="Calibri" w:cs="Arial"/>
      <w:kern w:val="0"/>
      <w:sz w:val="22"/>
      <w:szCs w:val="22"/>
      <w:lang w:eastAsia="ja-JP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C42F0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C42F0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C42F0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C42F0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42F0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C42F0"/>
    <w:pPr>
      <w:keepNext/>
      <w:keepLines/>
      <w:suppressAutoHyphens w:val="0"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C42F0"/>
    <w:pPr>
      <w:keepNext/>
      <w:keepLines/>
      <w:suppressAutoHyphens w:val="0"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C42F0"/>
    <w:pPr>
      <w:keepNext/>
      <w:keepLines/>
      <w:suppressAutoHyphens w:val="0"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C42F0"/>
    <w:pPr>
      <w:keepNext/>
      <w:keepLines/>
      <w:suppressAutoHyphens w:val="0"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C42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C42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C42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C42F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C42F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C42F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C42F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C42F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C42F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C42F0"/>
    <w:pPr>
      <w:suppressAutoHyphens w:val="0"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AC42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C42F0"/>
    <w:pPr>
      <w:numPr>
        <w:ilvl w:val="1"/>
      </w:numPr>
      <w:suppressAutoHyphens w:val="0"/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C42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C42F0"/>
    <w:pPr>
      <w:suppressAutoHyphens w:val="0"/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C42F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C42F0"/>
    <w:pPr>
      <w:suppressAutoHyphens w:val="0"/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AC42F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C42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C42F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C42F0"/>
    <w:rPr>
      <w:b/>
      <w:bCs/>
      <w:smallCaps/>
      <w:color w:val="0F4761" w:themeColor="accent1" w:themeShade="BF"/>
      <w:spacing w:val="5"/>
    </w:rPr>
  </w:style>
  <w:style w:type="paragraph" w:styleId="Didascalia">
    <w:name w:val="caption"/>
    <w:basedOn w:val="Normale"/>
    <w:qFormat/>
    <w:rsid w:val="00AC42F0"/>
    <w:pPr>
      <w:suppressLineNumbers/>
      <w:spacing w:before="120" w:after="120"/>
    </w:pPr>
    <w:rPr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368</Words>
  <Characters>2103</Characters>
  <Application>Microsoft Office Word</Application>
  <DocSecurity>0</DocSecurity>
  <Lines>17</Lines>
  <Paragraphs>4</Paragraphs>
  <ScaleCrop>false</ScaleCrop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Smolik</dc:creator>
  <cp:keywords/>
  <dc:description/>
  <cp:lastModifiedBy>Krzysztof Smolik</cp:lastModifiedBy>
  <cp:revision>1</cp:revision>
  <dcterms:created xsi:type="dcterms:W3CDTF">2024-11-15T18:15:00Z</dcterms:created>
  <dcterms:modified xsi:type="dcterms:W3CDTF">2024-11-15T18:16:00Z</dcterms:modified>
</cp:coreProperties>
</file>