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EBD49" w14:textId="77777777" w:rsidR="00310835" w:rsidRDefault="00310835" w:rsidP="00310835">
      <w:pPr>
        <w:jc w:val="center"/>
        <w:rPr>
          <w:b/>
          <w:bCs/>
          <w:sz w:val="48"/>
          <w:szCs w:val="48"/>
          <w:lang w:val="en-GB"/>
        </w:rPr>
      </w:pPr>
    </w:p>
    <w:p w14:paraId="510A8757" w14:textId="77777777" w:rsidR="00310835" w:rsidRDefault="00310835" w:rsidP="00310835">
      <w:pPr>
        <w:jc w:val="center"/>
        <w:rPr>
          <w:b/>
          <w:bCs/>
          <w:sz w:val="48"/>
          <w:szCs w:val="48"/>
          <w:lang w:val="en-GB"/>
        </w:rPr>
      </w:pPr>
    </w:p>
    <w:p w14:paraId="6AB921FF" w14:textId="77777777" w:rsidR="00310835" w:rsidRPr="00DB3037" w:rsidRDefault="00310835" w:rsidP="00310835">
      <w:pPr>
        <w:jc w:val="center"/>
        <w:rPr>
          <w:rFonts w:ascii="Arial" w:hAnsi="Arial" w:cs="Arial"/>
          <w:b/>
          <w:bCs/>
          <w:sz w:val="48"/>
          <w:szCs w:val="48"/>
          <w:lang w:val="en-GB"/>
        </w:rPr>
      </w:pPr>
    </w:p>
    <w:p w14:paraId="4A2FAAE1" w14:textId="1BF6EB9A" w:rsidR="00310835" w:rsidRPr="00DB3037" w:rsidRDefault="00310835" w:rsidP="00310835">
      <w:pPr>
        <w:jc w:val="center"/>
        <w:rPr>
          <w:rFonts w:ascii="Arial" w:hAnsi="Arial" w:cs="Arial"/>
          <w:b/>
          <w:bCs/>
          <w:sz w:val="56"/>
          <w:szCs w:val="56"/>
          <w:lang w:val="en-GB"/>
        </w:rPr>
      </w:pPr>
      <w:r w:rsidRPr="00DB3037">
        <w:rPr>
          <w:rFonts w:ascii="Arial" w:hAnsi="Arial" w:cs="Arial"/>
          <w:b/>
          <w:bCs/>
          <w:sz w:val="56"/>
          <w:szCs w:val="56"/>
        </w:rPr>
        <w:t>ChemCatChem</w:t>
      </w:r>
    </w:p>
    <w:p w14:paraId="4A811221" w14:textId="2CAA75E1" w:rsidR="00310835" w:rsidRPr="00DB3037" w:rsidRDefault="00310835" w:rsidP="00310835">
      <w:pPr>
        <w:jc w:val="center"/>
        <w:rPr>
          <w:rFonts w:ascii="Arial" w:hAnsi="Arial" w:cs="Arial"/>
          <w:b/>
          <w:bCs/>
          <w:sz w:val="56"/>
          <w:szCs w:val="56"/>
          <w:lang w:val="en-GB"/>
        </w:rPr>
      </w:pPr>
      <w:r w:rsidRPr="00DB3037">
        <w:rPr>
          <w:rFonts w:ascii="Arial" w:hAnsi="Arial" w:cs="Arial"/>
          <w:b/>
          <w:bCs/>
          <w:sz w:val="56"/>
          <w:szCs w:val="56"/>
        </w:rPr>
        <w:t>Supporting Information</w:t>
      </w:r>
    </w:p>
    <w:p w14:paraId="58B2FD5B" w14:textId="77777777" w:rsidR="00310835" w:rsidRPr="00DB3037" w:rsidRDefault="00310835" w:rsidP="00310835">
      <w:pPr>
        <w:jc w:val="center"/>
        <w:rPr>
          <w:rFonts w:ascii="Arial" w:hAnsi="Arial" w:cs="Arial"/>
          <w:b/>
          <w:bCs/>
          <w:sz w:val="56"/>
          <w:szCs w:val="56"/>
          <w:lang w:val="en-GB"/>
        </w:rPr>
      </w:pPr>
    </w:p>
    <w:p w14:paraId="72D208D2" w14:textId="7EA95EB1" w:rsidR="00310835" w:rsidRPr="00DB3037" w:rsidRDefault="00310835" w:rsidP="00310835">
      <w:pPr>
        <w:jc w:val="both"/>
        <w:rPr>
          <w:rFonts w:ascii="Arial" w:hAnsi="Arial" w:cs="Arial"/>
          <w:b/>
          <w:bCs/>
          <w:sz w:val="32"/>
          <w:szCs w:val="40"/>
          <w:lang w:val="en-GB"/>
        </w:rPr>
      </w:pPr>
      <w:r w:rsidRPr="00DB3037">
        <w:rPr>
          <w:rFonts w:ascii="Arial" w:hAnsi="Arial" w:cs="Arial"/>
          <w:b/>
          <w:bCs/>
          <w:sz w:val="32"/>
          <w:szCs w:val="40"/>
          <w:lang w:val="en-US"/>
        </w:rPr>
        <w:t>Ammonia Borane Hydrolysis towards H</w:t>
      </w:r>
      <w:r w:rsidRPr="00DB3037">
        <w:rPr>
          <w:rFonts w:ascii="Arial" w:hAnsi="Arial" w:cs="Arial"/>
          <w:b/>
          <w:bCs/>
          <w:sz w:val="32"/>
          <w:szCs w:val="40"/>
          <w:vertAlign w:val="subscript"/>
          <w:lang w:val="en-US"/>
        </w:rPr>
        <w:t>2</w:t>
      </w:r>
      <w:r w:rsidRPr="00DB3037">
        <w:rPr>
          <w:rFonts w:ascii="Arial" w:hAnsi="Arial" w:cs="Arial"/>
          <w:b/>
          <w:bCs/>
          <w:sz w:val="32"/>
          <w:szCs w:val="40"/>
          <w:lang w:val="en-US"/>
        </w:rPr>
        <w:t xml:space="preserve"> Production</w:t>
      </w:r>
      <w:r w:rsidRPr="00DB3037">
        <w:rPr>
          <w:rFonts w:ascii="Arial" w:hAnsi="Arial" w:cs="Arial"/>
          <w:b/>
          <w:bCs/>
          <w:sz w:val="32"/>
          <w:szCs w:val="40"/>
          <w:lang w:val="en-GB"/>
        </w:rPr>
        <w:t>: Integrating Experimental Studies, Computational Fluid Dynamics and Statistical Analysis for Predicting and Optimising Process Conditions for Reactor Design</w:t>
      </w:r>
    </w:p>
    <w:p w14:paraId="7CCAFCBD" w14:textId="28E3EB93" w:rsidR="00DB3037" w:rsidRDefault="00DB3037" w:rsidP="00DB3037">
      <w:pPr>
        <w:jc w:val="both"/>
        <w:rPr>
          <w:rFonts w:ascii="Arial" w:hAnsi="Arial" w:cs="Arial"/>
          <w:sz w:val="22"/>
          <w:szCs w:val="22"/>
          <w:lang w:val="en-GB"/>
        </w:rPr>
      </w:pPr>
      <w:r w:rsidRPr="00DB3037">
        <w:rPr>
          <w:rFonts w:ascii="Arial" w:hAnsi="Arial" w:cs="Arial"/>
          <w:sz w:val="22"/>
          <w:szCs w:val="22"/>
        </w:rPr>
        <w:t>Panayiota Adamou, Eleana Harkou, Silvio Bellomi, Ilaria Barlocco,</w:t>
      </w:r>
      <w:r w:rsidRPr="00DB3037">
        <w:rPr>
          <w:rFonts w:ascii="Arial" w:hAnsi="Arial" w:cs="Arial"/>
          <w:sz w:val="22"/>
          <w:szCs w:val="22"/>
          <w:lang w:val="en-GB"/>
        </w:rPr>
        <w:t xml:space="preserve"> Dimitris Mintis</w:t>
      </w:r>
      <w:r w:rsidRPr="00DB3037">
        <w:rPr>
          <w:rFonts w:ascii="Arial" w:hAnsi="Arial" w:cs="Arial"/>
          <w:sz w:val="22"/>
          <w:szCs w:val="22"/>
        </w:rPr>
        <w:t xml:space="preserve">, </w:t>
      </w:r>
      <w:r w:rsidRPr="00DB3037">
        <w:rPr>
          <w:rFonts w:ascii="Arial" w:hAnsi="Arial" w:cs="Arial"/>
          <w:sz w:val="22"/>
          <w:szCs w:val="22"/>
          <w:lang w:val="en-GB"/>
        </w:rPr>
        <w:t xml:space="preserve">Antreas Afantitis, </w:t>
      </w:r>
      <w:r w:rsidRPr="00DB3037">
        <w:rPr>
          <w:rFonts w:ascii="Arial" w:hAnsi="Arial" w:cs="Arial"/>
          <w:sz w:val="22"/>
          <w:szCs w:val="22"/>
        </w:rPr>
        <w:t>Juan J. Delgado, Xiaowei Chen, George Manos, Nikolaos Dimitratos, Alberto Villa</w:t>
      </w:r>
      <w:r>
        <w:rPr>
          <w:rFonts w:ascii="Arial" w:hAnsi="Arial" w:cs="Arial"/>
          <w:sz w:val="22"/>
          <w:szCs w:val="22"/>
          <w:lang w:val="en-GB"/>
        </w:rPr>
        <w:t>*</w:t>
      </w:r>
      <w:r w:rsidRPr="00DB3037">
        <w:rPr>
          <w:rFonts w:ascii="Arial" w:hAnsi="Arial" w:cs="Arial"/>
          <w:sz w:val="22"/>
          <w:szCs w:val="22"/>
        </w:rPr>
        <w:t>, Achilleas Constantinou</w:t>
      </w:r>
      <w:r>
        <w:rPr>
          <w:rFonts w:ascii="Arial" w:hAnsi="Arial" w:cs="Arial"/>
          <w:sz w:val="22"/>
          <w:szCs w:val="22"/>
          <w:lang w:val="en-GB"/>
        </w:rPr>
        <w:t>*</w:t>
      </w:r>
    </w:p>
    <w:p w14:paraId="56BD31AA" w14:textId="77777777" w:rsidR="00DB3037" w:rsidRDefault="00DB3037" w:rsidP="00DB3037">
      <w:pPr>
        <w:jc w:val="both"/>
        <w:rPr>
          <w:rFonts w:ascii="Arial" w:hAnsi="Arial" w:cs="Arial"/>
          <w:sz w:val="22"/>
          <w:szCs w:val="22"/>
          <w:lang w:val="en-GB"/>
        </w:rPr>
      </w:pPr>
    </w:p>
    <w:p w14:paraId="7E11EB26" w14:textId="77777777" w:rsidR="00DB3037" w:rsidRDefault="00DB3037" w:rsidP="00DB3037">
      <w:pPr>
        <w:jc w:val="both"/>
        <w:rPr>
          <w:rFonts w:ascii="Arial" w:hAnsi="Arial" w:cs="Arial"/>
          <w:sz w:val="22"/>
          <w:szCs w:val="22"/>
          <w:lang w:val="en-GB"/>
        </w:rPr>
      </w:pPr>
    </w:p>
    <w:p w14:paraId="42169402" w14:textId="77777777" w:rsidR="00DB3037" w:rsidRDefault="00DB3037" w:rsidP="00DB3037">
      <w:pPr>
        <w:jc w:val="both"/>
        <w:rPr>
          <w:rFonts w:ascii="Arial" w:hAnsi="Arial" w:cs="Arial"/>
          <w:sz w:val="22"/>
          <w:szCs w:val="22"/>
          <w:lang w:val="en-GB"/>
        </w:rPr>
      </w:pPr>
    </w:p>
    <w:p w14:paraId="5F09DD25" w14:textId="77777777" w:rsidR="00DB3037" w:rsidRDefault="00DB3037" w:rsidP="00DB3037">
      <w:pPr>
        <w:jc w:val="both"/>
        <w:rPr>
          <w:rFonts w:ascii="Arial" w:hAnsi="Arial" w:cs="Arial"/>
          <w:sz w:val="22"/>
          <w:szCs w:val="22"/>
          <w:lang w:val="en-GB"/>
        </w:rPr>
      </w:pPr>
    </w:p>
    <w:p w14:paraId="79B6A345" w14:textId="77777777" w:rsidR="00DB3037" w:rsidRDefault="00DB3037" w:rsidP="00DB3037">
      <w:pPr>
        <w:jc w:val="both"/>
        <w:rPr>
          <w:rFonts w:ascii="Arial" w:hAnsi="Arial" w:cs="Arial"/>
          <w:sz w:val="22"/>
          <w:szCs w:val="22"/>
          <w:lang w:val="en-GB"/>
        </w:rPr>
      </w:pPr>
    </w:p>
    <w:p w14:paraId="694AAC13" w14:textId="77777777" w:rsidR="00DB3037" w:rsidRDefault="00DB3037" w:rsidP="00DB3037">
      <w:pPr>
        <w:jc w:val="both"/>
        <w:rPr>
          <w:rFonts w:ascii="Arial" w:hAnsi="Arial" w:cs="Arial"/>
          <w:sz w:val="22"/>
          <w:szCs w:val="22"/>
          <w:lang w:val="en-GB"/>
        </w:rPr>
      </w:pPr>
    </w:p>
    <w:p w14:paraId="69528DBD" w14:textId="77777777" w:rsidR="00DB3037" w:rsidRDefault="00DB3037" w:rsidP="00DB3037">
      <w:pPr>
        <w:jc w:val="both"/>
        <w:rPr>
          <w:rFonts w:ascii="Arial" w:hAnsi="Arial" w:cs="Arial"/>
          <w:sz w:val="22"/>
          <w:szCs w:val="22"/>
          <w:lang w:val="en-GB"/>
        </w:rPr>
      </w:pPr>
    </w:p>
    <w:p w14:paraId="70580533" w14:textId="77777777" w:rsidR="00DB3037" w:rsidRDefault="00DB3037" w:rsidP="00DB3037">
      <w:pPr>
        <w:jc w:val="both"/>
        <w:rPr>
          <w:rFonts w:ascii="Arial" w:hAnsi="Arial" w:cs="Arial"/>
          <w:sz w:val="22"/>
          <w:szCs w:val="22"/>
          <w:lang w:val="en-GB"/>
        </w:rPr>
      </w:pPr>
    </w:p>
    <w:p w14:paraId="6AB9BC1D" w14:textId="77777777" w:rsidR="00DB3037" w:rsidRDefault="00DB3037" w:rsidP="00DB3037">
      <w:pPr>
        <w:jc w:val="both"/>
        <w:rPr>
          <w:rFonts w:ascii="Arial" w:hAnsi="Arial" w:cs="Arial"/>
          <w:sz w:val="22"/>
          <w:szCs w:val="22"/>
          <w:lang w:val="en-GB"/>
        </w:rPr>
      </w:pPr>
    </w:p>
    <w:p w14:paraId="30E21275" w14:textId="77777777" w:rsidR="00DB3037" w:rsidRDefault="00DB3037" w:rsidP="00DB3037">
      <w:pPr>
        <w:jc w:val="both"/>
        <w:rPr>
          <w:rFonts w:ascii="Arial" w:hAnsi="Arial" w:cs="Arial"/>
          <w:sz w:val="22"/>
          <w:szCs w:val="22"/>
          <w:lang w:val="en-GB"/>
        </w:rPr>
      </w:pPr>
    </w:p>
    <w:p w14:paraId="2CADD256" w14:textId="77777777" w:rsidR="00DB3037" w:rsidRDefault="00DB3037" w:rsidP="00DB3037">
      <w:pPr>
        <w:jc w:val="both"/>
        <w:rPr>
          <w:rFonts w:ascii="Arial" w:hAnsi="Arial" w:cs="Arial"/>
          <w:sz w:val="22"/>
          <w:szCs w:val="22"/>
          <w:lang w:val="en-GB"/>
        </w:rPr>
      </w:pPr>
    </w:p>
    <w:p w14:paraId="5744389E" w14:textId="77777777" w:rsidR="00DB3037" w:rsidRDefault="00DB3037" w:rsidP="00DB3037">
      <w:pPr>
        <w:jc w:val="both"/>
        <w:rPr>
          <w:rFonts w:ascii="Arial" w:hAnsi="Arial" w:cs="Arial"/>
          <w:sz w:val="22"/>
          <w:szCs w:val="22"/>
          <w:lang w:val="en-GB"/>
        </w:rPr>
      </w:pPr>
    </w:p>
    <w:p w14:paraId="0DE831DA" w14:textId="77777777" w:rsidR="00DB3037" w:rsidRDefault="00DB3037" w:rsidP="00DB3037">
      <w:pPr>
        <w:jc w:val="both"/>
        <w:rPr>
          <w:rFonts w:ascii="Arial" w:hAnsi="Arial" w:cs="Arial"/>
          <w:sz w:val="22"/>
          <w:szCs w:val="22"/>
          <w:lang w:val="en-GB"/>
        </w:rPr>
      </w:pPr>
    </w:p>
    <w:p w14:paraId="7BA0CA41" w14:textId="24319729" w:rsidR="00DB3037" w:rsidRPr="00DB3037" w:rsidRDefault="00DB3037" w:rsidP="00DB3037">
      <w:pPr>
        <w:jc w:val="center"/>
        <w:rPr>
          <w:rFonts w:ascii="Arial" w:hAnsi="Arial" w:cs="Arial"/>
          <w:sz w:val="40"/>
          <w:szCs w:val="40"/>
          <w:vertAlign w:val="superscript"/>
          <w:lang w:val="en-GB"/>
        </w:rPr>
      </w:pPr>
      <w:r>
        <w:rPr>
          <w:rFonts w:ascii="Arial" w:hAnsi="Arial" w:cs="Arial"/>
          <w:sz w:val="40"/>
          <w:szCs w:val="40"/>
          <w:vertAlign w:val="superscript"/>
          <w:lang w:val="en-GB"/>
        </w:rPr>
        <w:lastRenderedPageBreak/>
        <w:t xml:space="preserve">Supporting Information for </w:t>
      </w:r>
    </w:p>
    <w:p w14:paraId="394504AA" w14:textId="77777777" w:rsidR="00DB3037" w:rsidRPr="00DB3037" w:rsidRDefault="00DB3037" w:rsidP="00FC59ED">
      <w:pPr>
        <w:ind w:left="-426"/>
        <w:jc w:val="both"/>
        <w:rPr>
          <w:rFonts w:ascii="Arial" w:hAnsi="Arial" w:cs="Arial"/>
          <w:b/>
          <w:bCs/>
          <w:szCs w:val="32"/>
          <w:lang w:val="en-GB"/>
        </w:rPr>
      </w:pPr>
      <w:r w:rsidRPr="00DB3037">
        <w:rPr>
          <w:rFonts w:ascii="Arial" w:hAnsi="Arial" w:cs="Arial"/>
          <w:b/>
          <w:bCs/>
          <w:szCs w:val="32"/>
          <w:lang w:val="en-US"/>
        </w:rPr>
        <w:t>Ammonia Borane Hydrolysis towards H</w:t>
      </w:r>
      <w:r w:rsidRPr="00DB3037">
        <w:rPr>
          <w:rFonts w:ascii="Arial" w:hAnsi="Arial" w:cs="Arial"/>
          <w:b/>
          <w:bCs/>
          <w:szCs w:val="32"/>
          <w:vertAlign w:val="subscript"/>
          <w:lang w:val="en-US"/>
        </w:rPr>
        <w:t>2</w:t>
      </w:r>
      <w:r w:rsidRPr="00DB3037">
        <w:rPr>
          <w:rFonts w:ascii="Arial" w:hAnsi="Arial" w:cs="Arial"/>
          <w:b/>
          <w:bCs/>
          <w:szCs w:val="32"/>
          <w:lang w:val="en-US"/>
        </w:rPr>
        <w:t xml:space="preserve"> Production</w:t>
      </w:r>
      <w:r w:rsidRPr="00DB3037">
        <w:rPr>
          <w:rFonts w:ascii="Arial" w:hAnsi="Arial" w:cs="Arial"/>
          <w:b/>
          <w:bCs/>
          <w:szCs w:val="32"/>
          <w:lang w:val="en-GB"/>
        </w:rPr>
        <w:t>: Integrating Experimental Studies, Computational Fluid Dynamics and Statistical Analysis for Predicting and Optimising Process Conditions for Reactor Design</w:t>
      </w:r>
    </w:p>
    <w:p w14:paraId="1BA5045B" w14:textId="77777777" w:rsidR="00DB3037" w:rsidRPr="00E84540" w:rsidRDefault="00DB3037" w:rsidP="00FC59ED">
      <w:pPr>
        <w:pStyle w:val="Authors"/>
        <w:spacing w:before="240" w:after="240" w:line="240" w:lineRule="atLeast"/>
        <w:ind w:left="-426"/>
        <w:rPr>
          <w:rFonts w:cs="Arial"/>
          <w:sz w:val="20"/>
          <w:szCs w:val="20"/>
          <w:vertAlign w:val="superscript"/>
        </w:rPr>
      </w:pPr>
      <w:r w:rsidRPr="00E84540">
        <w:rPr>
          <w:rFonts w:cs="Arial"/>
          <w:sz w:val="20"/>
          <w:szCs w:val="20"/>
        </w:rPr>
        <w:t>Panayiota Adamou</w:t>
      </w:r>
      <w:r>
        <w:rPr>
          <w:rFonts w:cs="Arial"/>
          <w:sz w:val="20"/>
          <w:szCs w:val="20"/>
          <w:vertAlign w:val="superscript"/>
        </w:rPr>
        <w:t>[a]</w:t>
      </w:r>
      <w:r w:rsidRPr="00E84540">
        <w:rPr>
          <w:rFonts w:cs="Arial"/>
          <w:sz w:val="20"/>
          <w:szCs w:val="20"/>
        </w:rPr>
        <w:t>, Eleana Harkou</w:t>
      </w:r>
      <w:r>
        <w:rPr>
          <w:rFonts w:cs="Arial"/>
          <w:sz w:val="20"/>
          <w:szCs w:val="20"/>
          <w:vertAlign w:val="superscript"/>
        </w:rPr>
        <w:t>[a]</w:t>
      </w:r>
      <w:r w:rsidRPr="00E84540">
        <w:rPr>
          <w:rFonts w:cs="Arial"/>
          <w:sz w:val="20"/>
          <w:szCs w:val="20"/>
        </w:rPr>
        <w:t>, Silvio Bellomi</w:t>
      </w:r>
      <w:r>
        <w:rPr>
          <w:rFonts w:cs="Arial"/>
          <w:sz w:val="20"/>
          <w:szCs w:val="20"/>
          <w:vertAlign w:val="superscript"/>
        </w:rPr>
        <w:t>[b]</w:t>
      </w:r>
      <w:r w:rsidRPr="00E84540">
        <w:rPr>
          <w:rFonts w:cs="Arial"/>
          <w:sz w:val="20"/>
          <w:szCs w:val="20"/>
        </w:rPr>
        <w:t>, Ilaria Barlocco</w:t>
      </w:r>
      <w:r>
        <w:rPr>
          <w:rFonts w:cs="Arial"/>
          <w:sz w:val="20"/>
          <w:szCs w:val="20"/>
          <w:vertAlign w:val="superscript"/>
        </w:rPr>
        <w:t>[b]</w:t>
      </w:r>
      <w:r w:rsidRPr="00E84540">
        <w:rPr>
          <w:rFonts w:cs="Arial"/>
          <w:sz w:val="20"/>
          <w:szCs w:val="20"/>
        </w:rPr>
        <w:t>, Dimitris Mintis</w:t>
      </w:r>
      <w:r>
        <w:rPr>
          <w:rFonts w:cs="Arial"/>
          <w:sz w:val="20"/>
          <w:szCs w:val="20"/>
          <w:vertAlign w:val="superscript"/>
        </w:rPr>
        <w:t>[</w:t>
      </w:r>
      <w:proofErr w:type="gramStart"/>
      <w:r>
        <w:rPr>
          <w:rFonts w:cs="Arial"/>
          <w:sz w:val="20"/>
          <w:szCs w:val="20"/>
          <w:vertAlign w:val="superscript"/>
        </w:rPr>
        <w:t>c</w:t>
      </w:r>
      <w:r w:rsidRPr="00E84540">
        <w:rPr>
          <w:rFonts w:cs="Arial"/>
          <w:sz w:val="20"/>
          <w:szCs w:val="20"/>
          <w:vertAlign w:val="superscript"/>
        </w:rPr>
        <w:t>,d</w:t>
      </w:r>
      <w:proofErr w:type="gramEnd"/>
      <w:r>
        <w:rPr>
          <w:rFonts w:cs="Arial"/>
          <w:sz w:val="20"/>
          <w:szCs w:val="20"/>
          <w:vertAlign w:val="superscript"/>
        </w:rPr>
        <w:t>]</w:t>
      </w:r>
      <w:r w:rsidRPr="00E84540">
        <w:rPr>
          <w:rFonts w:cs="Arial"/>
          <w:sz w:val="20"/>
          <w:szCs w:val="20"/>
        </w:rPr>
        <w:t>, Antreas Afantitis</w:t>
      </w:r>
      <w:r>
        <w:rPr>
          <w:rFonts w:cs="Arial"/>
          <w:sz w:val="20"/>
          <w:szCs w:val="20"/>
          <w:vertAlign w:val="superscript"/>
        </w:rPr>
        <w:t>[</w:t>
      </w:r>
      <w:proofErr w:type="gramStart"/>
      <w:r>
        <w:rPr>
          <w:rFonts w:cs="Arial"/>
          <w:sz w:val="20"/>
          <w:szCs w:val="20"/>
          <w:vertAlign w:val="superscript"/>
        </w:rPr>
        <w:t>c</w:t>
      </w:r>
      <w:r w:rsidRPr="00E84540">
        <w:rPr>
          <w:rFonts w:cs="Arial"/>
          <w:sz w:val="20"/>
          <w:szCs w:val="20"/>
          <w:vertAlign w:val="superscript"/>
        </w:rPr>
        <w:t>,d</w:t>
      </w:r>
      <w:proofErr w:type="gramEnd"/>
      <w:r>
        <w:rPr>
          <w:rFonts w:cs="Arial"/>
          <w:sz w:val="20"/>
          <w:szCs w:val="20"/>
          <w:vertAlign w:val="superscript"/>
        </w:rPr>
        <w:t>]</w:t>
      </w:r>
      <w:r w:rsidRPr="00E84540">
        <w:rPr>
          <w:rFonts w:cs="Arial"/>
          <w:sz w:val="20"/>
          <w:szCs w:val="20"/>
        </w:rPr>
        <w:t>, Juan J. Delgado</w:t>
      </w:r>
      <w:r>
        <w:rPr>
          <w:rFonts w:cs="Arial"/>
          <w:sz w:val="20"/>
          <w:szCs w:val="20"/>
          <w:vertAlign w:val="superscript"/>
          <w:lang w:val="en-US"/>
        </w:rPr>
        <w:t>[e]</w:t>
      </w:r>
      <w:r w:rsidRPr="00E84540">
        <w:rPr>
          <w:rFonts w:cs="Arial"/>
          <w:sz w:val="20"/>
          <w:szCs w:val="20"/>
        </w:rPr>
        <w:t>, Xiaowei Chen</w:t>
      </w:r>
      <w:r>
        <w:rPr>
          <w:rFonts w:cs="Arial"/>
          <w:sz w:val="20"/>
          <w:szCs w:val="20"/>
          <w:vertAlign w:val="superscript"/>
        </w:rPr>
        <w:t>[e]</w:t>
      </w:r>
      <w:r w:rsidRPr="00E84540">
        <w:rPr>
          <w:rFonts w:cs="Arial"/>
          <w:sz w:val="20"/>
          <w:szCs w:val="20"/>
        </w:rPr>
        <w:t>, George Manos</w:t>
      </w:r>
      <w:r>
        <w:rPr>
          <w:rFonts w:cs="Arial"/>
          <w:sz w:val="20"/>
          <w:szCs w:val="20"/>
          <w:vertAlign w:val="superscript"/>
        </w:rPr>
        <w:t>[f]</w:t>
      </w:r>
      <w:r w:rsidRPr="00E84540">
        <w:rPr>
          <w:rFonts w:cs="Arial"/>
          <w:sz w:val="20"/>
          <w:szCs w:val="20"/>
        </w:rPr>
        <w:t>, Nikolaos Dimitratos</w:t>
      </w:r>
      <w:r>
        <w:rPr>
          <w:rFonts w:cs="Arial"/>
          <w:sz w:val="20"/>
          <w:szCs w:val="20"/>
          <w:vertAlign w:val="superscript"/>
        </w:rPr>
        <w:t>[</w:t>
      </w:r>
      <w:proofErr w:type="gramStart"/>
      <w:r>
        <w:rPr>
          <w:rFonts w:cs="Arial"/>
          <w:sz w:val="20"/>
          <w:szCs w:val="20"/>
          <w:vertAlign w:val="superscript"/>
        </w:rPr>
        <w:t>g</w:t>
      </w:r>
      <w:r w:rsidRPr="00E84540">
        <w:rPr>
          <w:rFonts w:cs="Arial"/>
          <w:sz w:val="20"/>
          <w:szCs w:val="20"/>
          <w:vertAlign w:val="superscript"/>
        </w:rPr>
        <w:t>,h</w:t>
      </w:r>
      <w:proofErr w:type="gramEnd"/>
      <w:r>
        <w:rPr>
          <w:rFonts w:cs="Arial"/>
          <w:sz w:val="20"/>
          <w:szCs w:val="20"/>
          <w:vertAlign w:val="superscript"/>
        </w:rPr>
        <w:t>]</w:t>
      </w:r>
      <w:r w:rsidRPr="00E84540">
        <w:rPr>
          <w:rFonts w:cs="Arial"/>
          <w:sz w:val="20"/>
          <w:szCs w:val="20"/>
        </w:rPr>
        <w:t>, Alberto Villa</w:t>
      </w:r>
      <w:r>
        <w:rPr>
          <w:rFonts w:cs="Arial"/>
          <w:sz w:val="20"/>
          <w:szCs w:val="20"/>
          <w:vertAlign w:val="superscript"/>
        </w:rPr>
        <w:t>[</w:t>
      </w:r>
      <w:proofErr w:type="gramStart"/>
      <w:r>
        <w:rPr>
          <w:rFonts w:cs="Arial"/>
          <w:sz w:val="20"/>
          <w:szCs w:val="20"/>
          <w:vertAlign w:val="superscript"/>
        </w:rPr>
        <w:t>b,</w:t>
      </w:r>
      <w:r w:rsidRPr="00E84540">
        <w:rPr>
          <w:rFonts w:cs="Arial"/>
          <w:sz w:val="20"/>
          <w:szCs w:val="20"/>
          <w:vertAlign w:val="superscript"/>
        </w:rPr>
        <w:t>*</w:t>
      </w:r>
      <w:proofErr w:type="gramEnd"/>
      <w:r>
        <w:rPr>
          <w:rFonts w:cs="Arial"/>
          <w:sz w:val="20"/>
          <w:szCs w:val="20"/>
          <w:vertAlign w:val="superscript"/>
        </w:rPr>
        <w:t>]</w:t>
      </w:r>
      <w:r w:rsidRPr="00E84540">
        <w:rPr>
          <w:rFonts w:cs="Arial"/>
          <w:sz w:val="20"/>
          <w:szCs w:val="20"/>
        </w:rPr>
        <w:t>, Achilleas Constantinou</w:t>
      </w:r>
      <w:r>
        <w:rPr>
          <w:rFonts w:cs="Arial"/>
          <w:sz w:val="20"/>
          <w:szCs w:val="20"/>
          <w:vertAlign w:val="superscript"/>
        </w:rPr>
        <w:t>[</w:t>
      </w:r>
      <w:proofErr w:type="gramStart"/>
      <w:r>
        <w:rPr>
          <w:rFonts w:cs="Arial"/>
          <w:sz w:val="20"/>
          <w:szCs w:val="20"/>
          <w:vertAlign w:val="superscript"/>
        </w:rPr>
        <w:t>a</w:t>
      </w:r>
      <w:r w:rsidRPr="00E84540">
        <w:rPr>
          <w:rFonts w:cs="Arial"/>
          <w:sz w:val="20"/>
          <w:szCs w:val="20"/>
          <w:vertAlign w:val="superscript"/>
        </w:rPr>
        <w:t>,*</w:t>
      </w:r>
      <w:proofErr w:type="gramEnd"/>
      <w:r>
        <w:rPr>
          <w:rFonts w:cs="Arial"/>
          <w:sz w:val="20"/>
          <w:szCs w:val="20"/>
          <w:vertAlign w:val="superscript"/>
        </w:rPr>
        <w:t>]</w:t>
      </w:r>
    </w:p>
    <w:p w14:paraId="5D37149B" w14:textId="77777777" w:rsidR="00DB3037" w:rsidRDefault="00DB3037" w:rsidP="00DB3037">
      <w:pPr>
        <w:pStyle w:val="Adress"/>
        <w:pBdr>
          <w:top w:val="single" w:sz="4" w:space="1" w:color="000000"/>
        </w:pBdr>
        <w:spacing w:before="240" w:after="240" w:line="276" w:lineRule="auto"/>
        <w:ind w:left="0" w:firstLine="0"/>
        <w:rPr>
          <w:rFonts w:cs="Arial"/>
          <w:sz w:val="18"/>
          <w:szCs w:val="18"/>
          <w:lang w:val="en-US"/>
        </w:rPr>
      </w:pPr>
      <w:r w:rsidRPr="00C91676">
        <w:rPr>
          <w:rFonts w:cs="Arial"/>
          <w:sz w:val="18"/>
          <w:szCs w:val="18"/>
          <w:lang w:val="en-US"/>
        </w:rPr>
        <w:t>[a]</w:t>
      </w:r>
      <w:r>
        <w:rPr>
          <w:rFonts w:cs="Arial"/>
          <w:sz w:val="18"/>
          <w:szCs w:val="18"/>
          <w:lang w:val="en-US"/>
        </w:rPr>
        <w:t xml:space="preserve"> P. Adamou, E. Harkou, A. Constantinou </w:t>
      </w:r>
    </w:p>
    <w:p w14:paraId="251E6DA7" w14:textId="77777777" w:rsidR="00DB3037" w:rsidRPr="00C91676" w:rsidRDefault="00DB3037" w:rsidP="00DB3037">
      <w:pPr>
        <w:pStyle w:val="Adress"/>
        <w:pBdr>
          <w:top w:val="single" w:sz="4" w:space="1" w:color="000000"/>
        </w:pBdr>
        <w:spacing w:before="240" w:after="240" w:line="276" w:lineRule="auto"/>
        <w:ind w:left="0" w:firstLine="0"/>
        <w:rPr>
          <w:rFonts w:cs="Arial"/>
          <w:sz w:val="18"/>
          <w:szCs w:val="18"/>
          <w:lang w:val="en-US"/>
        </w:rPr>
      </w:pPr>
      <w:r w:rsidRPr="00C91676">
        <w:rPr>
          <w:rFonts w:cs="Arial"/>
          <w:sz w:val="18"/>
          <w:szCs w:val="18"/>
          <w:lang w:val="en-US"/>
        </w:rPr>
        <w:t>Department</w:t>
      </w:r>
      <w:r>
        <w:rPr>
          <w:rFonts w:cs="Arial"/>
          <w:sz w:val="18"/>
          <w:szCs w:val="18"/>
          <w:lang w:val="en-US"/>
        </w:rPr>
        <w:t xml:space="preserve"> of Chemical Engineering, Cyprus University of Technology, 57 Corner of Athinon and Anexartisias, 3036 Limassol, Cyprus</w:t>
      </w:r>
      <w:r w:rsidRPr="00C91676">
        <w:rPr>
          <w:rFonts w:cs="Arial"/>
          <w:sz w:val="18"/>
          <w:szCs w:val="18"/>
          <w:lang w:val="en-US"/>
        </w:rPr>
        <w:br/>
        <w:t>E-mail:</w:t>
      </w:r>
      <w:bookmarkStart w:id="0" w:name="_Hlk108697847"/>
      <w:r w:rsidRPr="00C91676">
        <w:rPr>
          <w:rFonts w:cs="Arial"/>
          <w:sz w:val="18"/>
          <w:szCs w:val="18"/>
          <w:lang w:val="en-US"/>
        </w:rPr>
        <w:t xml:space="preserve"> </w:t>
      </w:r>
      <w:bookmarkEnd w:id="0"/>
      <w:r w:rsidRPr="00144A6D">
        <w:rPr>
          <w:rFonts w:cs="Arial"/>
          <w:color w:val="FF0000"/>
          <w:sz w:val="18"/>
          <w:szCs w:val="18"/>
          <w:lang w:val="en-GB"/>
        </w:rPr>
        <w:fldChar w:fldCharType="begin"/>
      </w:r>
      <w:r w:rsidRPr="00144A6D">
        <w:rPr>
          <w:rFonts w:cs="Arial"/>
          <w:color w:val="FF0000"/>
          <w:sz w:val="18"/>
          <w:szCs w:val="18"/>
          <w:lang w:val="en-GB"/>
        </w:rPr>
        <w:instrText>HYPERLINK "mailto:a.konstantinou@cut.ac.cy"</w:instrText>
      </w:r>
      <w:r w:rsidRPr="00144A6D">
        <w:rPr>
          <w:rFonts w:cs="Arial"/>
          <w:color w:val="FF0000"/>
          <w:sz w:val="18"/>
          <w:szCs w:val="18"/>
          <w:lang w:val="en-GB"/>
        </w:rPr>
      </w:r>
      <w:r w:rsidRPr="00144A6D">
        <w:rPr>
          <w:rFonts w:cs="Arial"/>
          <w:color w:val="FF0000"/>
          <w:sz w:val="18"/>
          <w:szCs w:val="18"/>
          <w:lang w:val="en-GB"/>
        </w:rPr>
        <w:fldChar w:fldCharType="separate"/>
      </w:r>
      <w:r w:rsidRPr="00144A6D">
        <w:rPr>
          <w:rStyle w:val="Collegamentoipertestuale"/>
          <w:rFonts w:cs="Arial"/>
          <w:sz w:val="18"/>
          <w:szCs w:val="18"/>
          <w:lang w:val="en-GB"/>
        </w:rPr>
        <w:t>a.konstantinou@cut.ac.cy</w:t>
      </w:r>
      <w:r w:rsidRPr="00144A6D">
        <w:rPr>
          <w:rFonts w:cs="Arial"/>
          <w:color w:val="FF0000"/>
          <w:sz w:val="18"/>
          <w:szCs w:val="18"/>
          <w:lang w:val="en-US"/>
        </w:rPr>
        <w:fldChar w:fldCharType="end"/>
      </w:r>
    </w:p>
    <w:p w14:paraId="1B61765D" w14:textId="77777777" w:rsidR="00DB3037" w:rsidRDefault="00DB3037" w:rsidP="00DB3037">
      <w:pPr>
        <w:pStyle w:val="Adress"/>
        <w:spacing w:before="240" w:after="240" w:line="276" w:lineRule="auto"/>
        <w:ind w:left="0" w:firstLine="0"/>
        <w:rPr>
          <w:rFonts w:cs="Arial"/>
          <w:sz w:val="18"/>
          <w:szCs w:val="18"/>
          <w:lang w:val="en-US"/>
        </w:rPr>
      </w:pPr>
      <w:r w:rsidRPr="00C91676">
        <w:rPr>
          <w:rFonts w:cs="Arial"/>
          <w:sz w:val="18"/>
          <w:szCs w:val="18"/>
          <w:lang w:val="en-US"/>
        </w:rPr>
        <w:t>[b]</w:t>
      </w:r>
      <w:r>
        <w:rPr>
          <w:rFonts w:cs="Arial"/>
          <w:sz w:val="18"/>
          <w:szCs w:val="18"/>
          <w:lang w:val="en-US"/>
        </w:rPr>
        <w:t xml:space="preserve"> S Bellomi, I. Barlocco, A. Villa </w:t>
      </w:r>
    </w:p>
    <w:p w14:paraId="05068756" w14:textId="77777777" w:rsidR="00DB3037" w:rsidRDefault="00DB3037" w:rsidP="00DB3037">
      <w:pPr>
        <w:pStyle w:val="Adress"/>
        <w:spacing w:before="240" w:after="240" w:line="276" w:lineRule="auto"/>
        <w:ind w:left="0" w:firstLine="0"/>
        <w:rPr>
          <w:rFonts w:cs="Arial"/>
          <w:sz w:val="18"/>
          <w:szCs w:val="18"/>
          <w:lang w:val="en-US"/>
        </w:rPr>
      </w:pPr>
      <w:proofErr w:type="spellStart"/>
      <w:r w:rsidRPr="00C91676">
        <w:rPr>
          <w:rFonts w:cs="Arial"/>
          <w:sz w:val="18"/>
          <w:szCs w:val="18"/>
          <w:lang w:val="en-US"/>
        </w:rPr>
        <w:t>D</w:t>
      </w:r>
      <w:r>
        <w:rPr>
          <w:rFonts w:cs="Arial"/>
          <w:sz w:val="18"/>
          <w:szCs w:val="18"/>
          <w:lang w:val="en-US"/>
        </w:rPr>
        <w:t>i</w:t>
      </w:r>
      <w:r w:rsidRPr="00C91676">
        <w:rPr>
          <w:rFonts w:cs="Arial"/>
          <w:sz w:val="18"/>
          <w:szCs w:val="18"/>
          <w:lang w:val="en-US"/>
        </w:rPr>
        <w:t>part</w:t>
      </w:r>
      <w:r>
        <w:rPr>
          <w:rFonts w:cs="Arial"/>
          <w:sz w:val="18"/>
          <w:szCs w:val="18"/>
          <w:lang w:val="en-US"/>
        </w:rPr>
        <w:t>imento</w:t>
      </w:r>
      <w:proofErr w:type="spellEnd"/>
      <w:r>
        <w:rPr>
          <w:rFonts w:cs="Arial"/>
          <w:sz w:val="18"/>
          <w:szCs w:val="18"/>
          <w:lang w:val="en-US"/>
        </w:rPr>
        <w:t xml:space="preserve"> di </w:t>
      </w:r>
      <w:proofErr w:type="spellStart"/>
      <w:r>
        <w:rPr>
          <w:rFonts w:cs="Arial"/>
          <w:sz w:val="18"/>
          <w:szCs w:val="18"/>
          <w:lang w:val="en-US"/>
        </w:rPr>
        <w:t>Chimica</w:t>
      </w:r>
      <w:proofErr w:type="spellEnd"/>
      <w:r>
        <w:rPr>
          <w:rFonts w:cs="Arial"/>
          <w:sz w:val="18"/>
          <w:szCs w:val="18"/>
          <w:lang w:val="en-US"/>
        </w:rPr>
        <w:t xml:space="preserve">, </w:t>
      </w:r>
      <w:proofErr w:type="spellStart"/>
      <w:r>
        <w:rPr>
          <w:rFonts w:cs="Arial"/>
          <w:sz w:val="18"/>
          <w:szCs w:val="18"/>
          <w:lang w:val="en-US"/>
        </w:rPr>
        <w:t>Universit</w:t>
      </w:r>
      <w:proofErr w:type="spellEnd"/>
      <w:r w:rsidRPr="00E84540">
        <w:rPr>
          <w:rFonts w:cs="Arial"/>
          <w:sz w:val="18"/>
          <w:szCs w:val="18"/>
          <w:lang w:val="it-IT"/>
        </w:rPr>
        <w:t>à</w:t>
      </w:r>
      <w:r w:rsidRPr="00144A6D">
        <w:rPr>
          <w:rFonts w:cs="Arial"/>
          <w:sz w:val="18"/>
          <w:szCs w:val="18"/>
          <w:lang w:val="en-US"/>
        </w:rPr>
        <w:t xml:space="preserve"> </w:t>
      </w:r>
      <w:r>
        <w:rPr>
          <w:rFonts w:cs="Arial"/>
          <w:sz w:val="18"/>
          <w:szCs w:val="18"/>
          <w:lang w:val="en-US"/>
        </w:rPr>
        <w:t xml:space="preserve">degli Studi di Milano, </w:t>
      </w:r>
      <w:r w:rsidRPr="00E84540">
        <w:rPr>
          <w:rFonts w:cs="Arial"/>
          <w:sz w:val="18"/>
          <w:szCs w:val="18"/>
          <w:lang w:val="it-IT"/>
        </w:rPr>
        <w:t>via Golgi 19, I-20133, Milano, Italy</w:t>
      </w:r>
      <w:r w:rsidRPr="00C91676">
        <w:rPr>
          <w:rFonts w:cs="Arial"/>
          <w:sz w:val="18"/>
          <w:szCs w:val="18"/>
          <w:lang w:val="en-US"/>
        </w:rPr>
        <w:br/>
      </w:r>
      <w:r>
        <w:rPr>
          <w:rFonts w:cs="Arial"/>
          <w:sz w:val="18"/>
          <w:szCs w:val="18"/>
          <w:lang w:val="en-US"/>
        </w:rPr>
        <w:t xml:space="preserve">Email: </w:t>
      </w:r>
      <w:hyperlink r:id="rId4" w:history="1">
        <w:r w:rsidRPr="00144A6D">
          <w:rPr>
            <w:rStyle w:val="Collegamentoipertestuale"/>
            <w:rFonts w:cs="Arial"/>
            <w:sz w:val="18"/>
            <w:szCs w:val="18"/>
            <w:lang w:val="en-GB"/>
          </w:rPr>
          <w:t>alberto.villa@unimi.it</w:t>
        </w:r>
      </w:hyperlink>
    </w:p>
    <w:p w14:paraId="66828E89" w14:textId="77777777" w:rsidR="00DB3037" w:rsidRDefault="00DB3037" w:rsidP="00DB3037">
      <w:pPr>
        <w:pStyle w:val="Adress"/>
        <w:spacing w:before="240" w:after="240" w:line="276" w:lineRule="auto"/>
        <w:ind w:left="0" w:firstLine="0"/>
        <w:rPr>
          <w:rFonts w:cs="Arial"/>
          <w:sz w:val="18"/>
          <w:szCs w:val="18"/>
          <w:lang w:val="en-US"/>
        </w:rPr>
      </w:pPr>
      <w:r>
        <w:rPr>
          <w:rFonts w:cs="Arial"/>
          <w:sz w:val="18"/>
          <w:szCs w:val="18"/>
          <w:lang w:val="en-US"/>
        </w:rPr>
        <w:t>[c] D. Minits, A. Afantitis</w:t>
      </w:r>
    </w:p>
    <w:p w14:paraId="39A302A0" w14:textId="77777777" w:rsidR="00DB3037" w:rsidRDefault="00DB3037" w:rsidP="00DB3037">
      <w:pPr>
        <w:pStyle w:val="Adress"/>
        <w:spacing w:before="240" w:after="240" w:line="276" w:lineRule="auto"/>
        <w:ind w:left="0" w:firstLine="0"/>
        <w:rPr>
          <w:rFonts w:cs="Arial"/>
          <w:sz w:val="18"/>
          <w:szCs w:val="18"/>
          <w:lang w:val="en-US"/>
        </w:rPr>
      </w:pPr>
      <w:r>
        <w:rPr>
          <w:rFonts w:cs="Arial"/>
          <w:sz w:val="18"/>
          <w:szCs w:val="18"/>
          <w:lang w:val="en-US"/>
        </w:rPr>
        <w:t>NovaMechanics Ltd, Nicosia 1070, Cyprus</w:t>
      </w:r>
    </w:p>
    <w:p w14:paraId="3DA87A55" w14:textId="77777777" w:rsidR="00DB3037" w:rsidRDefault="00DB3037" w:rsidP="00DB3037">
      <w:pPr>
        <w:pStyle w:val="Adress"/>
        <w:spacing w:before="240" w:after="240" w:line="276" w:lineRule="auto"/>
        <w:ind w:left="0" w:firstLine="0"/>
        <w:rPr>
          <w:rFonts w:cs="Arial"/>
          <w:sz w:val="18"/>
          <w:szCs w:val="18"/>
          <w:lang w:val="en-US"/>
        </w:rPr>
      </w:pPr>
      <w:r>
        <w:rPr>
          <w:rFonts w:cs="Arial"/>
          <w:sz w:val="18"/>
          <w:szCs w:val="18"/>
          <w:lang w:val="en-US"/>
        </w:rPr>
        <w:t>[d] D. Minits, A. Afantitis</w:t>
      </w:r>
    </w:p>
    <w:p w14:paraId="0369F04A" w14:textId="77777777" w:rsidR="00DB3037" w:rsidRDefault="00DB3037" w:rsidP="00DB3037">
      <w:pPr>
        <w:pStyle w:val="Adress"/>
        <w:spacing w:before="240" w:after="240" w:line="276" w:lineRule="auto"/>
        <w:ind w:left="0" w:firstLine="0"/>
        <w:rPr>
          <w:rFonts w:cs="Arial"/>
          <w:sz w:val="18"/>
          <w:szCs w:val="18"/>
          <w:lang w:val="en-US"/>
        </w:rPr>
      </w:pPr>
      <w:r>
        <w:rPr>
          <w:rFonts w:cs="Arial"/>
          <w:sz w:val="18"/>
          <w:szCs w:val="18"/>
          <w:lang w:val="en-US"/>
        </w:rPr>
        <w:t>Entelos Institute, Larnaca 6059, Cyprus</w:t>
      </w:r>
    </w:p>
    <w:p w14:paraId="1233FF75" w14:textId="77777777" w:rsidR="00DB3037" w:rsidRDefault="00DB3037" w:rsidP="00DB3037">
      <w:pPr>
        <w:pStyle w:val="Adress"/>
        <w:spacing w:before="240" w:after="240" w:line="276" w:lineRule="auto"/>
        <w:ind w:left="0" w:firstLine="0"/>
        <w:rPr>
          <w:rFonts w:cs="Arial"/>
          <w:sz w:val="18"/>
          <w:szCs w:val="18"/>
          <w:lang w:val="en-US"/>
        </w:rPr>
      </w:pPr>
      <w:r>
        <w:rPr>
          <w:rFonts w:cs="Arial"/>
          <w:sz w:val="18"/>
          <w:szCs w:val="18"/>
          <w:lang w:val="en-US"/>
        </w:rPr>
        <w:t>[e] J.J. Delgado, X. Chen</w:t>
      </w:r>
    </w:p>
    <w:p w14:paraId="6FDBE44C" w14:textId="77777777" w:rsidR="00DB3037" w:rsidRDefault="00DB3037" w:rsidP="00DB3037">
      <w:pPr>
        <w:pStyle w:val="Adress"/>
        <w:spacing w:before="240" w:after="240" w:line="276" w:lineRule="auto"/>
        <w:ind w:left="0" w:firstLine="0"/>
        <w:rPr>
          <w:rFonts w:cs="Arial"/>
          <w:sz w:val="18"/>
          <w:szCs w:val="18"/>
          <w:lang w:val="it-IT"/>
        </w:rPr>
      </w:pPr>
      <w:r>
        <w:rPr>
          <w:rFonts w:cs="Arial"/>
          <w:sz w:val="18"/>
          <w:szCs w:val="18"/>
          <w:lang w:val="en-US"/>
        </w:rPr>
        <w:t xml:space="preserve">Departamento </w:t>
      </w:r>
      <w:r w:rsidRPr="00E84540">
        <w:rPr>
          <w:rFonts w:cs="Arial"/>
          <w:sz w:val="18"/>
          <w:szCs w:val="18"/>
          <w:lang w:val="it-IT"/>
        </w:rPr>
        <w:t>de Ciencia de los Materiales, Ingeniería Metalúrgica y Química Inorgánica, Facultad de Ciencias, Universidad de Cádiz, Campus Río San Pedro, Puerto Real (Cádiz) E-11510, Spain</w:t>
      </w:r>
    </w:p>
    <w:p w14:paraId="61D22BAC" w14:textId="77777777" w:rsidR="00DB3037" w:rsidRDefault="00DB3037" w:rsidP="00DB3037">
      <w:pPr>
        <w:pStyle w:val="Adress"/>
        <w:spacing w:before="240" w:after="240" w:line="276" w:lineRule="auto"/>
        <w:ind w:left="0" w:firstLine="0"/>
        <w:rPr>
          <w:rFonts w:cs="Arial"/>
          <w:sz w:val="18"/>
          <w:szCs w:val="18"/>
          <w:lang w:val="it-IT"/>
        </w:rPr>
      </w:pPr>
      <w:r>
        <w:rPr>
          <w:rFonts w:cs="Arial"/>
          <w:sz w:val="18"/>
          <w:szCs w:val="18"/>
          <w:lang w:val="it-IT"/>
        </w:rPr>
        <w:t>[f] G. Manos</w:t>
      </w:r>
    </w:p>
    <w:p w14:paraId="56E24D42" w14:textId="77777777" w:rsidR="00DB3037" w:rsidRPr="00917D9D" w:rsidRDefault="00DB3037" w:rsidP="00DB3037">
      <w:pPr>
        <w:pStyle w:val="Adress"/>
        <w:spacing w:before="240" w:after="240" w:line="276" w:lineRule="auto"/>
        <w:ind w:left="0" w:firstLine="0"/>
        <w:rPr>
          <w:rFonts w:cs="Arial"/>
          <w:sz w:val="18"/>
          <w:szCs w:val="18"/>
          <w:lang w:val="en-GB"/>
        </w:rPr>
      </w:pPr>
      <w:r>
        <w:rPr>
          <w:rFonts w:cs="Arial"/>
          <w:sz w:val="18"/>
          <w:szCs w:val="18"/>
          <w:lang w:val="it-IT"/>
        </w:rPr>
        <w:t xml:space="preserve">Department </w:t>
      </w:r>
      <w:r w:rsidRPr="00E84540">
        <w:rPr>
          <w:rFonts w:cs="Arial"/>
          <w:sz w:val="18"/>
          <w:szCs w:val="18"/>
          <w:lang w:val="en-GB"/>
        </w:rPr>
        <w:t>of Chemical Engineering, University College London, London WCIE 7JE, UK</w:t>
      </w:r>
    </w:p>
    <w:p w14:paraId="42BACCC5" w14:textId="77777777" w:rsidR="00DB3037" w:rsidRDefault="00DB3037" w:rsidP="00DB3037">
      <w:pPr>
        <w:pStyle w:val="Adress"/>
        <w:spacing w:before="240" w:after="240" w:line="276" w:lineRule="auto"/>
        <w:ind w:left="0" w:firstLine="0"/>
        <w:rPr>
          <w:rFonts w:cs="Arial"/>
          <w:sz w:val="18"/>
          <w:szCs w:val="18"/>
          <w:lang w:val="it-IT"/>
        </w:rPr>
      </w:pPr>
      <w:r>
        <w:rPr>
          <w:rFonts w:cs="Arial"/>
          <w:sz w:val="18"/>
          <w:szCs w:val="18"/>
          <w:lang w:val="it-IT"/>
        </w:rPr>
        <w:t>[g] N. Dimitratos</w:t>
      </w:r>
    </w:p>
    <w:p w14:paraId="134E7BB5" w14:textId="77777777" w:rsidR="00DB3037" w:rsidRPr="00E84540" w:rsidRDefault="00DB3037" w:rsidP="00DB3037">
      <w:pPr>
        <w:pStyle w:val="Adress"/>
        <w:spacing w:before="240" w:after="240" w:line="276" w:lineRule="auto"/>
        <w:ind w:left="0" w:firstLine="0"/>
        <w:rPr>
          <w:rFonts w:cs="Arial"/>
          <w:sz w:val="18"/>
          <w:szCs w:val="18"/>
          <w:lang w:val="en-US"/>
        </w:rPr>
      </w:pPr>
      <w:r w:rsidRPr="00917D9D">
        <w:rPr>
          <w:rFonts w:cs="Arial"/>
          <w:sz w:val="18"/>
          <w:szCs w:val="18"/>
          <w:lang w:val="it-IT"/>
        </w:rPr>
        <w:t xml:space="preserve">Department </w:t>
      </w:r>
      <w:r w:rsidRPr="00E84540">
        <w:rPr>
          <w:rFonts w:cs="Arial"/>
          <w:sz w:val="18"/>
          <w:szCs w:val="18"/>
          <w:lang w:val="en-US"/>
        </w:rPr>
        <w:t xml:space="preserve">of Industrial Chemistry “Toso Montanari”, Alma Mater Studiorum University of Bologna, Viale Risorgimento 4, 40136 Bologna, Italy  </w:t>
      </w:r>
    </w:p>
    <w:p w14:paraId="44EC95F0" w14:textId="77777777" w:rsidR="00DB3037" w:rsidRDefault="00DB3037" w:rsidP="00DB3037">
      <w:pPr>
        <w:pStyle w:val="Adress"/>
        <w:ind w:left="0" w:firstLine="0"/>
        <w:rPr>
          <w:rFonts w:cs="Arial"/>
          <w:sz w:val="18"/>
          <w:szCs w:val="18"/>
          <w:lang w:val="it-IT"/>
        </w:rPr>
      </w:pPr>
      <w:r>
        <w:rPr>
          <w:rFonts w:cs="Arial"/>
          <w:sz w:val="18"/>
          <w:szCs w:val="18"/>
          <w:lang w:val="en-US"/>
        </w:rPr>
        <w:t xml:space="preserve">[h] </w:t>
      </w:r>
      <w:r>
        <w:rPr>
          <w:rFonts w:cs="Arial"/>
          <w:sz w:val="18"/>
          <w:szCs w:val="18"/>
          <w:lang w:val="it-IT"/>
        </w:rPr>
        <w:t>N. Dimitratos</w:t>
      </w:r>
    </w:p>
    <w:p w14:paraId="4340E118" w14:textId="77777777" w:rsidR="00DB3037" w:rsidRDefault="00DB3037" w:rsidP="00DB3037">
      <w:pPr>
        <w:pStyle w:val="Adress"/>
        <w:ind w:left="0" w:firstLine="0"/>
        <w:rPr>
          <w:rFonts w:cs="Arial"/>
          <w:sz w:val="18"/>
          <w:szCs w:val="18"/>
          <w:lang w:val="en-US"/>
        </w:rPr>
      </w:pPr>
    </w:p>
    <w:p w14:paraId="2B082572" w14:textId="77777777" w:rsidR="00DB3037" w:rsidRPr="00917D9D" w:rsidRDefault="00DB3037" w:rsidP="00DB3037">
      <w:pPr>
        <w:pStyle w:val="Adress"/>
        <w:ind w:left="0" w:firstLine="0"/>
        <w:rPr>
          <w:rFonts w:cs="Arial"/>
          <w:sz w:val="18"/>
          <w:szCs w:val="18"/>
          <w:lang w:val="it-IT"/>
        </w:rPr>
      </w:pPr>
      <w:r w:rsidRPr="00917D9D">
        <w:rPr>
          <w:rFonts w:cs="Arial"/>
          <w:sz w:val="18"/>
          <w:szCs w:val="18"/>
          <w:lang w:val="en-US"/>
        </w:rPr>
        <w:t>Center for Chemical Catalysis-C3, Alma Mater Studiorum University of Bologna, Viale Risorgimento 4, 40136 Bologna, Italy</w:t>
      </w:r>
    </w:p>
    <w:p w14:paraId="42922CBC" w14:textId="77777777" w:rsidR="00DB3037" w:rsidRDefault="00DB3037" w:rsidP="00310835">
      <w:pPr>
        <w:jc w:val="both"/>
        <w:rPr>
          <w:rFonts w:ascii="Times New Roman" w:hAnsi="Times New Roman" w:cs="Times New Roman"/>
          <w:b/>
          <w:bCs/>
          <w:szCs w:val="32"/>
          <w:lang w:val="it-IT"/>
        </w:rPr>
      </w:pPr>
    </w:p>
    <w:p w14:paraId="0F6F7393" w14:textId="77777777" w:rsidR="00DB3037" w:rsidRDefault="00DB3037" w:rsidP="00310835">
      <w:pPr>
        <w:jc w:val="both"/>
        <w:rPr>
          <w:rFonts w:ascii="Times New Roman" w:hAnsi="Times New Roman" w:cs="Times New Roman"/>
          <w:b/>
          <w:bCs/>
          <w:szCs w:val="32"/>
          <w:lang w:val="it-IT"/>
        </w:rPr>
      </w:pPr>
    </w:p>
    <w:p w14:paraId="50047B1A" w14:textId="77777777" w:rsidR="00DB3037" w:rsidRDefault="00DB3037" w:rsidP="00310835">
      <w:pPr>
        <w:jc w:val="both"/>
        <w:rPr>
          <w:rFonts w:ascii="Times New Roman" w:hAnsi="Times New Roman" w:cs="Times New Roman"/>
          <w:b/>
          <w:bCs/>
          <w:szCs w:val="32"/>
          <w:lang w:val="it-IT"/>
        </w:rPr>
      </w:pPr>
    </w:p>
    <w:p w14:paraId="54DD6C8D" w14:textId="77777777" w:rsidR="00DB3037" w:rsidRDefault="00DB3037" w:rsidP="00310835">
      <w:pPr>
        <w:jc w:val="both"/>
        <w:rPr>
          <w:rFonts w:ascii="Times New Roman" w:hAnsi="Times New Roman" w:cs="Times New Roman"/>
          <w:b/>
          <w:bCs/>
          <w:szCs w:val="32"/>
          <w:lang w:val="it-IT"/>
        </w:rPr>
      </w:pPr>
    </w:p>
    <w:p w14:paraId="32169D47" w14:textId="77777777" w:rsidR="00DB3037" w:rsidRDefault="00DB3037" w:rsidP="00310835">
      <w:pPr>
        <w:jc w:val="both"/>
        <w:rPr>
          <w:rFonts w:ascii="Times New Roman" w:hAnsi="Times New Roman" w:cs="Times New Roman"/>
          <w:b/>
          <w:bCs/>
          <w:szCs w:val="32"/>
          <w:lang w:val="it-IT"/>
        </w:rPr>
      </w:pPr>
    </w:p>
    <w:p w14:paraId="306CAB47" w14:textId="77777777" w:rsidR="00DB3037" w:rsidRPr="00B21F34" w:rsidRDefault="00DB3037" w:rsidP="00DB3037">
      <w:pPr>
        <w:jc w:val="both"/>
        <w:rPr>
          <w:rFonts w:ascii="Arial" w:hAnsi="Arial" w:cs="Arial"/>
          <w:b/>
          <w:bCs/>
          <w:sz w:val="20"/>
          <w:szCs w:val="20"/>
          <w:lang w:val="en-GB"/>
        </w:rPr>
      </w:pPr>
      <w:r w:rsidRPr="00B21F34">
        <w:rPr>
          <w:rFonts w:ascii="Arial" w:hAnsi="Arial" w:cs="Arial"/>
          <w:b/>
          <w:bCs/>
          <w:sz w:val="20"/>
          <w:szCs w:val="20"/>
          <w:lang w:val="en-GB"/>
        </w:rPr>
        <w:lastRenderedPageBreak/>
        <w:t>Ir/Ni</w:t>
      </w:r>
      <w:r w:rsidRPr="00B21F34">
        <w:rPr>
          <w:rFonts w:ascii="Arial" w:hAnsi="Arial" w:cs="Arial"/>
          <w:b/>
          <w:bCs/>
          <w:sz w:val="20"/>
          <w:szCs w:val="20"/>
          <w:vertAlign w:val="subscript"/>
          <w:lang w:val="en-GB"/>
        </w:rPr>
        <w:t>10</w:t>
      </w:r>
      <w:r w:rsidRPr="00B21F34">
        <w:rPr>
          <w:rFonts w:ascii="Arial" w:hAnsi="Arial" w:cs="Arial"/>
          <w:b/>
          <w:bCs/>
          <w:sz w:val="20"/>
          <w:szCs w:val="20"/>
          <w:lang w:val="en-GB"/>
        </w:rPr>
        <w:t>Ce catalyst development</w:t>
      </w:r>
    </w:p>
    <w:p w14:paraId="53F38B79" w14:textId="77777777" w:rsidR="00DB3037" w:rsidRPr="00B21F34" w:rsidRDefault="00DB3037" w:rsidP="00DB3037">
      <w:pPr>
        <w:spacing w:line="480" w:lineRule="auto"/>
        <w:jc w:val="both"/>
        <w:rPr>
          <w:rFonts w:ascii="Arial" w:hAnsi="Arial" w:cs="Arial"/>
          <w:sz w:val="20"/>
          <w:szCs w:val="20"/>
          <w:lang w:val="en-GB"/>
        </w:rPr>
      </w:pPr>
      <w:r w:rsidRPr="00B21F34">
        <w:rPr>
          <w:rFonts w:ascii="Arial" w:hAnsi="Arial" w:cs="Arial"/>
          <w:sz w:val="20"/>
          <w:szCs w:val="20"/>
          <w:lang w:val="en-GB"/>
        </w:rPr>
        <w:t>NiCeO</w:t>
      </w:r>
      <w:r w:rsidRPr="00B21F34">
        <w:rPr>
          <w:rFonts w:ascii="Arial" w:hAnsi="Arial" w:cs="Arial"/>
          <w:sz w:val="20"/>
          <w:szCs w:val="20"/>
          <w:vertAlign w:val="subscript"/>
          <w:lang w:val="en-GB"/>
        </w:rPr>
        <w:t>x</w:t>
      </w:r>
      <w:r w:rsidRPr="00B21F34">
        <w:rPr>
          <w:rFonts w:ascii="Arial" w:hAnsi="Arial" w:cs="Arial"/>
          <w:sz w:val="20"/>
          <w:szCs w:val="20"/>
          <w:lang w:val="en-GB"/>
        </w:rPr>
        <w:t xml:space="preserve"> composite oxides were developed by a rate-controlled co-precipitation method with a Na</w:t>
      </w:r>
      <w:r w:rsidRPr="00B21F34">
        <w:rPr>
          <w:rFonts w:ascii="Arial" w:hAnsi="Arial" w:cs="Arial"/>
          <w:sz w:val="20"/>
          <w:szCs w:val="20"/>
          <w:vertAlign w:val="subscript"/>
          <w:lang w:val="en-GB"/>
        </w:rPr>
        <w:t>2</w:t>
      </w:r>
      <w:r w:rsidRPr="00B21F34">
        <w:rPr>
          <w:rFonts w:ascii="Arial" w:hAnsi="Arial" w:cs="Arial"/>
          <w:sz w:val="20"/>
          <w:szCs w:val="20"/>
          <w:lang w:val="en-GB"/>
        </w:rPr>
        <w:t>CO</w:t>
      </w:r>
      <w:r w:rsidRPr="00B21F34">
        <w:rPr>
          <w:rFonts w:ascii="Arial" w:hAnsi="Arial" w:cs="Arial"/>
          <w:sz w:val="20"/>
          <w:szCs w:val="20"/>
          <w:vertAlign w:val="subscript"/>
          <w:lang w:val="en-GB"/>
        </w:rPr>
        <w:t>3</w:t>
      </w:r>
      <w:r w:rsidRPr="00B21F34">
        <w:rPr>
          <w:rFonts w:ascii="Arial" w:hAnsi="Arial" w:cs="Arial"/>
          <w:sz w:val="20"/>
          <w:szCs w:val="20"/>
          <w:lang w:val="en-GB"/>
        </w:rPr>
        <w:t xml:space="preserve"> solution (1M). The nitrate precursors, </w:t>
      </w:r>
      <w:proofErr w:type="gramStart"/>
      <w:r w:rsidRPr="00B21F34">
        <w:rPr>
          <w:rFonts w:ascii="Arial" w:hAnsi="Arial" w:cs="Arial"/>
          <w:sz w:val="20"/>
          <w:szCs w:val="20"/>
          <w:lang w:val="en-GB"/>
        </w:rPr>
        <w:t>Ni(</w:t>
      </w:r>
      <w:proofErr w:type="gramEnd"/>
      <w:r w:rsidRPr="00B21F34">
        <w:rPr>
          <w:rFonts w:ascii="Arial" w:hAnsi="Arial" w:cs="Arial"/>
          <w:sz w:val="20"/>
          <w:szCs w:val="20"/>
          <w:lang w:val="en-GB"/>
        </w:rPr>
        <w:t>NO</w:t>
      </w:r>
      <w:r w:rsidRPr="00B21F34">
        <w:rPr>
          <w:rFonts w:ascii="Arial" w:hAnsi="Arial" w:cs="Arial"/>
          <w:sz w:val="20"/>
          <w:szCs w:val="20"/>
          <w:vertAlign w:val="subscript"/>
          <w:lang w:val="en-GB"/>
        </w:rPr>
        <w:t>3</w:t>
      </w:r>
      <w:r w:rsidRPr="00B21F34">
        <w:rPr>
          <w:rFonts w:ascii="Arial" w:hAnsi="Arial" w:cs="Arial"/>
          <w:sz w:val="20"/>
          <w:szCs w:val="20"/>
          <w:lang w:val="en-GB"/>
        </w:rPr>
        <w:t>)</w:t>
      </w:r>
      <w:r w:rsidRPr="00B21F34">
        <w:rPr>
          <w:rFonts w:ascii="Arial" w:hAnsi="Arial" w:cs="Arial"/>
          <w:sz w:val="20"/>
          <w:szCs w:val="20"/>
          <w:vertAlign w:val="subscript"/>
          <w:lang w:val="en-GB"/>
        </w:rPr>
        <w:t>2</w:t>
      </w:r>
      <w:r w:rsidRPr="00B21F34">
        <w:rPr>
          <w:rFonts w:ascii="Arial" w:hAnsi="Arial" w:cs="Arial"/>
          <w:sz w:val="20"/>
          <w:szCs w:val="20"/>
          <w:lang w:val="en-GB"/>
        </w:rPr>
        <w:t>·6H</w:t>
      </w:r>
      <w:r w:rsidRPr="00B21F34">
        <w:rPr>
          <w:rFonts w:ascii="Arial" w:hAnsi="Arial" w:cs="Arial"/>
          <w:sz w:val="20"/>
          <w:szCs w:val="20"/>
          <w:vertAlign w:val="subscript"/>
          <w:lang w:val="en-GB"/>
        </w:rPr>
        <w:t>2</w:t>
      </w:r>
      <w:r w:rsidRPr="00B21F34">
        <w:rPr>
          <w:rFonts w:ascii="Arial" w:hAnsi="Arial" w:cs="Arial"/>
          <w:sz w:val="20"/>
          <w:szCs w:val="20"/>
          <w:lang w:val="en-GB"/>
        </w:rPr>
        <w:t xml:space="preserve">O and </w:t>
      </w:r>
      <w:proofErr w:type="gramStart"/>
      <w:r w:rsidRPr="00B21F34">
        <w:rPr>
          <w:rFonts w:ascii="Arial" w:hAnsi="Arial" w:cs="Arial"/>
          <w:sz w:val="20"/>
          <w:szCs w:val="20"/>
          <w:lang w:val="en-GB"/>
        </w:rPr>
        <w:t>Ce(</w:t>
      </w:r>
      <w:proofErr w:type="gramEnd"/>
      <w:r w:rsidRPr="00B21F34">
        <w:rPr>
          <w:rFonts w:ascii="Arial" w:hAnsi="Arial" w:cs="Arial"/>
          <w:sz w:val="20"/>
          <w:szCs w:val="20"/>
          <w:lang w:val="en-GB"/>
        </w:rPr>
        <w:t>NO</w:t>
      </w:r>
      <w:r w:rsidRPr="00B21F34">
        <w:rPr>
          <w:rFonts w:ascii="Arial" w:hAnsi="Arial" w:cs="Arial"/>
          <w:sz w:val="20"/>
          <w:szCs w:val="20"/>
          <w:vertAlign w:val="subscript"/>
          <w:lang w:val="en-GB"/>
        </w:rPr>
        <w:t>3</w:t>
      </w:r>
      <w:r w:rsidRPr="00B21F34">
        <w:rPr>
          <w:rFonts w:ascii="Arial" w:hAnsi="Arial" w:cs="Arial"/>
          <w:sz w:val="20"/>
          <w:szCs w:val="20"/>
          <w:lang w:val="en-GB"/>
        </w:rPr>
        <w:t>)</w:t>
      </w:r>
      <w:r w:rsidRPr="00B21F34">
        <w:rPr>
          <w:rFonts w:ascii="Arial" w:hAnsi="Arial" w:cs="Arial"/>
          <w:sz w:val="20"/>
          <w:szCs w:val="20"/>
          <w:vertAlign w:val="subscript"/>
          <w:lang w:val="en-GB"/>
        </w:rPr>
        <w:t>3</w:t>
      </w:r>
      <w:r w:rsidRPr="00B21F34">
        <w:rPr>
          <w:rFonts w:ascii="Arial" w:hAnsi="Arial" w:cs="Arial"/>
          <w:sz w:val="20"/>
          <w:szCs w:val="20"/>
          <w:lang w:val="en-GB"/>
        </w:rPr>
        <w:t>·6H</w:t>
      </w:r>
      <w:r w:rsidRPr="00B21F34">
        <w:rPr>
          <w:rFonts w:ascii="Arial" w:hAnsi="Arial" w:cs="Arial"/>
          <w:sz w:val="20"/>
          <w:szCs w:val="20"/>
          <w:vertAlign w:val="subscript"/>
          <w:lang w:val="en-GB"/>
        </w:rPr>
        <w:t>2</w:t>
      </w:r>
      <w:r w:rsidRPr="00B21F34">
        <w:rPr>
          <w:rFonts w:ascii="Arial" w:hAnsi="Arial" w:cs="Arial"/>
          <w:sz w:val="20"/>
          <w:szCs w:val="20"/>
          <w:lang w:val="en-GB"/>
        </w:rPr>
        <w:t xml:space="preserve">O, were added to the desired volume of </w:t>
      </w:r>
      <w:proofErr w:type="spellStart"/>
      <w:r w:rsidRPr="00B21F34">
        <w:rPr>
          <w:rFonts w:ascii="Arial" w:hAnsi="Arial" w:cs="Arial"/>
          <w:sz w:val="20"/>
          <w:szCs w:val="20"/>
          <w:lang w:val="en-GB"/>
        </w:rPr>
        <w:t>milliQ</w:t>
      </w:r>
      <w:proofErr w:type="spellEnd"/>
      <w:r w:rsidRPr="00B21F34">
        <w:rPr>
          <w:rFonts w:ascii="Arial" w:hAnsi="Arial" w:cs="Arial"/>
          <w:sz w:val="20"/>
          <w:szCs w:val="20"/>
          <w:lang w:val="en-GB"/>
        </w:rPr>
        <w:t xml:space="preserve"> water (50 mL/g catalyst) to achieve a Ni/(</w:t>
      </w:r>
      <w:proofErr w:type="spellStart"/>
      <w:r w:rsidRPr="00B21F34">
        <w:rPr>
          <w:rFonts w:ascii="Arial" w:hAnsi="Arial" w:cs="Arial"/>
          <w:sz w:val="20"/>
          <w:szCs w:val="20"/>
          <w:lang w:val="en-GB"/>
        </w:rPr>
        <w:t>Ni+Ce</w:t>
      </w:r>
      <w:proofErr w:type="spellEnd"/>
      <w:r w:rsidRPr="00B21F34">
        <w:rPr>
          <w:rFonts w:ascii="Arial" w:hAnsi="Arial" w:cs="Arial"/>
          <w:sz w:val="20"/>
          <w:szCs w:val="20"/>
          <w:lang w:val="en-GB"/>
        </w:rPr>
        <w:t>) loading of 10 wt%. The solution was aged for 30 min under 800 rpm stirring. Using a peristaltic pump, Na</w:t>
      </w:r>
      <w:r w:rsidRPr="00B21F34">
        <w:rPr>
          <w:rFonts w:ascii="Arial" w:hAnsi="Arial" w:cs="Arial"/>
          <w:sz w:val="20"/>
          <w:szCs w:val="20"/>
          <w:vertAlign w:val="subscript"/>
          <w:lang w:val="en-GB"/>
        </w:rPr>
        <w:t>2</w:t>
      </w:r>
      <w:r w:rsidRPr="00B21F34">
        <w:rPr>
          <w:rFonts w:ascii="Arial" w:hAnsi="Arial" w:cs="Arial"/>
          <w:sz w:val="20"/>
          <w:szCs w:val="20"/>
          <w:lang w:val="en-GB"/>
        </w:rPr>
        <w:t>CO</w:t>
      </w:r>
      <w:r w:rsidRPr="00B21F34">
        <w:rPr>
          <w:rFonts w:ascii="Arial" w:hAnsi="Arial" w:cs="Arial"/>
          <w:sz w:val="20"/>
          <w:szCs w:val="20"/>
          <w:vertAlign w:val="subscript"/>
          <w:lang w:val="en-GB"/>
        </w:rPr>
        <w:t>3</w:t>
      </w:r>
      <w:r w:rsidRPr="00B21F34">
        <w:rPr>
          <w:rFonts w:ascii="Arial" w:hAnsi="Arial" w:cs="Arial"/>
          <w:sz w:val="20"/>
          <w:szCs w:val="20"/>
          <w:lang w:val="en-GB"/>
        </w:rPr>
        <w:t xml:space="preserve"> was added at 2 mL/min, until a pH of 8.5 was reached, monitored with an online pH electrode. The resulted precipitate was aged at room temperature for 3 h, then washed three times with hot distilled water and then was dried at 100 </w:t>
      </w:r>
      <w:r w:rsidRPr="00B21F34">
        <w:rPr>
          <w:rFonts w:ascii="Arial" w:hAnsi="Arial" w:cs="Arial"/>
          <w:sz w:val="20"/>
          <w:szCs w:val="20"/>
          <w:vertAlign w:val="superscript"/>
          <w:lang w:val="en-GB"/>
        </w:rPr>
        <w:t>o</w:t>
      </w:r>
      <w:r w:rsidRPr="00B21F34">
        <w:rPr>
          <w:rFonts w:ascii="Arial" w:hAnsi="Arial" w:cs="Arial"/>
          <w:sz w:val="20"/>
          <w:szCs w:val="20"/>
          <w:lang w:val="en-GB"/>
        </w:rPr>
        <w:t xml:space="preserve">C overnight and calcined in static air at 650 </w:t>
      </w:r>
      <w:r w:rsidRPr="00B21F34">
        <w:rPr>
          <w:rFonts w:ascii="Arial" w:hAnsi="Arial" w:cs="Arial"/>
          <w:sz w:val="20"/>
          <w:szCs w:val="20"/>
          <w:vertAlign w:val="superscript"/>
          <w:lang w:val="en-GB"/>
        </w:rPr>
        <w:t>o</w:t>
      </w:r>
      <w:r w:rsidRPr="00B21F34">
        <w:rPr>
          <w:rFonts w:ascii="Arial" w:hAnsi="Arial" w:cs="Arial"/>
          <w:sz w:val="20"/>
          <w:szCs w:val="20"/>
          <w:lang w:val="en-GB"/>
        </w:rPr>
        <w:t xml:space="preserve">C for 5 h. The desired amount of </w:t>
      </w:r>
      <w:proofErr w:type="spellStart"/>
      <w:r w:rsidRPr="00B21F34">
        <w:rPr>
          <w:rFonts w:ascii="Arial" w:hAnsi="Arial" w:cs="Arial"/>
          <w:sz w:val="20"/>
          <w:szCs w:val="20"/>
          <w:lang w:val="en-GB"/>
        </w:rPr>
        <w:t>Ir</w:t>
      </w:r>
      <w:proofErr w:type="spellEnd"/>
      <w:r w:rsidRPr="00B21F34">
        <w:rPr>
          <w:rFonts w:ascii="Arial" w:hAnsi="Arial" w:cs="Arial"/>
          <w:sz w:val="20"/>
          <w:szCs w:val="20"/>
          <w:lang w:val="en-GB"/>
        </w:rPr>
        <w:t xml:space="preserve"> (IrCl</w:t>
      </w:r>
      <w:r w:rsidRPr="00B21F34">
        <w:rPr>
          <w:rFonts w:ascii="Arial" w:hAnsi="Arial" w:cs="Arial"/>
          <w:sz w:val="20"/>
          <w:szCs w:val="20"/>
          <w:vertAlign w:val="subscript"/>
          <w:lang w:val="en-GB"/>
        </w:rPr>
        <w:t>3</w:t>
      </w:r>
      <w:r w:rsidRPr="00B21F34">
        <w:rPr>
          <w:rFonts w:ascii="Arial" w:hAnsi="Arial" w:cs="Arial"/>
          <w:sz w:val="20"/>
          <w:szCs w:val="20"/>
          <w:lang w:val="en-GB"/>
        </w:rPr>
        <w:t>) was deposited by incipient wetness impregnation to achieve a metal loading of 1 wt%. Both bare and Ir-doped supports were thermally treated in a vertical tubular furnace in N</w:t>
      </w:r>
      <w:r w:rsidRPr="00B21F34">
        <w:rPr>
          <w:rFonts w:ascii="Arial" w:hAnsi="Arial" w:cs="Arial"/>
          <w:sz w:val="20"/>
          <w:szCs w:val="20"/>
          <w:vertAlign w:val="subscript"/>
          <w:lang w:val="en-GB"/>
        </w:rPr>
        <w:t>2</w:t>
      </w:r>
      <w:r w:rsidRPr="00B21F34">
        <w:rPr>
          <w:rFonts w:ascii="Arial" w:hAnsi="Arial" w:cs="Arial"/>
          <w:sz w:val="20"/>
          <w:szCs w:val="20"/>
          <w:lang w:val="en-GB"/>
        </w:rPr>
        <w:t xml:space="preserve"> at 400 </w:t>
      </w:r>
      <w:r w:rsidRPr="00B21F34">
        <w:rPr>
          <w:rFonts w:ascii="Arial" w:hAnsi="Arial" w:cs="Arial"/>
          <w:sz w:val="20"/>
          <w:szCs w:val="20"/>
          <w:vertAlign w:val="superscript"/>
          <w:lang w:val="en-GB"/>
        </w:rPr>
        <w:t>o</w:t>
      </w:r>
      <w:r w:rsidRPr="00B21F34">
        <w:rPr>
          <w:rFonts w:ascii="Arial" w:hAnsi="Arial" w:cs="Arial"/>
          <w:sz w:val="20"/>
          <w:szCs w:val="20"/>
          <w:lang w:val="en-GB"/>
        </w:rPr>
        <w:t>C for 2 h and in 10 % H</w:t>
      </w:r>
      <w:r w:rsidRPr="00B21F34">
        <w:rPr>
          <w:rFonts w:ascii="Arial" w:hAnsi="Arial" w:cs="Arial"/>
          <w:sz w:val="20"/>
          <w:szCs w:val="20"/>
          <w:vertAlign w:val="subscript"/>
          <w:lang w:val="en-GB"/>
        </w:rPr>
        <w:t>2</w:t>
      </w:r>
      <w:r w:rsidRPr="00B21F34">
        <w:rPr>
          <w:rFonts w:ascii="Arial" w:hAnsi="Arial" w:cs="Arial"/>
          <w:sz w:val="20"/>
          <w:szCs w:val="20"/>
          <w:lang w:val="en-GB"/>
        </w:rPr>
        <w:t xml:space="preserve"> at 200 </w:t>
      </w:r>
      <w:r w:rsidRPr="00B21F34">
        <w:rPr>
          <w:rFonts w:ascii="Arial" w:hAnsi="Arial" w:cs="Arial"/>
          <w:sz w:val="20"/>
          <w:szCs w:val="20"/>
          <w:vertAlign w:val="superscript"/>
          <w:lang w:val="en-GB"/>
        </w:rPr>
        <w:t>o</w:t>
      </w:r>
      <w:r w:rsidRPr="00B21F34">
        <w:rPr>
          <w:rFonts w:ascii="Arial" w:hAnsi="Arial" w:cs="Arial"/>
          <w:sz w:val="20"/>
          <w:szCs w:val="20"/>
          <w:lang w:val="en-GB"/>
        </w:rPr>
        <w:t>C for 2 h.</w:t>
      </w:r>
    </w:p>
    <w:p w14:paraId="413A8224" w14:textId="77777777" w:rsidR="00DB3037" w:rsidRPr="00B21F34" w:rsidRDefault="00DB3037" w:rsidP="00DB3037">
      <w:pPr>
        <w:spacing w:line="480" w:lineRule="auto"/>
        <w:jc w:val="both"/>
        <w:rPr>
          <w:rFonts w:ascii="Arial" w:hAnsi="Arial" w:cs="Arial"/>
          <w:b/>
          <w:bCs/>
          <w:sz w:val="20"/>
          <w:szCs w:val="20"/>
          <w:lang w:val="en-GB"/>
        </w:rPr>
      </w:pPr>
      <w:r w:rsidRPr="00B21F34">
        <w:rPr>
          <w:rFonts w:ascii="Arial" w:hAnsi="Arial" w:cs="Arial"/>
          <w:b/>
          <w:bCs/>
          <w:sz w:val="20"/>
          <w:szCs w:val="20"/>
          <w:lang w:val="en-GB"/>
        </w:rPr>
        <w:t>Characterisation techniques</w:t>
      </w:r>
    </w:p>
    <w:p w14:paraId="559BB588" w14:textId="1003407D" w:rsidR="00DB3037" w:rsidRDefault="00DB3037" w:rsidP="00DB3037">
      <w:pPr>
        <w:spacing w:line="480" w:lineRule="auto"/>
        <w:jc w:val="both"/>
        <w:rPr>
          <w:rFonts w:ascii="Arial" w:hAnsi="Arial" w:cs="Arial"/>
          <w:sz w:val="20"/>
          <w:szCs w:val="20"/>
          <w:lang w:val="en-GB"/>
        </w:rPr>
      </w:pPr>
      <w:r w:rsidRPr="00B21F34">
        <w:rPr>
          <w:rFonts w:ascii="Arial" w:hAnsi="Arial" w:cs="Arial"/>
          <w:sz w:val="20"/>
          <w:szCs w:val="20"/>
          <w:lang w:val="en-GB"/>
        </w:rPr>
        <w:t>Talos F200X instrument (FEI) was utilised for h</w:t>
      </w:r>
      <w:r w:rsidRPr="00B21F34">
        <w:rPr>
          <w:rFonts w:ascii="Arial" w:eastAsia="CharisSIL" w:hAnsi="Arial" w:cs="Arial"/>
          <w:sz w:val="20"/>
          <w:szCs w:val="20"/>
          <w:lang w:val="en-GB"/>
        </w:rPr>
        <w:t>igh-angle annular dark field scanning transmission electron microscopy (HAADF-STEM) characterisation</w:t>
      </w:r>
      <w:r w:rsidRPr="00B21F34">
        <w:rPr>
          <w:rFonts w:ascii="Arial" w:hAnsi="Arial" w:cs="Arial"/>
          <w:sz w:val="20"/>
          <w:szCs w:val="20"/>
          <w:lang w:val="en-GB"/>
        </w:rPr>
        <w:t xml:space="preserve">. Energy-dispersive X-ray spectroscopy (EDX) was carried out for the elemental distribution of the samples, with a beam current of 200 picoamperes and a dwell time of 128 microseconds per pixel to ensure precise resolution. Ir nanoparticles were randomly selected and measured using ImageJ software. The average particle size (d) was also calculated using the expression: </w:t>
      </w:r>
      <w:r w:rsidRPr="00B21F34">
        <w:rPr>
          <w:rStyle w:val="katex-mathml"/>
          <w:rFonts w:ascii="Arial" w:hAnsi="Arial" w:cs="Arial"/>
          <w:sz w:val="20"/>
          <w:szCs w:val="20"/>
          <w:lang w:val="en-GB"/>
        </w:rPr>
        <w:t>d = ∑n</w:t>
      </w:r>
      <w:r w:rsidRPr="00B21F34">
        <w:rPr>
          <w:rStyle w:val="katex-mathml"/>
          <w:rFonts w:ascii="Arial" w:hAnsi="Arial" w:cs="Arial"/>
          <w:sz w:val="20"/>
          <w:szCs w:val="20"/>
          <w:vertAlign w:val="subscript"/>
          <w:lang w:val="en-GB"/>
        </w:rPr>
        <w:t>i</w:t>
      </w:r>
      <w:r w:rsidRPr="00B21F34">
        <w:rPr>
          <w:rStyle w:val="katex-mathml"/>
          <w:rFonts w:ascii="Arial" w:hAnsi="Arial" w:cs="Arial"/>
          <w:sz w:val="20"/>
          <w:szCs w:val="20"/>
          <w:lang w:val="en-GB"/>
        </w:rPr>
        <w:t>d</w:t>
      </w:r>
      <w:r w:rsidRPr="00B21F34">
        <w:rPr>
          <w:rStyle w:val="katex-mathml"/>
          <w:rFonts w:ascii="Arial" w:hAnsi="Arial" w:cs="Arial"/>
          <w:sz w:val="20"/>
          <w:szCs w:val="20"/>
          <w:vertAlign w:val="subscript"/>
          <w:lang w:val="en-GB"/>
        </w:rPr>
        <w:t>i</w:t>
      </w:r>
      <w:r w:rsidRPr="00B21F34">
        <w:rPr>
          <w:rStyle w:val="katex-mathml"/>
          <w:rFonts w:ascii="Arial" w:hAnsi="Arial" w:cs="Arial"/>
          <w:sz w:val="20"/>
          <w:szCs w:val="20"/>
          <w:lang w:val="en-GB"/>
        </w:rPr>
        <w:t>/∑</w:t>
      </w:r>
      <w:proofErr w:type="spellStart"/>
      <w:r w:rsidRPr="00B21F34">
        <w:rPr>
          <w:rStyle w:val="katex-mathml"/>
          <w:rFonts w:ascii="Arial" w:hAnsi="Arial" w:cs="Arial"/>
          <w:sz w:val="20"/>
          <w:szCs w:val="20"/>
          <w:lang w:val="en-GB"/>
        </w:rPr>
        <w:t>n</w:t>
      </w:r>
      <w:r w:rsidRPr="00B21F34">
        <w:rPr>
          <w:rStyle w:val="katex-mathml"/>
          <w:rFonts w:ascii="Arial" w:hAnsi="Arial" w:cs="Arial"/>
          <w:sz w:val="20"/>
          <w:szCs w:val="20"/>
          <w:vertAlign w:val="subscript"/>
          <w:lang w:val="en-GB"/>
        </w:rPr>
        <w:t>i</w:t>
      </w:r>
      <w:proofErr w:type="spellEnd"/>
      <w:r w:rsidRPr="00B21F34">
        <w:rPr>
          <w:rStyle w:val="katex-mathml"/>
          <w:rFonts w:ascii="Arial" w:hAnsi="Arial" w:cs="Arial"/>
          <w:sz w:val="20"/>
          <w:szCs w:val="20"/>
          <w:lang w:val="en-GB"/>
        </w:rPr>
        <w:t xml:space="preserve">, </w:t>
      </w:r>
      <w:r w:rsidRPr="00B21F34">
        <w:rPr>
          <w:rFonts w:ascii="Arial" w:hAnsi="Arial" w:cs="Arial"/>
          <w:sz w:val="20"/>
          <w:szCs w:val="20"/>
          <w:lang w:val="en-GB"/>
        </w:rPr>
        <w:t xml:space="preserve">where </w:t>
      </w:r>
      <w:proofErr w:type="spellStart"/>
      <w:r w:rsidRPr="00B21F34">
        <w:rPr>
          <w:rStyle w:val="katex-mathml"/>
          <w:rFonts w:ascii="Arial" w:hAnsi="Arial" w:cs="Arial"/>
          <w:sz w:val="20"/>
          <w:szCs w:val="20"/>
          <w:lang w:val="en-GB"/>
        </w:rPr>
        <w:t>n</w:t>
      </w:r>
      <w:r w:rsidRPr="00B21F34">
        <w:rPr>
          <w:rStyle w:val="katex-mathml"/>
          <w:rFonts w:ascii="Arial" w:hAnsi="Arial" w:cs="Arial"/>
          <w:sz w:val="20"/>
          <w:szCs w:val="20"/>
          <w:vertAlign w:val="subscript"/>
          <w:lang w:val="en-GB"/>
        </w:rPr>
        <w:t>i</w:t>
      </w:r>
      <w:proofErr w:type="spellEnd"/>
      <w:r w:rsidRPr="00B21F34">
        <w:rPr>
          <w:rStyle w:val="vlist-s"/>
          <w:rFonts w:ascii="Arial" w:hAnsi="Arial" w:cs="Arial"/>
          <w:sz w:val="20"/>
          <w:szCs w:val="20"/>
          <w:lang w:val="en-GB"/>
        </w:rPr>
        <w:t xml:space="preserve">​ </w:t>
      </w:r>
      <w:r w:rsidRPr="00B21F34">
        <w:rPr>
          <w:rStyle w:val="mrel"/>
          <w:rFonts w:ascii="Arial" w:hAnsi="Arial" w:cs="Arial"/>
          <w:sz w:val="20"/>
          <w:szCs w:val="20"/>
          <w:lang w:val="en-GB"/>
        </w:rPr>
        <w:t>≥</w:t>
      </w:r>
      <w:r w:rsidRPr="00B21F34">
        <w:rPr>
          <w:rStyle w:val="mord"/>
          <w:rFonts w:ascii="Arial" w:hAnsi="Arial" w:cs="Arial"/>
          <w:sz w:val="20"/>
          <w:szCs w:val="20"/>
          <w:lang w:val="en-GB"/>
        </w:rPr>
        <w:t>150</w:t>
      </w:r>
      <w:r w:rsidRPr="00B21F34">
        <w:rPr>
          <w:rFonts w:ascii="Arial" w:hAnsi="Arial" w:cs="Arial"/>
          <w:sz w:val="20"/>
          <w:szCs w:val="20"/>
          <w:lang w:val="en-GB"/>
        </w:rPr>
        <w:t xml:space="preserve">. </w:t>
      </w:r>
      <w:r w:rsidRPr="00B21F34">
        <w:rPr>
          <w:rFonts w:ascii="Arial" w:hAnsi="Arial" w:cs="Arial"/>
          <w:sz w:val="20"/>
          <w:szCs w:val="20"/>
        </w:rPr>
        <w:t>The corresponding metal particle size distributions were also determined.</w:t>
      </w:r>
      <w:r w:rsidRPr="00B21F34">
        <w:rPr>
          <w:rFonts w:ascii="Arial" w:hAnsi="Arial" w:cs="Arial"/>
          <w:sz w:val="20"/>
          <w:szCs w:val="20"/>
          <w:lang w:val="en-GB"/>
        </w:rPr>
        <w:t xml:space="preserve"> XRD patterns were collected using a D8ADVANCE diffractometer (Bruker) with Cu Kα</w:t>
      </w:r>
      <w:r w:rsidRPr="00B21F34">
        <w:rPr>
          <w:rFonts w:ascii="Arial" w:hAnsi="Arial" w:cs="Arial"/>
          <w:sz w:val="20"/>
          <w:szCs w:val="20"/>
          <w:vertAlign w:val="subscript"/>
          <w:lang w:val="en-GB"/>
        </w:rPr>
        <w:t>1</w:t>
      </w:r>
      <w:r w:rsidRPr="00B21F34">
        <w:rPr>
          <w:rFonts w:ascii="Arial" w:hAnsi="Arial" w:cs="Arial"/>
          <w:sz w:val="20"/>
          <w:szCs w:val="20"/>
          <w:lang w:val="en-GB"/>
        </w:rPr>
        <w:t xml:space="preserve"> radiation (λ=1.5406 Å). Data were recorded from 20° to 70° 2θ at a step size of 0.02°/s. </w:t>
      </w:r>
    </w:p>
    <w:p w14:paraId="7F517A3A" w14:textId="63F82938" w:rsidR="00A10A0D" w:rsidRPr="00B21F34" w:rsidRDefault="00A10A0D" w:rsidP="00A10A0D">
      <w:pPr>
        <w:jc w:val="both"/>
        <w:rPr>
          <w:rFonts w:ascii="Arial" w:hAnsi="Arial" w:cs="Arial"/>
          <w:sz w:val="18"/>
          <w:szCs w:val="18"/>
          <w:lang w:val="en-GB"/>
        </w:rPr>
      </w:pPr>
      <w:r w:rsidRPr="00B21F34">
        <w:rPr>
          <w:rFonts w:ascii="Arial" w:hAnsi="Arial" w:cs="Arial"/>
          <w:b/>
          <w:bCs/>
          <w:sz w:val="18"/>
          <w:szCs w:val="18"/>
          <w:lang w:val="en-GB"/>
        </w:rPr>
        <w:t>Table S</w:t>
      </w:r>
      <w:r>
        <w:rPr>
          <w:rFonts w:ascii="Arial" w:hAnsi="Arial" w:cs="Arial"/>
          <w:b/>
          <w:bCs/>
          <w:sz w:val="18"/>
          <w:szCs w:val="18"/>
          <w:lang w:val="en-GB"/>
        </w:rPr>
        <w:t>1</w:t>
      </w:r>
      <w:r w:rsidRPr="00B21F34">
        <w:rPr>
          <w:rFonts w:ascii="Arial" w:hAnsi="Arial" w:cs="Arial"/>
          <w:b/>
          <w:bCs/>
          <w:sz w:val="18"/>
          <w:szCs w:val="18"/>
          <w:lang w:val="en-GB"/>
        </w:rPr>
        <w:t>.</w:t>
      </w:r>
      <w:r w:rsidRPr="00B21F34">
        <w:rPr>
          <w:rFonts w:ascii="Arial" w:hAnsi="Arial" w:cs="Arial"/>
          <w:sz w:val="18"/>
          <w:szCs w:val="18"/>
          <w:lang w:val="en-GB"/>
        </w:rPr>
        <w:t xml:space="preserve"> Comparison of noble metal catalysts on experimental conditions, activation energy, and TOF value.</w:t>
      </w:r>
    </w:p>
    <w:tbl>
      <w:tblPr>
        <w:tblStyle w:val="Grigliatabella"/>
        <w:tblW w:w="9924" w:type="dxa"/>
        <w:tblInd w:w="-431" w:type="dxa"/>
        <w:tblLook w:val="04A0" w:firstRow="1" w:lastRow="0" w:firstColumn="1" w:lastColumn="0" w:noHBand="0" w:noVBand="1"/>
      </w:tblPr>
      <w:tblGrid>
        <w:gridCol w:w="1986"/>
        <w:gridCol w:w="1649"/>
        <w:gridCol w:w="1215"/>
        <w:gridCol w:w="1761"/>
        <w:gridCol w:w="1263"/>
        <w:gridCol w:w="961"/>
        <w:gridCol w:w="1089"/>
      </w:tblGrid>
      <w:tr w:rsidR="00A10A0D" w:rsidRPr="002266B5" w14:paraId="202525D4" w14:textId="77777777" w:rsidTr="00C719B1">
        <w:tc>
          <w:tcPr>
            <w:tcW w:w="1986" w:type="dxa"/>
            <w:tcBorders>
              <w:bottom w:val="single" w:sz="4" w:space="0" w:color="auto"/>
              <w:right w:val="nil"/>
            </w:tcBorders>
            <w:shd w:val="clear" w:color="auto" w:fill="BFBFBF" w:themeFill="background1" w:themeFillShade="BF"/>
            <w:vAlign w:val="center"/>
          </w:tcPr>
          <w:p w14:paraId="73CB0D3C"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Catalyst</w:t>
            </w:r>
          </w:p>
        </w:tc>
        <w:tc>
          <w:tcPr>
            <w:tcW w:w="1649" w:type="dxa"/>
            <w:tcBorders>
              <w:left w:val="nil"/>
              <w:bottom w:val="single" w:sz="4" w:space="0" w:color="auto"/>
              <w:right w:val="nil"/>
            </w:tcBorders>
            <w:shd w:val="clear" w:color="auto" w:fill="BFBFBF" w:themeFill="background1" w:themeFillShade="BF"/>
            <w:vAlign w:val="center"/>
          </w:tcPr>
          <w:p w14:paraId="4FC7B4E7"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Temperature (</w:t>
            </w:r>
            <w:r w:rsidRPr="002266B5">
              <w:rPr>
                <w:rFonts w:ascii="Arial" w:hAnsi="Arial" w:cs="Arial"/>
                <w:b/>
                <w:bCs/>
                <w:sz w:val="20"/>
                <w:szCs w:val="20"/>
                <w:vertAlign w:val="superscript"/>
                <w:lang w:val="en-GB"/>
              </w:rPr>
              <w:t>o</w:t>
            </w:r>
            <w:r w:rsidRPr="002266B5">
              <w:rPr>
                <w:rFonts w:ascii="Arial" w:hAnsi="Arial" w:cs="Arial"/>
                <w:b/>
                <w:bCs/>
                <w:sz w:val="20"/>
                <w:szCs w:val="20"/>
                <w:lang w:val="en-GB"/>
              </w:rPr>
              <w:t>C)</w:t>
            </w:r>
          </w:p>
        </w:tc>
        <w:tc>
          <w:tcPr>
            <w:tcW w:w="1215" w:type="dxa"/>
            <w:tcBorders>
              <w:left w:val="nil"/>
              <w:bottom w:val="single" w:sz="4" w:space="0" w:color="auto"/>
              <w:right w:val="nil"/>
            </w:tcBorders>
            <w:shd w:val="clear" w:color="auto" w:fill="BFBFBF" w:themeFill="background1" w:themeFillShade="BF"/>
            <w:vAlign w:val="center"/>
          </w:tcPr>
          <w:p w14:paraId="3B73D05E"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Reaction time (min)</w:t>
            </w:r>
          </w:p>
        </w:tc>
        <w:tc>
          <w:tcPr>
            <w:tcW w:w="1761" w:type="dxa"/>
            <w:tcBorders>
              <w:left w:val="nil"/>
              <w:bottom w:val="single" w:sz="4" w:space="0" w:color="auto"/>
              <w:right w:val="nil"/>
            </w:tcBorders>
            <w:shd w:val="clear" w:color="auto" w:fill="BFBFBF" w:themeFill="background1" w:themeFillShade="BF"/>
            <w:vAlign w:val="center"/>
          </w:tcPr>
          <w:p w14:paraId="650D86CE"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Catalyst amount/</w:t>
            </w:r>
            <w:proofErr w:type="gramStart"/>
            <w:r w:rsidRPr="002266B5">
              <w:rPr>
                <w:rFonts w:ascii="Arial" w:hAnsi="Arial" w:cs="Arial"/>
                <w:b/>
                <w:bCs/>
                <w:sz w:val="20"/>
                <w:szCs w:val="20"/>
                <w:lang w:val="en-GB"/>
              </w:rPr>
              <w:t>Cat:Sub</w:t>
            </w:r>
            <w:proofErr w:type="gramEnd"/>
            <w:r w:rsidRPr="002266B5">
              <w:rPr>
                <w:rFonts w:ascii="Arial" w:hAnsi="Arial" w:cs="Arial"/>
                <w:b/>
                <w:bCs/>
                <w:sz w:val="20"/>
                <w:szCs w:val="20"/>
                <w:lang w:val="en-GB"/>
              </w:rPr>
              <w:t xml:space="preserve"> Ratio</w:t>
            </w:r>
          </w:p>
        </w:tc>
        <w:tc>
          <w:tcPr>
            <w:tcW w:w="1263" w:type="dxa"/>
            <w:tcBorders>
              <w:left w:val="nil"/>
              <w:bottom w:val="single" w:sz="4" w:space="0" w:color="auto"/>
              <w:right w:val="nil"/>
            </w:tcBorders>
            <w:shd w:val="clear" w:color="auto" w:fill="BFBFBF" w:themeFill="background1" w:themeFillShade="BF"/>
            <w:vAlign w:val="center"/>
          </w:tcPr>
          <w:p w14:paraId="52F972D0"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Activation energy (kJ/mol)</w:t>
            </w:r>
          </w:p>
        </w:tc>
        <w:tc>
          <w:tcPr>
            <w:tcW w:w="961" w:type="dxa"/>
            <w:tcBorders>
              <w:left w:val="nil"/>
              <w:bottom w:val="single" w:sz="4" w:space="0" w:color="auto"/>
              <w:right w:val="nil"/>
            </w:tcBorders>
            <w:shd w:val="clear" w:color="auto" w:fill="BFBFBF" w:themeFill="background1" w:themeFillShade="BF"/>
            <w:vAlign w:val="center"/>
          </w:tcPr>
          <w:p w14:paraId="46B67792"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 xml:space="preserve">TOF (min </w:t>
            </w:r>
            <w:r w:rsidRPr="002266B5">
              <w:rPr>
                <w:rFonts w:ascii="Arial" w:hAnsi="Arial" w:cs="Arial"/>
                <w:b/>
                <w:bCs/>
                <w:sz w:val="20"/>
                <w:szCs w:val="20"/>
                <w:vertAlign w:val="superscript"/>
                <w:lang w:val="en-GB"/>
              </w:rPr>
              <w:t>-1</w:t>
            </w:r>
            <w:r w:rsidRPr="002266B5">
              <w:rPr>
                <w:rFonts w:ascii="Arial" w:hAnsi="Arial" w:cs="Arial"/>
                <w:b/>
                <w:bCs/>
                <w:sz w:val="20"/>
                <w:szCs w:val="20"/>
                <w:lang w:val="en-GB"/>
              </w:rPr>
              <w:t>)</w:t>
            </w:r>
          </w:p>
        </w:tc>
        <w:tc>
          <w:tcPr>
            <w:tcW w:w="1089" w:type="dxa"/>
            <w:tcBorders>
              <w:left w:val="nil"/>
              <w:bottom w:val="single" w:sz="4" w:space="0" w:color="auto"/>
            </w:tcBorders>
            <w:shd w:val="clear" w:color="auto" w:fill="BFBFBF" w:themeFill="background1" w:themeFillShade="BF"/>
            <w:vAlign w:val="center"/>
          </w:tcPr>
          <w:p w14:paraId="6115E5FE"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Ref.</w:t>
            </w:r>
          </w:p>
        </w:tc>
      </w:tr>
      <w:tr w:rsidR="00A10A0D" w:rsidRPr="002266B5" w14:paraId="1F732502" w14:textId="77777777" w:rsidTr="00C719B1">
        <w:trPr>
          <w:trHeight w:val="567"/>
        </w:trPr>
        <w:tc>
          <w:tcPr>
            <w:tcW w:w="1986" w:type="dxa"/>
            <w:tcBorders>
              <w:bottom w:val="nil"/>
              <w:right w:val="nil"/>
            </w:tcBorders>
            <w:vAlign w:val="center"/>
          </w:tcPr>
          <w:p w14:paraId="4C2906B7"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Ru/C</w:t>
            </w:r>
          </w:p>
        </w:tc>
        <w:tc>
          <w:tcPr>
            <w:tcW w:w="1649" w:type="dxa"/>
            <w:tcBorders>
              <w:left w:val="nil"/>
              <w:bottom w:val="nil"/>
              <w:right w:val="nil"/>
            </w:tcBorders>
            <w:vAlign w:val="center"/>
          </w:tcPr>
          <w:p w14:paraId="5CF36602"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left w:val="nil"/>
              <w:bottom w:val="nil"/>
              <w:right w:val="nil"/>
            </w:tcBorders>
            <w:vAlign w:val="center"/>
          </w:tcPr>
          <w:p w14:paraId="009D382B"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16</w:t>
            </w:r>
          </w:p>
        </w:tc>
        <w:tc>
          <w:tcPr>
            <w:tcW w:w="1761" w:type="dxa"/>
            <w:tcBorders>
              <w:left w:val="nil"/>
              <w:bottom w:val="nil"/>
              <w:right w:val="nil"/>
            </w:tcBorders>
            <w:vAlign w:val="center"/>
          </w:tcPr>
          <w:p w14:paraId="2A806A24"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15.2 mg</w:t>
            </w:r>
          </w:p>
        </w:tc>
        <w:tc>
          <w:tcPr>
            <w:tcW w:w="1263" w:type="dxa"/>
            <w:tcBorders>
              <w:left w:val="nil"/>
              <w:bottom w:val="nil"/>
              <w:right w:val="nil"/>
            </w:tcBorders>
            <w:vAlign w:val="center"/>
          </w:tcPr>
          <w:p w14:paraId="1B74BA7A"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76.0</w:t>
            </w:r>
            <w:r w:rsidRPr="002266B5">
              <w:rPr>
                <w:rFonts w:ascii="Arial" w:hAnsi="Arial" w:cs="Arial"/>
                <w:sz w:val="20"/>
                <w:szCs w:val="20"/>
              </w:rPr>
              <w:t> </w:t>
            </w:r>
          </w:p>
        </w:tc>
        <w:tc>
          <w:tcPr>
            <w:tcW w:w="961" w:type="dxa"/>
            <w:tcBorders>
              <w:left w:val="nil"/>
              <w:bottom w:val="nil"/>
              <w:right w:val="nil"/>
            </w:tcBorders>
            <w:vAlign w:val="center"/>
          </w:tcPr>
          <w:p w14:paraId="68229FAA"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w:t>
            </w:r>
          </w:p>
        </w:tc>
        <w:tc>
          <w:tcPr>
            <w:tcW w:w="1089" w:type="dxa"/>
            <w:tcBorders>
              <w:left w:val="nil"/>
              <w:bottom w:val="nil"/>
            </w:tcBorders>
            <w:vAlign w:val="center"/>
          </w:tcPr>
          <w:p w14:paraId="13542DF1"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{"citationID":"VfK8U9Wr","properties":{"formattedCitation":"\\super [1]\\nosupersub{}","plainCitation":"[1]","noteIndex":0},"citationItems":[{"id":82,"uris":["http://zotero.org/users/local/BTEbyT2G/items/HR6PACYY"],"itemData":{"id":82,"type":"article-journal","abstract":"Ammonia borane (AB) is a candidate material for on-board hydrogen storage, and hydrolysis is one of the potential processes by which the hydrogen may be released. This paper presents hydrogen generation measurements from the hydrolysis of dilute AB aqueous solutions catalyzed by ruthenium supported on carbon. Reaction kinetics necessary for the design of hydrolysis reactors were derived from the measurements. The hydrolysis had reaction orders greater than zero but less than unity in the temperature range from 16°C to 55°C. A Langmuir–Hinshelwood kinetic model was adopted to interpret the data with parameters determined by a non-linear conjugate-gradient minimization algorithm. The ruthenium-catalyzed AB hydrolysis was found to have activation energy of 76±0.1kJmol−1 and adsorption energy of −42.3±0.33kJmol−1. The observed hydrogen release rates were 843mlH2min−1 (gcatalyst)−1 and 8327mlH2min−1 (gcatalyst)−1 at 25°C and 55°C, respectively. The hydrogen release from AB catalyzed by ruthenium supported on carbon is significantly faster than that catalyzed by cobalt supported on alumina. Finally, the kinetic rate of hydrogen release by AB hydrolysis is much faster than that of hydrogen release by base-stabilized sodium borohydride hydrolysis.","container-title":"Journal of Power Sources","DOI":"10.1016/j.jpowsour.2008.11.085","ISSN":"0378-7753","issue":"1","journalAbbreviation":"Journal of Power Sources","page":"238-243","source":"ScienceDirect","title":"Chemical kinetics of Ru-catalyzed ammonia borane hydrolysis","volume":"188","author":[{"family":"Basu","given":"S."},{"family":"Brockman","given":"A."},{"family":"Gagare","given":"P."},{"family":"Zheng","given":"Y."},{"family":"Ramachandran","given":"P. V."},{"family":"Delgass","given":"W. N."},{"family":"Gore","given":"J. P."}],"issued":{"date-parts":[["2009",3,1]]}}}],"schema":"https://github.com/citation-style-language/schema/raw/master/csl-citation.json"}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[1]</w:t>
            </w:r>
            <w:r w:rsidRPr="00F122B8">
              <w:rPr>
                <w:rFonts w:ascii="Arial" w:hAnsi="Arial" w:cs="Arial"/>
                <w:sz w:val="28"/>
                <w:szCs w:val="28"/>
              </w:rPr>
              <w:fldChar w:fldCharType="end"/>
            </w:r>
          </w:p>
        </w:tc>
      </w:tr>
      <w:tr w:rsidR="00A10A0D" w:rsidRPr="002266B5" w14:paraId="7612B61C" w14:textId="77777777" w:rsidTr="00C719B1">
        <w:trPr>
          <w:trHeight w:val="567"/>
        </w:trPr>
        <w:tc>
          <w:tcPr>
            <w:tcW w:w="1986" w:type="dxa"/>
            <w:tcBorders>
              <w:top w:val="nil"/>
              <w:bottom w:val="nil"/>
              <w:right w:val="nil"/>
            </w:tcBorders>
            <w:vAlign w:val="center"/>
          </w:tcPr>
          <w:p w14:paraId="1F5F88E2"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Ru</w:t>
            </w:r>
            <w:r w:rsidRPr="002266B5">
              <w:rPr>
                <w:rFonts w:ascii="Arial" w:hAnsi="Arial" w:cs="Arial"/>
                <w:sz w:val="20"/>
                <w:szCs w:val="20"/>
                <w:vertAlign w:val="superscript"/>
                <w:lang w:val="en-GB"/>
              </w:rPr>
              <w:t>0</w:t>
            </w:r>
            <w:r w:rsidRPr="002266B5">
              <w:rPr>
                <w:rFonts w:ascii="Arial" w:hAnsi="Arial" w:cs="Arial"/>
                <w:sz w:val="20"/>
                <w:szCs w:val="20"/>
              </w:rPr>
              <w:t>/X-NW</w:t>
            </w:r>
          </w:p>
        </w:tc>
        <w:tc>
          <w:tcPr>
            <w:tcW w:w="1649" w:type="dxa"/>
            <w:tcBorders>
              <w:top w:val="nil"/>
              <w:left w:val="nil"/>
              <w:bottom w:val="nil"/>
              <w:right w:val="nil"/>
            </w:tcBorders>
            <w:vAlign w:val="center"/>
          </w:tcPr>
          <w:p w14:paraId="2F1300B2"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070E8828"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30</w:t>
            </w:r>
          </w:p>
        </w:tc>
        <w:tc>
          <w:tcPr>
            <w:tcW w:w="1761" w:type="dxa"/>
            <w:tcBorders>
              <w:top w:val="nil"/>
              <w:left w:val="nil"/>
              <w:bottom w:val="nil"/>
              <w:right w:val="nil"/>
            </w:tcBorders>
            <w:vAlign w:val="center"/>
          </w:tcPr>
          <w:p w14:paraId="538A11B0"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0.00271</w:t>
            </w:r>
          </w:p>
        </w:tc>
        <w:tc>
          <w:tcPr>
            <w:tcW w:w="1263" w:type="dxa"/>
            <w:tcBorders>
              <w:top w:val="nil"/>
              <w:left w:val="nil"/>
              <w:bottom w:val="nil"/>
              <w:right w:val="nil"/>
            </w:tcBorders>
            <w:vAlign w:val="center"/>
          </w:tcPr>
          <w:p w14:paraId="72D57EC0"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77</w:t>
            </w:r>
          </w:p>
        </w:tc>
        <w:tc>
          <w:tcPr>
            <w:tcW w:w="961" w:type="dxa"/>
            <w:tcBorders>
              <w:top w:val="nil"/>
              <w:left w:val="nil"/>
              <w:bottom w:val="nil"/>
              <w:right w:val="nil"/>
            </w:tcBorders>
            <w:vAlign w:val="center"/>
          </w:tcPr>
          <w:p w14:paraId="036C8896"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 xml:space="preserve">135 </w:t>
            </w:r>
          </w:p>
        </w:tc>
        <w:tc>
          <w:tcPr>
            <w:tcW w:w="1089" w:type="dxa"/>
            <w:tcBorders>
              <w:top w:val="nil"/>
              <w:left w:val="nil"/>
              <w:bottom w:val="nil"/>
            </w:tcBorders>
            <w:vAlign w:val="center"/>
          </w:tcPr>
          <w:p w14:paraId="75C08747"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{"citationID":"5HCP4ssa","properties":{"formattedCitation":"\\super [2]\\nosupersub{}","plainCitation":"[2]","noteIndex":0},"citationItems":[{"id":631,"uris":["http://zotero.org/users/local/BTEbyT2G/items/N7N7EKKE"],"itemData":{"id":631,"type":"article-journal","container-title":"Dalton Transactions","DOI":"10.1039/C3DT52701H","issue":"4","language":"en","note":"publisher: Royal Society of Chemistry","page":"1797-1805","source":"pubs.rsc.org","title":"Ruthenium(0) nanoparticles supported on xonotlite nanowire: a long-lived catalyst for hydrolytic dehydrogenation of ammonia-borane","title-short":"Ruthenium(0) nanoparticles supported on xonotlite nanowire","volume":"43","author":[{"family":"Akbayrak","given":"Serdar"},{"family":"Özkar","given":"Saim"}],"issued":{"date-parts":[["2014"]]}}}],"schema":"https://github.com/citation-style-language/schema/raw/master/csl-citation.json"}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[2]</w:t>
            </w:r>
            <w:r w:rsidRPr="00F122B8">
              <w:rPr>
                <w:rFonts w:ascii="Arial" w:hAnsi="Arial" w:cs="Arial"/>
                <w:sz w:val="28"/>
                <w:szCs w:val="28"/>
              </w:rPr>
              <w:fldChar w:fldCharType="end"/>
            </w:r>
          </w:p>
        </w:tc>
      </w:tr>
      <w:tr w:rsidR="00A10A0D" w:rsidRPr="002266B5" w14:paraId="05375807" w14:textId="77777777" w:rsidTr="00C719B1">
        <w:trPr>
          <w:trHeight w:val="567"/>
        </w:trPr>
        <w:tc>
          <w:tcPr>
            <w:tcW w:w="1986" w:type="dxa"/>
            <w:tcBorders>
              <w:top w:val="nil"/>
              <w:bottom w:val="nil"/>
              <w:right w:val="nil"/>
            </w:tcBorders>
            <w:vAlign w:val="center"/>
          </w:tcPr>
          <w:p w14:paraId="46E1522C"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Ru/</w:t>
            </w:r>
            <w:r w:rsidRPr="002266B5">
              <w:rPr>
                <w:rFonts w:ascii="Arial" w:hAnsi="Arial" w:cs="Arial"/>
                <w:sz w:val="20"/>
                <w:szCs w:val="20"/>
                <w:lang w:val="el-GR"/>
              </w:rPr>
              <w:t>γ</w:t>
            </w:r>
            <w:r w:rsidRPr="002266B5">
              <w:rPr>
                <w:rFonts w:ascii="Arial" w:hAnsi="Arial" w:cs="Arial"/>
                <w:sz w:val="20"/>
                <w:szCs w:val="20"/>
                <w:lang w:val="en-GB"/>
              </w:rPr>
              <w:t>-</w:t>
            </w:r>
            <w:r w:rsidRPr="002266B5">
              <w:rPr>
                <w:rFonts w:ascii="Arial" w:hAnsi="Arial" w:cs="Arial"/>
                <w:sz w:val="20"/>
                <w:szCs w:val="20"/>
              </w:rPr>
              <w:t>Al</w:t>
            </w:r>
            <w:r w:rsidRPr="002266B5">
              <w:rPr>
                <w:rFonts w:ascii="Arial" w:hAnsi="Arial" w:cs="Arial"/>
                <w:sz w:val="20"/>
                <w:szCs w:val="20"/>
                <w:vertAlign w:val="subscript"/>
              </w:rPr>
              <w:t>2</w:t>
            </w:r>
            <w:r w:rsidRPr="002266B5">
              <w:rPr>
                <w:rFonts w:ascii="Arial" w:hAnsi="Arial" w:cs="Arial"/>
                <w:sz w:val="20"/>
                <w:szCs w:val="20"/>
              </w:rPr>
              <w:t>O</w:t>
            </w:r>
            <w:r w:rsidRPr="002266B5">
              <w:rPr>
                <w:rFonts w:ascii="Arial" w:hAnsi="Arial" w:cs="Arial"/>
                <w:sz w:val="20"/>
                <w:szCs w:val="20"/>
                <w:vertAlign w:val="subscript"/>
              </w:rPr>
              <w:t>3</w:t>
            </w:r>
          </w:p>
        </w:tc>
        <w:tc>
          <w:tcPr>
            <w:tcW w:w="1649" w:type="dxa"/>
            <w:tcBorders>
              <w:top w:val="nil"/>
              <w:left w:val="nil"/>
              <w:bottom w:val="nil"/>
              <w:right w:val="nil"/>
            </w:tcBorders>
            <w:vAlign w:val="center"/>
          </w:tcPr>
          <w:p w14:paraId="4D1A4184"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65</w:t>
            </w:r>
          </w:p>
        </w:tc>
        <w:tc>
          <w:tcPr>
            <w:tcW w:w="1215" w:type="dxa"/>
            <w:tcBorders>
              <w:top w:val="nil"/>
              <w:left w:val="nil"/>
              <w:bottom w:val="nil"/>
              <w:right w:val="nil"/>
            </w:tcBorders>
            <w:vAlign w:val="center"/>
          </w:tcPr>
          <w:p w14:paraId="03505580"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sym w:font="Symbol" w:char="F07E"/>
            </w:r>
            <w:r w:rsidRPr="002266B5">
              <w:rPr>
                <w:rFonts w:ascii="Arial" w:hAnsi="Arial" w:cs="Arial"/>
                <w:sz w:val="20"/>
                <w:szCs w:val="20"/>
                <w:lang w:val="en-GB"/>
              </w:rPr>
              <w:t>11</w:t>
            </w:r>
          </w:p>
        </w:tc>
        <w:tc>
          <w:tcPr>
            <w:tcW w:w="1761" w:type="dxa"/>
            <w:tcBorders>
              <w:top w:val="nil"/>
              <w:left w:val="nil"/>
              <w:bottom w:val="nil"/>
              <w:right w:val="nil"/>
            </w:tcBorders>
            <w:vAlign w:val="center"/>
          </w:tcPr>
          <w:p w14:paraId="3BECBC3C"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10 wt%</w:t>
            </w:r>
          </w:p>
        </w:tc>
        <w:tc>
          <w:tcPr>
            <w:tcW w:w="1263" w:type="dxa"/>
            <w:tcBorders>
              <w:top w:val="nil"/>
              <w:left w:val="nil"/>
              <w:bottom w:val="nil"/>
              <w:right w:val="nil"/>
            </w:tcBorders>
            <w:vAlign w:val="center"/>
          </w:tcPr>
          <w:p w14:paraId="03FE0E23"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67</w:t>
            </w:r>
          </w:p>
        </w:tc>
        <w:tc>
          <w:tcPr>
            <w:tcW w:w="961" w:type="dxa"/>
            <w:tcBorders>
              <w:top w:val="nil"/>
              <w:left w:val="nil"/>
              <w:bottom w:val="nil"/>
              <w:right w:val="nil"/>
            </w:tcBorders>
            <w:vAlign w:val="center"/>
          </w:tcPr>
          <w:p w14:paraId="44711202" w14:textId="77777777" w:rsidR="00A10A0D" w:rsidRPr="002266B5" w:rsidRDefault="00A10A0D" w:rsidP="00C719B1">
            <w:pPr>
              <w:jc w:val="center"/>
              <w:rPr>
                <w:rFonts w:ascii="Arial" w:hAnsi="Arial" w:cs="Arial"/>
                <w:sz w:val="20"/>
                <w:szCs w:val="20"/>
              </w:rPr>
            </w:pPr>
          </w:p>
        </w:tc>
        <w:tc>
          <w:tcPr>
            <w:tcW w:w="1089" w:type="dxa"/>
            <w:tcBorders>
              <w:top w:val="nil"/>
              <w:left w:val="nil"/>
              <w:bottom w:val="nil"/>
            </w:tcBorders>
            <w:vAlign w:val="center"/>
          </w:tcPr>
          <w:p w14:paraId="40CCA088"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{"citationID":"7nNx6Wvd","properties":{"formattedCitation":"\\super [3]\\nosupersub{}","plainCitation":"[3]","noteIndex":0},"citationItems":[{"id":616,"uris":["http://zotero.org/users/local/BTEbyT2G/items/DMBWY5BN"],"itemData":{"id":616,"type":"article-journal","abstract":"Ruthenium (1.5wt% Ru) supported on γ-Al2O3 was synthesized in the presence of ethylene glycol using ruthenium acetylacetonate as precursor. The catalyst was characterized by inductively coupled plasma (ICP) emission spectroscopy, X-ray diffraction (XRD), scanning electron microscopy (SEM), transmission electron microscopy (TEM), energy dispersive X-ray (EDX) spectroscopy and X-ray photoelectron spectroscopy (XPS). It was found that it consisted of Ru0 and RuO2 as spherical nanoparticles, with an average size of 4.2nm, and aggregates deposited at the surface of the support. The catalyst was tested in hydrolysis of ammonia borane, NH3BH3. Experiments with variable amounts of catalyst (10–30wt%), concentrations of the substrate (1.0–0.65M), and temperatures (50–66°C) were performed. The reaction was followed by volumetric (inverted burette) and spectroscopic (11B and 11B{1H} NMR) methods. A kinetic study was developed (apparent activation energy of 67kJmol−1; reaction orders vs. the concentration of NH3BH3 and ruthenium active sites of 0.4 and 1.0, respectively). Hydrogen generation rates up to 76.4mL(H2)min−1 or 158.5L(H2)min−1g−1 (for the highest catalyst loading) were measured, which classify our catalyst among the most reactive ones. The NMR study showed a rapid NH3BH3 hydrolysis also at room temperature with initial formation of B(OH)4−, which besides would favor following equilibriums of formation of polyborates. Finally, after deactivation of the catalyst in the first run, the hydrolysis mechanism resulted substantially unmodified. These results are reported and discussed herein.","collection-title":"Catalysis in hydrolysis of sodium borohydride and ammonia borane, and electrocatalysis in oxidation of sodium borohydride","container-title":"Catalysis Today","DOI":"10.1016/j.cattod.2011.01.040","ISSN":"0920-5861","issue":"1","journalAbbreviation":"Catalysis Today","page":"85-92","source":"ScienceDirect","title":"Facile synthesis by polyol method of a ruthenium catalyst supported on γ-Al2O3 for hydrolytic dehydrogenation of ammonia borane","volume":"170","author":[{"family":"Rachiero","given":"Giovanni P."},{"family":"Demirci","given":"Umit B."},{"family":"Miele","given":"Philippe"}],"issued":{"date-parts":[["2011",7,19]]}}}],"schema":"https://github.com/citation-style-language/schema/raw/master/csl-citation.json"}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[3]</w:t>
            </w:r>
            <w:r w:rsidRPr="00F122B8">
              <w:rPr>
                <w:rFonts w:ascii="Arial" w:hAnsi="Arial" w:cs="Arial"/>
                <w:sz w:val="28"/>
                <w:szCs w:val="28"/>
              </w:rPr>
              <w:fldChar w:fldCharType="end"/>
            </w:r>
          </w:p>
        </w:tc>
      </w:tr>
      <w:tr w:rsidR="00A10A0D" w:rsidRPr="002266B5" w14:paraId="1B6B1FA2" w14:textId="77777777" w:rsidTr="00C719B1">
        <w:trPr>
          <w:trHeight w:val="567"/>
        </w:trPr>
        <w:tc>
          <w:tcPr>
            <w:tcW w:w="1986" w:type="dxa"/>
            <w:tcBorders>
              <w:top w:val="nil"/>
              <w:bottom w:val="nil"/>
              <w:right w:val="nil"/>
            </w:tcBorders>
            <w:vAlign w:val="center"/>
          </w:tcPr>
          <w:p w14:paraId="3738B71F"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Ru/graphene</w:t>
            </w:r>
          </w:p>
        </w:tc>
        <w:tc>
          <w:tcPr>
            <w:tcW w:w="1649" w:type="dxa"/>
            <w:tcBorders>
              <w:top w:val="nil"/>
              <w:left w:val="nil"/>
              <w:bottom w:val="nil"/>
              <w:right w:val="nil"/>
            </w:tcBorders>
            <w:vAlign w:val="center"/>
          </w:tcPr>
          <w:p w14:paraId="15D5EB0B"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4AA6C31C"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6</w:t>
            </w:r>
          </w:p>
        </w:tc>
        <w:tc>
          <w:tcPr>
            <w:tcW w:w="1761" w:type="dxa"/>
            <w:tcBorders>
              <w:top w:val="nil"/>
              <w:left w:val="nil"/>
              <w:bottom w:val="nil"/>
              <w:right w:val="nil"/>
            </w:tcBorders>
            <w:vAlign w:val="center"/>
          </w:tcPr>
          <w:p w14:paraId="7A97F943"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0.01</w:t>
            </w:r>
          </w:p>
        </w:tc>
        <w:tc>
          <w:tcPr>
            <w:tcW w:w="1263" w:type="dxa"/>
            <w:tcBorders>
              <w:top w:val="nil"/>
              <w:left w:val="nil"/>
              <w:bottom w:val="nil"/>
              <w:right w:val="nil"/>
            </w:tcBorders>
            <w:vAlign w:val="center"/>
          </w:tcPr>
          <w:p w14:paraId="3342755A"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11.7</w:t>
            </w:r>
          </w:p>
        </w:tc>
        <w:tc>
          <w:tcPr>
            <w:tcW w:w="961" w:type="dxa"/>
            <w:tcBorders>
              <w:top w:val="nil"/>
              <w:left w:val="nil"/>
              <w:bottom w:val="nil"/>
              <w:right w:val="nil"/>
            </w:tcBorders>
            <w:vAlign w:val="center"/>
          </w:tcPr>
          <w:p w14:paraId="179CDAD5"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100</w:t>
            </w:r>
          </w:p>
        </w:tc>
        <w:tc>
          <w:tcPr>
            <w:tcW w:w="1089" w:type="dxa"/>
            <w:tcBorders>
              <w:top w:val="nil"/>
              <w:left w:val="nil"/>
              <w:bottom w:val="nil"/>
            </w:tcBorders>
            <w:vAlign w:val="center"/>
          </w:tcPr>
          <w:p w14:paraId="7783EEBF"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{"citationID":"LZJjBjvj","properties":{"formattedCitation":"\\super [4]\\nosupersub{}","plainCitation":"[4]","noteIndex":0},"citationItems":[{"id":635,"uris":["http://zotero.org/users/local/BTEbyT2G/items/E9B4DTQ6"],"itemData":{"id":635,"type":"article-journal","abstract":"Ru nanoparticles supported on graphene have been synthesized via a one-step procedure using methylamine borane as reducing agent. Compared with NaBH4 and ammonia borane, the as-prepared Ru/graphene NPs reduced by methylamine borane exhibit superior catalytic activity towards the hydrolytic dehydrogenation of ammonia borane. Additionally, the Ru/graphene NPs exhibit higher catalytic activity than its graphene free counterparts, and retain 72% of their initial catalytic activity after 4 reaction cycles. A kinetic study shows that the catalytic hydrolysis of ammonia borane is first order with respect to Ru concentration, the turnover frequency is 100 mol H2 min−1 (mol Ru)−1. The activation energy for the hydrolysis of ammonia borane in the presence of Ru/graphene NPs has been measured to be 11.7 kJ/mol, which is the lowest value ever reported for the catalytic hydrolytic dehydrogenation of ammonia borane.","container-title":"International Journal of Hydrogen Energy","DOI":"10.1016/j.ijhydene.2013.06.125","ISSN":"0360-3199","issue":"27","journalAbbreviation":"International Journal of Hydrogen Energy","page":"11964-11972","source":"ScienceDirect","title":"One-step synthesis of graphene supported Ru nanoparticles as efficient catalysts for hydrolytic dehydrogenation of ammonia borane","volume":"38","author":[{"family":"Cao","given":"Nan"},{"family":"Luo","given":"Wei"},{"family":"Cheng","given":"Gongzhen"}],"issued":{"date-parts":[["2013",9,10]]}}}],"schema":"https://github.com/citation-style-language/schema/raw/master/csl-citation.json"}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[4]</w:t>
            </w:r>
            <w:r w:rsidRPr="00F122B8">
              <w:rPr>
                <w:rFonts w:ascii="Arial" w:hAnsi="Arial" w:cs="Arial"/>
                <w:sz w:val="28"/>
                <w:szCs w:val="28"/>
              </w:rPr>
              <w:fldChar w:fldCharType="end"/>
            </w:r>
          </w:p>
        </w:tc>
      </w:tr>
      <w:tr w:rsidR="00A10A0D" w:rsidRPr="002266B5" w14:paraId="5CC9B638" w14:textId="77777777" w:rsidTr="00C719B1">
        <w:trPr>
          <w:trHeight w:val="567"/>
        </w:trPr>
        <w:tc>
          <w:tcPr>
            <w:tcW w:w="1986" w:type="dxa"/>
            <w:tcBorders>
              <w:top w:val="nil"/>
              <w:bottom w:val="nil"/>
              <w:right w:val="nil"/>
            </w:tcBorders>
            <w:vAlign w:val="center"/>
          </w:tcPr>
          <w:p w14:paraId="77A94245"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lastRenderedPageBreak/>
              <w:t>Ru/TiO</w:t>
            </w:r>
            <w:r w:rsidRPr="002266B5">
              <w:rPr>
                <w:rFonts w:ascii="Arial" w:hAnsi="Arial" w:cs="Arial"/>
                <w:sz w:val="20"/>
                <w:szCs w:val="20"/>
                <w:vertAlign w:val="subscript"/>
              </w:rPr>
              <w:t>2</w:t>
            </w:r>
            <w:r w:rsidRPr="002266B5">
              <w:rPr>
                <w:rFonts w:ascii="Arial" w:hAnsi="Arial" w:cs="Arial"/>
                <w:sz w:val="20"/>
                <w:szCs w:val="20"/>
              </w:rPr>
              <w:t>(P25)</w:t>
            </w:r>
          </w:p>
        </w:tc>
        <w:tc>
          <w:tcPr>
            <w:tcW w:w="1649" w:type="dxa"/>
            <w:tcBorders>
              <w:top w:val="nil"/>
              <w:left w:val="nil"/>
              <w:bottom w:val="nil"/>
              <w:right w:val="nil"/>
            </w:tcBorders>
            <w:vAlign w:val="center"/>
          </w:tcPr>
          <w:p w14:paraId="336048A7"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0FD0049D"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sym w:font="Symbol" w:char="F07E"/>
            </w:r>
            <w:r w:rsidRPr="002266B5">
              <w:rPr>
                <w:rFonts w:ascii="Arial" w:hAnsi="Arial" w:cs="Arial"/>
                <w:sz w:val="20"/>
                <w:szCs w:val="20"/>
                <w:lang w:val="en-GB"/>
              </w:rPr>
              <w:t>20</w:t>
            </w:r>
          </w:p>
        </w:tc>
        <w:tc>
          <w:tcPr>
            <w:tcW w:w="1761" w:type="dxa"/>
            <w:tcBorders>
              <w:top w:val="nil"/>
              <w:left w:val="nil"/>
              <w:bottom w:val="nil"/>
              <w:right w:val="nil"/>
            </w:tcBorders>
            <w:vAlign w:val="center"/>
          </w:tcPr>
          <w:p w14:paraId="3A4DBBA0"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 xml:space="preserve">0.001 </w:t>
            </w:r>
          </w:p>
        </w:tc>
        <w:tc>
          <w:tcPr>
            <w:tcW w:w="1263" w:type="dxa"/>
            <w:tcBorders>
              <w:top w:val="nil"/>
              <w:left w:val="nil"/>
              <w:bottom w:val="nil"/>
              <w:right w:val="nil"/>
            </w:tcBorders>
            <w:vAlign w:val="center"/>
          </w:tcPr>
          <w:p w14:paraId="5323B2A1"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37.7</w:t>
            </w:r>
          </w:p>
        </w:tc>
        <w:tc>
          <w:tcPr>
            <w:tcW w:w="961" w:type="dxa"/>
            <w:tcBorders>
              <w:top w:val="nil"/>
              <w:left w:val="nil"/>
              <w:bottom w:val="nil"/>
              <w:right w:val="nil"/>
            </w:tcBorders>
            <w:vAlign w:val="center"/>
          </w:tcPr>
          <w:p w14:paraId="1B88AB99"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604</w:t>
            </w:r>
          </w:p>
        </w:tc>
        <w:tc>
          <w:tcPr>
            <w:tcW w:w="1089" w:type="dxa"/>
            <w:tcBorders>
              <w:top w:val="nil"/>
              <w:left w:val="nil"/>
              <w:bottom w:val="nil"/>
            </w:tcBorders>
            <w:vAlign w:val="center"/>
          </w:tcPr>
          <w:p w14:paraId="652BCFA4"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{"citationID":"qEvithJp","properties":{"formattedCitation":"\\super [5]\\nosupersub{}","plainCitation":"[5]","noteIndex":0},"citationItems":[{"id":468,"uris":["http://zotero.org/users/local/BTEbyT2G/items/RFUTF4PG"],"itemData":{"id":468,"type":"article-journal","abstract":"Highly dispersed monometallic Ru nanoparticles can be successfully synthesized on TiO2 supports for effective hydrogen production from ammonia–borane (NH3·BH3; AB). The choice of support material and reduction methods were confirmed to significantly influence the size of the Ru nanoparticles, and smaller sizes of Ru nanoparticles with a mean diameter of 1.7 nm could be formed on a TiO2 support material by H2 reduction at 200 °C. The catalytic activity of the Ru nanoparticles can be significantly enhanced by alloying with Ni atoms, whereby a significantly high total turnover number (TTO) of approximately 153000 over 8 h was achieved with an excellent turnover frequency (TOF) of 914 min–1 and an activation energy of 28.1 kJ mol–1. Detailed characterization by means of TEM, EDX, H2-TPR, and in situ XAFS measurements revealed that a synergistic alloying effect originates from the random distribution of Ru–Ni nanoparticles with a mean diameter of 2.3 nm and plays a crucial role in the exceptional catalytic performance. This catalytic system has particular potential for industrial application in fuel cells due to advantages such as the facile preparation method, the use of relatively cheap metals, and the exceptionally high catalytic activity.","container-title":"ACS Catalysis","DOI":"10.1021/acscatal.6b00715","issue":"5","journalAbbreviation":"ACS Catal.","note":"publisher: American Chemical Society","page":"3128-3135","source":"ACS Publications","title":"Ru and Ru–Ni Nanoparticles on TiO2 Support as Extremely Active Catalysts for Hydrogen Production from Ammonia–Borane","volume":"6","author":[{"family":"Mori","given":"Kohsuke"},{"family":"Miyawaki","given":"Kohei"},{"family":"Yamashita","given":"Hiromi"}],"issued":{"date-parts":[["2016",5,6]]}}}],"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[5]</w:t>
            </w:r>
            <w:r w:rsidRPr="00F122B8">
              <w:rPr>
                <w:rFonts w:ascii="Arial" w:hAnsi="Arial" w:cs="Arial"/>
                <w:sz w:val="28"/>
                <w:szCs w:val="28"/>
              </w:rPr>
              <w:fldChar w:fldCharType="end"/>
            </w:r>
          </w:p>
        </w:tc>
      </w:tr>
      <w:tr w:rsidR="00A10A0D" w:rsidRPr="002266B5" w14:paraId="53FF26E2" w14:textId="77777777" w:rsidTr="00C719B1">
        <w:trPr>
          <w:trHeight w:val="567"/>
        </w:trPr>
        <w:tc>
          <w:tcPr>
            <w:tcW w:w="1986" w:type="dxa"/>
            <w:tcBorders>
              <w:top w:val="nil"/>
              <w:bottom w:val="nil"/>
              <w:right w:val="nil"/>
            </w:tcBorders>
            <w:vAlign w:val="center"/>
          </w:tcPr>
          <w:p w14:paraId="416074E9"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Ru NPs</w:t>
            </w:r>
          </w:p>
        </w:tc>
        <w:tc>
          <w:tcPr>
            <w:tcW w:w="1649" w:type="dxa"/>
            <w:tcBorders>
              <w:top w:val="nil"/>
              <w:left w:val="nil"/>
              <w:bottom w:val="nil"/>
              <w:right w:val="nil"/>
            </w:tcBorders>
            <w:vAlign w:val="center"/>
          </w:tcPr>
          <w:p w14:paraId="2C71DE12"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276120B2"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6</w:t>
            </w:r>
          </w:p>
        </w:tc>
        <w:tc>
          <w:tcPr>
            <w:tcW w:w="1761" w:type="dxa"/>
            <w:tcBorders>
              <w:top w:val="nil"/>
              <w:left w:val="nil"/>
              <w:bottom w:val="nil"/>
              <w:right w:val="nil"/>
            </w:tcBorders>
            <w:vAlign w:val="center"/>
          </w:tcPr>
          <w:p w14:paraId="5430236E"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0.0025</w:t>
            </w:r>
          </w:p>
        </w:tc>
        <w:tc>
          <w:tcPr>
            <w:tcW w:w="1263" w:type="dxa"/>
            <w:tcBorders>
              <w:top w:val="nil"/>
              <w:left w:val="nil"/>
              <w:bottom w:val="nil"/>
              <w:right w:val="nil"/>
            </w:tcBorders>
            <w:vAlign w:val="center"/>
          </w:tcPr>
          <w:p w14:paraId="55CC19D6"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27.5</w:t>
            </w:r>
          </w:p>
        </w:tc>
        <w:tc>
          <w:tcPr>
            <w:tcW w:w="961" w:type="dxa"/>
            <w:tcBorders>
              <w:top w:val="nil"/>
              <w:left w:val="nil"/>
              <w:bottom w:val="nil"/>
              <w:right w:val="nil"/>
            </w:tcBorders>
            <w:vAlign w:val="center"/>
          </w:tcPr>
          <w:p w14:paraId="12080FA5"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21.8</w:t>
            </w:r>
          </w:p>
        </w:tc>
        <w:tc>
          <w:tcPr>
            <w:tcW w:w="1089" w:type="dxa"/>
            <w:tcBorders>
              <w:top w:val="nil"/>
              <w:left w:val="nil"/>
              <w:bottom w:val="nil"/>
            </w:tcBorders>
            <w:vAlign w:val="center"/>
          </w:tcPr>
          <w:p w14:paraId="5A4CEBCE"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{"citationID":"P6KwygMn","properties":{"formattedCitation":"\\super [6]\\nosupersub{}","plainCitation":"[6]","noteIndex":0},"citationItems":[{"id":639,"uris":["http://zotero.org/users/local/BTEbyT2G/items/ACNHH2Q6"],"itemData":{"id":639,"type":"article-journal","abstract":"Late transition metal nanoparticles (NPs) with a favorably high surface area to volume ratio have garnered much interest for catalytic applications. Yet, these NPs are prone to aggregation in solution, which has been mitigated through attachment of surface ligands, additives or supports; unfortunately, protective ligands can severely reduce the effective surface area on the NPs available for catalyzing chemical transformations. The preparation of ‘metastable’ NPs can readily address these challenges. We report herein the first synthesis of monodisperse metastable ruthenium nanoparticles (RuNPs), having sub 5 nm size and an fcc structure, in aqueous media at room temperature, which can be stored for a period of at least 8 months. The RuNPs can subsequently be used for the catalytic, quantitative hydrolysis of ammonia-borane (AB) yielding hydrogen gas with 21.8 turnovers per min at 25 °C. The high surface area available for hydrolysis of AB on the metastable RuNPs translated to an Ea of 27.5 kJ mol-1, which is notably lower than previously reported values for RuNP based catalysts.","container-title":"Small","DOI":"10.1002/smll.201303507","ISSN":"1613-6829","issue":"15","language":"en","license":"© 2014 WILEY-VCH Verlag GmbH &amp; Co. KGaA, Weinheim","note":"_eprint: https://onlinelibrary.wiley.com/doi/pdf/10.1002/smll.201303507","page":"3145-3152","source":"Wiley Online Library","title":"Highly Active Metastable Ruthenium Nanoparticles for Hydrogen Production through the Catalytic Hydrolysis of Ammonia Borane","volume":"10","author":[{"family":"Abo-Hamed","given":"Enass K."},{"family":"Pennycook","given":"Timothy"},{"family":"Vaynzof","given":"Yana"},{"family":"Toprakcioglu","given":"Chris"},{"family":"Koutsioubas","given":"Alexandros"},{"family":"Scherman","given":"Oren A."}],"issued":{"date-parts":[["2014"]]}}}],"schema":"https://github.com/citation-style-language/schema/raw/master/csl-citation.json"}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[6]</w:t>
            </w:r>
            <w:r w:rsidRPr="00F122B8">
              <w:rPr>
                <w:rFonts w:ascii="Arial" w:hAnsi="Arial" w:cs="Arial"/>
                <w:sz w:val="28"/>
                <w:szCs w:val="28"/>
              </w:rPr>
              <w:fldChar w:fldCharType="end"/>
            </w:r>
          </w:p>
        </w:tc>
      </w:tr>
      <w:tr w:rsidR="00A10A0D" w:rsidRPr="002266B5" w14:paraId="3BB2D59E" w14:textId="77777777" w:rsidTr="00C719B1">
        <w:trPr>
          <w:trHeight w:val="567"/>
        </w:trPr>
        <w:tc>
          <w:tcPr>
            <w:tcW w:w="1986" w:type="dxa"/>
            <w:tcBorders>
              <w:top w:val="nil"/>
              <w:bottom w:val="nil"/>
              <w:right w:val="nil"/>
            </w:tcBorders>
            <w:vAlign w:val="center"/>
          </w:tcPr>
          <w:p w14:paraId="7E839F43"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Ru/C</w:t>
            </w:r>
          </w:p>
        </w:tc>
        <w:tc>
          <w:tcPr>
            <w:tcW w:w="1649" w:type="dxa"/>
            <w:tcBorders>
              <w:top w:val="nil"/>
              <w:left w:val="nil"/>
              <w:bottom w:val="nil"/>
              <w:right w:val="nil"/>
            </w:tcBorders>
            <w:vAlign w:val="center"/>
          </w:tcPr>
          <w:p w14:paraId="1A81D483"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01C27325"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1.66</w:t>
            </w:r>
          </w:p>
        </w:tc>
        <w:tc>
          <w:tcPr>
            <w:tcW w:w="1761" w:type="dxa"/>
            <w:tcBorders>
              <w:top w:val="nil"/>
              <w:left w:val="nil"/>
              <w:bottom w:val="nil"/>
              <w:right w:val="nil"/>
            </w:tcBorders>
            <w:vAlign w:val="center"/>
          </w:tcPr>
          <w:p w14:paraId="1BC805D8"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0.00425</w:t>
            </w:r>
          </w:p>
        </w:tc>
        <w:tc>
          <w:tcPr>
            <w:tcW w:w="1263" w:type="dxa"/>
            <w:tcBorders>
              <w:top w:val="nil"/>
              <w:left w:val="nil"/>
              <w:bottom w:val="nil"/>
              <w:right w:val="nil"/>
            </w:tcBorders>
            <w:vAlign w:val="center"/>
          </w:tcPr>
          <w:p w14:paraId="6394FA2C"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34.81</w:t>
            </w:r>
          </w:p>
        </w:tc>
        <w:tc>
          <w:tcPr>
            <w:tcW w:w="961" w:type="dxa"/>
            <w:tcBorders>
              <w:top w:val="nil"/>
              <w:left w:val="nil"/>
              <w:bottom w:val="nil"/>
              <w:right w:val="nil"/>
            </w:tcBorders>
            <w:vAlign w:val="center"/>
          </w:tcPr>
          <w:p w14:paraId="654E5E7F"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429.5</w:t>
            </w:r>
          </w:p>
        </w:tc>
        <w:tc>
          <w:tcPr>
            <w:tcW w:w="1089" w:type="dxa"/>
            <w:tcBorders>
              <w:top w:val="nil"/>
              <w:left w:val="nil"/>
              <w:bottom w:val="nil"/>
            </w:tcBorders>
            <w:vAlign w:val="center"/>
          </w:tcPr>
          <w:p w14:paraId="0A8C194A"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{"citationID":"sAAJYHoe","properties":{"formattedCitation":"\\super [7]\\nosupersub{}","plainCitation":"[7]","noteIndex":0},"citationItems":[{"id":641,"uris":["http://zotero.org/users/local/BTEbyT2G/items/4FBM3S3T"],"itemData":{"id":641,"type":"article-journal","abstract":"Ligand-free Ru nanoclusters supported on carbon black have been synthesized in situ for the first time from the reduction of RuCl3 by ammonia-borane concomitantly with its hydrolysis process at room temperature, and their catalytic activity has been investigated. Well dispersed Ru nanoclusters (</w:instrText>
            </w:r>
            <w:r w:rsidRPr="00F122B8">
              <w:rPr>
                <w:rFonts w:ascii="Cambria Math" w:hAnsi="Cambria Math" w:cs="Cambria Math"/>
                <w:sz w:val="28"/>
                <w:szCs w:val="28"/>
              </w:rPr>
              <w:instrText>∼</w:instrText>
            </w:r>
            <w:r w:rsidRPr="00F122B8">
              <w:rPr>
                <w:rFonts w:ascii="Arial" w:hAnsi="Arial" w:cs="Arial"/>
                <w:sz w:val="28"/>
                <w:szCs w:val="28"/>
              </w:rPr>
              <w:instrText xml:space="preserve">1.7 nm) are stabilized and immobilized by carbon black. Due to the small size and the absence of ligands on the surface, the Ru catalysts exhibit high catalytic activity, which is partly retained after 5 reaction cycles. A kinetic study shows that the catalytic hydrolysis of ammonia-borane is first order with respect to Ru catalyst concentration; the turnover frequency is 429.5 mol H2 min−1 mol−1 Ru. The activation energy for the hydrolysis of ammonia-borane in the presence of Ru/C catalysts has been measured to be 34.81 ± 0.12 kJ mol−1, which is smaller than most of the values reported for other catalysts, including those based on Ru, for the same reaction.","container-title":"International Journal of Hydrogen Energy","DOI":"10.1016/j.ijhydene.2012.09.026","ISSN":"0360-3199","issue":"23","journalAbbreviation":"International Journal of Hydrogen Energy","page":"17921-17927","source":"ScienceDirect","title":"In situ facile synthesis of ruthenium nanocluster catalyst supported on carbon black for hydrogen generation from the hydrolysis of ammonia-borane","volume":"37","author":[{"family":"Liang","given":"Hongyan"},{"family":"Chen","given":"Guozhu"},{"family":"Desinan","given":"Stefano"},{"family":"Rosei","given":"Renzo"},{"family":"Rosei","given":"Federico"},{"family":"Ma","given":"Dongling"}],"issued":{"date-parts":[["2012",12,1]]}}}],"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[7]</w:t>
            </w:r>
            <w:r w:rsidRPr="00F122B8">
              <w:rPr>
                <w:rFonts w:ascii="Arial" w:hAnsi="Arial" w:cs="Arial"/>
                <w:sz w:val="28"/>
                <w:szCs w:val="28"/>
              </w:rPr>
              <w:fldChar w:fldCharType="end"/>
            </w:r>
          </w:p>
        </w:tc>
      </w:tr>
      <w:tr w:rsidR="00A10A0D" w:rsidRPr="002266B5" w14:paraId="551A7BC5" w14:textId="77777777" w:rsidTr="00C719B1">
        <w:trPr>
          <w:trHeight w:val="567"/>
        </w:trPr>
        <w:tc>
          <w:tcPr>
            <w:tcW w:w="1986" w:type="dxa"/>
            <w:tcBorders>
              <w:top w:val="nil"/>
              <w:bottom w:val="nil"/>
              <w:right w:val="nil"/>
            </w:tcBorders>
            <w:vAlign w:val="center"/>
          </w:tcPr>
          <w:p w14:paraId="56B9EEE8" w14:textId="77777777" w:rsidR="00A10A0D" w:rsidRPr="002266B5" w:rsidRDefault="00A10A0D" w:rsidP="00C719B1">
            <w:pPr>
              <w:jc w:val="center"/>
              <w:rPr>
                <w:rFonts w:ascii="Arial" w:hAnsi="Arial" w:cs="Arial"/>
                <w:sz w:val="20"/>
                <w:szCs w:val="20"/>
              </w:rPr>
            </w:pPr>
            <w:r w:rsidRPr="002266B5">
              <w:rPr>
                <w:rFonts w:ascii="Arial" w:hAnsi="Arial" w:cs="Arial"/>
                <w:sz w:val="20"/>
                <w:szCs w:val="20"/>
              </w:rPr>
              <w:t>Rh</w:t>
            </w:r>
            <w:r w:rsidRPr="002266B5">
              <w:rPr>
                <w:rFonts w:ascii="Arial" w:hAnsi="Arial" w:cs="Arial"/>
                <w:sz w:val="20"/>
                <w:szCs w:val="20"/>
                <w:vertAlign w:val="superscript"/>
              </w:rPr>
              <w:t>0</w:t>
            </w:r>
            <w:r w:rsidRPr="002266B5">
              <w:rPr>
                <w:rFonts w:ascii="Arial" w:hAnsi="Arial" w:cs="Arial"/>
                <w:sz w:val="20"/>
                <w:szCs w:val="20"/>
              </w:rPr>
              <w:t>/CeO</w:t>
            </w:r>
            <w:r w:rsidRPr="002266B5">
              <w:rPr>
                <w:rFonts w:ascii="Arial" w:hAnsi="Arial" w:cs="Arial"/>
                <w:sz w:val="20"/>
                <w:szCs w:val="20"/>
                <w:vertAlign w:val="subscript"/>
              </w:rPr>
              <w:t>2</w:t>
            </w:r>
          </w:p>
        </w:tc>
        <w:tc>
          <w:tcPr>
            <w:tcW w:w="1649" w:type="dxa"/>
            <w:tcBorders>
              <w:top w:val="nil"/>
              <w:left w:val="nil"/>
              <w:bottom w:val="nil"/>
              <w:right w:val="nil"/>
            </w:tcBorders>
            <w:vAlign w:val="center"/>
          </w:tcPr>
          <w:p w14:paraId="360F1253"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7B3EBE09"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w:t>
            </w:r>
          </w:p>
        </w:tc>
        <w:tc>
          <w:tcPr>
            <w:tcW w:w="1761" w:type="dxa"/>
            <w:tcBorders>
              <w:top w:val="nil"/>
              <w:left w:val="nil"/>
              <w:bottom w:val="nil"/>
              <w:right w:val="nil"/>
            </w:tcBorders>
            <w:vAlign w:val="center"/>
          </w:tcPr>
          <w:p w14:paraId="310D4ED7"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0.0008</w:t>
            </w:r>
          </w:p>
        </w:tc>
        <w:tc>
          <w:tcPr>
            <w:tcW w:w="1263" w:type="dxa"/>
            <w:tcBorders>
              <w:top w:val="nil"/>
              <w:left w:val="nil"/>
              <w:bottom w:val="nil"/>
              <w:right w:val="nil"/>
            </w:tcBorders>
            <w:vAlign w:val="center"/>
          </w:tcPr>
          <w:p w14:paraId="6696536A"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42.6</w:t>
            </w:r>
          </w:p>
        </w:tc>
        <w:tc>
          <w:tcPr>
            <w:tcW w:w="961" w:type="dxa"/>
            <w:tcBorders>
              <w:top w:val="nil"/>
              <w:left w:val="nil"/>
              <w:bottom w:val="nil"/>
              <w:right w:val="nil"/>
            </w:tcBorders>
            <w:vAlign w:val="center"/>
          </w:tcPr>
          <w:p w14:paraId="300AE406"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2010</w:t>
            </w:r>
            <w:r w:rsidRPr="002266B5">
              <w:rPr>
                <w:rFonts w:ascii="Arial" w:hAnsi="Arial" w:cs="Arial"/>
                <w:sz w:val="20"/>
                <w:szCs w:val="20"/>
                <w:lang w:val="en-GB"/>
              </w:rPr>
              <w:t xml:space="preserve"> </w:t>
            </w:r>
          </w:p>
        </w:tc>
        <w:tc>
          <w:tcPr>
            <w:tcW w:w="1089" w:type="dxa"/>
            <w:tcBorders>
              <w:top w:val="nil"/>
              <w:left w:val="nil"/>
              <w:bottom w:val="nil"/>
            </w:tcBorders>
            <w:vAlign w:val="center"/>
          </w:tcPr>
          <w:p w14:paraId="2CDA7DD7"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{"citationID":"DmAQkuSy","properties":{"formattedCitation":"\\super [8]\\nosupersub{}","plainCitation":"[8]","noteIndex":0},"citationItems":[{"id":629,"uris":["http://zotero.org/users/local/BTEbyT2G/items/SVIW23RA"],"itemData":{"id":629,"type":"article-journal","abstract":"We investigated the effect of various oxide supports on the catalytic activity of rhodium nanoparticles in hydrogen generation from the hydrolysis of ammonia borane. Among the oxide supports (CeO2, SiO2, Al2O3, TiO2, ZrO2, HfO2) ceria provides the highest catalytic activity for the rhodium(0) nanoparticles in the hydrolysis of ammonia borane. Rhodium(0) nanoparticles supported on nanoceria (Rh0/CeO2) were prepared by the impregnation of rhodium(III) ions on the surface of ceria followed by their reduction with sodium borohydride in aqueous solution at room temperature. They were isolated from the reaction solution by centrifugation and characterized by a combination of advanced analytical techniques. The catalytic activity of Rh0/CeO2 samples with various rhodium loading in the range of 0.1–4.0% wt. Rh was also tested in hydrogen generation from the hydrolysis of ammonia borane at room temperature. The highest catalytic activity was achieved by using 0.1% wt. rhodium loaded nanoceria. The resulting Rh0/CeO2 with a metal loading of 0.1% wt. Rh show superb catalytic activity in hydrogen generation from the hydrolysis of ammonia borane with a record turnover frequency value (TOF) of 2010min−1 at 25.0±0.1°C. The superb catalytic activity of Rh0/CeO2 is ascribed to the reducible nature of ceria. The reduction of cerium(IV) to cerium(III) leads to a build-up of negative charge on the oxide surface which favors the bonding of rhodium(0) nanoparticles on the surface and, thus, their catalytic activity. Rh0/CeO2 are also reusable catalysts preserving 67% of their initial catalytic activity even after the fifth use in hydrogen generation from the hydrolysis of ammonia borane at room temperature (TOF=1350min−1. The work reported here also includes the kinetic studies depending on the temperature to determine the activation energy (Ea=43±2kJ/mol) and the effect of catalyst concentration on the rate of hydrolysis of ammonia borane.","container-title":"Applied Catalysis B: Environmental","DOI":"10.1016/j.apcatb.2016.05.061","ISSN":"0926-3373","journalAbbreviation":"Applied Catalysis B: Environmental","page":"162-170","source":"ScienceDirect","title":"Ceria supported rhodium nanoparticles: Superb catalytic activity in hydrogen generation from the hydrolysis of ammonia borane","title-short":"Ceria supported rhodium nanoparticles","volume":"198","author":[{"family":"Akbayrak","given":"Serdar"},{"family":"Tonbul","given":"Yalçın"},{"family":"Özkar","given":"Saim"}],"issued":{"date-parts":[["2016",12,5]]}}}],"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[8]</w:t>
            </w:r>
            <w:r w:rsidRPr="00F122B8">
              <w:rPr>
                <w:rFonts w:ascii="Arial" w:hAnsi="Arial" w:cs="Arial"/>
                <w:sz w:val="28"/>
                <w:szCs w:val="28"/>
              </w:rPr>
              <w:fldChar w:fldCharType="end"/>
            </w:r>
          </w:p>
        </w:tc>
      </w:tr>
      <w:tr w:rsidR="00A10A0D" w:rsidRPr="002266B5" w14:paraId="02C534AF" w14:textId="77777777" w:rsidTr="00C719B1">
        <w:trPr>
          <w:trHeight w:val="567"/>
        </w:trPr>
        <w:tc>
          <w:tcPr>
            <w:tcW w:w="1986" w:type="dxa"/>
            <w:tcBorders>
              <w:top w:val="nil"/>
              <w:bottom w:val="nil"/>
              <w:right w:val="nil"/>
            </w:tcBorders>
            <w:vAlign w:val="center"/>
          </w:tcPr>
          <w:p w14:paraId="740B0629"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 xml:space="preserve">Pd-Rh@PVP </w:t>
            </w:r>
          </w:p>
        </w:tc>
        <w:tc>
          <w:tcPr>
            <w:tcW w:w="1649" w:type="dxa"/>
            <w:tcBorders>
              <w:top w:val="nil"/>
              <w:left w:val="nil"/>
              <w:bottom w:val="nil"/>
              <w:right w:val="nil"/>
            </w:tcBorders>
            <w:vAlign w:val="center"/>
          </w:tcPr>
          <w:p w14:paraId="65F84BAD"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017C2490"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0.83</w:t>
            </w:r>
          </w:p>
        </w:tc>
        <w:tc>
          <w:tcPr>
            <w:tcW w:w="1761" w:type="dxa"/>
            <w:tcBorders>
              <w:top w:val="nil"/>
              <w:left w:val="nil"/>
              <w:bottom w:val="nil"/>
              <w:right w:val="nil"/>
            </w:tcBorders>
            <w:vAlign w:val="center"/>
          </w:tcPr>
          <w:p w14:paraId="12934D55"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 xml:space="preserve">0.003 </w:t>
            </w:r>
          </w:p>
        </w:tc>
        <w:tc>
          <w:tcPr>
            <w:tcW w:w="1263" w:type="dxa"/>
            <w:tcBorders>
              <w:top w:val="nil"/>
              <w:left w:val="nil"/>
              <w:bottom w:val="nil"/>
              <w:right w:val="nil"/>
            </w:tcBorders>
            <w:vAlign w:val="center"/>
          </w:tcPr>
          <w:p w14:paraId="380A5F04"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46.1</w:t>
            </w:r>
          </w:p>
        </w:tc>
        <w:tc>
          <w:tcPr>
            <w:tcW w:w="961" w:type="dxa"/>
            <w:tcBorders>
              <w:top w:val="nil"/>
              <w:left w:val="nil"/>
              <w:bottom w:val="nil"/>
              <w:right w:val="nil"/>
            </w:tcBorders>
            <w:vAlign w:val="center"/>
          </w:tcPr>
          <w:p w14:paraId="00EBF715"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1333</w:t>
            </w:r>
          </w:p>
        </w:tc>
        <w:tc>
          <w:tcPr>
            <w:tcW w:w="1089" w:type="dxa"/>
            <w:tcBorders>
              <w:top w:val="nil"/>
              <w:left w:val="nil"/>
              <w:bottom w:val="nil"/>
            </w:tcBorders>
            <w:vAlign w:val="center"/>
          </w:tcPr>
          <w:p w14:paraId="77729B85"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{"citationID":"jNNIcWIL","properties":{"formattedCitation":"\\super [9]\\nosupersub{}","plainCitation":"[9]","noteIndex":0},"citationItems":[{"id":638,"uris":["http://zotero.org/users/local/BTEbyT2G/items/MZ9WW83E"],"itemData":{"id":638,"type":"article-journal","abstract":"The use of poly(N-vinyl-2-pyrrolidone)-protected palladium–rhodium nanoparticles (2.5±1.1nm) as highly efficient catalysts providing a record catalytic activity in the hydrolysis of ammonia borane for hydrogen generation is reported. They are prepared by co-reduction of palladium and rhodium metal ions in ethanol/water mixture by an alcohol reduction method and characterized by TEM-EDX analysis, UV–Vis spectroscopy, and X-ray photoelectron spectroscopy. They are recyclable and highly efficient catalysts for hydrogen generation from the hydrolysis of ammonia borane even at very low concentrations and temperature, providing record average turnover frequency (1333mol H2 (mol cat)−1min−1), maximum hydrogen generation rate (36,414 L H2 min−1 (molcat)−1), and total turnovers (171,000). Poly(N-vinyl-2-pyrrolidone)-protected palladium-rhodium nanoparticles also provide activation energy of 46.1±2kJ/mol for the hydrolysis of ammonia borane.","container-title":"Applied Catalysis B: Environmental","DOI":"10.1016/j.apcatb.2014.07.050","ISSN":"0926-3373","journalAbbreviation":"Applied Catalysis B: Environmental","page":"129-134","source":"ScienceDirect","title":"The highest catalytic activity in the hydrolysis of ammonia borane by poly(&lt;i&gt;N&lt;/i&gt;-vinyl-2-pyrrolidone)-protected palladium–rhodium nanoparticles for hydrogen generation","volume":"163","author":[{"family":"Rakap","given":"Murat"}],"issued":{"date-parts":[["2015",2,1]]}}}],"schema":"https://github.com/citation-style-language/schema/raw/master/csl-citation.json"}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[9]</w:t>
            </w:r>
            <w:r w:rsidRPr="00F122B8">
              <w:rPr>
                <w:rFonts w:ascii="Arial" w:hAnsi="Arial" w:cs="Arial"/>
                <w:sz w:val="28"/>
                <w:szCs w:val="28"/>
              </w:rPr>
              <w:fldChar w:fldCharType="end"/>
            </w:r>
          </w:p>
        </w:tc>
      </w:tr>
      <w:tr w:rsidR="00A10A0D" w:rsidRPr="002266B5" w14:paraId="2089B049" w14:textId="77777777" w:rsidTr="00C719B1">
        <w:trPr>
          <w:trHeight w:val="567"/>
        </w:trPr>
        <w:tc>
          <w:tcPr>
            <w:tcW w:w="1986" w:type="dxa"/>
            <w:tcBorders>
              <w:top w:val="nil"/>
              <w:bottom w:val="nil"/>
              <w:right w:val="nil"/>
            </w:tcBorders>
            <w:vAlign w:val="center"/>
          </w:tcPr>
          <w:p w14:paraId="6282C3DC"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SNP-Pt</w:t>
            </w:r>
            <w:r w:rsidRPr="002266B5">
              <w:rPr>
                <w:rFonts w:ascii="Arial" w:hAnsi="Arial" w:cs="Arial"/>
                <w:sz w:val="20"/>
                <w:szCs w:val="20"/>
                <w:vertAlign w:val="subscript"/>
              </w:rPr>
              <w:t>65</w:t>
            </w:r>
            <w:r w:rsidRPr="002266B5">
              <w:rPr>
                <w:rFonts w:ascii="Arial" w:hAnsi="Arial" w:cs="Arial"/>
                <w:sz w:val="20"/>
                <w:szCs w:val="20"/>
              </w:rPr>
              <w:t>Ti</w:t>
            </w:r>
            <w:r w:rsidRPr="002266B5">
              <w:rPr>
                <w:rFonts w:ascii="Arial" w:hAnsi="Arial" w:cs="Arial"/>
                <w:sz w:val="20"/>
                <w:szCs w:val="20"/>
                <w:vertAlign w:val="subscript"/>
              </w:rPr>
              <w:t>35</w:t>
            </w:r>
          </w:p>
        </w:tc>
        <w:tc>
          <w:tcPr>
            <w:tcW w:w="1649" w:type="dxa"/>
            <w:tcBorders>
              <w:top w:val="nil"/>
              <w:left w:val="nil"/>
              <w:bottom w:val="nil"/>
              <w:right w:val="nil"/>
            </w:tcBorders>
            <w:vAlign w:val="center"/>
          </w:tcPr>
          <w:p w14:paraId="4DA0C828"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2C2B9354"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sym w:font="Symbol" w:char="F07E"/>
            </w:r>
            <w:r w:rsidRPr="002266B5">
              <w:rPr>
                <w:rFonts w:ascii="Arial" w:hAnsi="Arial" w:cs="Arial"/>
                <w:sz w:val="20"/>
                <w:szCs w:val="20"/>
                <w:lang w:val="en-GB"/>
              </w:rPr>
              <w:t>10</w:t>
            </w:r>
          </w:p>
        </w:tc>
        <w:tc>
          <w:tcPr>
            <w:tcW w:w="1761" w:type="dxa"/>
            <w:tcBorders>
              <w:top w:val="nil"/>
              <w:left w:val="nil"/>
              <w:bottom w:val="nil"/>
              <w:right w:val="nil"/>
            </w:tcBorders>
            <w:vAlign w:val="center"/>
          </w:tcPr>
          <w:p w14:paraId="1EBFCD77"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0.01</w:t>
            </w:r>
          </w:p>
        </w:tc>
        <w:tc>
          <w:tcPr>
            <w:tcW w:w="1263" w:type="dxa"/>
            <w:tcBorders>
              <w:top w:val="nil"/>
              <w:left w:val="nil"/>
              <w:bottom w:val="nil"/>
              <w:right w:val="nil"/>
            </w:tcBorders>
            <w:vAlign w:val="center"/>
          </w:tcPr>
          <w:p w14:paraId="3F3A20CD"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39.4</w:t>
            </w:r>
          </w:p>
        </w:tc>
        <w:tc>
          <w:tcPr>
            <w:tcW w:w="961" w:type="dxa"/>
            <w:tcBorders>
              <w:top w:val="nil"/>
              <w:left w:val="nil"/>
              <w:bottom w:val="nil"/>
              <w:right w:val="nil"/>
            </w:tcBorders>
            <w:vAlign w:val="center"/>
          </w:tcPr>
          <w:p w14:paraId="340938C2"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51.4</w:t>
            </w:r>
          </w:p>
        </w:tc>
        <w:tc>
          <w:tcPr>
            <w:tcW w:w="1089" w:type="dxa"/>
            <w:tcBorders>
              <w:top w:val="nil"/>
              <w:left w:val="nil"/>
              <w:bottom w:val="nil"/>
            </w:tcBorders>
            <w:vAlign w:val="center"/>
          </w:tcPr>
          <w:p w14:paraId="60D32D9C"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{"citationID":"1907a8cF","properties":{"formattedCitation":"\\super [10]\\nosupersub{}","plainCitation":"[10]","noteIndex":0},"citationItems":[{"id":643,"uris":["http://zotero.org/users/local/BTEbyT2G/items/VRS8UJKP"],"itemData":{"id":643,"type":"article-journal","abstract":"Stratified nanoporous PtTi (SNP-PtTi) alloys with bimodal size distributions and different components are successfully prepared by selectively dissolving Al atoms followed by removing part of Ti atoms from the PtTiAl precursor alloy. The as-made PtTi alloys have stratified nanoporous architecture with the first order ligaments around 50nm and the second order smaller ligaments around 6nm. The SNP-PtTi alloys with different bimetallic ratios exhibit much higher catalytic activity for the hydrolysis of ammonia borane than NP-Pt catalyst. The SNP-Pt65Ti35 alloy shows superior specific activity toward the hydrolytic dehydrogenation of ammonia borane compared with SNP-Pt50Ti50 and -Pt80Ti20, showing an initial turnover frequency of 51.4mol H2 (molPt)−1min−1. The activation energy of SNP-Pt65Ti35 was estimated to be about 39.4kJmol−1, which was small compared with most of the reported activation energy values in the literature. In addition, the recyclability tests indicate that the SNP-Pt65Ti35 retained 63% of the initial catalytic activity after the fifth run of hydrolysis. The lifetime of SNP-Pt65Ti35 was measured as 16,380 turnovers over 100h in the hydrolysis of ammonia borane before deactivation. The SNP-PtTi alloys show potential application prospect in the field of online hydrogen production due to the high catalytic performance and the facile preparation.","container-title":"Journal of Colloid and Interface Science","DOI":"10.1016/j.jcis.2017.02.030","ISSN":"0021-9797","journalAbbreviation":"Journal of Colloid and Interface Science","page":"235-242","source":"ScienceDirect","title":"Stratified nanoporous PtTi alloys for hydrolysis of ammonia borane","volume":"496","author":[{"family":"Zhou","given":"Qiuxia"},{"family":"Xu","given":"Caixia"}],"issued":{"date-parts":[["2017",6,15]]}}}],"schema":"https://github.com/citation-style-language/schema/raw/master/csl-citation.json"}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[10]</w:t>
            </w:r>
            <w:r w:rsidRPr="00F122B8">
              <w:rPr>
                <w:rFonts w:ascii="Arial" w:hAnsi="Arial" w:cs="Arial"/>
                <w:sz w:val="28"/>
                <w:szCs w:val="28"/>
              </w:rPr>
              <w:fldChar w:fldCharType="end"/>
            </w:r>
          </w:p>
        </w:tc>
      </w:tr>
      <w:tr w:rsidR="00A10A0D" w:rsidRPr="002266B5" w14:paraId="067797F6" w14:textId="77777777" w:rsidTr="00C719B1">
        <w:trPr>
          <w:trHeight w:val="567"/>
        </w:trPr>
        <w:tc>
          <w:tcPr>
            <w:tcW w:w="1986" w:type="dxa"/>
            <w:tcBorders>
              <w:top w:val="nil"/>
              <w:bottom w:val="nil"/>
              <w:right w:val="nil"/>
            </w:tcBorders>
            <w:vAlign w:val="center"/>
          </w:tcPr>
          <w:p w14:paraId="5D3CA899"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rPr>
              <w:t>Rh</w:t>
            </w:r>
            <w:r w:rsidRPr="002266B5">
              <w:rPr>
                <w:rFonts w:ascii="Arial" w:hAnsi="Arial" w:cs="Arial"/>
                <w:sz w:val="20"/>
                <w:szCs w:val="20"/>
                <w:vertAlign w:val="superscript"/>
              </w:rPr>
              <w:t>3+</w:t>
            </w:r>
            <w:r w:rsidRPr="002266B5">
              <w:rPr>
                <w:rFonts w:ascii="Arial" w:hAnsi="Arial" w:cs="Arial"/>
                <w:sz w:val="20"/>
                <w:szCs w:val="20"/>
              </w:rPr>
              <w:t>-Y</w:t>
            </w:r>
          </w:p>
        </w:tc>
        <w:tc>
          <w:tcPr>
            <w:tcW w:w="1649" w:type="dxa"/>
            <w:tcBorders>
              <w:top w:val="nil"/>
              <w:left w:val="nil"/>
              <w:bottom w:val="nil"/>
              <w:right w:val="nil"/>
            </w:tcBorders>
            <w:vAlign w:val="center"/>
          </w:tcPr>
          <w:p w14:paraId="7B1CEBBE"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25</w:t>
            </w:r>
          </w:p>
        </w:tc>
        <w:tc>
          <w:tcPr>
            <w:tcW w:w="1215" w:type="dxa"/>
            <w:tcBorders>
              <w:top w:val="nil"/>
              <w:left w:val="nil"/>
              <w:bottom w:val="nil"/>
              <w:right w:val="nil"/>
            </w:tcBorders>
            <w:vAlign w:val="center"/>
          </w:tcPr>
          <w:p w14:paraId="1F8CC306"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sym w:font="Symbol" w:char="F07E"/>
            </w:r>
            <w:r w:rsidRPr="002266B5">
              <w:rPr>
                <w:rFonts w:ascii="Arial" w:hAnsi="Arial" w:cs="Arial"/>
                <w:sz w:val="20"/>
                <w:szCs w:val="20"/>
                <w:lang w:val="en-GB"/>
              </w:rPr>
              <w:t>8</w:t>
            </w:r>
          </w:p>
        </w:tc>
        <w:tc>
          <w:tcPr>
            <w:tcW w:w="1761" w:type="dxa"/>
            <w:tcBorders>
              <w:top w:val="nil"/>
              <w:left w:val="nil"/>
              <w:bottom w:val="nil"/>
              <w:right w:val="nil"/>
            </w:tcBorders>
            <w:vAlign w:val="center"/>
          </w:tcPr>
          <w:p w14:paraId="76227F57"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0.002</w:t>
            </w:r>
          </w:p>
        </w:tc>
        <w:tc>
          <w:tcPr>
            <w:tcW w:w="1263" w:type="dxa"/>
            <w:tcBorders>
              <w:top w:val="nil"/>
              <w:left w:val="nil"/>
              <w:bottom w:val="nil"/>
              <w:right w:val="nil"/>
            </w:tcBorders>
            <w:vAlign w:val="center"/>
          </w:tcPr>
          <w:p w14:paraId="247C155B"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66.9</w:t>
            </w:r>
          </w:p>
        </w:tc>
        <w:tc>
          <w:tcPr>
            <w:tcW w:w="961" w:type="dxa"/>
            <w:tcBorders>
              <w:top w:val="nil"/>
              <w:left w:val="nil"/>
              <w:bottom w:val="nil"/>
              <w:right w:val="nil"/>
            </w:tcBorders>
            <w:vAlign w:val="center"/>
          </w:tcPr>
          <w:p w14:paraId="474C1B80"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92</w:t>
            </w:r>
          </w:p>
        </w:tc>
        <w:tc>
          <w:tcPr>
            <w:tcW w:w="1089" w:type="dxa"/>
            <w:tcBorders>
              <w:top w:val="nil"/>
              <w:left w:val="nil"/>
              <w:bottom w:val="nil"/>
            </w:tcBorders>
            <w:vAlign w:val="center"/>
          </w:tcPr>
          <w:p w14:paraId="4DC7D65D"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{"citationID":"pw2aJdQr","properties":{"formattedCitation":"\\super [11]\\nosupersub{}","plainCitation":"[11]","noteIndex":0},"citationItems":[{"id":644,"uris":["http://zotero.org/users/local/BTEbyT2G/items/67U4IADG"],"itemData":{"id":644,"type":"article-journal","abstract":"Zeolite framework stabilized rhodium(0) nanoclusters were prepared by a two steps procedure: incorporation of Rh3+ ions into the Zeolite-Y by ion-exchange followed by in situ reduction of Rh3+ ions during the catalytic hydrolysis of ammonia-borane. They are stable enough to be isolated as solid materials and characterized by HRTEM, XPS, XRD, SEM, EDX, and N2 adsorption. These nanoclusters are isolable, bottleable, redispersible, and reusable as an active catalyst in the hydrolysis of ammonia-borane even at low temperatures. Zeolite framework stabilized rhodium(0) nanoclusters provide exceptional catalytic activity (TOF=92molH2/molRhmin) and unprecedented lifetime (TTON=47200molH2/molRh) in the hydrolysis of ammonia-borane at 25±0.1°C.","container-title":"Applied Catalysis B: Environmental","DOI":"10.1016/j.apcatb.2008.12.004","ISSN":"0926-3373","issue":"1","journalAbbreviation":"Applied Catalysis B: Environmental","page":"104-110","source":"ScienceDirect","title":"Zeolite framework stabilized rhodium(0) nanoclusters catalyst for the hydrolysis of ammonia-borane in air: Outstanding catalytic activity, reusability and lifetime","title-short":"Zeolite framework stabilized rhodium(0) nanoclusters catalyst for the hydrolysis of ammonia-borane in air","volume":"89","author":[{"family":"Zahmakıran","given":"Mehmet"},{"family":"Özkar","given":"Saim"}],"issued":{"date-parts":[["2009",7,3]]}}}],"schema":"https://github.com/citation-style-language/schema/raw/master/csl-citation.json"}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[11]</w:t>
            </w:r>
            <w:r w:rsidRPr="00F122B8">
              <w:rPr>
                <w:rFonts w:ascii="Arial" w:hAnsi="Arial" w:cs="Arial"/>
                <w:sz w:val="28"/>
                <w:szCs w:val="28"/>
              </w:rPr>
              <w:fldChar w:fldCharType="end"/>
            </w:r>
          </w:p>
        </w:tc>
      </w:tr>
      <w:tr w:rsidR="00A10A0D" w:rsidRPr="002266B5" w14:paraId="22AE102E" w14:textId="77777777" w:rsidTr="00C719B1">
        <w:trPr>
          <w:trHeight w:val="567"/>
        </w:trPr>
        <w:tc>
          <w:tcPr>
            <w:tcW w:w="1986" w:type="dxa"/>
            <w:tcBorders>
              <w:top w:val="nil"/>
              <w:bottom w:val="nil"/>
              <w:right w:val="nil"/>
            </w:tcBorders>
            <w:vAlign w:val="center"/>
          </w:tcPr>
          <w:p w14:paraId="350D7A9B" w14:textId="77777777" w:rsidR="00A10A0D" w:rsidRPr="002266B5" w:rsidRDefault="00A10A0D" w:rsidP="00C719B1">
            <w:pPr>
              <w:jc w:val="center"/>
              <w:rPr>
                <w:rFonts w:ascii="Arial" w:hAnsi="Arial" w:cs="Arial"/>
                <w:sz w:val="20"/>
                <w:szCs w:val="20"/>
              </w:rPr>
            </w:pPr>
            <w:r w:rsidRPr="002266B5">
              <w:rPr>
                <w:rFonts w:ascii="Arial" w:hAnsi="Arial" w:cs="Arial"/>
                <w:sz w:val="20"/>
                <w:szCs w:val="20"/>
                <w:lang w:val="en-GB"/>
              </w:rPr>
              <w:t>[</w:t>
            </w:r>
            <w:r w:rsidRPr="002266B5">
              <w:rPr>
                <w:rFonts w:ascii="Arial" w:hAnsi="Arial" w:cs="Arial"/>
                <w:sz w:val="20"/>
                <w:szCs w:val="20"/>
              </w:rPr>
              <w:t>Cp*Ir(6,6’-(OH)</w:t>
            </w:r>
            <w:r w:rsidRPr="002266B5">
              <w:rPr>
                <w:rFonts w:ascii="Arial" w:hAnsi="Arial" w:cs="Arial"/>
                <w:sz w:val="20"/>
                <w:szCs w:val="20"/>
                <w:vertAlign w:val="subscript"/>
              </w:rPr>
              <w:t>2</w:t>
            </w:r>
            <w:r w:rsidRPr="002266B5">
              <w:rPr>
                <w:rFonts w:ascii="Arial" w:hAnsi="Arial" w:cs="Arial"/>
                <w:sz w:val="20"/>
                <w:szCs w:val="20"/>
              </w:rPr>
              <w:t>-</w:t>
            </w:r>
            <w:proofErr w:type="gramStart"/>
            <w:r w:rsidRPr="002266B5">
              <w:rPr>
                <w:rFonts w:ascii="Arial" w:hAnsi="Arial" w:cs="Arial"/>
                <w:sz w:val="20"/>
                <w:szCs w:val="20"/>
              </w:rPr>
              <w:t>bpy)(</w:t>
            </w:r>
            <w:proofErr w:type="gramEnd"/>
            <w:r w:rsidRPr="002266B5">
              <w:rPr>
                <w:rFonts w:ascii="Arial" w:hAnsi="Arial" w:cs="Arial"/>
                <w:sz w:val="20"/>
                <w:szCs w:val="20"/>
              </w:rPr>
              <w:t>OH</w:t>
            </w:r>
            <w:r w:rsidRPr="002266B5">
              <w:rPr>
                <w:rFonts w:ascii="Arial" w:hAnsi="Arial" w:cs="Arial"/>
                <w:sz w:val="20"/>
                <w:szCs w:val="20"/>
                <w:vertAlign w:val="subscript"/>
              </w:rPr>
              <w:t>2</w:t>
            </w:r>
            <w:r w:rsidRPr="002266B5">
              <w:rPr>
                <w:rFonts w:ascii="Arial" w:hAnsi="Arial" w:cs="Arial"/>
                <w:sz w:val="20"/>
                <w:szCs w:val="20"/>
              </w:rPr>
              <w:t>)]SO</w:t>
            </w:r>
            <w:r w:rsidRPr="002266B5">
              <w:rPr>
                <w:rFonts w:ascii="Arial" w:hAnsi="Arial" w:cs="Arial"/>
                <w:sz w:val="20"/>
                <w:szCs w:val="20"/>
                <w:vertAlign w:val="subscript"/>
              </w:rPr>
              <w:t>4</w:t>
            </w:r>
          </w:p>
        </w:tc>
        <w:tc>
          <w:tcPr>
            <w:tcW w:w="1649" w:type="dxa"/>
            <w:tcBorders>
              <w:top w:val="nil"/>
              <w:left w:val="nil"/>
              <w:bottom w:val="nil"/>
              <w:right w:val="nil"/>
            </w:tcBorders>
            <w:vAlign w:val="center"/>
          </w:tcPr>
          <w:p w14:paraId="612555A9"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65</w:t>
            </w:r>
          </w:p>
        </w:tc>
        <w:tc>
          <w:tcPr>
            <w:tcW w:w="1215" w:type="dxa"/>
            <w:tcBorders>
              <w:top w:val="nil"/>
              <w:left w:val="nil"/>
              <w:bottom w:val="nil"/>
              <w:right w:val="nil"/>
            </w:tcBorders>
            <w:vAlign w:val="center"/>
          </w:tcPr>
          <w:p w14:paraId="70542DED"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60</w:t>
            </w:r>
          </w:p>
        </w:tc>
        <w:tc>
          <w:tcPr>
            <w:tcW w:w="1761" w:type="dxa"/>
            <w:tcBorders>
              <w:top w:val="nil"/>
              <w:left w:val="nil"/>
              <w:bottom w:val="nil"/>
              <w:right w:val="nil"/>
            </w:tcBorders>
            <w:vAlign w:val="center"/>
          </w:tcPr>
          <w:p w14:paraId="6872CEC3"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t xml:space="preserve">1 </w:t>
            </w:r>
            <w:r w:rsidRPr="002266B5">
              <w:rPr>
                <w:rFonts w:ascii="Arial" w:hAnsi="Arial" w:cs="Arial"/>
                <w:sz w:val="20"/>
                <w:szCs w:val="20"/>
                <w:lang w:val="el-GR"/>
              </w:rPr>
              <w:t>μ</w:t>
            </w:r>
            <w:r w:rsidRPr="002266B5">
              <w:rPr>
                <w:rFonts w:ascii="Arial" w:hAnsi="Arial" w:cs="Arial"/>
                <w:sz w:val="20"/>
                <w:szCs w:val="20"/>
                <w:lang w:val="en-GB"/>
              </w:rPr>
              <w:t>mol</w:t>
            </w:r>
          </w:p>
        </w:tc>
        <w:tc>
          <w:tcPr>
            <w:tcW w:w="1263" w:type="dxa"/>
            <w:tcBorders>
              <w:top w:val="nil"/>
              <w:left w:val="nil"/>
              <w:bottom w:val="nil"/>
              <w:right w:val="nil"/>
            </w:tcBorders>
            <w:vAlign w:val="center"/>
          </w:tcPr>
          <w:p w14:paraId="1772FDD0" w14:textId="77777777" w:rsidR="00A10A0D" w:rsidRPr="002266B5" w:rsidRDefault="00A10A0D" w:rsidP="00C719B1">
            <w:pPr>
              <w:jc w:val="center"/>
              <w:rPr>
                <w:rFonts w:ascii="Arial" w:hAnsi="Arial" w:cs="Arial"/>
                <w:sz w:val="20"/>
                <w:szCs w:val="20"/>
                <w:lang w:val="en-GB"/>
              </w:rPr>
            </w:pPr>
            <w:r w:rsidRPr="002266B5">
              <w:rPr>
                <w:rFonts w:ascii="Arial" w:hAnsi="Arial" w:cs="Arial"/>
                <w:sz w:val="20"/>
                <w:szCs w:val="20"/>
                <w:lang w:val="en-GB"/>
              </w:rPr>
              <w:sym w:font="Symbol" w:char="F07E"/>
            </w:r>
            <w:r w:rsidRPr="002266B5">
              <w:rPr>
                <w:rFonts w:ascii="Arial" w:hAnsi="Arial" w:cs="Arial"/>
                <w:sz w:val="20"/>
                <w:szCs w:val="20"/>
                <w:lang w:val="en-GB"/>
              </w:rPr>
              <w:t>100</w:t>
            </w:r>
          </w:p>
        </w:tc>
        <w:tc>
          <w:tcPr>
            <w:tcW w:w="961" w:type="dxa"/>
            <w:tcBorders>
              <w:top w:val="nil"/>
              <w:left w:val="nil"/>
              <w:bottom w:val="nil"/>
              <w:right w:val="nil"/>
            </w:tcBorders>
            <w:vAlign w:val="center"/>
          </w:tcPr>
          <w:p w14:paraId="317FC86A"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w:t>
            </w:r>
          </w:p>
        </w:tc>
        <w:tc>
          <w:tcPr>
            <w:tcW w:w="1089" w:type="dxa"/>
            <w:tcBorders>
              <w:top w:val="nil"/>
              <w:left w:val="nil"/>
              <w:bottom w:val="nil"/>
            </w:tcBorders>
            <w:vAlign w:val="center"/>
          </w:tcPr>
          <w:p w14:paraId="0E3858A9" w14:textId="77777777" w:rsidR="00A10A0D" w:rsidRPr="00F122B8" w:rsidRDefault="00A10A0D" w:rsidP="00C719B1">
            <w:pPr>
              <w:jc w:val="center"/>
              <w:rPr>
                <w:rFonts w:ascii="Arial" w:hAnsi="Arial" w:cs="Arial"/>
                <w:sz w:val="28"/>
                <w:szCs w:val="28"/>
              </w:rPr>
            </w:pPr>
            <w:r w:rsidRPr="00F122B8">
              <w:rPr>
                <w:rFonts w:ascii="Arial" w:hAnsi="Arial" w:cs="Arial"/>
                <w:sz w:val="28"/>
                <w:szCs w:val="28"/>
              </w:rPr>
              <w:fldChar w:fldCharType="begin"/>
            </w:r>
            <w:r w:rsidRPr="00F122B8">
              <w:rPr>
                <w:rFonts w:ascii="Arial" w:hAnsi="Arial" w:cs="Arial"/>
                <w:sz w:val="28"/>
                <w:szCs w:val="28"/>
              </w:rPr>
              <w:instrText xml:space="preserve"> ADDIN ZOTERO_ITEM CSL_CITATION {"citationID":"as30D5RH","properties":{"formattedCitation":"\\super [12]\\nosupersub{}","plainCitation":"[12]","noteIndex":0},"citationItems":[{"id":486,"uris":["http://zotero.org/users/local/BTEbyT2G/items/GT5AGFVJ"],"itemData":{"id":486,"type":"article-journal","abstract":"For the homogeneous catalytic hydrolysis of ammonia borane (AB), a series of water-soluble proton-responsive iridium complexes bearing hydroxyl groups were utilized. Among the examined catalysts, [Cp*Ir(6,6′-(OH)2-bpy)(OH2)]SO4 exhibited the best catalytic performance in AB aqueous solution. Results obtained from experimental and theoretical studies revealed that hydrolysis of AB is assisted by synergistic effects between the pendent hydroxyl groups and the metal center.","container-title":"ChemCatChem","DOI":"10.1002/cctc.201700325","ISSN":"1867-3899","issue":"16","language":"en","license":"© 2017 Wiley-VCH Verlag GmbH &amp; Co. KGaA, Weinheim","note":"_eprint: https://onlinelibrary.wiley.com/doi/pdf/10.1002/cctc.201700325","page":"3191-3196","source":"Wiley Online Library","title":"Mechanistic Insights into the Catalytic Hydrolysis of Ammonia Borane with Proton-Responsive Iridium Complexes: an Experimental and Theoretical Study","title-short":"Mechanistic Insights into the Catalytic Hydrolysis of Ammonia Borane with Proton-Responsive Iridium Complexes","volume":"9","author":[{"family":"Wang","given":"Wan-Hui"},{"family":"Tang","given":"Hui-Peng"},{"family":"Lu","given":"Wen-Duo"},{"family":"Li","given":"Yang"},{"family":"Bao","given":"Ming"},{"family":"Himeda","given":"Yuichiro"}],"issued":{"date-parts":[["2017"]]}}}],"schema":"https://github.com/citation-style-language/schema/raw/master/csl-citation.json"} </w:instrText>
            </w:r>
            <w:r w:rsidRPr="00F122B8">
              <w:rPr>
                <w:rFonts w:ascii="Arial" w:hAnsi="Arial" w:cs="Arial"/>
                <w:sz w:val="28"/>
                <w:szCs w:val="28"/>
              </w:rPr>
              <w:fldChar w:fldCharType="separate"/>
            </w:r>
            <w:r w:rsidRPr="00F122B8">
              <w:rPr>
                <w:rFonts w:ascii="Arial" w:hAnsi="Arial" w:cs="Arial"/>
                <w:kern w:val="0"/>
                <w:sz w:val="28"/>
                <w:szCs w:val="28"/>
                <w:vertAlign w:val="superscript"/>
              </w:rPr>
              <w:t>[12]</w:t>
            </w:r>
            <w:r w:rsidRPr="00F122B8">
              <w:rPr>
                <w:rFonts w:ascii="Arial" w:hAnsi="Arial" w:cs="Arial"/>
                <w:sz w:val="28"/>
                <w:szCs w:val="28"/>
              </w:rPr>
              <w:fldChar w:fldCharType="end"/>
            </w:r>
          </w:p>
        </w:tc>
      </w:tr>
      <w:tr w:rsidR="00A10A0D" w:rsidRPr="002266B5" w14:paraId="2B7CF21E" w14:textId="77777777" w:rsidTr="00C719B1">
        <w:trPr>
          <w:trHeight w:val="567"/>
        </w:trPr>
        <w:tc>
          <w:tcPr>
            <w:tcW w:w="1986" w:type="dxa"/>
            <w:tcBorders>
              <w:top w:val="nil"/>
              <w:right w:val="nil"/>
            </w:tcBorders>
            <w:vAlign w:val="center"/>
          </w:tcPr>
          <w:p w14:paraId="0AAF84D0"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Ir/Ni</w:t>
            </w:r>
            <w:r w:rsidRPr="002266B5">
              <w:rPr>
                <w:rFonts w:ascii="Arial" w:hAnsi="Arial" w:cs="Arial"/>
                <w:b/>
                <w:bCs/>
                <w:sz w:val="20"/>
                <w:szCs w:val="20"/>
                <w:vertAlign w:val="subscript"/>
                <w:lang w:val="en-GB"/>
              </w:rPr>
              <w:t>10</w:t>
            </w:r>
            <w:r w:rsidRPr="002266B5">
              <w:rPr>
                <w:rFonts w:ascii="Arial" w:hAnsi="Arial" w:cs="Arial"/>
                <w:b/>
                <w:bCs/>
                <w:sz w:val="20"/>
                <w:szCs w:val="20"/>
                <w:lang w:val="en-GB"/>
              </w:rPr>
              <w:t>Ce</w:t>
            </w:r>
          </w:p>
        </w:tc>
        <w:tc>
          <w:tcPr>
            <w:tcW w:w="1649" w:type="dxa"/>
            <w:tcBorders>
              <w:top w:val="nil"/>
              <w:left w:val="nil"/>
              <w:right w:val="nil"/>
            </w:tcBorders>
            <w:vAlign w:val="center"/>
          </w:tcPr>
          <w:p w14:paraId="0A86D9B6"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40</w:t>
            </w:r>
          </w:p>
        </w:tc>
        <w:tc>
          <w:tcPr>
            <w:tcW w:w="1215" w:type="dxa"/>
            <w:tcBorders>
              <w:top w:val="nil"/>
              <w:left w:val="nil"/>
              <w:right w:val="nil"/>
            </w:tcBorders>
            <w:vAlign w:val="center"/>
          </w:tcPr>
          <w:p w14:paraId="725ACCCB"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10 min</w:t>
            </w:r>
          </w:p>
        </w:tc>
        <w:tc>
          <w:tcPr>
            <w:tcW w:w="1761" w:type="dxa"/>
            <w:tcBorders>
              <w:top w:val="nil"/>
              <w:left w:val="nil"/>
              <w:right w:val="nil"/>
            </w:tcBorders>
            <w:vAlign w:val="center"/>
          </w:tcPr>
          <w:p w14:paraId="206F71FF"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0.0003</w:t>
            </w:r>
          </w:p>
        </w:tc>
        <w:tc>
          <w:tcPr>
            <w:tcW w:w="1263" w:type="dxa"/>
            <w:tcBorders>
              <w:top w:val="nil"/>
              <w:left w:val="nil"/>
              <w:right w:val="nil"/>
            </w:tcBorders>
            <w:vAlign w:val="center"/>
          </w:tcPr>
          <w:p w14:paraId="6E750CFD"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65.9</w:t>
            </w:r>
          </w:p>
        </w:tc>
        <w:tc>
          <w:tcPr>
            <w:tcW w:w="961" w:type="dxa"/>
            <w:tcBorders>
              <w:top w:val="nil"/>
              <w:left w:val="nil"/>
              <w:right w:val="nil"/>
            </w:tcBorders>
            <w:vAlign w:val="center"/>
          </w:tcPr>
          <w:p w14:paraId="1B803F72"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400</w:t>
            </w:r>
          </w:p>
        </w:tc>
        <w:tc>
          <w:tcPr>
            <w:tcW w:w="1089" w:type="dxa"/>
            <w:tcBorders>
              <w:top w:val="nil"/>
              <w:left w:val="nil"/>
            </w:tcBorders>
            <w:vAlign w:val="center"/>
          </w:tcPr>
          <w:p w14:paraId="220EC3DE" w14:textId="77777777" w:rsidR="00A10A0D" w:rsidRPr="002266B5" w:rsidRDefault="00A10A0D" w:rsidP="00C719B1">
            <w:pPr>
              <w:jc w:val="center"/>
              <w:rPr>
                <w:rFonts w:ascii="Arial" w:hAnsi="Arial" w:cs="Arial"/>
                <w:b/>
                <w:bCs/>
                <w:sz w:val="20"/>
                <w:szCs w:val="20"/>
                <w:lang w:val="en-GB"/>
              </w:rPr>
            </w:pPr>
            <w:r w:rsidRPr="002266B5">
              <w:rPr>
                <w:rFonts w:ascii="Arial" w:hAnsi="Arial" w:cs="Arial"/>
                <w:b/>
                <w:bCs/>
                <w:sz w:val="20"/>
                <w:szCs w:val="20"/>
                <w:lang w:val="en-GB"/>
              </w:rPr>
              <w:t>This study</w:t>
            </w:r>
          </w:p>
        </w:tc>
      </w:tr>
    </w:tbl>
    <w:p w14:paraId="4AA2F9EB" w14:textId="77777777" w:rsidR="00A10A0D" w:rsidRDefault="00A10A0D" w:rsidP="00DB3037">
      <w:pPr>
        <w:spacing w:line="480" w:lineRule="auto"/>
        <w:jc w:val="both"/>
        <w:rPr>
          <w:rFonts w:ascii="Times New Roman" w:hAnsi="Times New Roman" w:cs="Times New Roman"/>
          <w:lang w:val="en-US"/>
        </w:rPr>
      </w:pPr>
    </w:p>
    <w:p w14:paraId="4F0CCC1C" w14:textId="77777777" w:rsidR="00A10A0D" w:rsidRDefault="00A10A0D" w:rsidP="00DB3037">
      <w:pPr>
        <w:spacing w:line="480" w:lineRule="auto"/>
        <w:jc w:val="both"/>
        <w:rPr>
          <w:rFonts w:ascii="Times New Roman" w:hAnsi="Times New Roman" w:cs="Times New Roman"/>
          <w:lang w:val="en-US"/>
        </w:rPr>
      </w:pPr>
    </w:p>
    <w:p w14:paraId="55AD959D" w14:textId="695A7A25" w:rsidR="00A10A0D" w:rsidRPr="00B8237A" w:rsidRDefault="00A10A0D" w:rsidP="00DB3037">
      <w:pPr>
        <w:spacing w:line="480" w:lineRule="auto"/>
        <w:jc w:val="both"/>
        <w:rPr>
          <w:rFonts w:ascii="Times New Roman" w:hAnsi="Times New Roman" w:cs="Times New Roman"/>
          <w:highlight w:val="cyan"/>
          <w:lang w:val="en-US"/>
        </w:rPr>
      </w:pPr>
      <w:r w:rsidRPr="00EC24E3">
        <w:rPr>
          <w:noProof/>
          <w:lang w:val="es-ES" w:eastAsia="zh-CN"/>
        </w:rPr>
        <w:drawing>
          <wp:anchor distT="0" distB="0" distL="114300" distR="114300" simplePos="0" relativeHeight="251660288" behindDoc="0" locked="0" layoutInCell="1" allowOverlap="1" wp14:anchorId="4E240375" wp14:editId="0FE05D6E">
            <wp:simplePos x="0" y="0"/>
            <wp:positionH relativeFrom="column">
              <wp:posOffset>1112520</wp:posOffset>
            </wp:positionH>
            <wp:positionV relativeFrom="paragraph">
              <wp:posOffset>116840</wp:posOffset>
            </wp:positionV>
            <wp:extent cx="3246120" cy="2377440"/>
            <wp:effectExtent l="0" t="0" r="0" b="0"/>
            <wp:wrapThrough wrapText="bothSides">
              <wp:wrapPolygon edited="0">
                <wp:start x="1268" y="0"/>
                <wp:lineTo x="0" y="1904"/>
                <wp:lineTo x="0" y="19385"/>
                <wp:lineTo x="7225" y="19731"/>
                <wp:lineTo x="7225" y="20769"/>
                <wp:lineTo x="13310" y="21115"/>
                <wp:lineTo x="15845" y="21115"/>
                <wp:lineTo x="16099" y="19904"/>
                <wp:lineTo x="20662" y="19385"/>
                <wp:lineTo x="21423" y="19212"/>
                <wp:lineTo x="20662" y="16615"/>
                <wp:lineTo x="20915" y="519"/>
                <wp:lineTo x="19648" y="346"/>
                <wp:lineTo x="2662" y="0"/>
                <wp:lineTo x="1268"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
                      <a:extLst>
                        <a:ext uri="{28A0092B-C50C-407E-A947-70E740481C1C}">
                          <a14:useLocalDpi xmlns:a14="http://schemas.microsoft.com/office/drawing/2010/main" val="0"/>
                        </a:ext>
                      </a:extLst>
                    </a:blip>
                    <a:srcRect l="59253" t="49317" r="4468" b="1377"/>
                    <a:stretch/>
                  </pic:blipFill>
                  <pic:spPr bwMode="auto">
                    <a:xfrm>
                      <a:off x="0" y="0"/>
                      <a:ext cx="3246120" cy="23774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093C65" w14:textId="5453B486" w:rsidR="00DB3037" w:rsidRDefault="00DB3037" w:rsidP="00DB3037">
      <w:pPr>
        <w:jc w:val="both"/>
        <w:rPr>
          <w:rFonts w:ascii="Times New Roman" w:hAnsi="Times New Roman" w:cs="Times New Roman"/>
          <w:lang w:val="en-GB"/>
        </w:rPr>
      </w:pPr>
    </w:p>
    <w:p w14:paraId="435EE561" w14:textId="77777777" w:rsidR="00DB3037" w:rsidRDefault="00DB3037" w:rsidP="00DB3037">
      <w:pPr>
        <w:spacing w:line="480" w:lineRule="auto"/>
        <w:rPr>
          <w:rFonts w:ascii="Times New Roman" w:hAnsi="Times New Roman" w:cs="Times New Roman"/>
          <w:highlight w:val="yellow"/>
          <w:lang w:val="en-GB"/>
        </w:rPr>
      </w:pPr>
    </w:p>
    <w:p w14:paraId="2A92894A" w14:textId="77777777" w:rsidR="00DB3037" w:rsidRDefault="00DB3037" w:rsidP="00DB3037">
      <w:pPr>
        <w:spacing w:line="480" w:lineRule="auto"/>
        <w:rPr>
          <w:rFonts w:ascii="Times New Roman" w:hAnsi="Times New Roman" w:cs="Times New Roman"/>
          <w:lang w:val="en-US"/>
        </w:rPr>
      </w:pPr>
    </w:p>
    <w:p w14:paraId="52A9A78F" w14:textId="77777777" w:rsidR="00DB3037" w:rsidRDefault="00DB3037" w:rsidP="00DB3037">
      <w:pPr>
        <w:spacing w:line="480" w:lineRule="auto"/>
        <w:rPr>
          <w:rFonts w:ascii="Times New Roman" w:hAnsi="Times New Roman" w:cs="Times New Roman"/>
          <w:lang w:val="en-US"/>
        </w:rPr>
      </w:pPr>
    </w:p>
    <w:p w14:paraId="518E0452" w14:textId="77777777" w:rsidR="00DB3037" w:rsidRDefault="00DB3037" w:rsidP="00DB3037">
      <w:pPr>
        <w:spacing w:line="480" w:lineRule="auto"/>
        <w:rPr>
          <w:rFonts w:ascii="Times New Roman" w:hAnsi="Times New Roman" w:cs="Times New Roman"/>
          <w:lang w:val="en-US"/>
        </w:rPr>
      </w:pPr>
    </w:p>
    <w:p w14:paraId="0F2BA7F6" w14:textId="3AB9C521" w:rsidR="00DB3037" w:rsidRDefault="00DB3037" w:rsidP="00A10A0D">
      <w:pPr>
        <w:spacing w:line="480" w:lineRule="auto"/>
        <w:rPr>
          <w:rFonts w:ascii="Times New Roman" w:hAnsi="Times New Roman" w:cs="Times New Roman"/>
          <w:lang w:val="en-US"/>
        </w:rPr>
      </w:pPr>
      <w:r w:rsidRPr="00B21F34">
        <w:rPr>
          <w:rFonts w:ascii="Arial" w:hAnsi="Arial" w:cs="Arial"/>
          <w:b/>
          <w:bCs/>
          <w:sz w:val="16"/>
          <w:szCs w:val="16"/>
          <w:lang w:val="en-US"/>
        </w:rPr>
        <w:t>Figure S1.</w:t>
      </w:r>
      <w:r w:rsidRPr="00B21F34">
        <w:rPr>
          <w:rFonts w:ascii="Arial" w:hAnsi="Arial" w:cs="Arial"/>
          <w:sz w:val="16"/>
          <w:szCs w:val="16"/>
          <w:lang w:val="en-US"/>
        </w:rPr>
        <w:t xml:space="preserve"> Particle size distribution of the Ir/Ni</w:t>
      </w:r>
      <w:r w:rsidRPr="00B21F34">
        <w:rPr>
          <w:rFonts w:ascii="Arial" w:hAnsi="Arial" w:cs="Arial"/>
          <w:sz w:val="16"/>
          <w:szCs w:val="16"/>
          <w:vertAlign w:val="subscript"/>
          <w:lang w:val="en-US"/>
        </w:rPr>
        <w:t>10</w:t>
      </w:r>
      <w:r w:rsidRPr="00B21F34">
        <w:rPr>
          <w:rFonts w:ascii="Arial" w:hAnsi="Arial" w:cs="Arial"/>
          <w:sz w:val="16"/>
          <w:szCs w:val="16"/>
          <w:lang w:val="en-US"/>
        </w:rPr>
        <w:t>Ce catalyst.</w:t>
      </w:r>
    </w:p>
    <w:p w14:paraId="18D73A32" w14:textId="03CC5C3B" w:rsidR="00DB3037" w:rsidRDefault="00A10A0D" w:rsidP="00DB3037">
      <w:pPr>
        <w:rPr>
          <w:rFonts w:ascii="Times New Roman" w:hAnsi="Times New Roman" w:cs="Times New Roman"/>
          <w:lang w:val="en-US"/>
        </w:rPr>
      </w:pPr>
      <w:r w:rsidRPr="00B21F34">
        <w:rPr>
          <w:rFonts w:ascii="Arial" w:hAnsi="Arial" w:cs="Arial"/>
          <w:noProof/>
          <w:sz w:val="16"/>
          <w:szCs w:val="16"/>
          <w:lang w:val="en-US"/>
        </w:rPr>
        <w:lastRenderedPageBreak/>
        <w:drawing>
          <wp:anchor distT="0" distB="0" distL="114300" distR="114300" simplePos="0" relativeHeight="251659264" behindDoc="0" locked="0" layoutInCell="1" allowOverlap="1" wp14:anchorId="250D5811" wp14:editId="64DCE2A6">
            <wp:simplePos x="0" y="0"/>
            <wp:positionH relativeFrom="column">
              <wp:posOffset>807720</wp:posOffset>
            </wp:positionH>
            <wp:positionV relativeFrom="paragraph">
              <wp:posOffset>0</wp:posOffset>
            </wp:positionV>
            <wp:extent cx="3740150" cy="2863215"/>
            <wp:effectExtent l="0" t="0" r="0" b="0"/>
            <wp:wrapThrough wrapText="bothSides">
              <wp:wrapPolygon edited="0">
                <wp:start x="0" y="0"/>
                <wp:lineTo x="0" y="21413"/>
                <wp:lineTo x="21453" y="21413"/>
                <wp:lineTo x="21453" y="0"/>
                <wp:lineTo x="0" y="0"/>
              </wp:wrapPolygon>
            </wp:wrapThrough>
            <wp:docPr id="1" name="Immagin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A graph of a graph&#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3740150" cy="2863215"/>
                    </a:xfrm>
                    <a:prstGeom prst="rect">
                      <a:avLst/>
                    </a:prstGeom>
                  </pic:spPr>
                </pic:pic>
              </a:graphicData>
            </a:graphic>
          </wp:anchor>
        </w:drawing>
      </w:r>
    </w:p>
    <w:p w14:paraId="13E061FD" w14:textId="77777777" w:rsidR="00DB3037" w:rsidRDefault="00DB3037" w:rsidP="00DB3037">
      <w:pPr>
        <w:rPr>
          <w:rFonts w:ascii="Times New Roman" w:hAnsi="Times New Roman" w:cs="Times New Roman"/>
          <w:lang w:val="en-US"/>
        </w:rPr>
      </w:pPr>
    </w:p>
    <w:p w14:paraId="221BE7E0" w14:textId="77777777" w:rsidR="00DB3037" w:rsidRDefault="00DB3037" w:rsidP="00DB3037">
      <w:pPr>
        <w:rPr>
          <w:rFonts w:ascii="Times New Roman" w:hAnsi="Times New Roman" w:cs="Times New Roman"/>
          <w:lang w:val="en-US"/>
        </w:rPr>
      </w:pPr>
    </w:p>
    <w:p w14:paraId="239B425C" w14:textId="77777777" w:rsidR="00DB3037" w:rsidRDefault="00DB3037" w:rsidP="00DB3037">
      <w:pPr>
        <w:rPr>
          <w:rFonts w:ascii="Times New Roman" w:hAnsi="Times New Roman" w:cs="Times New Roman"/>
          <w:lang w:val="en-US"/>
        </w:rPr>
      </w:pPr>
    </w:p>
    <w:p w14:paraId="164D8FED" w14:textId="77777777" w:rsidR="00DB3037" w:rsidRDefault="00DB3037" w:rsidP="00DB3037">
      <w:pPr>
        <w:rPr>
          <w:rFonts w:ascii="Times New Roman" w:hAnsi="Times New Roman" w:cs="Times New Roman"/>
          <w:lang w:val="en-US"/>
        </w:rPr>
      </w:pPr>
    </w:p>
    <w:p w14:paraId="38973C08" w14:textId="77777777" w:rsidR="00DB3037" w:rsidRDefault="00DB3037" w:rsidP="00DB3037">
      <w:pPr>
        <w:rPr>
          <w:rFonts w:ascii="Times New Roman" w:hAnsi="Times New Roman" w:cs="Times New Roman"/>
          <w:lang w:val="en-US"/>
        </w:rPr>
      </w:pPr>
    </w:p>
    <w:p w14:paraId="1CE6DCF2" w14:textId="77777777" w:rsidR="00DB3037" w:rsidRDefault="00DB3037" w:rsidP="00DB3037">
      <w:pPr>
        <w:rPr>
          <w:rFonts w:ascii="Times New Roman" w:hAnsi="Times New Roman" w:cs="Times New Roman"/>
          <w:lang w:val="en-US"/>
        </w:rPr>
      </w:pPr>
    </w:p>
    <w:p w14:paraId="5FB6E1D1" w14:textId="77777777" w:rsidR="00DB3037" w:rsidRDefault="00DB3037" w:rsidP="00DB3037">
      <w:pPr>
        <w:rPr>
          <w:rFonts w:ascii="Times New Roman" w:hAnsi="Times New Roman" w:cs="Times New Roman"/>
          <w:lang w:val="en-US"/>
        </w:rPr>
      </w:pPr>
    </w:p>
    <w:p w14:paraId="764822FA" w14:textId="77777777" w:rsidR="00A10A0D" w:rsidRDefault="00A10A0D" w:rsidP="00DB3037">
      <w:pPr>
        <w:rPr>
          <w:rFonts w:ascii="Arial" w:hAnsi="Arial" w:cs="Arial"/>
          <w:b/>
          <w:bCs/>
          <w:sz w:val="16"/>
          <w:szCs w:val="16"/>
          <w:lang w:val="en-US"/>
        </w:rPr>
      </w:pPr>
    </w:p>
    <w:p w14:paraId="778D47B7" w14:textId="77777777" w:rsidR="00A10A0D" w:rsidRDefault="00A10A0D" w:rsidP="00DB3037">
      <w:pPr>
        <w:rPr>
          <w:rFonts w:ascii="Arial" w:hAnsi="Arial" w:cs="Arial"/>
          <w:b/>
          <w:bCs/>
          <w:sz w:val="16"/>
          <w:szCs w:val="16"/>
          <w:lang w:val="en-US"/>
        </w:rPr>
      </w:pPr>
    </w:p>
    <w:p w14:paraId="0601E7B8" w14:textId="19C34C82" w:rsidR="00DB3037" w:rsidRDefault="00DB3037" w:rsidP="00DB3037">
      <w:pPr>
        <w:rPr>
          <w:rFonts w:ascii="Arial" w:hAnsi="Arial" w:cs="Arial"/>
          <w:sz w:val="16"/>
          <w:szCs w:val="16"/>
          <w:lang w:val="en-US"/>
        </w:rPr>
      </w:pPr>
      <w:r w:rsidRPr="00B21F34">
        <w:rPr>
          <w:rFonts w:ascii="Arial" w:hAnsi="Arial" w:cs="Arial"/>
          <w:b/>
          <w:bCs/>
          <w:sz w:val="16"/>
          <w:szCs w:val="16"/>
          <w:lang w:val="en-US"/>
        </w:rPr>
        <w:t>Figure S2.</w:t>
      </w:r>
      <w:r w:rsidRPr="00B21F34">
        <w:rPr>
          <w:rFonts w:ascii="Arial" w:hAnsi="Arial" w:cs="Arial"/>
          <w:sz w:val="16"/>
          <w:szCs w:val="16"/>
          <w:lang w:val="en-US"/>
        </w:rPr>
        <w:t xml:space="preserve"> XRD patterns of IrNi</w:t>
      </w:r>
      <w:r w:rsidRPr="00B21F34">
        <w:rPr>
          <w:rFonts w:ascii="Arial" w:hAnsi="Arial" w:cs="Arial"/>
          <w:sz w:val="16"/>
          <w:szCs w:val="16"/>
          <w:vertAlign w:val="subscript"/>
          <w:lang w:val="en-US"/>
        </w:rPr>
        <w:t>10</w:t>
      </w:r>
      <w:r w:rsidRPr="00B21F34">
        <w:rPr>
          <w:rFonts w:ascii="Arial" w:hAnsi="Arial" w:cs="Arial"/>
          <w:sz w:val="16"/>
          <w:szCs w:val="16"/>
          <w:lang w:val="en-US"/>
        </w:rPr>
        <w:t xml:space="preserve">Ce. </w:t>
      </w:r>
    </w:p>
    <w:p w14:paraId="1AF44065" w14:textId="745AE839" w:rsidR="00A10A0D" w:rsidRPr="00B21F34" w:rsidRDefault="00A10A0D" w:rsidP="00DB3037">
      <w:pPr>
        <w:rPr>
          <w:rFonts w:ascii="Arial" w:hAnsi="Arial" w:cs="Arial"/>
          <w:sz w:val="16"/>
          <w:szCs w:val="16"/>
          <w:lang w:val="en-US"/>
        </w:rPr>
      </w:pPr>
      <w:r>
        <w:rPr>
          <w:rFonts w:ascii="Times New Roman" w:hAnsi="Times New Roman" w:cs="Times New Roman"/>
          <w:noProof/>
          <w:lang w:val="en-GB"/>
        </w:rPr>
        <w:drawing>
          <wp:anchor distT="0" distB="0" distL="114300" distR="114300" simplePos="0" relativeHeight="251661312" behindDoc="0" locked="0" layoutInCell="1" allowOverlap="1" wp14:anchorId="4D75E817" wp14:editId="7E95BB1E">
            <wp:simplePos x="0" y="0"/>
            <wp:positionH relativeFrom="column">
              <wp:posOffset>53340</wp:posOffset>
            </wp:positionH>
            <wp:positionV relativeFrom="paragraph">
              <wp:posOffset>222250</wp:posOffset>
            </wp:positionV>
            <wp:extent cx="5463540" cy="2731770"/>
            <wp:effectExtent l="0" t="0" r="3810" b="0"/>
            <wp:wrapThrough wrapText="bothSides">
              <wp:wrapPolygon edited="0">
                <wp:start x="0" y="0"/>
                <wp:lineTo x="0" y="21389"/>
                <wp:lineTo x="21540" y="21389"/>
                <wp:lineTo x="21540" y="0"/>
                <wp:lineTo x="0" y="0"/>
              </wp:wrapPolygon>
            </wp:wrapThrough>
            <wp:docPr id="2045758723" name="Picture 1" descr="A dotted line with a dott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758723" name="Picture 1" descr="A dotted line with a dotted line&#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63540" cy="2731770"/>
                    </a:xfrm>
                    <a:prstGeom prst="rect">
                      <a:avLst/>
                    </a:prstGeom>
                    <a:noFill/>
                  </pic:spPr>
                </pic:pic>
              </a:graphicData>
            </a:graphic>
            <wp14:sizeRelH relativeFrom="margin">
              <wp14:pctWidth>0</wp14:pctWidth>
            </wp14:sizeRelH>
            <wp14:sizeRelV relativeFrom="margin">
              <wp14:pctHeight>0</wp14:pctHeight>
            </wp14:sizeRelV>
          </wp:anchor>
        </w:drawing>
      </w:r>
    </w:p>
    <w:p w14:paraId="6C8F384B" w14:textId="46FB9460" w:rsidR="00DB3037" w:rsidRPr="00B21F34" w:rsidRDefault="00DB3037" w:rsidP="00DB3037">
      <w:pPr>
        <w:jc w:val="both"/>
        <w:rPr>
          <w:rFonts w:ascii="Arial" w:hAnsi="Arial" w:cs="Arial"/>
          <w:sz w:val="16"/>
          <w:szCs w:val="16"/>
          <w:lang w:val="en-GB"/>
        </w:rPr>
      </w:pPr>
      <w:r w:rsidRPr="00B21F34">
        <w:rPr>
          <w:rFonts w:ascii="Arial" w:hAnsi="Arial" w:cs="Arial"/>
          <w:b/>
          <w:bCs/>
          <w:sz w:val="16"/>
          <w:szCs w:val="16"/>
          <w:lang w:val="en-GB"/>
        </w:rPr>
        <w:t>Figure S3.</w:t>
      </w:r>
      <w:r w:rsidRPr="00B21F34">
        <w:rPr>
          <w:rFonts w:ascii="Arial" w:hAnsi="Arial" w:cs="Arial"/>
          <w:sz w:val="16"/>
          <w:szCs w:val="16"/>
          <w:lang w:val="en-GB"/>
        </w:rPr>
        <w:t xml:space="preserve"> Arrhenius plot (30-50 </w:t>
      </w:r>
      <w:r w:rsidRPr="00B21F34">
        <w:rPr>
          <w:rFonts w:ascii="Arial" w:hAnsi="Arial" w:cs="Arial"/>
          <w:sz w:val="16"/>
          <w:szCs w:val="16"/>
          <w:vertAlign w:val="superscript"/>
          <w:lang w:val="en-GB"/>
        </w:rPr>
        <w:t>o</w:t>
      </w:r>
      <w:r w:rsidRPr="00B21F34">
        <w:rPr>
          <w:rFonts w:ascii="Arial" w:hAnsi="Arial" w:cs="Arial"/>
          <w:sz w:val="16"/>
          <w:szCs w:val="16"/>
          <w:lang w:val="en-GB"/>
        </w:rPr>
        <w:t>C).</w:t>
      </w:r>
    </w:p>
    <w:p w14:paraId="70E4B0AE" w14:textId="3D21C3DF" w:rsidR="00DB3037" w:rsidRDefault="00010F73" w:rsidP="00DB3037">
      <w:pPr>
        <w:jc w:val="both"/>
        <w:rPr>
          <w:rFonts w:ascii="Times New Roman" w:hAnsi="Times New Roman" w:cs="Times New Roman"/>
          <w:lang w:val="en-GB"/>
        </w:rPr>
      </w:pPr>
      <w:r>
        <w:rPr>
          <w:rFonts w:ascii="Times New Roman" w:hAnsi="Times New Roman" w:cs="Times New Roman"/>
          <w:noProof/>
          <w:lang w:val="en-GB"/>
        </w:rPr>
        <w:lastRenderedPageBreak/>
        <w:drawing>
          <wp:anchor distT="0" distB="0" distL="114300" distR="114300" simplePos="0" relativeHeight="251662336" behindDoc="0" locked="0" layoutInCell="1" allowOverlap="1" wp14:anchorId="4F150B80" wp14:editId="1F661087">
            <wp:simplePos x="0" y="0"/>
            <wp:positionH relativeFrom="column">
              <wp:posOffset>662940</wp:posOffset>
            </wp:positionH>
            <wp:positionV relativeFrom="paragraph">
              <wp:posOffset>0</wp:posOffset>
            </wp:positionV>
            <wp:extent cx="4572635" cy="2816860"/>
            <wp:effectExtent l="0" t="0" r="0" b="2540"/>
            <wp:wrapThrough wrapText="bothSides">
              <wp:wrapPolygon edited="0">
                <wp:start x="0" y="0"/>
                <wp:lineTo x="0" y="21473"/>
                <wp:lineTo x="21507" y="21473"/>
                <wp:lineTo x="21507" y="0"/>
                <wp:lineTo x="0" y="0"/>
              </wp:wrapPolygon>
            </wp:wrapThrough>
            <wp:docPr id="1141202267" name="Picture 1" descr="A graph of a number of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202267" name="Picture 1" descr="A graph of a number of objects&#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635" cy="2816860"/>
                    </a:xfrm>
                    <a:prstGeom prst="rect">
                      <a:avLst/>
                    </a:prstGeom>
                    <a:noFill/>
                  </pic:spPr>
                </pic:pic>
              </a:graphicData>
            </a:graphic>
          </wp:anchor>
        </w:drawing>
      </w:r>
    </w:p>
    <w:p w14:paraId="105B0477" w14:textId="2BC4EF6C" w:rsidR="00DB3037" w:rsidRDefault="00DB3037" w:rsidP="00DB3037">
      <w:pPr>
        <w:jc w:val="center"/>
        <w:rPr>
          <w:lang w:val="en-GB"/>
        </w:rPr>
      </w:pPr>
    </w:p>
    <w:p w14:paraId="0EC70973" w14:textId="02CEED0B" w:rsidR="00DB3037" w:rsidRDefault="00DB3037" w:rsidP="00DB3037">
      <w:pPr>
        <w:jc w:val="center"/>
        <w:rPr>
          <w:lang w:val="en-GB"/>
        </w:rPr>
      </w:pPr>
    </w:p>
    <w:p w14:paraId="04C22772" w14:textId="405AD10D" w:rsidR="00DB3037" w:rsidRDefault="00DB3037" w:rsidP="00DB3037">
      <w:pPr>
        <w:jc w:val="center"/>
        <w:rPr>
          <w:lang w:val="en-GB"/>
        </w:rPr>
      </w:pPr>
    </w:p>
    <w:p w14:paraId="276FE967" w14:textId="77777777" w:rsidR="00DB3037" w:rsidRDefault="00DB3037" w:rsidP="00DB3037">
      <w:pPr>
        <w:jc w:val="center"/>
        <w:rPr>
          <w:lang w:val="en-GB"/>
        </w:rPr>
      </w:pPr>
    </w:p>
    <w:p w14:paraId="0B59D59C" w14:textId="77777777" w:rsidR="00DB3037" w:rsidRDefault="00DB3037" w:rsidP="00DB3037">
      <w:pPr>
        <w:jc w:val="center"/>
        <w:rPr>
          <w:lang w:val="en-GB"/>
        </w:rPr>
      </w:pPr>
    </w:p>
    <w:p w14:paraId="10647633" w14:textId="77777777" w:rsidR="00DB3037" w:rsidRDefault="00DB3037" w:rsidP="00DB3037">
      <w:pPr>
        <w:jc w:val="center"/>
        <w:rPr>
          <w:lang w:val="en-GB"/>
        </w:rPr>
      </w:pPr>
    </w:p>
    <w:p w14:paraId="791742AA" w14:textId="77777777" w:rsidR="00DB3037" w:rsidRDefault="00DB3037" w:rsidP="00DB3037">
      <w:pPr>
        <w:jc w:val="center"/>
        <w:rPr>
          <w:lang w:val="en-GB"/>
        </w:rPr>
      </w:pPr>
    </w:p>
    <w:p w14:paraId="0C65602F" w14:textId="77777777" w:rsidR="00DB3037" w:rsidRDefault="00DB3037" w:rsidP="00DB3037">
      <w:pPr>
        <w:rPr>
          <w:rFonts w:ascii="Times New Roman" w:hAnsi="Times New Roman" w:cs="Times New Roman"/>
          <w:b/>
          <w:bCs/>
          <w:lang w:val="en-GB"/>
        </w:rPr>
      </w:pPr>
    </w:p>
    <w:p w14:paraId="28279842" w14:textId="262EA66C" w:rsidR="00DB3037" w:rsidRDefault="00DB3037" w:rsidP="00DB3037">
      <w:pPr>
        <w:rPr>
          <w:rFonts w:ascii="Arial" w:hAnsi="Arial" w:cs="Arial"/>
          <w:sz w:val="16"/>
          <w:szCs w:val="16"/>
          <w:lang w:val="en-GB"/>
        </w:rPr>
      </w:pPr>
      <w:r w:rsidRPr="00010F73">
        <w:rPr>
          <w:rFonts w:ascii="Arial" w:hAnsi="Arial" w:cs="Arial"/>
          <w:b/>
          <w:bCs/>
          <w:sz w:val="16"/>
          <w:szCs w:val="16"/>
          <w:lang w:val="en-GB"/>
        </w:rPr>
        <w:t>Figure S4.</w:t>
      </w:r>
      <w:r w:rsidRPr="00010F73">
        <w:rPr>
          <w:rFonts w:ascii="Arial" w:hAnsi="Arial" w:cs="Arial"/>
          <w:sz w:val="16"/>
          <w:szCs w:val="16"/>
          <w:lang w:val="en-GB"/>
        </w:rPr>
        <w:t xml:space="preserve"> TOF values (left y-axis) and H</w:t>
      </w:r>
      <w:r w:rsidRPr="00010F73">
        <w:rPr>
          <w:rFonts w:ascii="Arial" w:hAnsi="Arial" w:cs="Arial"/>
          <w:sz w:val="16"/>
          <w:szCs w:val="16"/>
          <w:vertAlign w:val="subscript"/>
          <w:lang w:val="en-GB"/>
        </w:rPr>
        <w:t>2</w:t>
      </w:r>
      <w:r w:rsidRPr="00010F73">
        <w:rPr>
          <w:rFonts w:ascii="Arial" w:hAnsi="Arial" w:cs="Arial"/>
          <w:sz w:val="16"/>
          <w:szCs w:val="16"/>
          <w:lang w:val="en-GB"/>
        </w:rPr>
        <w:t xml:space="preserve"> yield (right y-axis) at AB concentrations of 22.7-90.9 </w:t>
      </w:r>
      <w:proofErr w:type="spellStart"/>
      <w:r w:rsidRPr="00010F73">
        <w:rPr>
          <w:rFonts w:ascii="Arial" w:hAnsi="Arial" w:cs="Arial"/>
          <w:sz w:val="16"/>
          <w:szCs w:val="16"/>
          <w:lang w:val="en-GB"/>
        </w:rPr>
        <w:t>mM.</w:t>
      </w:r>
      <w:proofErr w:type="spellEnd"/>
    </w:p>
    <w:p w14:paraId="4BB6B678" w14:textId="77777777" w:rsidR="00A10A0D" w:rsidRPr="00010F73" w:rsidRDefault="00A10A0D" w:rsidP="00DB3037">
      <w:pPr>
        <w:rPr>
          <w:rFonts w:ascii="Arial" w:hAnsi="Arial" w:cs="Arial"/>
          <w:b/>
          <w:bCs/>
          <w:sz w:val="16"/>
          <w:szCs w:val="16"/>
          <w:lang w:val="en-GB"/>
        </w:rPr>
      </w:pPr>
    </w:p>
    <w:p w14:paraId="1208E3C3" w14:textId="77777777" w:rsidR="00DB3037" w:rsidRDefault="00DB3037" w:rsidP="00DB3037">
      <w:pPr>
        <w:rPr>
          <w:rFonts w:ascii="Times New Roman" w:hAnsi="Times New Roman" w:cs="Times New Roman"/>
        </w:rPr>
      </w:pPr>
      <w:r w:rsidRPr="00A74E9B">
        <w:rPr>
          <w:rFonts w:ascii="Times New Roman" w:hAnsi="Times New Roman" w:cs="Times New Roman"/>
          <w:noProof/>
        </w:rPr>
        <w:drawing>
          <wp:inline distT="0" distB="0" distL="0" distR="0" wp14:anchorId="1048DB79" wp14:editId="56187511">
            <wp:extent cx="2723456" cy="2519045"/>
            <wp:effectExtent l="0" t="0" r="1270" b="0"/>
            <wp:docPr id="7952927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522" r="9757"/>
                    <a:stretch/>
                  </pic:blipFill>
                  <pic:spPr bwMode="auto">
                    <a:xfrm>
                      <a:off x="0" y="0"/>
                      <a:ext cx="2724488"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A74E9B">
        <w:rPr>
          <w:rFonts w:ascii="Times New Roman" w:hAnsi="Times New Roman" w:cs="Times New Roman"/>
          <w:noProof/>
        </w:rPr>
        <w:drawing>
          <wp:inline distT="0" distB="0" distL="0" distR="0" wp14:anchorId="034FEB4A" wp14:editId="2C022EC1">
            <wp:extent cx="2761566" cy="2519045"/>
            <wp:effectExtent l="0" t="0" r="1270" b="0"/>
            <wp:docPr id="11003884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918" r="11202"/>
                    <a:stretch/>
                  </pic:blipFill>
                  <pic:spPr bwMode="auto">
                    <a:xfrm>
                      <a:off x="0" y="0"/>
                      <a:ext cx="2762613"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A1663C3" w14:textId="77777777" w:rsidR="00DB3037" w:rsidRPr="00352C48" w:rsidRDefault="00DB3037" w:rsidP="00DB3037">
      <w:pPr>
        <w:rPr>
          <w:lang w:val="el-GR"/>
        </w:rPr>
      </w:pPr>
      <w:r w:rsidRPr="00F52CCF">
        <w:rPr>
          <w:rFonts w:ascii="Times New Roman" w:hAnsi="Times New Roman" w:cs="Times New Roman"/>
          <w:noProof/>
        </w:rPr>
        <w:drawing>
          <wp:inline distT="0" distB="0" distL="0" distR="0" wp14:anchorId="6AC876C8" wp14:editId="2781D13E">
            <wp:extent cx="2704416" cy="2519045"/>
            <wp:effectExtent l="0" t="0" r="1270" b="0"/>
            <wp:docPr id="1901472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712" r="11146"/>
                    <a:stretch/>
                  </pic:blipFill>
                  <pic:spPr bwMode="auto">
                    <a:xfrm>
                      <a:off x="0" y="0"/>
                      <a:ext cx="2705441"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8210C7">
        <w:rPr>
          <w:noProof/>
        </w:rPr>
        <w:drawing>
          <wp:inline distT="0" distB="0" distL="0" distR="0" wp14:anchorId="3A44F14B" wp14:editId="01E9A5D0">
            <wp:extent cx="2802890" cy="2518512"/>
            <wp:effectExtent l="0" t="0" r="0" b="0"/>
            <wp:docPr id="48475814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934" r="10915"/>
                    <a:stretch/>
                  </pic:blipFill>
                  <pic:spPr bwMode="auto">
                    <a:xfrm>
                      <a:off x="0" y="0"/>
                      <a:ext cx="2804546"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47FE2B52" w14:textId="77777777" w:rsidR="00DB3037" w:rsidRPr="001C7C98" w:rsidRDefault="00DB3037" w:rsidP="00DB3037">
      <w:r w:rsidRPr="00DA5A94">
        <w:rPr>
          <w:rFonts w:ascii="Times New Roman" w:hAnsi="Times New Roman" w:cs="Times New Roman"/>
          <w:noProof/>
        </w:rPr>
        <w:lastRenderedPageBreak/>
        <w:drawing>
          <wp:inline distT="0" distB="0" distL="0" distR="0" wp14:anchorId="7B8ACEB0" wp14:editId="172823A3">
            <wp:extent cx="2741930" cy="2518520"/>
            <wp:effectExtent l="0" t="0" r="1270" b="0"/>
            <wp:docPr id="20744703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251" r="10451"/>
                    <a:stretch/>
                  </pic:blipFill>
                  <pic:spPr bwMode="auto">
                    <a:xfrm>
                      <a:off x="0" y="0"/>
                      <a:ext cx="2743542"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1C7C98">
        <w:rPr>
          <w:noProof/>
        </w:rPr>
        <w:drawing>
          <wp:inline distT="0" distB="0" distL="0" distR="0" wp14:anchorId="79EBEBC5" wp14:editId="6AC0D050">
            <wp:extent cx="2764790" cy="2518502"/>
            <wp:effectExtent l="0" t="0" r="0" b="0"/>
            <wp:docPr id="194478585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4628" r="11378"/>
                    <a:stretch/>
                  </pic:blipFill>
                  <pic:spPr bwMode="auto">
                    <a:xfrm>
                      <a:off x="0" y="0"/>
                      <a:ext cx="2766435"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CD0CFD0" w14:textId="77777777" w:rsidR="00DB3037" w:rsidRPr="003C3774" w:rsidRDefault="00DB3037" w:rsidP="00DB3037">
      <w:r w:rsidRPr="003C3774">
        <w:rPr>
          <w:rFonts w:ascii="Times New Roman" w:hAnsi="Times New Roman" w:cs="Times New Roman"/>
          <w:noProof/>
        </w:rPr>
        <w:drawing>
          <wp:inline distT="0" distB="0" distL="0" distR="0" wp14:anchorId="02046EB3" wp14:editId="7F177023">
            <wp:extent cx="2765365" cy="2519045"/>
            <wp:effectExtent l="0" t="0" r="0" b="0"/>
            <wp:docPr id="81499857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6249" r="9757"/>
                    <a:stretch/>
                  </pic:blipFill>
                  <pic:spPr bwMode="auto">
                    <a:xfrm>
                      <a:off x="0" y="0"/>
                      <a:ext cx="2766413"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3C3774">
        <w:rPr>
          <w:noProof/>
        </w:rPr>
        <w:drawing>
          <wp:inline distT="0" distB="0" distL="0" distR="0" wp14:anchorId="4135E7E0" wp14:editId="4C0D6234">
            <wp:extent cx="2732372" cy="2520000"/>
            <wp:effectExtent l="0" t="0" r="0" b="0"/>
            <wp:docPr id="65404809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5850" r="11190"/>
                    <a:stretch/>
                  </pic:blipFill>
                  <pic:spPr bwMode="auto">
                    <a:xfrm>
                      <a:off x="0" y="0"/>
                      <a:ext cx="2732372"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1C15565" w14:textId="77777777" w:rsidR="00DB3037" w:rsidRDefault="00DB3037" w:rsidP="00DB3037">
      <w:r w:rsidRPr="002972C2">
        <w:rPr>
          <w:rFonts w:ascii="Times New Roman" w:hAnsi="Times New Roman" w:cs="Times New Roman"/>
          <w:noProof/>
        </w:rPr>
        <w:drawing>
          <wp:inline distT="0" distB="0" distL="0" distR="0" wp14:anchorId="387D38F6" wp14:editId="36FF0790">
            <wp:extent cx="2720975" cy="2519680"/>
            <wp:effectExtent l="0" t="0" r="3175" b="0"/>
            <wp:docPr id="42582850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5924" r="11452"/>
                    <a:stretch/>
                  </pic:blipFill>
                  <pic:spPr bwMode="auto">
                    <a:xfrm>
                      <a:off x="0" y="0"/>
                      <a:ext cx="2721321"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896F1F">
        <w:rPr>
          <w:noProof/>
        </w:rPr>
        <w:drawing>
          <wp:inline distT="0" distB="0" distL="0" distR="0" wp14:anchorId="70D2031D" wp14:editId="43CE6DA4">
            <wp:extent cx="2727960" cy="2518508"/>
            <wp:effectExtent l="0" t="0" r="0" b="0"/>
            <wp:docPr id="196496373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5517" r="11608"/>
                    <a:stretch/>
                  </pic:blipFill>
                  <pic:spPr bwMode="auto">
                    <a:xfrm>
                      <a:off x="0" y="0"/>
                      <a:ext cx="2729576"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20F60731" w14:textId="77777777" w:rsidR="00DB3037" w:rsidRDefault="00DB3037" w:rsidP="00DB3037">
      <w:r w:rsidRPr="00907ACE">
        <w:rPr>
          <w:noProof/>
        </w:rPr>
        <w:lastRenderedPageBreak/>
        <w:drawing>
          <wp:inline distT="0" distB="0" distL="0" distR="0" wp14:anchorId="6150FB07" wp14:editId="7ABB1C32">
            <wp:extent cx="2734184" cy="2518410"/>
            <wp:effectExtent l="0" t="0" r="9525" b="0"/>
            <wp:docPr id="197962187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6482" r="10451"/>
                    <a:stretch/>
                  </pic:blipFill>
                  <pic:spPr bwMode="auto">
                    <a:xfrm>
                      <a:off x="0" y="0"/>
                      <a:ext cx="2735910" cy="2520000"/>
                    </a:xfrm>
                    <a:prstGeom prst="rect">
                      <a:avLst/>
                    </a:prstGeom>
                    <a:noFill/>
                    <a:ln>
                      <a:noFill/>
                    </a:ln>
                    <a:extLst>
                      <a:ext uri="{53640926-AAD7-44D8-BBD7-CCE9431645EC}">
                        <a14:shadowObscured xmlns:a14="http://schemas.microsoft.com/office/drawing/2010/main"/>
                      </a:ext>
                    </a:extLst>
                  </pic:spPr>
                </pic:pic>
              </a:graphicData>
            </a:graphic>
          </wp:inline>
        </w:drawing>
      </w:r>
      <w:r w:rsidRPr="00907ACE">
        <w:rPr>
          <w:noProof/>
        </w:rPr>
        <w:drawing>
          <wp:inline distT="0" distB="0" distL="0" distR="0" wp14:anchorId="7735B680" wp14:editId="62A754F1">
            <wp:extent cx="2687955" cy="2518489"/>
            <wp:effectExtent l="0" t="0" r="0" b="0"/>
            <wp:docPr id="32486150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6963" r="11378"/>
                    <a:stretch/>
                  </pic:blipFill>
                  <pic:spPr bwMode="auto">
                    <a:xfrm>
                      <a:off x="0" y="0"/>
                      <a:ext cx="2689567"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197EB440" w14:textId="77777777" w:rsidR="00DB3037" w:rsidRPr="00010F73" w:rsidRDefault="00DB3037" w:rsidP="00DB3037">
      <w:pPr>
        <w:pStyle w:val="Didascalia"/>
        <w:jc w:val="both"/>
        <w:rPr>
          <w:rFonts w:ascii="Arial" w:hAnsi="Arial" w:cs="Arial"/>
          <w:i w:val="0"/>
          <w:iCs w:val="0"/>
          <w:color w:val="auto"/>
          <w:sz w:val="16"/>
          <w:szCs w:val="16"/>
          <w:lang w:val="en-GB"/>
        </w:rPr>
      </w:pPr>
      <w:r w:rsidRPr="00010F73">
        <w:rPr>
          <w:rFonts w:ascii="Arial" w:hAnsi="Arial" w:cs="Arial"/>
          <w:b/>
          <w:bCs/>
          <w:i w:val="0"/>
          <w:iCs w:val="0"/>
          <w:color w:val="auto"/>
          <w:sz w:val="16"/>
          <w:szCs w:val="16"/>
        </w:rPr>
        <w:t>Figure S</w:t>
      </w:r>
      <w:r w:rsidRPr="00010F73">
        <w:rPr>
          <w:rFonts w:ascii="Arial" w:hAnsi="Arial" w:cs="Arial"/>
          <w:b/>
          <w:bCs/>
          <w:i w:val="0"/>
          <w:iCs w:val="0"/>
          <w:color w:val="auto"/>
          <w:sz w:val="16"/>
          <w:szCs w:val="16"/>
          <w:lang w:val="en-GB"/>
        </w:rPr>
        <w:t>5</w:t>
      </w:r>
      <w:r w:rsidRPr="00010F73">
        <w:rPr>
          <w:rFonts w:ascii="Arial" w:hAnsi="Arial" w:cs="Arial"/>
          <w:b/>
          <w:bCs/>
          <w:i w:val="0"/>
          <w:iCs w:val="0"/>
          <w:color w:val="auto"/>
          <w:sz w:val="16"/>
          <w:szCs w:val="16"/>
        </w:rPr>
        <w:t>.</w:t>
      </w:r>
      <w:r w:rsidRPr="00010F73">
        <w:rPr>
          <w:rFonts w:ascii="Arial" w:hAnsi="Arial" w:cs="Arial"/>
          <w:i w:val="0"/>
          <w:iCs w:val="0"/>
          <w:color w:val="auto"/>
          <w:sz w:val="16"/>
          <w:szCs w:val="16"/>
        </w:rPr>
        <w:t xml:space="preserve"> Quantile-Quantile (QQ) plots assessing the normality of residuals for each factor-response pair.</w:t>
      </w:r>
    </w:p>
    <w:p w14:paraId="2CD5BFBC" w14:textId="77777777" w:rsidR="00DB3037" w:rsidRDefault="00DB3037" w:rsidP="00DB3037">
      <w:pPr>
        <w:pStyle w:val="Didascalia"/>
        <w:jc w:val="both"/>
        <w:rPr>
          <w:rFonts w:ascii="Arial" w:hAnsi="Arial" w:cs="Arial"/>
          <w:i w:val="0"/>
          <w:iCs w:val="0"/>
          <w:color w:val="auto"/>
          <w:sz w:val="16"/>
          <w:szCs w:val="16"/>
          <w:lang w:val="en-GB"/>
        </w:rPr>
      </w:pPr>
      <w:r w:rsidRPr="00010F73">
        <w:rPr>
          <w:rFonts w:ascii="Arial" w:hAnsi="Arial" w:cs="Arial"/>
          <w:i w:val="0"/>
          <w:iCs w:val="0"/>
          <w:color w:val="auto"/>
          <w:sz w:val="16"/>
          <w:szCs w:val="16"/>
        </w:rPr>
        <w:t xml:space="preserve">* </w:t>
      </w:r>
      <w:r w:rsidRPr="00010F73">
        <w:rPr>
          <w:rFonts w:ascii="Arial" w:hAnsi="Arial" w:cs="Arial"/>
          <w:i w:val="0"/>
          <w:iCs w:val="0"/>
          <w:color w:val="auto"/>
          <w:sz w:val="16"/>
          <w:szCs w:val="16"/>
          <w:lang w:val="en-GB"/>
        </w:rPr>
        <w:t>T</w:t>
      </w:r>
      <w:r w:rsidRPr="00010F73">
        <w:rPr>
          <w:rFonts w:ascii="Arial" w:hAnsi="Arial" w:cs="Arial"/>
          <w:i w:val="0"/>
          <w:iCs w:val="0"/>
          <w:color w:val="auto"/>
          <w:sz w:val="16"/>
          <w:szCs w:val="16"/>
        </w:rPr>
        <w:t xml:space="preserve">he concentration of 1 M </w:t>
      </w:r>
      <w:r w:rsidRPr="00010F73">
        <w:rPr>
          <w:rFonts w:ascii="Arial" w:hAnsi="Arial" w:cs="Arial"/>
          <w:i w:val="0"/>
          <w:iCs w:val="0"/>
          <w:color w:val="auto"/>
          <w:sz w:val="16"/>
          <w:szCs w:val="16"/>
          <w:lang w:val="en-GB"/>
        </w:rPr>
        <w:t xml:space="preserve">AB (initial concentration) </w:t>
      </w:r>
      <w:r w:rsidRPr="00010F73">
        <w:rPr>
          <w:rFonts w:ascii="Arial" w:hAnsi="Arial" w:cs="Arial"/>
          <w:i w:val="0"/>
          <w:iCs w:val="0"/>
          <w:color w:val="auto"/>
          <w:sz w:val="16"/>
          <w:szCs w:val="16"/>
        </w:rPr>
        <w:t>corresponds to</w:t>
      </w:r>
      <w:r w:rsidRPr="00010F73">
        <w:rPr>
          <w:rFonts w:ascii="Arial" w:hAnsi="Arial" w:cs="Arial"/>
          <w:i w:val="0"/>
          <w:iCs w:val="0"/>
          <w:color w:val="auto"/>
          <w:sz w:val="16"/>
          <w:szCs w:val="16"/>
          <w:lang w:val="en-GB"/>
        </w:rPr>
        <w:t xml:space="preserve"> the </w:t>
      </w:r>
      <w:r w:rsidRPr="00010F73">
        <w:rPr>
          <w:rFonts w:ascii="Arial" w:hAnsi="Arial" w:cs="Arial"/>
          <w:i w:val="0"/>
          <w:iCs w:val="0"/>
          <w:color w:val="auto"/>
          <w:sz w:val="16"/>
          <w:szCs w:val="16"/>
        </w:rPr>
        <w:t>final concentration</w:t>
      </w:r>
      <w:r w:rsidRPr="00010F73">
        <w:rPr>
          <w:rFonts w:ascii="Arial" w:hAnsi="Arial" w:cs="Arial"/>
          <w:i w:val="0"/>
          <w:iCs w:val="0"/>
          <w:color w:val="auto"/>
          <w:sz w:val="16"/>
          <w:szCs w:val="16"/>
          <w:lang w:val="en-GB"/>
        </w:rPr>
        <w:t xml:space="preserve"> of</w:t>
      </w:r>
      <w:r w:rsidRPr="00010F73">
        <w:rPr>
          <w:rFonts w:ascii="Arial" w:hAnsi="Arial" w:cs="Arial"/>
          <w:i w:val="0"/>
          <w:iCs w:val="0"/>
          <w:color w:val="auto"/>
          <w:sz w:val="16"/>
          <w:szCs w:val="16"/>
        </w:rPr>
        <w:t xml:space="preserve"> 90.9 mM </w:t>
      </w:r>
      <w:r w:rsidRPr="00010F73">
        <w:rPr>
          <w:rFonts w:ascii="Arial" w:hAnsi="Arial" w:cs="Arial"/>
          <w:i w:val="0"/>
          <w:iCs w:val="0"/>
          <w:color w:val="auto"/>
          <w:sz w:val="16"/>
          <w:szCs w:val="16"/>
          <w:lang w:val="en-GB"/>
        </w:rPr>
        <w:t xml:space="preserve">AB </w:t>
      </w:r>
      <w:r w:rsidRPr="00010F73">
        <w:rPr>
          <w:rFonts w:ascii="Arial" w:hAnsi="Arial" w:cs="Arial"/>
          <w:i w:val="0"/>
          <w:iCs w:val="0"/>
          <w:color w:val="auto"/>
          <w:sz w:val="16"/>
          <w:szCs w:val="16"/>
        </w:rPr>
        <w:t>in the reactor.</w:t>
      </w:r>
    </w:p>
    <w:p w14:paraId="2A517488" w14:textId="77777777" w:rsidR="00A10A0D" w:rsidRPr="00A10A0D" w:rsidRDefault="00A10A0D" w:rsidP="00A10A0D">
      <w:pPr>
        <w:rPr>
          <w:lang w:val="en-GB"/>
        </w:rPr>
      </w:pPr>
    </w:p>
    <w:p w14:paraId="1F2969E3" w14:textId="77777777" w:rsidR="00DB3037" w:rsidRPr="00D8328B" w:rsidRDefault="00DB3037" w:rsidP="00DB3037">
      <w:pPr>
        <w:rPr>
          <w:rFonts w:ascii="Times New Roman" w:hAnsi="Times New Roman" w:cs="Times New Roman"/>
        </w:rPr>
      </w:pPr>
      <w:r w:rsidRPr="00D8328B">
        <w:rPr>
          <w:rFonts w:ascii="Times New Roman" w:hAnsi="Times New Roman" w:cs="Times New Roman"/>
          <w:noProof/>
        </w:rPr>
        <w:drawing>
          <wp:inline distT="0" distB="0" distL="0" distR="0" wp14:anchorId="487298E9" wp14:editId="6F610A0B">
            <wp:extent cx="2597150" cy="2312823"/>
            <wp:effectExtent l="0" t="0" r="0" b="0"/>
            <wp:docPr id="147693558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8333" t="8168" r="12766"/>
                    <a:stretch/>
                  </pic:blipFill>
                  <pic:spPr bwMode="auto">
                    <a:xfrm>
                      <a:off x="0" y="0"/>
                      <a:ext cx="2598676" cy="2314182"/>
                    </a:xfrm>
                    <a:prstGeom prst="rect">
                      <a:avLst/>
                    </a:prstGeom>
                    <a:noFill/>
                    <a:ln>
                      <a:noFill/>
                    </a:ln>
                    <a:extLst>
                      <a:ext uri="{53640926-AAD7-44D8-BBD7-CCE9431645EC}">
                        <a14:shadowObscured xmlns:a14="http://schemas.microsoft.com/office/drawing/2010/main"/>
                      </a:ext>
                    </a:extLst>
                  </pic:spPr>
                </pic:pic>
              </a:graphicData>
            </a:graphic>
          </wp:inline>
        </w:drawing>
      </w:r>
      <w:r w:rsidRPr="00D8328B">
        <w:rPr>
          <w:rFonts w:ascii="Times New Roman" w:hAnsi="Times New Roman" w:cs="Times New Roman"/>
          <w:noProof/>
        </w:rPr>
        <w:drawing>
          <wp:inline distT="0" distB="0" distL="0" distR="0" wp14:anchorId="78CB3B4F" wp14:editId="27AF3485">
            <wp:extent cx="2795270" cy="2282301"/>
            <wp:effectExtent l="0" t="0" r="5080" b="3810"/>
            <wp:docPr id="401210586" name="Picture 32" descr="A graph with a bar graph and a chart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210586" name="Picture 32" descr="A graph with a bar graph and a chart with text&#10;&#10;Description automatically generated with medium confidence"/>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4398" t="9379" r="10682"/>
                    <a:stretch/>
                  </pic:blipFill>
                  <pic:spPr bwMode="auto">
                    <a:xfrm>
                      <a:off x="0" y="0"/>
                      <a:ext cx="2796912" cy="2283642"/>
                    </a:xfrm>
                    <a:prstGeom prst="rect">
                      <a:avLst/>
                    </a:prstGeom>
                    <a:noFill/>
                    <a:ln>
                      <a:noFill/>
                    </a:ln>
                    <a:extLst>
                      <a:ext uri="{53640926-AAD7-44D8-BBD7-CCE9431645EC}">
                        <a14:shadowObscured xmlns:a14="http://schemas.microsoft.com/office/drawing/2010/main"/>
                      </a:ext>
                    </a:extLst>
                  </pic:spPr>
                </pic:pic>
              </a:graphicData>
            </a:graphic>
          </wp:inline>
        </w:drawing>
      </w:r>
    </w:p>
    <w:p w14:paraId="12CFF419" w14:textId="77777777" w:rsidR="00DB3037" w:rsidRDefault="00DB3037" w:rsidP="00DB3037">
      <w:pPr>
        <w:rPr>
          <w:rFonts w:ascii="Times New Roman" w:hAnsi="Times New Roman" w:cs="Times New Roman"/>
        </w:rPr>
      </w:pPr>
      <w:r w:rsidRPr="00D8328B">
        <w:rPr>
          <w:rFonts w:ascii="Times New Roman" w:hAnsi="Times New Roman" w:cs="Times New Roman"/>
          <w:noProof/>
        </w:rPr>
        <w:drawing>
          <wp:inline distT="0" distB="0" distL="0" distR="0" wp14:anchorId="077E9EAC" wp14:editId="1F99E37C">
            <wp:extent cx="2688590" cy="2312832"/>
            <wp:effectExtent l="0" t="0" r="0" b="0"/>
            <wp:docPr id="1680451535" name="Picture 34" descr="A graph with a bar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51535" name="Picture 34" descr="A graph with a bar and a line&#10;&#10;Description automatically generated with medium confidence"/>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6250" t="8168" r="12071"/>
                    <a:stretch/>
                  </pic:blipFill>
                  <pic:spPr bwMode="auto">
                    <a:xfrm>
                      <a:off x="0" y="0"/>
                      <a:ext cx="2690160" cy="2314182"/>
                    </a:xfrm>
                    <a:prstGeom prst="rect">
                      <a:avLst/>
                    </a:prstGeom>
                    <a:noFill/>
                    <a:ln>
                      <a:noFill/>
                    </a:ln>
                    <a:extLst>
                      <a:ext uri="{53640926-AAD7-44D8-BBD7-CCE9431645EC}">
                        <a14:shadowObscured xmlns:a14="http://schemas.microsoft.com/office/drawing/2010/main"/>
                      </a:ext>
                    </a:extLst>
                  </pic:spPr>
                </pic:pic>
              </a:graphicData>
            </a:graphic>
          </wp:inline>
        </w:drawing>
      </w:r>
      <w:r w:rsidRPr="00C1091B">
        <w:rPr>
          <w:rFonts w:ascii="Times New Roman" w:hAnsi="Times New Roman" w:cs="Times New Roman"/>
          <w:noProof/>
        </w:rPr>
        <w:drawing>
          <wp:inline distT="0" distB="0" distL="0" distR="0" wp14:anchorId="6DB8CBF5" wp14:editId="657573E2">
            <wp:extent cx="2612390" cy="2305218"/>
            <wp:effectExtent l="0" t="0" r="0" b="0"/>
            <wp:docPr id="920989210"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9028" t="8470" r="11608"/>
                    <a:stretch/>
                  </pic:blipFill>
                  <pic:spPr bwMode="auto">
                    <a:xfrm>
                      <a:off x="0" y="0"/>
                      <a:ext cx="2613910" cy="2306559"/>
                    </a:xfrm>
                    <a:prstGeom prst="rect">
                      <a:avLst/>
                    </a:prstGeom>
                    <a:noFill/>
                    <a:ln>
                      <a:noFill/>
                    </a:ln>
                    <a:extLst>
                      <a:ext uri="{53640926-AAD7-44D8-BBD7-CCE9431645EC}">
                        <a14:shadowObscured xmlns:a14="http://schemas.microsoft.com/office/drawing/2010/main"/>
                      </a:ext>
                    </a:extLst>
                  </pic:spPr>
                </pic:pic>
              </a:graphicData>
            </a:graphic>
          </wp:inline>
        </w:drawing>
      </w:r>
    </w:p>
    <w:p w14:paraId="4ED41343" w14:textId="77777777" w:rsidR="00DB3037" w:rsidRPr="00C1091B" w:rsidRDefault="00DB3037" w:rsidP="00DB3037">
      <w:pPr>
        <w:rPr>
          <w:rFonts w:ascii="Times New Roman" w:hAnsi="Times New Roman" w:cs="Times New Roman"/>
        </w:rPr>
      </w:pPr>
    </w:p>
    <w:p w14:paraId="38F3C350" w14:textId="77777777" w:rsidR="00DB3037" w:rsidRPr="00C1091B" w:rsidRDefault="00DB3037" w:rsidP="00DB3037">
      <w:pPr>
        <w:rPr>
          <w:rFonts w:ascii="Times New Roman" w:hAnsi="Times New Roman" w:cs="Times New Roman"/>
        </w:rPr>
      </w:pPr>
      <w:r w:rsidRPr="00C1091B">
        <w:rPr>
          <w:rFonts w:ascii="Times New Roman" w:hAnsi="Times New Roman" w:cs="Times New Roman"/>
          <w:noProof/>
        </w:rPr>
        <w:lastRenderedPageBreak/>
        <w:drawing>
          <wp:inline distT="0" distB="0" distL="0" distR="0" wp14:anchorId="65EB84EF" wp14:editId="1757AAE1">
            <wp:extent cx="2688590" cy="2274737"/>
            <wp:effectExtent l="0" t="0" r="0" b="0"/>
            <wp:docPr id="1985714133" name="Picture 38" descr="A graph with a number of lines and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714133" name="Picture 38" descr="A graph with a number of lines and a number of numbers&#10;&#10;Description automatically generated with medium confidence"/>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6019" t="9680" r="12302"/>
                    <a:stretch/>
                  </pic:blipFill>
                  <pic:spPr bwMode="auto">
                    <a:xfrm>
                      <a:off x="0" y="0"/>
                      <a:ext cx="2690163" cy="2276068"/>
                    </a:xfrm>
                    <a:prstGeom prst="rect">
                      <a:avLst/>
                    </a:prstGeom>
                    <a:noFill/>
                    <a:ln>
                      <a:noFill/>
                    </a:ln>
                    <a:extLst>
                      <a:ext uri="{53640926-AAD7-44D8-BBD7-CCE9431645EC}">
                        <a14:shadowObscured xmlns:a14="http://schemas.microsoft.com/office/drawing/2010/main"/>
                      </a:ext>
                    </a:extLst>
                  </pic:spPr>
                </pic:pic>
              </a:graphicData>
            </a:graphic>
          </wp:inline>
        </w:drawing>
      </w:r>
      <w:r w:rsidRPr="00C1091B">
        <w:rPr>
          <w:rFonts w:ascii="Times New Roman" w:hAnsi="Times New Roman" w:cs="Times New Roman"/>
          <w:noProof/>
        </w:rPr>
        <w:drawing>
          <wp:inline distT="0" distB="0" distL="0" distR="0" wp14:anchorId="19433C5A" wp14:editId="436F0E87">
            <wp:extent cx="2642870" cy="2289968"/>
            <wp:effectExtent l="0" t="0" r="5080" b="0"/>
            <wp:docPr id="466305317" name="Picture 40" descr="A graph with a number of lines and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305317" name="Picture 40" descr="A graph with a number of lines and a number of numbers&#10;&#10;Description automatically generated with medium confidence"/>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6945" t="9075" r="12766"/>
                    <a:stretch/>
                  </pic:blipFill>
                  <pic:spPr bwMode="auto">
                    <a:xfrm>
                      <a:off x="0" y="0"/>
                      <a:ext cx="2644423" cy="2291313"/>
                    </a:xfrm>
                    <a:prstGeom prst="rect">
                      <a:avLst/>
                    </a:prstGeom>
                    <a:noFill/>
                    <a:ln>
                      <a:noFill/>
                    </a:ln>
                    <a:extLst>
                      <a:ext uri="{53640926-AAD7-44D8-BBD7-CCE9431645EC}">
                        <a14:shadowObscured xmlns:a14="http://schemas.microsoft.com/office/drawing/2010/main"/>
                      </a:ext>
                    </a:extLst>
                  </pic:spPr>
                </pic:pic>
              </a:graphicData>
            </a:graphic>
          </wp:inline>
        </w:drawing>
      </w:r>
    </w:p>
    <w:p w14:paraId="7A98A2F5" w14:textId="77777777" w:rsidR="00DB3037" w:rsidRPr="00C1091B" w:rsidRDefault="00DB3037" w:rsidP="00DB3037">
      <w:pPr>
        <w:rPr>
          <w:rFonts w:ascii="Times New Roman" w:hAnsi="Times New Roman" w:cs="Times New Roman"/>
        </w:rPr>
      </w:pPr>
      <w:r w:rsidRPr="00C1091B">
        <w:rPr>
          <w:rFonts w:ascii="Times New Roman" w:hAnsi="Times New Roman" w:cs="Times New Roman"/>
          <w:noProof/>
        </w:rPr>
        <w:drawing>
          <wp:inline distT="0" distB="0" distL="0" distR="0" wp14:anchorId="168D35F9" wp14:editId="425C5EA2">
            <wp:extent cx="2574290" cy="2305210"/>
            <wp:effectExtent l="0" t="0" r="0" b="0"/>
            <wp:docPr id="193887267" name="Picture 42" descr="A graph with a box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7267" name="Picture 42" descr="A graph with a box and a line&#10;&#10;Description automatically generated with medium confidence"/>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9491" t="8470" r="12302"/>
                    <a:stretch/>
                  </pic:blipFill>
                  <pic:spPr bwMode="auto">
                    <a:xfrm>
                      <a:off x="0" y="0"/>
                      <a:ext cx="2575796" cy="2306559"/>
                    </a:xfrm>
                    <a:prstGeom prst="rect">
                      <a:avLst/>
                    </a:prstGeom>
                    <a:noFill/>
                    <a:ln>
                      <a:noFill/>
                    </a:ln>
                    <a:extLst>
                      <a:ext uri="{53640926-AAD7-44D8-BBD7-CCE9431645EC}">
                        <a14:shadowObscured xmlns:a14="http://schemas.microsoft.com/office/drawing/2010/main"/>
                      </a:ext>
                    </a:extLst>
                  </pic:spPr>
                </pic:pic>
              </a:graphicData>
            </a:graphic>
          </wp:inline>
        </w:drawing>
      </w:r>
      <w:r w:rsidRPr="00C1091B">
        <w:rPr>
          <w:rFonts w:ascii="Times New Roman" w:hAnsi="Times New Roman" w:cs="Times New Roman"/>
          <w:noProof/>
        </w:rPr>
        <w:drawing>
          <wp:inline distT="0" distB="0" distL="0" distR="0" wp14:anchorId="6CA74A23" wp14:editId="68D40005">
            <wp:extent cx="2688590" cy="2251881"/>
            <wp:effectExtent l="0" t="0" r="0" b="0"/>
            <wp:docPr id="94198957" name="Picture 44" descr="A graph of a number of objec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98957" name="Picture 44" descr="A graph of a number of objects&#10;&#10;Description automatically generated with medium confidence"/>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6019" t="10588" r="12302"/>
                    <a:stretch/>
                  </pic:blipFill>
                  <pic:spPr bwMode="auto">
                    <a:xfrm>
                      <a:off x="0" y="0"/>
                      <a:ext cx="2690163" cy="2253199"/>
                    </a:xfrm>
                    <a:prstGeom prst="rect">
                      <a:avLst/>
                    </a:prstGeom>
                    <a:noFill/>
                    <a:ln>
                      <a:noFill/>
                    </a:ln>
                    <a:extLst>
                      <a:ext uri="{53640926-AAD7-44D8-BBD7-CCE9431645EC}">
                        <a14:shadowObscured xmlns:a14="http://schemas.microsoft.com/office/drawing/2010/main"/>
                      </a:ext>
                    </a:extLst>
                  </pic:spPr>
                </pic:pic>
              </a:graphicData>
            </a:graphic>
          </wp:inline>
        </w:drawing>
      </w:r>
    </w:p>
    <w:p w14:paraId="4CB09B79" w14:textId="77777777" w:rsidR="00DB3037" w:rsidRDefault="00DB3037" w:rsidP="00DB3037">
      <w:pPr>
        <w:rPr>
          <w:rFonts w:ascii="Times New Roman" w:hAnsi="Times New Roman" w:cs="Times New Roman"/>
        </w:rPr>
      </w:pPr>
      <w:r w:rsidRPr="00C1091B">
        <w:rPr>
          <w:rFonts w:ascii="Times New Roman" w:hAnsi="Times New Roman" w:cs="Times New Roman"/>
          <w:noProof/>
        </w:rPr>
        <w:drawing>
          <wp:inline distT="0" distB="0" distL="0" distR="0" wp14:anchorId="2811C1D2" wp14:editId="4C454E62">
            <wp:extent cx="2650490" cy="2289970"/>
            <wp:effectExtent l="0" t="0" r="0" b="0"/>
            <wp:docPr id="1499756045" name="Picture 46" descr="A graph with a number of line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756045" name="Picture 46" descr="A graph with a number of lines and a number of text&#10;&#10;Description automatically generated with medium confidence"/>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6945" t="9075" r="12534"/>
                    <a:stretch/>
                  </pic:blipFill>
                  <pic:spPr bwMode="auto">
                    <a:xfrm>
                      <a:off x="0" y="0"/>
                      <a:ext cx="2652044" cy="2291313"/>
                    </a:xfrm>
                    <a:prstGeom prst="rect">
                      <a:avLst/>
                    </a:prstGeom>
                    <a:noFill/>
                    <a:ln>
                      <a:noFill/>
                    </a:ln>
                    <a:extLst>
                      <a:ext uri="{53640926-AAD7-44D8-BBD7-CCE9431645EC}">
                        <a14:shadowObscured xmlns:a14="http://schemas.microsoft.com/office/drawing/2010/main"/>
                      </a:ext>
                    </a:extLst>
                  </pic:spPr>
                </pic:pic>
              </a:graphicData>
            </a:graphic>
          </wp:inline>
        </w:drawing>
      </w:r>
      <w:r w:rsidRPr="00DC6197">
        <w:rPr>
          <w:rFonts w:ascii="Times New Roman" w:hAnsi="Times New Roman" w:cs="Times New Roman"/>
          <w:noProof/>
        </w:rPr>
        <w:drawing>
          <wp:inline distT="0" distB="0" distL="0" distR="0" wp14:anchorId="19DCEF2E" wp14:editId="4BD06890">
            <wp:extent cx="2574290" cy="2305207"/>
            <wp:effectExtent l="0" t="0" r="0" b="0"/>
            <wp:docPr id="1634145193" name="Picture 48" descr="A graph with a number of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145193" name="Picture 48" descr="A graph with a number of numbers and a number of text&#10;&#10;Description automatically generated with medium confidence"/>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9260" t="8470" r="12534"/>
                    <a:stretch/>
                  </pic:blipFill>
                  <pic:spPr bwMode="auto">
                    <a:xfrm>
                      <a:off x="0" y="0"/>
                      <a:ext cx="2575799" cy="2306559"/>
                    </a:xfrm>
                    <a:prstGeom prst="rect">
                      <a:avLst/>
                    </a:prstGeom>
                    <a:noFill/>
                    <a:ln>
                      <a:noFill/>
                    </a:ln>
                    <a:extLst>
                      <a:ext uri="{53640926-AAD7-44D8-BBD7-CCE9431645EC}">
                        <a14:shadowObscured xmlns:a14="http://schemas.microsoft.com/office/drawing/2010/main"/>
                      </a:ext>
                    </a:extLst>
                  </pic:spPr>
                </pic:pic>
              </a:graphicData>
            </a:graphic>
          </wp:inline>
        </w:drawing>
      </w:r>
    </w:p>
    <w:p w14:paraId="2E493E36" w14:textId="77777777" w:rsidR="00DB3037" w:rsidRPr="00DC6197" w:rsidRDefault="00DB3037" w:rsidP="00DB3037">
      <w:pPr>
        <w:rPr>
          <w:rFonts w:ascii="Times New Roman" w:hAnsi="Times New Roman" w:cs="Times New Roman"/>
        </w:rPr>
      </w:pPr>
    </w:p>
    <w:p w14:paraId="4AE45B82" w14:textId="77777777" w:rsidR="00DB3037" w:rsidRDefault="00DB3037" w:rsidP="00DB3037">
      <w:pPr>
        <w:rPr>
          <w:rFonts w:ascii="Times New Roman" w:hAnsi="Times New Roman" w:cs="Times New Roman"/>
        </w:rPr>
      </w:pPr>
      <w:r w:rsidRPr="00DC6197">
        <w:rPr>
          <w:rFonts w:ascii="Times New Roman" w:hAnsi="Times New Roman" w:cs="Times New Roman"/>
          <w:noProof/>
        </w:rPr>
        <w:lastRenderedPageBreak/>
        <w:drawing>
          <wp:inline distT="0" distB="0" distL="0" distR="0" wp14:anchorId="154846A4" wp14:editId="10CAAB64">
            <wp:extent cx="2680970" cy="2259500"/>
            <wp:effectExtent l="0" t="0" r="5080" b="7620"/>
            <wp:docPr id="618560703" name="Picture 50" descr="A chart with numbers and a number of objec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560703" name="Picture 50" descr="A chart with numbers and a number of objects&#10;&#10;Description automatically generated with medium confidence"/>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6251" t="10285" r="12302"/>
                    <a:stretch/>
                  </pic:blipFill>
                  <pic:spPr bwMode="auto">
                    <a:xfrm>
                      <a:off x="0" y="0"/>
                      <a:ext cx="2681522" cy="2259965"/>
                    </a:xfrm>
                    <a:prstGeom prst="rect">
                      <a:avLst/>
                    </a:prstGeom>
                    <a:noFill/>
                    <a:ln>
                      <a:noFill/>
                    </a:ln>
                    <a:extLst>
                      <a:ext uri="{53640926-AAD7-44D8-BBD7-CCE9431645EC}">
                        <a14:shadowObscured xmlns:a14="http://schemas.microsoft.com/office/drawing/2010/main"/>
                      </a:ext>
                    </a:extLst>
                  </pic:spPr>
                </pic:pic>
              </a:graphicData>
            </a:graphic>
          </wp:inline>
        </w:drawing>
      </w:r>
      <w:r w:rsidRPr="00DC6197">
        <w:rPr>
          <w:rFonts w:ascii="Times New Roman" w:hAnsi="Times New Roman" w:cs="Times New Roman"/>
          <w:noProof/>
        </w:rPr>
        <w:drawing>
          <wp:inline distT="0" distB="0" distL="0" distR="0" wp14:anchorId="4A1DDC71" wp14:editId="769EAEF8">
            <wp:extent cx="2635250" cy="2305207"/>
            <wp:effectExtent l="0" t="0" r="0" b="0"/>
            <wp:docPr id="1729450223" name="Picture 52" descr="A graph with a number of squares and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450223" name="Picture 52" descr="A graph with a number of squares and a number of numbers&#10;&#10;Description automatically generated with medium confidence"/>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7408" t="8470" r="12534"/>
                    <a:stretch/>
                  </pic:blipFill>
                  <pic:spPr bwMode="auto">
                    <a:xfrm>
                      <a:off x="0" y="0"/>
                      <a:ext cx="2636795" cy="2306559"/>
                    </a:xfrm>
                    <a:prstGeom prst="rect">
                      <a:avLst/>
                    </a:prstGeom>
                    <a:noFill/>
                    <a:ln>
                      <a:noFill/>
                    </a:ln>
                    <a:extLst>
                      <a:ext uri="{53640926-AAD7-44D8-BBD7-CCE9431645EC}">
                        <a14:shadowObscured xmlns:a14="http://schemas.microsoft.com/office/drawing/2010/main"/>
                      </a:ext>
                    </a:extLst>
                  </pic:spPr>
                </pic:pic>
              </a:graphicData>
            </a:graphic>
          </wp:inline>
        </w:drawing>
      </w:r>
    </w:p>
    <w:p w14:paraId="3597656A" w14:textId="77777777" w:rsidR="00DB3037" w:rsidRPr="00010F73" w:rsidRDefault="00DB3037" w:rsidP="00DB3037">
      <w:pPr>
        <w:pStyle w:val="Didascalia"/>
        <w:jc w:val="both"/>
        <w:rPr>
          <w:rFonts w:ascii="Arial" w:hAnsi="Arial" w:cs="Arial"/>
          <w:i w:val="0"/>
          <w:iCs w:val="0"/>
          <w:color w:val="auto"/>
          <w:sz w:val="16"/>
          <w:szCs w:val="16"/>
          <w:lang w:val="en-GB"/>
        </w:rPr>
      </w:pPr>
      <w:r w:rsidRPr="00010F73">
        <w:rPr>
          <w:rFonts w:ascii="Arial" w:hAnsi="Arial" w:cs="Arial"/>
          <w:b/>
          <w:bCs/>
          <w:i w:val="0"/>
          <w:iCs w:val="0"/>
          <w:color w:val="auto"/>
          <w:sz w:val="16"/>
          <w:szCs w:val="16"/>
        </w:rPr>
        <w:t>Figure S</w:t>
      </w:r>
      <w:r w:rsidRPr="00010F73">
        <w:rPr>
          <w:rFonts w:ascii="Arial" w:hAnsi="Arial" w:cs="Arial"/>
          <w:b/>
          <w:bCs/>
          <w:i w:val="0"/>
          <w:iCs w:val="0"/>
          <w:color w:val="auto"/>
          <w:sz w:val="16"/>
          <w:szCs w:val="16"/>
          <w:lang w:val="en-GB"/>
        </w:rPr>
        <w:t>6</w:t>
      </w:r>
      <w:r w:rsidRPr="00010F73">
        <w:rPr>
          <w:rFonts w:ascii="Arial" w:hAnsi="Arial" w:cs="Arial"/>
          <w:b/>
          <w:bCs/>
          <w:i w:val="0"/>
          <w:iCs w:val="0"/>
          <w:color w:val="auto"/>
          <w:sz w:val="16"/>
          <w:szCs w:val="16"/>
        </w:rPr>
        <w:t>.</w:t>
      </w:r>
      <w:r w:rsidRPr="00010F73">
        <w:rPr>
          <w:rFonts w:ascii="Arial" w:hAnsi="Arial" w:cs="Arial"/>
          <w:i w:val="0"/>
          <w:iCs w:val="0"/>
          <w:color w:val="auto"/>
          <w:sz w:val="16"/>
          <w:szCs w:val="16"/>
        </w:rPr>
        <w:t xml:space="preserve"> Box plots illustrating the distribution of response values across the levels of each factor.</w:t>
      </w:r>
    </w:p>
    <w:p w14:paraId="0C1A6F86" w14:textId="77777777" w:rsidR="00DB3037" w:rsidRDefault="00DB3037" w:rsidP="00DB3037">
      <w:pPr>
        <w:pStyle w:val="Didascalia"/>
        <w:jc w:val="both"/>
        <w:rPr>
          <w:rFonts w:ascii="Arial" w:hAnsi="Arial" w:cs="Arial"/>
          <w:i w:val="0"/>
          <w:iCs w:val="0"/>
          <w:color w:val="auto"/>
          <w:sz w:val="16"/>
          <w:szCs w:val="16"/>
          <w:lang w:val="en-GB"/>
        </w:rPr>
      </w:pPr>
      <w:r w:rsidRPr="00010F73">
        <w:rPr>
          <w:rFonts w:ascii="Arial" w:hAnsi="Arial" w:cs="Arial"/>
          <w:i w:val="0"/>
          <w:iCs w:val="0"/>
          <w:color w:val="auto"/>
          <w:sz w:val="16"/>
          <w:szCs w:val="16"/>
          <w:lang w:val="en-GB"/>
        </w:rPr>
        <w:t>*</w:t>
      </w:r>
      <w:r w:rsidRPr="00010F73">
        <w:rPr>
          <w:rFonts w:ascii="Arial" w:hAnsi="Arial" w:cs="Arial"/>
          <w:i w:val="0"/>
          <w:iCs w:val="0"/>
          <w:color w:val="auto"/>
          <w:sz w:val="16"/>
          <w:szCs w:val="16"/>
        </w:rPr>
        <w:t xml:space="preserve">* </w:t>
      </w:r>
      <w:r w:rsidRPr="00010F73">
        <w:rPr>
          <w:rFonts w:ascii="Arial" w:hAnsi="Arial" w:cs="Arial"/>
          <w:i w:val="0"/>
          <w:iCs w:val="0"/>
          <w:color w:val="auto"/>
          <w:sz w:val="16"/>
          <w:szCs w:val="16"/>
          <w:lang w:val="en-GB"/>
        </w:rPr>
        <w:t>T</w:t>
      </w:r>
      <w:r w:rsidRPr="00010F73">
        <w:rPr>
          <w:rFonts w:ascii="Arial" w:hAnsi="Arial" w:cs="Arial"/>
          <w:i w:val="0"/>
          <w:iCs w:val="0"/>
          <w:color w:val="auto"/>
          <w:sz w:val="16"/>
          <w:szCs w:val="16"/>
        </w:rPr>
        <w:t>he concentration</w:t>
      </w:r>
      <w:r w:rsidRPr="00010F73">
        <w:rPr>
          <w:rFonts w:ascii="Arial" w:hAnsi="Arial" w:cs="Arial"/>
          <w:i w:val="0"/>
          <w:iCs w:val="0"/>
          <w:color w:val="auto"/>
          <w:sz w:val="16"/>
          <w:szCs w:val="16"/>
          <w:lang w:val="en-GB"/>
        </w:rPr>
        <w:t>s</w:t>
      </w:r>
      <w:r w:rsidRPr="00010F73">
        <w:rPr>
          <w:rFonts w:ascii="Arial" w:hAnsi="Arial" w:cs="Arial"/>
          <w:i w:val="0"/>
          <w:iCs w:val="0"/>
          <w:color w:val="auto"/>
          <w:sz w:val="16"/>
          <w:szCs w:val="16"/>
        </w:rPr>
        <w:t xml:space="preserve"> of </w:t>
      </w:r>
      <w:r w:rsidRPr="00010F73">
        <w:rPr>
          <w:rFonts w:ascii="Arial" w:hAnsi="Arial" w:cs="Arial"/>
          <w:i w:val="0"/>
          <w:iCs w:val="0"/>
          <w:color w:val="auto"/>
          <w:sz w:val="16"/>
          <w:szCs w:val="16"/>
          <w:lang w:val="en-GB"/>
        </w:rPr>
        <w:t xml:space="preserve">0.25, 0.5 and </w:t>
      </w:r>
      <w:r w:rsidRPr="00010F73">
        <w:rPr>
          <w:rFonts w:ascii="Arial" w:hAnsi="Arial" w:cs="Arial"/>
          <w:i w:val="0"/>
          <w:iCs w:val="0"/>
          <w:color w:val="auto"/>
          <w:sz w:val="16"/>
          <w:szCs w:val="16"/>
        </w:rPr>
        <w:t xml:space="preserve">1 M </w:t>
      </w:r>
      <w:r w:rsidRPr="00010F73">
        <w:rPr>
          <w:rFonts w:ascii="Arial" w:hAnsi="Arial" w:cs="Arial"/>
          <w:i w:val="0"/>
          <w:iCs w:val="0"/>
          <w:color w:val="auto"/>
          <w:sz w:val="16"/>
          <w:szCs w:val="16"/>
          <w:lang w:val="en-GB"/>
        </w:rPr>
        <w:t xml:space="preserve">AB (initial concentrations) </w:t>
      </w:r>
      <w:r w:rsidRPr="00010F73">
        <w:rPr>
          <w:rFonts w:ascii="Arial" w:hAnsi="Arial" w:cs="Arial"/>
          <w:i w:val="0"/>
          <w:iCs w:val="0"/>
          <w:color w:val="auto"/>
          <w:sz w:val="16"/>
          <w:szCs w:val="16"/>
        </w:rPr>
        <w:t>correspond to</w:t>
      </w:r>
      <w:r w:rsidRPr="00010F73">
        <w:rPr>
          <w:rFonts w:ascii="Arial" w:hAnsi="Arial" w:cs="Arial"/>
          <w:i w:val="0"/>
          <w:iCs w:val="0"/>
          <w:color w:val="auto"/>
          <w:sz w:val="16"/>
          <w:szCs w:val="16"/>
          <w:lang w:val="en-GB"/>
        </w:rPr>
        <w:t xml:space="preserve"> the </w:t>
      </w:r>
      <w:r w:rsidRPr="00010F73">
        <w:rPr>
          <w:rFonts w:ascii="Arial" w:hAnsi="Arial" w:cs="Arial"/>
          <w:i w:val="0"/>
          <w:iCs w:val="0"/>
          <w:color w:val="auto"/>
          <w:sz w:val="16"/>
          <w:szCs w:val="16"/>
        </w:rPr>
        <w:t>final concentration</w:t>
      </w:r>
      <w:r w:rsidRPr="00010F73">
        <w:rPr>
          <w:rFonts w:ascii="Arial" w:hAnsi="Arial" w:cs="Arial"/>
          <w:i w:val="0"/>
          <w:iCs w:val="0"/>
          <w:color w:val="auto"/>
          <w:sz w:val="16"/>
          <w:szCs w:val="16"/>
          <w:lang w:val="en-GB"/>
        </w:rPr>
        <w:t>s of</w:t>
      </w:r>
      <w:r w:rsidRPr="00010F73">
        <w:rPr>
          <w:rFonts w:ascii="Arial" w:hAnsi="Arial" w:cs="Arial"/>
          <w:i w:val="0"/>
          <w:iCs w:val="0"/>
          <w:color w:val="auto"/>
          <w:sz w:val="16"/>
          <w:szCs w:val="16"/>
        </w:rPr>
        <w:t xml:space="preserve"> </w:t>
      </w:r>
      <w:r w:rsidRPr="00010F73">
        <w:rPr>
          <w:rFonts w:ascii="Arial" w:hAnsi="Arial" w:cs="Arial"/>
          <w:i w:val="0"/>
          <w:iCs w:val="0"/>
          <w:color w:val="auto"/>
          <w:sz w:val="16"/>
          <w:szCs w:val="16"/>
          <w:lang w:val="en-GB"/>
        </w:rPr>
        <w:t xml:space="preserve">22.7, 45.5 and </w:t>
      </w:r>
      <w:r w:rsidRPr="00010F73">
        <w:rPr>
          <w:rFonts w:ascii="Arial" w:hAnsi="Arial" w:cs="Arial"/>
          <w:i w:val="0"/>
          <w:iCs w:val="0"/>
          <w:color w:val="auto"/>
          <w:sz w:val="16"/>
          <w:szCs w:val="16"/>
        </w:rPr>
        <w:t xml:space="preserve">90.9 mM </w:t>
      </w:r>
      <w:r w:rsidRPr="00010F73">
        <w:rPr>
          <w:rFonts w:ascii="Arial" w:hAnsi="Arial" w:cs="Arial"/>
          <w:i w:val="0"/>
          <w:iCs w:val="0"/>
          <w:color w:val="auto"/>
          <w:sz w:val="16"/>
          <w:szCs w:val="16"/>
          <w:lang w:val="en-GB"/>
        </w:rPr>
        <w:t xml:space="preserve">AB </w:t>
      </w:r>
      <w:r w:rsidRPr="00010F73">
        <w:rPr>
          <w:rFonts w:ascii="Arial" w:hAnsi="Arial" w:cs="Arial"/>
          <w:i w:val="0"/>
          <w:iCs w:val="0"/>
          <w:color w:val="auto"/>
          <w:sz w:val="16"/>
          <w:szCs w:val="16"/>
        </w:rPr>
        <w:t>in the reactor</w:t>
      </w:r>
      <w:r w:rsidRPr="00010F73">
        <w:rPr>
          <w:rFonts w:ascii="Arial" w:hAnsi="Arial" w:cs="Arial"/>
          <w:i w:val="0"/>
          <w:iCs w:val="0"/>
          <w:color w:val="auto"/>
          <w:sz w:val="16"/>
          <w:szCs w:val="16"/>
          <w:lang w:val="en-GB"/>
        </w:rPr>
        <w:t>, respectively</w:t>
      </w:r>
      <w:r w:rsidRPr="00010F73">
        <w:rPr>
          <w:rFonts w:ascii="Arial" w:hAnsi="Arial" w:cs="Arial"/>
          <w:i w:val="0"/>
          <w:iCs w:val="0"/>
          <w:color w:val="auto"/>
          <w:sz w:val="16"/>
          <w:szCs w:val="16"/>
        </w:rPr>
        <w:t>.</w:t>
      </w:r>
    </w:p>
    <w:p w14:paraId="4B4F5EE8" w14:textId="77777777" w:rsidR="00A10A0D" w:rsidRPr="00A10A0D" w:rsidRDefault="00A10A0D" w:rsidP="00A10A0D">
      <w:pPr>
        <w:rPr>
          <w:lang w:val="en-GB"/>
        </w:rPr>
      </w:pPr>
    </w:p>
    <w:p w14:paraId="6D351D40" w14:textId="77777777" w:rsidR="00DB3037" w:rsidRPr="009854C2" w:rsidRDefault="00DB3037" w:rsidP="00DB3037">
      <w:r w:rsidRPr="009854C2">
        <w:rPr>
          <w:noProof/>
        </w:rPr>
        <w:drawing>
          <wp:inline distT="0" distB="0" distL="0" distR="0" wp14:anchorId="40AB4AB8" wp14:editId="065E3A9B">
            <wp:extent cx="2844948" cy="2304000"/>
            <wp:effectExtent l="0" t="0" r="0" b="1270"/>
            <wp:docPr id="159399737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7292" t="4237" r="11991" b="10327"/>
                    <a:stretch/>
                  </pic:blipFill>
                  <pic:spPr bwMode="auto">
                    <a:xfrm>
                      <a:off x="0" y="0"/>
                      <a:ext cx="2844948" cy="2304000"/>
                    </a:xfrm>
                    <a:prstGeom prst="rect">
                      <a:avLst/>
                    </a:prstGeom>
                    <a:noFill/>
                    <a:ln>
                      <a:noFill/>
                    </a:ln>
                    <a:extLst>
                      <a:ext uri="{53640926-AAD7-44D8-BBD7-CCE9431645EC}">
                        <a14:shadowObscured xmlns:a14="http://schemas.microsoft.com/office/drawing/2010/main"/>
                      </a:ext>
                    </a:extLst>
                  </pic:spPr>
                </pic:pic>
              </a:graphicData>
            </a:graphic>
          </wp:inline>
        </w:drawing>
      </w:r>
      <w:r w:rsidRPr="000251B2">
        <w:rPr>
          <w:noProof/>
        </w:rPr>
        <w:drawing>
          <wp:inline distT="0" distB="0" distL="0" distR="0" wp14:anchorId="67FB03E7" wp14:editId="23D1AC95">
            <wp:extent cx="2742518" cy="2304000"/>
            <wp:effectExtent l="0" t="0" r="1270" b="1270"/>
            <wp:docPr id="13509787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8372" t="3883" r="12531" b="9268"/>
                    <a:stretch/>
                  </pic:blipFill>
                  <pic:spPr bwMode="auto">
                    <a:xfrm>
                      <a:off x="0" y="0"/>
                      <a:ext cx="2742518" cy="2304000"/>
                    </a:xfrm>
                    <a:prstGeom prst="rect">
                      <a:avLst/>
                    </a:prstGeom>
                    <a:noFill/>
                    <a:ln>
                      <a:noFill/>
                    </a:ln>
                    <a:extLst>
                      <a:ext uri="{53640926-AAD7-44D8-BBD7-CCE9431645EC}">
                        <a14:shadowObscured xmlns:a14="http://schemas.microsoft.com/office/drawing/2010/main"/>
                      </a:ext>
                    </a:extLst>
                  </pic:spPr>
                </pic:pic>
              </a:graphicData>
            </a:graphic>
          </wp:inline>
        </w:drawing>
      </w:r>
    </w:p>
    <w:p w14:paraId="29B01B95" w14:textId="77777777" w:rsidR="00DB3037" w:rsidRDefault="00DB3037" w:rsidP="00DB3037">
      <w:pPr>
        <w:rPr>
          <w:rFonts w:ascii="Times New Roman" w:hAnsi="Times New Roman" w:cs="Times New Roman"/>
        </w:rPr>
      </w:pPr>
      <w:r w:rsidRPr="00FD40B7">
        <w:rPr>
          <w:noProof/>
        </w:rPr>
        <w:drawing>
          <wp:inline distT="0" distB="0" distL="0" distR="0" wp14:anchorId="3DD686AD" wp14:editId="69F97DAD">
            <wp:extent cx="2766841" cy="2304000"/>
            <wp:effectExtent l="0" t="0" r="0" b="1270"/>
            <wp:docPr id="20530719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6751" t="2472" r="12801" b="9973"/>
                    <a:stretch/>
                  </pic:blipFill>
                  <pic:spPr bwMode="auto">
                    <a:xfrm>
                      <a:off x="0" y="0"/>
                      <a:ext cx="2766841" cy="2304000"/>
                    </a:xfrm>
                    <a:prstGeom prst="rect">
                      <a:avLst/>
                    </a:prstGeom>
                    <a:noFill/>
                    <a:ln>
                      <a:noFill/>
                    </a:ln>
                    <a:extLst>
                      <a:ext uri="{53640926-AAD7-44D8-BBD7-CCE9431645EC}">
                        <a14:shadowObscured xmlns:a14="http://schemas.microsoft.com/office/drawing/2010/main"/>
                      </a:ext>
                    </a:extLst>
                  </pic:spPr>
                </pic:pic>
              </a:graphicData>
            </a:graphic>
          </wp:inline>
        </w:drawing>
      </w:r>
    </w:p>
    <w:p w14:paraId="641EFC5E" w14:textId="77777777" w:rsidR="00DB3037" w:rsidRDefault="00DB3037" w:rsidP="00DB3037">
      <w:pPr>
        <w:pStyle w:val="Didascalia"/>
        <w:jc w:val="both"/>
        <w:rPr>
          <w:rFonts w:ascii="Arial" w:hAnsi="Arial" w:cs="Arial"/>
          <w:i w:val="0"/>
          <w:iCs w:val="0"/>
          <w:color w:val="auto"/>
          <w:sz w:val="16"/>
          <w:szCs w:val="16"/>
          <w:lang w:val="en-GB"/>
        </w:rPr>
      </w:pPr>
      <w:r w:rsidRPr="00010F73">
        <w:rPr>
          <w:rFonts w:ascii="Arial" w:hAnsi="Arial" w:cs="Arial"/>
          <w:b/>
          <w:bCs/>
          <w:i w:val="0"/>
          <w:iCs w:val="0"/>
          <w:color w:val="auto"/>
          <w:sz w:val="16"/>
          <w:szCs w:val="16"/>
        </w:rPr>
        <w:t>Figure S</w:t>
      </w:r>
      <w:r w:rsidRPr="00010F73">
        <w:rPr>
          <w:rFonts w:ascii="Arial" w:hAnsi="Arial" w:cs="Arial"/>
          <w:b/>
          <w:bCs/>
          <w:i w:val="0"/>
          <w:iCs w:val="0"/>
          <w:color w:val="auto"/>
          <w:sz w:val="16"/>
          <w:szCs w:val="16"/>
          <w:lang w:val="en-GB"/>
        </w:rPr>
        <w:t>7</w:t>
      </w:r>
      <w:r w:rsidRPr="00010F73">
        <w:rPr>
          <w:rFonts w:ascii="Arial" w:hAnsi="Arial" w:cs="Arial"/>
          <w:b/>
          <w:bCs/>
          <w:i w:val="0"/>
          <w:iCs w:val="0"/>
          <w:color w:val="auto"/>
          <w:sz w:val="16"/>
          <w:szCs w:val="16"/>
        </w:rPr>
        <w:t>.</w:t>
      </w:r>
      <w:r w:rsidRPr="00010F73">
        <w:rPr>
          <w:rFonts w:ascii="Arial" w:hAnsi="Arial" w:cs="Arial"/>
          <w:i w:val="0"/>
          <w:iCs w:val="0"/>
          <w:color w:val="auto"/>
          <w:sz w:val="16"/>
          <w:szCs w:val="16"/>
        </w:rPr>
        <w:t xml:space="preserve"> Bar charts showing the F-statistics for each factor’s effect on the responses from one-way ANOVA analysis. </w:t>
      </w:r>
    </w:p>
    <w:p w14:paraId="13F26933" w14:textId="77777777" w:rsidR="00A10A0D" w:rsidRDefault="00A10A0D" w:rsidP="00A10A0D">
      <w:pPr>
        <w:rPr>
          <w:lang w:val="en-GB"/>
        </w:rPr>
      </w:pPr>
    </w:p>
    <w:p w14:paraId="67337EBE" w14:textId="596CC8BA" w:rsidR="00A10A0D" w:rsidRPr="00B21F34" w:rsidRDefault="00A10A0D" w:rsidP="00A10A0D">
      <w:pPr>
        <w:jc w:val="both"/>
        <w:rPr>
          <w:rFonts w:ascii="Arial" w:hAnsi="Arial" w:cs="Arial"/>
          <w:sz w:val="18"/>
          <w:szCs w:val="18"/>
          <w:lang w:val="en-GB"/>
        </w:rPr>
      </w:pPr>
      <w:r w:rsidRPr="00B21F34">
        <w:rPr>
          <w:rFonts w:ascii="Arial" w:hAnsi="Arial" w:cs="Arial"/>
          <w:b/>
          <w:bCs/>
          <w:sz w:val="18"/>
          <w:szCs w:val="18"/>
          <w:lang w:val="en-GB"/>
        </w:rPr>
        <w:lastRenderedPageBreak/>
        <w:t>Table S</w:t>
      </w:r>
      <w:r>
        <w:rPr>
          <w:rFonts w:ascii="Arial" w:hAnsi="Arial" w:cs="Arial"/>
          <w:b/>
          <w:bCs/>
          <w:sz w:val="18"/>
          <w:szCs w:val="18"/>
          <w:lang w:val="en-GB"/>
        </w:rPr>
        <w:t>2</w:t>
      </w:r>
      <w:r w:rsidRPr="00B21F34">
        <w:rPr>
          <w:rFonts w:ascii="Arial" w:hAnsi="Arial" w:cs="Arial"/>
          <w:b/>
          <w:bCs/>
          <w:sz w:val="18"/>
          <w:szCs w:val="18"/>
          <w:lang w:val="en-GB"/>
        </w:rPr>
        <w:t>.</w:t>
      </w:r>
      <w:r w:rsidRPr="00B21F34">
        <w:rPr>
          <w:rFonts w:ascii="Arial" w:hAnsi="Arial" w:cs="Arial"/>
          <w:sz w:val="18"/>
          <w:szCs w:val="18"/>
          <w:lang w:val="en-GB"/>
        </w:rPr>
        <w:t xml:space="preserve"> Kinetic properties of AB hydrolysis used in the model.</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2118"/>
        <w:gridCol w:w="2371"/>
        <w:gridCol w:w="2114"/>
      </w:tblGrid>
      <w:tr w:rsidR="00A10A0D" w:rsidRPr="00B21F34" w14:paraId="12D155C4" w14:textId="77777777" w:rsidTr="00C719B1">
        <w:tc>
          <w:tcPr>
            <w:tcW w:w="2413" w:type="dxa"/>
            <w:tcBorders>
              <w:top w:val="single" w:sz="4" w:space="0" w:color="auto"/>
              <w:left w:val="single" w:sz="4" w:space="0" w:color="auto"/>
              <w:bottom w:val="single" w:sz="4" w:space="0" w:color="auto"/>
            </w:tcBorders>
            <w:shd w:val="clear" w:color="auto" w:fill="BFBFBF" w:themeFill="background1" w:themeFillShade="BF"/>
          </w:tcPr>
          <w:p w14:paraId="3D922081" w14:textId="77777777" w:rsidR="00A10A0D" w:rsidRPr="00B21F34" w:rsidRDefault="00A10A0D" w:rsidP="00C719B1">
            <w:pPr>
              <w:rPr>
                <w:rFonts w:ascii="Arial" w:hAnsi="Arial" w:cs="Arial"/>
                <w:b/>
                <w:bCs/>
                <w:sz w:val="20"/>
                <w:szCs w:val="20"/>
                <w:lang w:val="en-GB"/>
              </w:rPr>
            </w:pPr>
            <w:r w:rsidRPr="00B21F34">
              <w:rPr>
                <w:rFonts w:ascii="Arial" w:hAnsi="Arial" w:cs="Arial"/>
                <w:b/>
                <w:bCs/>
                <w:sz w:val="20"/>
                <w:szCs w:val="20"/>
                <w:lang w:val="en-GB"/>
              </w:rPr>
              <w:t>Kinetic parameter</w:t>
            </w:r>
          </w:p>
        </w:tc>
        <w:tc>
          <w:tcPr>
            <w:tcW w:w="2118" w:type="dxa"/>
            <w:tcBorders>
              <w:top w:val="single" w:sz="4" w:space="0" w:color="auto"/>
              <w:bottom w:val="single" w:sz="4" w:space="0" w:color="auto"/>
            </w:tcBorders>
            <w:shd w:val="clear" w:color="auto" w:fill="BFBFBF" w:themeFill="background1" w:themeFillShade="BF"/>
          </w:tcPr>
          <w:p w14:paraId="29F5DAC4" w14:textId="77777777" w:rsidR="00A10A0D" w:rsidRPr="00B21F34" w:rsidRDefault="00A10A0D" w:rsidP="00C719B1">
            <w:pPr>
              <w:rPr>
                <w:rFonts w:ascii="Arial" w:hAnsi="Arial" w:cs="Arial"/>
                <w:b/>
                <w:bCs/>
                <w:sz w:val="20"/>
                <w:szCs w:val="20"/>
              </w:rPr>
            </w:pPr>
          </w:p>
        </w:tc>
        <w:tc>
          <w:tcPr>
            <w:tcW w:w="2371" w:type="dxa"/>
            <w:tcBorders>
              <w:top w:val="single" w:sz="4" w:space="0" w:color="auto"/>
              <w:bottom w:val="single" w:sz="4" w:space="0" w:color="auto"/>
            </w:tcBorders>
            <w:shd w:val="clear" w:color="auto" w:fill="BFBFBF" w:themeFill="background1" w:themeFillShade="BF"/>
          </w:tcPr>
          <w:p w14:paraId="57D66C3D" w14:textId="77777777" w:rsidR="00A10A0D" w:rsidRPr="00B21F34" w:rsidRDefault="00A10A0D" w:rsidP="00C719B1">
            <w:pPr>
              <w:rPr>
                <w:rFonts w:ascii="Arial" w:hAnsi="Arial" w:cs="Arial"/>
                <w:b/>
                <w:bCs/>
                <w:sz w:val="20"/>
                <w:szCs w:val="20"/>
              </w:rPr>
            </w:pPr>
          </w:p>
        </w:tc>
        <w:tc>
          <w:tcPr>
            <w:tcW w:w="2114" w:type="dxa"/>
            <w:tcBorders>
              <w:top w:val="single" w:sz="4" w:space="0" w:color="auto"/>
              <w:bottom w:val="single" w:sz="4" w:space="0" w:color="auto"/>
              <w:right w:val="single" w:sz="4" w:space="0" w:color="auto"/>
            </w:tcBorders>
            <w:shd w:val="clear" w:color="auto" w:fill="BFBFBF" w:themeFill="background1" w:themeFillShade="BF"/>
          </w:tcPr>
          <w:p w14:paraId="58035499" w14:textId="77777777" w:rsidR="00A10A0D" w:rsidRPr="00B21F34" w:rsidRDefault="00A10A0D" w:rsidP="00C719B1">
            <w:pPr>
              <w:rPr>
                <w:rFonts w:ascii="Arial" w:hAnsi="Arial" w:cs="Arial"/>
                <w:b/>
                <w:bCs/>
                <w:sz w:val="20"/>
                <w:szCs w:val="20"/>
              </w:rPr>
            </w:pPr>
          </w:p>
        </w:tc>
      </w:tr>
      <w:tr w:rsidR="00A10A0D" w:rsidRPr="00B21F34" w14:paraId="330FE8D2" w14:textId="77777777" w:rsidTr="00C719B1">
        <w:tc>
          <w:tcPr>
            <w:tcW w:w="2413" w:type="dxa"/>
            <w:tcBorders>
              <w:top w:val="single" w:sz="4" w:space="0" w:color="auto"/>
              <w:left w:val="single" w:sz="4" w:space="0" w:color="auto"/>
            </w:tcBorders>
          </w:tcPr>
          <w:p w14:paraId="03D3EE10" w14:textId="77777777" w:rsidR="00A10A0D" w:rsidRPr="00B21F34" w:rsidRDefault="00000000" w:rsidP="00C719B1">
            <w:pPr>
              <w:rPr>
                <w:rFonts w:ascii="Arial" w:hAnsi="Arial" w:cs="Arial"/>
                <w:sz w:val="20"/>
                <w:szCs w:val="20"/>
                <w:lang w:val="en-GB"/>
              </w:rPr>
            </w:pPr>
            <m:oMath>
              <m:sSub>
                <m:sSubPr>
                  <m:ctrlPr>
                    <w:rPr>
                      <w:rFonts w:ascii="Cambria Math" w:hAnsi="Cambria Math" w:cs="Arial"/>
                      <w:i/>
                      <w:sz w:val="20"/>
                      <w:szCs w:val="20"/>
                      <w:lang w:val="en-GB"/>
                    </w:rPr>
                  </m:ctrlPr>
                </m:sSubPr>
                <m:e>
                  <m:r>
                    <w:rPr>
                      <w:rFonts w:ascii="Cambria Math" w:hAnsi="Cambria Math" w:cs="Arial"/>
                      <w:sz w:val="20"/>
                      <w:szCs w:val="20"/>
                      <w:lang w:val="en-GB"/>
                    </w:rPr>
                    <m:t>E</m:t>
                  </m:r>
                </m:e>
                <m:sub>
                  <m:r>
                    <w:rPr>
                      <w:rFonts w:ascii="Cambria Math" w:hAnsi="Cambria Math" w:cs="Arial"/>
                      <w:sz w:val="20"/>
                      <w:szCs w:val="20"/>
                      <w:lang w:val="en-GB"/>
                    </w:rPr>
                    <m:t>a</m:t>
                  </m:r>
                </m:sub>
              </m:sSub>
            </m:oMath>
            <w:r w:rsidR="00A10A0D" w:rsidRPr="00B21F34">
              <w:rPr>
                <w:rFonts w:ascii="Arial" w:hAnsi="Arial" w:cs="Arial"/>
                <w:sz w:val="20"/>
                <w:szCs w:val="20"/>
                <w:lang w:val="en-GB"/>
              </w:rPr>
              <w:t xml:space="preserve"> (kJ/mol)</w:t>
            </w:r>
          </w:p>
        </w:tc>
        <w:tc>
          <w:tcPr>
            <w:tcW w:w="2118" w:type="dxa"/>
            <w:tcBorders>
              <w:top w:val="single" w:sz="4" w:space="0" w:color="auto"/>
            </w:tcBorders>
          </w:tcPr>
          <w:p w14:paraId="74609594" w14:textId="77777777" w:rsidR="00A10A0D" w:rsidRPr="00B21F34" w:rsidRDefault="00A10A0D" w:rsidP="00C719B1">
            <w:pPr>
              <w:rPr>
                <w:rFonts w:ascii="Arial" w:hAnsi="Arial" w:cs="Arial"/>
                <w:sz w:val="20"/>
                <w:szCs w:val="20"/>
              </w:rPr>
            </w:pPr>
          </w:p>
        </w:tc>
        <w:tc>
          <w:tcPr>
            <w:tcW w:w="2371" w:type="dxa"/>
            <w:tcBorders>
              <w:top w:val="single" w:sz="4" w:space="0" w:color="auto"/>
            </w:tcBorders>
          </w:tcPr>
          <w:p w14:paraId="385750B1" w14:textId="77777777" w:rsidR="00A10A0D" w:rsidRPr="00B21F34" w:rsidRDefault="00A10A0D" w:rsidP="00C719B1">
            <w:pPr>
              <w:rPr>
                <w:rFonts w:ascii="Arial" w:hAnsi="Arial" w:cs="Arial"/>
                <w:sz w:val="20"/>
                <w:szCs w:val="20"/>
                <w:lang w:val="en-GB"/>
              </w:rPr>
            </w:pPr>
            <w:r w:rsidRPr="00B21F34">
              <w:rPr>
                <w:rFonts w:ascii="Arial" w:hAnsi="Arial" w:cs="Arial"/>
                <w:sz w:val="20"/>
                <w:szCs w:val="20"/>
                <w:lang w:val="en-GB"/>
              </w:rPr>
              <w:t xml:space="preserve">65.9 </w:t>
            </w:r>
          </w:p>
        </w:tc>
        <w:tc>
          <w:tcPr>
            <w:tcW w:w="2114" w:type="dxa"/>
            <w:tcBorders>
              <w:top w:val="single" w:sz="4" w:space="0" w:color="auto"/>
              <w:right w:val="single" w:sz="4" w:space="0" w:color="auto"/>
            </w:tcBorders>
          </w:tcPr>
          <w:p w14:paraId="08BF6EF2" w14:textId="77777777" w:rsidR="00A10A0D" w:rsidRPr="00B21F34" w:rsidRDefault="00A10A0D" w:rsidP="00C719B1">
            <w:pPr>
              <w:rPr>
                <w:rFonts w:ascii="Arial" w:hAnsi="Arial" w:cs="Arial"/>
                <w:sz w:val="20"/>
                <w:szCs w:val="20"/>
              </w:rPr>
            </w:pPr>
          </w:p>
        </w:tc>
      </w:tr>
      <w:tr w:rsidR="00A10A0D" w:rsidRPr="00B21F34" w14:paraId="530D1929" w14:textId="77777777" w:rsidTr="00C719B1">
        <w:tc>
          <w:tcPr>
            <w:tcW w:w="2413" w:type="dxa"/>
            <w:tcBorders>
              <w:left w:val="single" w:sz="4" w:space="0" w:color="auto"/>
            </w:tcBorders>
          </w:tcPr>
          <w:p w14:paraId="04638EE5" w14:textId="77777777" w:rsidR="00A10A0D" w:rsidRPr="00B21F34" w:rsidRDefault="00A10A0D" w:rsidP="00C719B1">
            <w:pPr>
              <w:rPr>
                <w:rFonts w:ascii="Arial" w:hAnsi="Arial" w:cs="Arial"/>
                <w:sz w:val="20"/>
                <w:szCs w:val="20"/>
                <w:lang w:val="en-GB"/>
              </w:rPr>
            </w:pPr>
            <m:oMath>
              <m:r>
                <w:rPr>
                  <w:rFonts w:ascii="Cambria Math" w:hAnsi="Cambria Math" w:cs="Arial"/>
                  <w:sz w:val="20"/>
                  <w:szCs w:val="20"/>
                  <w:lang w:val="en-GB"/>
                </w:rPr>
                <m:t>A</m:t>
              </m:r>
            </m:oMath>
            <w:r w:rsidRPr="00B21F34">
              <w:rPr>
                <w:rFonts w:ascii="Arial" w:eastAsiaTheme="minorEastAsia" w:hAnsi="Arial" w:cs="Arial"/>
                <w:sz w:val="20"/>
                <w:szCs w:val="20"/>
                <w:lang w:val="en-GB"/>
              </w:rPr>
              <w:t xml:space="preserve"> </w:t>
            </w:r>
            <w:r w:rsidRPr="00B21F34">
              <w:rPr>
                <w:rFonts w:ascii="Arial" w:hAnsi="Arial" w:cs="Arial"/>
                <w:sz w:val="20"/>
                <w:szCs w:val="20"/>
                <w:lang w:val="en-GB"/>
              </w:rPr>
              <w:t>(mol/m</w:t>
            </w:r>
            <w:proofErr w:type="gramStart"/>
            <w:r w:rsidRPr="00B21F34">
              <w:rPr>
                <w:rFonts w:ascii="Arial" w:hAnsi="Arial" w:cs="Arial"/>
                <w:sz w:val="20"/>
                <w:szCs w:val="20"/>
                <w:vertAlign w:val="superscript"/>
                <w:lang w:val="en-GB"/>
              </w:rPr>
              <w:t>3</w:t>
            </w:r>
            <w:r w:rsidRPr="00B21F34">
              <w:rPr>
                <w:rFonts w:ascii="Arial" w:hAnsi="Arial" w:cs="Arial"/>
                <w:sz w:val="20"/>
                <w:szCs w:val="20"/>
                <w:lang w:val="en-GB"/>
              </w:rPr>
              <w:t>.s</w:t>
            </w:r>
            <w:proofErr w:type="gramEnd"/>
            <w:r w:rsidRPr="00B21F34">
              <w:rPr>
                <w:rFonts w:ascii="Arial" w:hAnsi="Arial" w:cs="Arial"/>
                <w:sz w:val="20"/>
                <w:szCs w:val="20"/>
                <w:lang w:val="en-GB"/>
              </w:rPr>
              <w:t>)</w:t>
            </w:r>
          </w:p>
        </w:tc>
        <w:tc>
          <w:tcPr>
            <w:tcW w:w="2118" w:type="dxa"/>
          </w:tcPr>
          <w:p w14:paraId="7A6D890E" w14:textId="77777777" w:rsidR="00A10A0D" w:rsidRPr="00B21F34" w:rsidRDefault="00A10A0D" w:rsidP="00C719B1">
            <w:pPr>
              <w:rPr>
                <w:rFonts w:ascii="Arial" w:hAnsi="Arial" w:cs="Arial"/>
                <w:sz w:val="20"/>
                <w:szCs w:val="20"/>
              </w:rPr>
            </w:pPr>
          </w:p>
        </w:tc>
        <w:tc>
          <w:tcPr>
            <w:tcW w:w="2371" w:type="dxa"/>
          </w:tcPr>
          <w:p w14:paraId="572FE22F" w14:textId="77777777" w:rsidR="00A10A0D" w:rsidRPr="00B21F34" w:rsidRDefault="00A10A0D" w:rsidP="00C719B1">
            <w:pPr>
              <w:rPr>
                <w:rFonts w:ascii="Arial" w:hAnsi="Arial" w:cs="Arial"/>
                <w:sz w:val="20"/>
                <w:szCs w:val="20"/>
                <w:vertAlign w:val="superscript"/>
                <w:lang w:val="en-GB"/>
              </w:rPr>
            </w:pPr>
            <w:r w:rsidRPr="00B21F34">
              <w:rPr>
                <w:rFonts w:ascii="Arial" w:hAnsi="Arial" w:cs="Arial"/>
                <w:sz w:val="20"/>
                <w:szCs w:val="20"/>
                <w:lang w:val="en-GB"/>
              </w:rPr>
              <w:t>7.45</w:t>
            </w:r>
            <m:oMath>
              <m:r>
                <w:rPr>
                  <w:rFonts w:ascii="Cambria Math" w:hAnsi="Cambria Math" w:cs="Arial"/>
                  <w:sz w:val="20"/>
                  <w:szCs w:val="20"/>
                  <w:lang w:val="en-GB"/>
                </w:rPr>
                <m:t>×</m:t>
              </m:r>
            </m:oMath>
            <w:r w:rsidRPr="00B21F34">
              <w:rPr>
                <w:rFonts w:ascii="Arial" w:eastAsiaTheme="minorEastAsia" w:hAnsi="Arial" w:cs="Arial"/>
                <w:sz w:val="20"/>
                <w:szCs w:val="20"/>
                <w:lang w:val="en-GB"/>
              </w:rPr>
              <w:t>10</w:t>
            </w:r>
            <w:r w:rsidRPr="00B21F34">
              <w:rPr>
                <w:rFonts w:ascii="Arial" w:eastAsiaTheme="minorEastAsia" w:hAnsi="Arial" w:cs="Arial"/>
                <w:sz w:val="20"/>
                <w:szCs w:val="20"/>
                <w:vertAlign w:val="superscript"/>
                <w:lang w:val="en-GB"/>
              </w:rPr>
              <w:t>11</w:t>
            </w:r>
          </w:p>
        </w:tc>
        <w:tc>
          <w:tcPr>
            <w:tcW w:w="2114" w:type="dxa"/>
            <w:tcBorders>
              <w:right w:val="single" w:sz="4" w:space="0" w:color="auto"/>
            </w:tcBorders>
          </w:tcPr>
          <w:p w14:paraId="630507E7" w14:textId="77777777" w:rsidR="00A10A0D" w:rsidRPr="00B21F34" w:rsidRDefault="00A10A0D" w:rsidP="00C719B1">
            <w:pPr>
              <w:rPr>
                <w:rFonts w:ascii="Arial" w:hAnsi="Arial" w:cs="Arial"/>
                <w:sz w:val="20"/>
                <w:szCs w:val="20"/>
              </w:rPr>
            </w:pPr>
          </w:p>
        </w:tc>
      </w:tr>
      <w:tr w:rsidR="00A10A0D" w:rsidRPr="00B21F34" w14:paraId="7FBA1FA1" w14:textId="77777777" w:rsidTr="00C719B1">
        <w:tc>
          <w:tcPr>
            <w:tcW w:w="2413" w:type="dxa"/>
            <w:tcBorders>
              <w:left w:val="single" w:sz="4" w:space="0" w:color="auto"/>
              <w:bottom w:val="single" w:sz="4" w:space="0" w:color="auto"/>
            </w:tcBorders>
          </w:tcPr>
          <w:p w14:paraId="388B177B" w14:textId="77777777" w:rsidR="00A10A0D" w:rsidRPr="00B21F34" w:rsidRDefault="00000000" w:rsidP="00C719B1">
            <w:pPr>
              <w:rPr>
                <w:rFonts w:ascii="Arial" w:hAnsi="Arial" w:cs="Arial"/>
                <w:sz w:val="20"/>
                <w:szCs w:val="20"/>
                <w:lang w:val="en-GB"/>
              </w:rPr>
            </w:pPr>
            <m:oMath>
              <m:sSub>
                <m:sSubPr>
                  <m:ctrlPr>
                    <w:rPr>
                      <w:rFonts w:ascii="Cambria Math" w:hAnsi="Cambria Math" w:cs="Arial"/>
                      <w:i/>
                      <w:sz w:val="20"/>
                      <w:szCs w:val="20"/>
                      <w:lang w:val="en-GB"/>
                    </w:rPr>
                  </m:ctrlPr>
                </m:sSubPr>
                <m:e>
                  <m:r>
                    <w:rPr>
                      <w:rFonts w:ascii="Cambria Math" w:hAnsi="Cambria Math" w:cs="Arial"/>
                      <w:sz w:val="20"/>
                      <w:szCs w:val="20"/>
                      <w:lang w:val="en-GB"/>
                    </w:rPr>
                    <m:t>K</m:t>
                  </m:r>
                </m:e>
                <m:sub>
                  <m:r>
                    <w:rPr>
                      <w:rFonts w:ascii="Cambria Math" w:hAnsi="Cambria Math" w:cs="Arial"/>
                      <w:sz w:val="20"/>
                      <w:szCs w:val="20"/>
                      <w:lang w:val="en-GB"/>
                    </w:rPr>
                    <m:t>ads</m:t>
                  </m:r>
                </m:sub>
              </m:sSub>
            </m:oMath>
            <w:r w:rsidR="00A10A0D" w:rsidRPr="00B21F34">
              <w:rPr>
                <w:rFonts w:ascii="Arial" w:eastAsiaTheme="minorEastAsia" w:hAnsi="Arial" w:cs="Arial"/>
                <w:sz w:val="20"/>
                <w:szCs w:val="20"/>
                <w:lang w:val="en-GB"/>
              </w:rPr>
              <w:t xml:space="preserve"> (m</w:t>
            </w:r>
            <w:r w:rsidR="00A10A0D" w:rsidRPr="00B21F34">
              <w:rPr>
                <w:rFonts w:ascii="Arial" w:eastAsiaTheme="minorEastAsia" w:hAnsi="Arial" w:cs="Arial"/>
                <w:sz w:val="20"/>
                <w:szCs w:val="20"/>
                <w:vertAlign w:val="superscript"/>
                <w:lang w:val="en-GB"/>
              </w:rPr>
              <w:t>3</w:t>
            </w:r>
            <w:r w:rsidR="00A10A0D" w:rsidRPr="00B21F34">
              <w:rPr>
                <w:rFonts w:ascii="Arial" w:eastAsiaTheme="minorEastAsia" w:hAnsi="Arial" w:cs="Arial"/>
                <w:sz w:val="20"/>
                <w:szCs w:val="20"/>
                <w:lang w:val="en-GB"/>
              </w:rPr>
              <w:t>/mol)</w:t>
            </w:r>
          </w:p>
        </w:tc>
        <w:tc>
          <w:tcPr>
            <w:tcW w:w="2118" w:type="dxa"/>
            <w:tcBorders>
              <w:bottom w:val="single" w:sz="4" w:space="0" w:color="auto"/>
            </w:tcBorders>
          </w:tcPr>
          <w:p w14:paraId="4B109E81" w14:textId="77777777" w:rsidR="00A10A0D" w:rsidRPr="00B21F34" w:rsidRDefault="00A10A0D" w:rsidP="00C719B1">
            <w:pPr>
              <w:rPr>
                <w:rFonts w:ascii="Arial" w:hAnsi="Arial" w:cs="Arial"/>
                <w:sz w:val="20"/>
                <w:szCs w:val="20"/>
              </w:rPr>
            </w:pPr>
          </w:p>
        </w:tc>
        <w:tc>
          <w:tcPr>
            <w:tcW w:w="2371" w:type="dxa"/>
            <w:tcBorders>
              <w:bottom w:val="single" w:sz="4" w:space="0" w:color="auto"/>
            </w:tcBorders>
          </w:tcPr>
          <w:p w14:paraId="579D8604" w14:textId="77777777" w:rsidR="00A10A0D" w:rsidRPr="00B21F34" w:rsidRDefault="00A10A0D" w:rsidP="00C719B1">
            <w:pPr>
              <w:rPr>
                <w:rFonts w:ascii="Arial" w:hAnsi="Arial" w:cs="Arial"/>
                <w:sz w:val="20"/>
                <w:szCs w:val="20"/>
                <w:lang w:val="en-GB"/>
              </w:rPr>
            </w:pPr>
            <w:r w:rsidRPr="00B21F34">
              <w:rPr>
                <w:rFonts w:ascii="Arial" w:hAnsi="Arial" w:cs="Arial"/>
                <w:sz w:val="20"/>
                <w:szCs w:val="20"/>
                <w:lang w:val="en-GB"/>
              </w:rPr>
              <w:t>0.07</w:t>
            </w:r>
          </w:p>
        </w:tc>
        <w:tc>
          <w:tcPr>
            <w:tcW w:w="2114" w:type="dxa"/>
            <w:tcBorders>
              <w:bottom w:val="single" w:sz="4" w:space="0" w:color="auto"/>
              <w:right w:val="single" w:sz="4" w:space="0" w:color="auto"/>
            </w:tcBorders>
          </w:tcPr>
          <w:p w14:paraId="512B2869" w14:textId="77777777" w:rsidR="00A10A0D" w:rsidRPr="00B21F34" w:rsidRDefault="00A10A0D" w:rsidP="00C719B1">
            <w:pPr>
              <w:rPr>
                <w:rFonts w:ascii="Arial" w:hAnsi="Arial" w:cs="Arial"/>
                <w:sz w:val="20"/>
                <w:szCs w:val="20"/>
              </w:rPr>
            </w:pPr>
          </w:p>
        </w:tc>
      </w:tr>
      <w:tr w:rsidR="00A10A0D" w:rsidRPr="00B21F34" w14:paraId="4C2A3D54" w14:textId="77777777" w:rsidTr="00C719B1">
        <w:tc>
          <w:tcPr>
            <w:tcW w:w="901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25C5B60" w14:textId="77777777" w:rsidR="00A10A0D" w:rsidRPr="00B21F34" w:rsidRDefault="00A10A0D" w:rsidP="00C719B1">
            <w:pPr>
              <w:rPr>
                <w:rFonts w:ascii="Arial" w:hAnsi="Arial" w:cs="Arial"/>
                <w:b/>
                <w:bCs/>
                <w:sz w:val="20"/>
                <w:szCs w:val="20"/>
                <w:lang w:val="en-GB"/>
              </w:rPr>
            </w:pPr>
            <w:r w:rsidRPr="00B21F34">
              <w:rPr>
                <w:rFonts w:ascii="Arial" w:hAnsi="Arial" w:cs="Arial"/>
                <w:b/>
                <w:bCs/>
                <w:sz w:val="20"/>
                <w:szCs w:val="20"/>
                <w:lang w:val="en-GB"/>
              </w:rPr>
              <w:t>Kinetic constants at different temperatures</w:t>
            </w:r>
          </w:p>
        </w:tc>
      </w:tr>
      <w:tr w:rsidR="00A10A0D" w:rsidRPr="00B21F34" w14:paraId="10CE4364" w14:textId="77777777" w:rsidTr="00C719B1">
        <w:tc>
          <w:tcPr>
            <w:tcW w:w="2413" w:type="dxa"/>
            <w:tcBorders>
              <w:top w:val="single" w:sz="4" w:space="0" w:color="auto"/>
              <w:left w:val="single" w:sz="4" w:space="0" w:color="auto"/>
            </w:tcBorders>
          </w:tcPr>
          <w:p w14:paraId="0B7F95FD" w14:textId="77777777" w:rsidR="00A10A0D" w:rsidRPr="00B21F34" w:rsidRDefault="00A10A0D" w:rsidP="00C719B1">
            <w:pPr>
              <w:rPr>
                <w:rFonts w:ascii="Arial" w:hAnsi="Arial" w:cs="Arial"/>
                <w:sz w:val="20"/>
                <w:szCs w:val="20"/>
                <w:lang w:val="en-GB"/>
              </w:rPr>
            </w:pPr>
            <m:oMath>
              <m:r>
                <w:rPr>
                  <w:rFonts w:ascii="Cambria Math" w:hAnsi="Cambria Math" w:cs="Arial"/>
                  <w:sz w:val="20"/>
                  <w:szCs w:val="20"/>
                  <w:lang w:val="en-GB"/>
                </w:rPr>
                <m:t>k</m:t>
              </m:r>
            </m:oMath>
            <w:r w:rsidRPr="00B21F34">
              <w:rPr>
                <w:rFonts w:ascii="Arial" w:hAnsi="Arial" w:cs="Arial"/>
                <w:sz w:val="20"/>
                <w:szCs w:val="20"/>
                <w:lang w:val="en-GB"/>
              </w:rPr>
              <w:t xml:space="preserve"> at 30 </w:t>
            </w:r>
            <w:r w:rsidRPr="00B21F34">
              <w:rPr>
                <w:rFonts w:ascii="Arial" w:hAnsi="Arial" w:cs="Arial"/>
                <w:sz w:val="20"/>
                <w:szCs w:val="20"/>
                <w:vertAlign w:val="superscript"/>
                <w:lang w:val="en-GB"/>
              </w:rPr>
              <w:t>o</w:t>
            </w:r>
            <w:r w:rsidRPr="00B21F34">
              <w:rPr>
                <w:rFonts w:ascii="Arial" w:hAnsi="Arial" w:cs="Arial"/>
                <w:sz w:val="20"/>
                <w:szCs w:val="20"/>
                <w:lang w:val="en-GB"/>
              </w:rPr>
              <w:t>C (mol/m</w:t>
            </w:r>
            <w:proofErr w:type="gramStart"/>
            <w:r w:rsidRPr="00B21F34">
              <w:rPr>
                <w:rFonts w:ascii="Arial" w:hAnsi="Arial" w:cs="Arial"/>
                <w:sz w:val="20"/>
                <w:szCs w:val="20"/>
                <w:vertAlign w:val="superscript"/>
                <w:lang w:val="en-GB"/>
              </w:rPr>
              <w:t>3</w:t>
            </w:r>
            <w:r w:rsidRPr="00B21F34">
              <w:rPr>
                <w:rFonts w:ascii="Arial" w:hAnsi="Arial" w:cs="Arial"/>
                <w:sz w:val="20"/>
                <w:szCs w:val="20"/>
                <w:lang w:val="en-GB"/>
              </w:rPr>
              <w:t>.s</w:t>
            </w:r>
            <w:proofErr w:type="gramEnd"/>
            <w:r w:rsidRPr="00B21F34">
              <w:rPr>
                <w:rFonts w:ascii="Arial" w:hAnsi="Arial" w:cs="Arial"/>
                <w:sz w:val="20"/>
                <w:szCs w:val="20"/>
                <w:lang w:val="en-GB"/>
              </w:rPr>
              <w:t>)</w:t>
            </w:r>
          </w:p>
        </w:tc>
        <w:tc>
          <w:tcPr>
            <w:tcW w:w="2118" w:type="dxa"/>
            <w:tcBorders>
              <w:top w:val="single" w:sz="4" w:space="0" w:color="auto"/>
            </w:tcBorders>
          </w:tcPr>
          <w:p w14:paraId="38A9AF8D" w14:textId="77777777" w:rsidR="00A10A0D" w:rsidRPr="00B21F34" w:rsidRDefault="00A10A0D" w:rsidP="00C719B1">
            <w:pPr>
              <w:rPr>
                <w:rFonts w:ascii="Arial" w:hAnsi="Arial" w:cs="Arial"/>
                <w:sz w:val="20"/>
                <w:szCs w:val="20"/>
              </w:rPr>
            </w:pPr>
          </w:p>
        </w:tc>
        <w:tc>
          <w:tcPr>
            <w:tcW w:w="2371" w:type="dxa"/>
            <w:tcBorders>
              <w:top w:val="single" w:sz="4" w:space="0" w:color="auto"/>
            </w:tcBorders>
          </w:tcPr>
          <w:p w14:paraId="60C0873E" w14:textId="77777777" w:rsidR="00A10A0D" w:rsidRPr="00B21F34" w:rsidRDefault="00A10A0D" w:rsidP="00C719B1">
            <w:pPr>
              <w:rPr>
                <w:rFonts w:ascii="Arial" w:hAnsi="Arial" w:cs="Arial"/>
                <w:sz w:val="20"/>
                <w:szCs w:val="20"/>
                <w:lang w:val="en-GB"/>
              </w:rPr>
            </w:pPr>
            <w:r w:rsidRPr="00B21F34">
              <w:rPr>
                <w:rFonts w:ascii="Arial" w:hAnsi="Arial" w:cs="Arial"/>
                <w:sz w:val="20"/>
                <w:szCs w:val="20"/>
                <w:lang w:val="en-GB"/>
              </w:rPr>
              <w:t>3.16</w:t>
            </w:r>
          </w:p>
        </w:tc>
        <w:tc>
          <w:tcPr>
            <w:tcW w:w="2114" w:type="dxa"/>
            <w:tcBorders>
              <w:top w:val="single" w:sz="4" w:space="0" w:color="auto"/>
              <w:right w:val="single" w:sz="4" w:space="0" w:color="auto"/>
            </w:tcBorders>
          </w:tcPr>
          <w:p w14:paraId="55113941" w14:textId="77777777" w:rsidR="00A10A0D" w:rsidRPr="00B21F34" w:rsidRDefault="00A10A0D" w:rsidP="00C719B1">
            <w:pPr>
              <w:rPr>
                <w:rFonts w:ascii="Arial" w:hAnsi="Arial" w:cs="Arial"/>
                <w:sz w:val="20"/>
                <w:szCs w:val="20"/>
              </w:rPr>
            </w:pPr>
          </w:p>
        </w:tc>
      </w:tr>
      <w:tr w:rsidR="00A10A0D" w:rsidRPr="00B21F34" w14:paraId="1F004CB8" w14:textId="77777777" w:rsidTr="00C719B1">
        <w:tc>
          <w:tcPr>
            <w:tcW w:w="2413" w:type="dxa"/>
            <w:tcBorders>
              <w:left w:val="single" w:sz="4" w:space="0" w:color="auto"/>
            </w:tcBorders>
          </w:tcPr>
          <w:p w14:paraId="53FBFF76" w14:textId="77777777" w:rsidR="00A10A0D" w:rsidRPr="00B21F34" w:rsidRDefault="00A10A0D" w:rsidP="00C719B1">
            <w:pPr>
              <w:rPr>
                <w:rFonts w:ascii="Arial" w:hAnsi="Arial" w:cs="Arial"/>
                <w:sz w:val="20"/>
                <w:szCs w:val="20"/>
              </w:rPr>
            </w:pPr>
            <m:oMath>
              <m:r>
                <w:rPr>
                  <w:rFonts w:ascii="Cambria Math" w:hAnsi="Cambria Math" w:cs="Arial"/>
                  <w:sz w:val="20"/>
                  <w:szCs w:val="20"/>
                  <w:lang w:val="en-GB"/>
                </w:rPr>
                <m:t>k</m:t>
              </m:r>
            </m:oMath>
            <w:r w:rsidRPr="00B21F34">
              <w:rPr>
                <w:rFonts w:ascii="Arial" w:eastAsiaTheme="minorEastAsia" w:hAnsi="Arial" w:cs="Arial"/>
                <w:sz w:val="20"/>
                <w:szCs w:val="20"/>
                <w:lang w:val="en-GB"/>
              </w:rPr>
              <w:t xml:space="preserve"> at 40 </w:t>
            </w:r>
            <w:r w:rsidRPr="00B21F34">
              <w:rPr>
                <w:rFonts w:ascii="Arial" w:eastAsiaTheme="minorEastAsia" w:hAnsi="Arial" w:cs="Arial"/>
                <w:sz w:val="20"/>
                <w:szCs w:val="20"/>
                <w:vertAlign w:val="superscript"/>
                <w:lang w:val="en-GB"/>
              </w:rPr>
              <w:t>o</w:t>
            </w:r>
            <w:r w:rsidRPr="00B21F34">
              <w:rPr>
                <w:rFonts w:ascii="Arial" w:eastAsiaTheme="minorEastAsia" w:hAnsi="Arial" w:cs="Arial"/>
                <w:sz w:val="20"/>
                <w:szCs w:val="20"/>
                <w:lang w:val="en-GB"/>
              </w:rPr>
              <w:t xml:space="preserve">C </w:t>
            </w:r>
            <w:r w:rsidRPr="00B21F34">
              <w:rPr>
                <w:rFonts w:ascii="Arial" w:hAnsi="Arial" w:cs="Arial"/>
                <w:sz w:val="20"/>
                <w:szCs w:val="20"/>
                <w:lang w:val="en-GB"/>
              </w:rPr>
              <w:t>(mol/m</w:t>
            </w:r>
            <w:proofErr w:type="gramStart"/>
            <w:r w:rsidRPr="00B21F34">
              <w:rPr>
                <w:rFonts w:ascii="Arial" w:hAnsi="Arial" w:cs="Arial"/>
                <w:sz w:val="20"/>
                <w:szCs w:val="20"/>
                <w:vertAlign w:val="superscript"/>
                <w:lang w:val="en-GB"/>
              </w:rPr>
              <w:t>3</w:t>
            </w:r>
            <w:r w:rsidRPr="00B21F34">
              <w:rPr>
                <w:rFonts w:ascii="Arial" w:hAnsi="Arial" w:cs="Arial"/>
                <w:sz w:val="20"/>
                <w:szCs w:val="20"/>
                <w:lang w:val="en-GB"/>
              </w:rPr>
              <w:t>.s</w:t>
            </w:r>
            <w:proofErr w:type="gramEnd"/>
            <w:r w:rsidRPr="00B21F34">
              <w:rPr>
                <w:rFonts w:ascii="Arial" w:hAnsi="Arial" w:cs="Arial"/>
                <w:sz w:val="20"/>
                <w:szCs w:val="20"/>
                <w:lang w:val="en-GB"/>
              </w:rPr>
              <w:t>)</w:t>
            </w:r>
          </w:p>
        </w:tc>
        <w:tc>
          <w:tcPr>
            <w:tcW w:w="2118" w:type="dxa"/>
          </w:tcPr>
          <w:p w14:paraId="05842B30" w14:textId="77777777" w:rsidR="00A10A0D" w:rsidRPr="00B21F34" w:rsidRDefault="00A10A0D" w:rsidP="00C719B1">
            <w:pPr>
              <w:rPr>
                <w:rFonts w:ascii="Arial" w:hAnsi="Arial" w:cs="Arial"/>
                <w:sz w:val="20"/>
                <w:szCs w:val="20"/>
              </w:rPr>
            </w:pPr>
          </w:p>
        </w:tc>
        <w:tc>
          <w:tcPr>
            <w:tcW w:w="2371" w:type="dxa"/>
          </w:tcPr>
          <w:p w14:paraId="3A797155" w14:textId="77777777" w:rsidR="00A10A0D" w:rsidRPr="00B21F34" w:rsidRDefault="00A10A0D" w:rsidP="00C719B1">
            <w:pPr>
              <w:rPr>
                <w:rFonts w:ascii="Arial" w:hAnsi="Arial" w:cs="Arial"/>
                <w:sz w:val="20"/>
                <w:szCs w:val="20"/>
                <w:lang w:val="en-GB"/>
              </w:rPr>
            </w:pPr>
            <w:r w:rsidRPr="00B21F34">
              <w:rPr>
                <w:rFonts w:ascii="Arial" w:hAnsi="Arial" w:cs="Arial"/>
                <w:sz w:val="20"/>
                <w:szCs w:val="20"/>
                <w:lang w:val="en-GB"/>
              </w:rPr>
              <w:t>7.29</w:t>
            </w:r>
          </w:p>
        </w:tc>
        <w:tc>
          <w:tcPr>
            <w:tcW w:w="2114" w:type="dxa"/>
            <w:tcBorders>
              <w:right w:val="single" w:sz="4" w:space="0" w:color="auto"/>
            </w:tcBorders>
          </w:tcPr>
          <w:p w14:paraId="5FFD99C0" w14:textId="77777777" w:rsidR="00A10A0D" w:rsidRPr="00B21F34" w:rsidRDefault="00A10A0D" w:rsidP="00C719B1">
            <w:pPr>
              <w:rPr>
                <w:rFonts w:ascii="Arial" w:hAnsi="Arial" w:cs="Arial"/>
                <w:sz w:val="20"/>
                <w:szCs w:val="20"/>
              </w:rPr>
            </w:pPr>
          </w:p>
        </w:tc>
      </w:tr>
      <w:tr w:rsidR="00A10A0D" w:rsidRPr="00B21F34" w14:paraId="5D6DB0AC" w14:textId="77777777" w:rsidTr="00C719B1">
        <w:tc>
          <w:tcPr>
            <w:tcW w:w="2413" w:type="dxa"/>
            <w:tcBorders>
              <w:left w:val="single" w:sz="4" w:space="0" w:color="auto"/>
              <w:bottom w:val="single" w:sz="4" w:space="0" w:color="auto"/>
            </w:tcBorders>
          </w:tcPr>
          <w:p w14:paraId="698BECE2" w14:textId="77777777" w:rsidR="00A10A0D" w:rsidRPr="00B21F34" w:rsidRDefault="00A10A0D" w:rsidP="00C719B1">
            <w:pPr>
              <w:rPr>
                <w:rFonts w:ascii="Arial" w:hAnsi="Arial" w:cs="Arial"/>
                <w:sz w:val="20"/>
                <w:szCs w:val="20"/>
              </w:rPr>
            </w:pPr>
            <m:oMath>
              <m:r>
                <w:rPr>
                  <w:rFonts w:ascii="Cambria Math" w:hAnsi="Cambria Math" w:cs="Arial"/>
                  <w:sz w:val="20"/>
                  <w:szCs w:val="20"/>
                  <w:lang w:val="en-GB"/>
                </w:rPr>
                <m:t>k</m:t>
              </m:r>
            </m:oMath>
            <w:r w:rsidRPr="00B21F34">
              <w:rPr>
                <w:rFonts w:ascii="Arial" w:eastAsiaTheme="minorEastAsia" w:hAnsi="Arial" w:cs="Arial"/>
                <w:sz w:val="20"/>
                <w:szCs w:val="20"/>
                <w:lang w:val="en-GB"/>
              </w:rPr>
              <w:t xml:space="preserve"> at 50 </w:t>
            </w:r>
            <w:r w:rsidRPr="00B21F34">
              <w:rPr>
                <w:rFonts w:ascii="Arial" w:eastAsiaTheme="minorEastAsia" w:hAnsi="Arial" w:cs="Arial"/>
                <w:sz w:val="20"/>
                <w:szCs w:val="20"/>
                <w:vertAlign w:val="superscript"/>
                <w:lang w:val="en-GB"/>
              </w:rPr>
              <w:t>o</w:t>
            </w:r>
            <w:r w:rsidRPr="00B21F34">
              <w:rPr>
                <w:rFonts w:ascii="Arial" w:eastAsiaTheme="minorEastAsia" w:hAnsi="Arial" w:cs="Arial"/>
                <w:sz w:val="20"/>
                <w:szCs w:val="20"/>
                <w:lang w:val="en-GB"/>
              </w:rPr>
              <w:t xml:space="preserve">C </w:t>
            </w:r>
            <w:r w:rsidRPr="00B21F34">
              <w:rPr>
                <w:rFonts w:ascii="Arial" w:hAnsi="Arial" w:cs="Arial"/>
                <w:sz w:val="20"/>
                <w:szCs w:val="20"/>
                <w:lang w:val="en-GB"/>
              </w:rPr>
              <w:t>(mol/m</w:t>
            </w:r>
            <w:proofErr w:type="gramStart"/>
            <w:r w:rsidRPr="00B21F34">
              <w:rPr>
                <w:rFonts w:ascii="Arial" w:hAnsi="Arial" w:cs="Arial"/>
                <w:sz w:val="20"/>
                <w:szCs w:val="20"/>
                <w:vertAlign w:val="superscript"/>
                <w:lang w:val="en-GB"/>
              </w:rPr>
              <w:t>3</w:t>
            </w:r>
            <w:r w:rsidRPr="00B21F34">
              <w:rPr>
                <w:rFonts w:ascii="Arial" w:hAnsi="Arial" w:cs="Arial"/>
                <w:sz w:val="20"/>
                <w:szCs w:val="20"/>
                <w:lang w:val="en-GB"/>
              </w:rPr>
              <w:t>.s</w:t>
            </w:r>
            <w:proofErr w:type="gramEnd"/>
            <w:r w:rsidRPr="00B21F34">
              <w:rPr>
                <w:rFonts w:ascii="Arial" w:hAnsi="Arial" w:cs="Arial"/>
                <w:sz w:val="20"/>
                <w:szCs w:val="20"/>
                <w:lang w:val="en-GB"/>
              </w:rPr>
              <w:t>)</w:t>
            </w:r>
          </w:p>
        </w:tc>
        <w:tc>
          <w:tcPr>
            <w:tcW w:w="2118" w:type="dxa"/>
            <w:tcBorders>
              <w:bottom w:val="single" w:sz="4" w:space="0" w:color="auto"/>
            </w:tcBorders>
          </w:tcPr>
          <w:p w14:paraId="380B833A" w14:textId="77777777" w:rsidR="00A10A0D" w:rsidRPr="00B21F34" w:rsidRDefault="00A10A0D" w:rsidP="00C719B1">
            <w:pPr>
              <w:rPr>
                <w:rFonts w:ascii="Arial" w:hAnsi="Arial" w:cs="Arial"/>
                <w:sz w:val="20"/>
                <w:szCs w:val="20"/>
              </w:rPr>
            </w:pPr>
          </w:p>
        </w:tc>
        <w:tc>
          <w:tcPr>
            <w:tcW w:w="2371" w:type="dxa"/>
            <w:tcBorders>
              <w:bottom w:val="single" w:sz="4" w:space="0" w:color="auto"/>
            </w:tcBorders>
          </w:tcPr>
          <w:p w14:paraId="2CB61BD7" w14:textId="77777777" w:rsidR="00A10A0D" w:rsidRPr="00B21F34" w:rsidRDefault="00A10A0D" w:rsidP="00C719B1">
            <w:pPr>
              <w:rPr>
                <w:rFonts w:ascii="Arial" w:hAnsi="Arial" w:cs="Arial"/>
                <w:sz w:val="20"/>
                <w:szCs w:val="20"/>
                <w:lang w:val="en-GB"/>
              </w:rPr>
            </w:pPr>
            <w:r w:rsidRPr="00B21F34">
              <w:rPr>
                <w:rFonts w:ascii="Arial" w:hAnsi="Arial" w:cs="Arial"/>
                <w:sz w:val="20"/>
                <w:szCs w:val="20"/>
                <w:lang w:val="en-GB"/>
              </w:rPr>
              <w:t>15.97</w:t>
            </w:r>
          </w:p>
        </w:tc>
        <w:tc>
          <w:tcPr>
            <w:tcW w:w="2114" w:type="dxa"/>
            <w:tcBorders>
              <w:bottom w:val="single" w:sz="4" w:space="0" w:color="auto"/>
              <w:right w:val="single" w:sz="4" w:space="0" w:color="auto"/>
            </w:tcBorders>
          </w:tcPr>
          <w:p w14:paraId="6156E3CA" w14:textId="77777777" w:rsidR="00A10A0D" w:rsidRPr="00B21F34" w:rsidRDefault="00A10A0D" w:rsidP="00C719B1">
            <w:pPr>
              <w:rPr>
                <w:rFonts w:ascii="Arial" w:hAnsi="Arial" w:cs="Arial"/>
                <w:sz w:val="20"/>
                <w:szCs w:val="20"/>
              </w:rPr>
            </w:pPr>
          </w:p>
        </w:tc>
      </w:tr>
    </w:tbl>
    <w:p w14:paraId="0CEFD10C" w14:textId="77777777" w:rsidR="00A10A0D" w:rsidRPr="00A10A0D" w:rsidRDefault="00A10A0D" w:rsidP="00A10A0D">
      <w:pPr>
        <w:rPr>
          <w:lang w:val="en-GB"/>
        </w:rPr>
      </w:pPr>
    </w:p>
    <w:p w14:paraId="13C488CE" w14:textId="77777777" w:rsidR="00DB3037" w:rsidRDefault="00DB3037" w:rsidP="00DB3037">
      <w:pPr>
        <w:jc w:val="both"/>
        <w:rPr>
          <w:rFonts w:ascii="Times New Roman" w:hAnsi="Times New Roman" w:cs="Times New Roman"/>
          <w:b/>
          <w:bCs/>
          <w:lang w:val="en-GB"/>
        </w:rPr>
      </w:pPr>
    </w:p>
    <w:p w14:paraId="1CEB84A6"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b/>
          <w:bCs/>
          <w:sz w:val="22"/>
          <w:szCs w:val="28"/>
          <w:lang w:val="it-IT"/>
        </w:rPr>
        <w:fldChar w:fldCharType="begin"/>
      </w:r>
      <w:r w:rsidRPr="00322DEC">
        <w:rPr>
          <w:rFonts w:ascii="Times New Roman" w:hAnsi="Times New Roman" w:cs="Times New Roman"/>
          <w:b/>
          <w:bCs/>
          <w:sz w:val="22"/>
          <w:szCs w:val="28"/>
          <w:lang w:val="it-IT"/>
        </w:rPr>
        <w:instrText xml:space="preserve"> ADDIN ZOTERO_BIBL {"uncited":[],"omitted":[],"custom":[]} CSL_BIBLIOGRAPHY </w:instrText>
      </w:r>
      <w:r w:rsidRPr="00322DEC">
        <w:rPr>
          <w:rFonts w:ascii="Times New Roman" w:hAnsi="Times New Roman" w:cs="Times New Roman"/>
          <w:b/>
          <w:bCs/>
          <w:sz w:val="22"/>
          <w:szCs w:val="28"/>
          <w:lang w:val="it-IT"/>
        </w:rPr>
        <w:fldChar w:fldCharType="separate"/>
      </w:r>
      <w:r w:rsidRPr="00322DEC">
        <w:rPr>
          <w:rFonts w:ascii="Times New Roman" w:hAnsi="Times New Roman" w:cs="Times New Roman"/>
          <w:sz w:val="22"/>
          <w:szCs w:val="22"/>
        </w:rPr>
        <w:t>[1]</w:t>
      </w:r>
      <w:r w:rsidRPr="00322DEC">
        <w:rPr>
          <w:rFonts w:ascii="Times New Roman" w:hAnsi="Times New Roman" w:cs="Times New Roman"/>
          <w:sz w:val="22"/>
          <w:szCs w:val="22"/>
        </w:rPr>
        <w:tab/>
        <w:t xml:space="preserve">S. Basu, A. Brockman, P. Gagare, Y. Zheng, P. V. Ramachandran, W. N. Delgass, J. P. Gore, </w:t>
      </w:r>
      <w:r w:rsidRPr="00322DEC">
        <w:rPr>
          <w:rFonts w:ascii="Times New Roman" w:hAnsi="Times New Roman" w:cs="Times New Roman"/>
          <w:i/>
          <w:iCs/>
          <w:sz w:val="22"/>
          <w:szCs w:val="22"/>
        </w:rPr>
        <w:t>J. Power Sources</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2009</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188</w:t>
      </w:r>
      <w:r w:rsidRPr="00322DEC">
        <w:rPr>
          <w:rFonts w:ascii="Times New Roman" w:hAnsi="Times New Roman" w:cs="Times New Roman"/>
          <w:sz w:val="22"/>
          <w:szCs w:val="22"/>
        </w:rPr>
        <w:t>, 238–243.</w:t>
      </w:r>
    </w:p>
    <w:p w14:paraId="124CA4A2"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[2]</w:t>
      </w:r>
      <w:r w:rsidRPr="00322DEC">
        <w:rPr>
          <w:rFonts w:ascii="Times New Roman" w:hAnsi="Times New Roman" w:cs="Times New Roman"/>
          <w:sz w:val="22"/>
          <w:szCs w:val="22"/>
        </w:rPr>
        <w:tab/>
        <w:t xml:space="preserve">S. Akbayrak, S. Özkar, </w:t>
      </w:r>
      <w:r w:rsidRPr="00322DEC">
        <w:rPr>
          <w:rFonts w:ascii="Times New Roman" w:hAnsi="Times New Roman" w:cs="Times New Roman"/>
          <w:i/>
          <w:iCs/>
          <w:sz w:val="22"/>
          <w:szCs w:val="22"/>
        </w:rPr>
        <w:t>Dalton Trans.</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2014</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43</w:t>
      </w:r>
      <w:r w:rsidRPr="00322DEC">
        <w:rPr>
          <w:rFonts w:ascii="Times New Roman" w:hAnsi="Times New Roman" w:cs="Times New Roman"/>
          <w:sz w:val="22"/>
          <w:szCs w:val="22"/>
        </w:rPr>
        <w:t>, 1797–1805.</w:t>
      </w:r>
    </w:p>
    <w:p w14:paraId="2154838A"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[3]</w:t>
      </w:r>
      <w:r w:rsidRPr="00322DEC">
        <w:rPr>
          <w:rFonts w:ascii="Times New Roman" w:hAnsi="Times New Roman" w:cs="Times New Roman"/>
          <w:sz w:val="22"/>
          <w:szCs w:val="22"/>
        </w:rPr>
        <w:tab/>
        <w:t xml:space="preserve">G. P. Rachiero, U. B. Demirci, P. Miele, </w:t>
      </w:r>
      <w:r w:rsidRPr="00322DEC">
        <w:rPr>
          <w:rFonts w:ascii="Times New Roman" w:hAnsi="Times New Roman" w:cs="Times New Roman"/>
          <w:i/>
          <w:iCs/>
          <w:sz w:val="22"/>
          <w:szCs w:val="22"/>
        </w:rPr>
        <w:t>Catal. Today</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2011</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170</w:t>
      </w:r>
      <w:r w:rsidRPr="00322DEC">
        <w:rPr>
          <w:rFonts w:ascii="Times New Roman" w:hAnsi="Times New Roman" w:cs="Times New Roman"/>
          <w:sz w:val="22"/>
          <w:szCs w:val="22"/>
        </w:rPr>
        <w:t>, 85–92.</w:t>
      </w:r>
    </w:p>
    <w:p w14:paraId="424710D0"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[4]</w:t>
      </w:r>
      <w:r w:rsidRPr="00322DEC">
        <w:rPr>
          <w:rFonts w:ascii="Times New Roman" w:hAnsi="Times New Roman" w:cs="Times New Roman"/>
          <w:sz w:val="22"/>
          <w:szCs w:val="22"/>
        </w:rPr>
        <w:tab/>
        <w:t xml:space="preserve">N. Cao, W. Luo, G. Cheng, </w:t>
      </w:r>
      <w:r w:rsidRPr="00322DEC">
        <w:rPr>
          <w:rFonts w:ascii="Times New Roman" w:hAnsi="Times New Roman" w:cs="Times New Roman"/>
          <w:i/>
          <w:iCs/>
          <w:sz w:val="22"/>
          <w:szCs w:val="22"/>
        </w:rPr>
        <w:t>Int. J. Hydrog. Energy</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2013</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38</w:t>
      </w:r>
      <w:r w:rsidRPr="00322DEC">
        <w:rPr>
          <w:rFonts w:ascii="Times New Roman" w:hAnsi="Times New Roman" w:cs="Times New Roman"/>
          <w:sz w:val="22"/>
          <w:szCs w:val="22"/>
        </w:rPr>
        <w:t>, 11964–11972.</w:t>
      </w:r>
    </w:p>
    <w:p w14:paraId="3B5CC092"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[5]</w:t>
      </w:r>
      <w:r w:rsidRPr="00322DEC">
        <w:rPr>
          <w:rFonts w:ascii="Times New Roman" w:hAnsi="Times New Roman" w:cs="Times New Roman"/>
          <w:sz w:val="22"/>
          <w:szCs w:val="22"/>
        </w:rPr>
        <w:tab/>
        <w:t xml:space="preserve">K. Mori, K. Miyawaki, H. Yamashita, </w:t>
      </w:r>
      <w:r w:rsidRPr="00322DEC">
        <w:rPr>
          <w:rFonts w:ascii="Times New Roman" w:hAnsi="Times New Roman" w:cs="Times New Roman"/>
          <w:i/>
          <w:iCs/>
          <w:sz w:val="22"/>
          <w:szCs w:val="22"/>
        </w:rPr>
        <w:t>ACS Catal.</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2016</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6</w:t>
      </w:r>
      <w:r w:rsidRPr="00322DEC">
        <w:rPr>
          <w:rFonts w:ascii="Times New Roman" w:hAnsi="Times New Roman" w:cs="Times New Roman"/>
          <w:sz w:val="22"/>
          <w:szCs w:val="22"/>
        </w:rPr>
        <w:t>, 3128–3135.</w:t>
      </w:r>
    </w:p>
    <w:p w14:paraId="7054860A"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[6]</w:t>
      </w:r>
      <w:r w:rsidRPr="00322DEC">
        <w:rPr>
          <w:rFonts w:ascii="Times New Roman" w:hAnsi="Times New Roman" w:cs="Times New Roman"/>
          <w:sz w:val="22"/>
          <w:szCs w:val="22"/>
        </w:rPr>
        <w:tab/>
        <w:t xml:space="preserve">E. K. Abo-Hamed, T. Pennycook, Y. Vaynzof, C. Toprakcioglu, A. Koutsioubas, O. A. Scherman, </w:t>
      </w:r>
      <w:r w:rsidRPr="00322DEC">
        <w:rPr>
          <w:rFonts w:ascii="Times New Roman" w:hAnsi="Times New Roman" w:cs="Times New Roman"/>
          <w:i/>
          <w:iCs/>
          <w:sz w:val="22"/>
          <w:szCs w:val="22"/>
        </w:rPr>
        <w:t>Small</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2014</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10</w:t>
      </w:r>
      <w:r w:rsidRPr="00322DEC">
        <w:rPr>
          <w:rFonts w:ascii="Times New Roman" w:hAnsi="Times New Roman" w:cs="Times New Roman"/>
          <w:sz w:val="22"/>
          <w:szCs w:val="22"/>
        </w:rPr>
        <w:t>, 3145–3152.</w:t>
      </w:r>
    </w:p>
    <w:p w14:paraId="75A72823"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[7]</w:t>
      </w:r>
      <w:r w:rsidRPr="00322DEC">
        <w:rPr>
          <w:rFonts w:ascii="Times New Roman" w:hAnsi="Times New Roman" w:cs="Times New Roman"/>
          <w:sz w:val="22"/>
          <w:szCs w:val="22"/>
        </w:rPr>
        <w:tab/>
        <w:t xml:space="preserve">H. Liang, G. Chen, S. Desinan, R. Rosei, F. Rosei, D. Ma, </w:t>
      </w:r>
      <w:r w:rsidRPr="00322DEC">
        <w:rPr>
          <w:rFonts w:ascii="Times New Roman" w:hAnsi="Times New Roman" w:cs="Times New Roman"/>
          <w:i/>
          <w:iCs/>
          <w:sz w:val="22"/>
          <w:szCs w:val="22"/>
        </w:rPr>
        <w:t>Int. J. Hydrog. Energy</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2012</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37</w:t>
      </w:r>
      <w:r w:rsidRPr="00322DEC">
        <w:rPr>
          <w:rFonts w:ascii="Times New Roman" w:hAnsi="Times New Roman" w:cs="Times New Roman"/>
          <w:sz w:val="22"/>
          <w:szCs w:val="22"/>
        </w:rPr>
        <w:t>, 17921–17927.</w:t>
      </w:r>
    </w:p>
    <w:p w14:paraId="28BBC652"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[8]</w:t>
      </w:r>
      <w:r w:rsidRPr="00322DEC">
        <w:rPr>
          <w:rFonts w:ascii="Times New Roman" w:hAnsi="Times New Roman" w:cs="Times New Roman"/>
          <w:sz w:val="22"/>
          <w:szCs w:val="22"/>
        </w:rPr>
        <w:tab/>
        <w:t xml:space="preserve">S. Akbayrak, Y. Tonbul, S. Özkar, </w:t>
      </w:r>
      <w:r w:rsidRPr="00322DEC">
        <w:rPr>
          <w:rFonts w:ascii="Times New Roman" w:hAnsi="Times New Roman" w:cs="Times New Roman"/>
          <w:i/>
          <w:iCs/>
          <w:sz w:val="22"/>
          <w:szCs w:val="22"/>
        </w:rPr>
        <w:t>Appl. Catal. B Environ.</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2016</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198</w:t>
      </w:r>
      <w:r w:rsidRPr="00322DEC">
        <w:rPr>
          <w:rFonts w:ascii="Times New Roman" w:hAnsi="Times New Roman" w:cs="Times New Roman"/>
          <w:sz w:val="22"/>
          <w:szCs w:val="22"/>
        </w:rPr>
        <w:t>, 162–170.</w:t>
      </w:r>
    </w:p>
    <w:p w14:paraId="46B3F827"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[9]</w:t>
      </w:r>
      <w:r w:rsidRPr="00322DEC">
        <w:rPr>
          <w:rFonts w:ascii="Times New Roman" w:hAnsi="Times New Roman" w:cs="Times New Roman"/>
          <w:sz w:val="22"/>
          <w:szCs w:val="22"/>
        </w:rPr>
        <w:tab/>
        <w:t xml:space="preserve">M. Rakap, </w:t>
      </w:r>
      <w:r w:rsidRPr="00322DEC">
        <w:rPr>
          <w:rFonts w:ascii="Times New Roman" w:hAnsi="Times New Roman" w:cs="Times New Roman"/>
          <w:i/>
          <w:iCs/>
          <w:sz w:val="22"/>
          <w:szCs w:val="22"/>
        </w:rPr>
        <w:t>Appl. Catal. B Environ.</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2015</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163</w:t>
      </w:r>
      <w:r w:rsidRPr="00322DEC">
        <w:rPr>
          <w:rFonts w:ascii="Times New Roman" w:hAnsi="Times New Roman" w:cs="Times New Roman"/>
          <w:sz w:val="22"/>
          <w:szCs w:val="22"/>
        </w:rPr>
        <w:t>, 129–134.</w:t>
      </w:r>
    </w:p>
    <w:p w14:paraId="0143CB23"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[10]</w:t>
      </w:r>
      <w:r w:rsidRPr="00322DEC">
        <w:rPr>
          <w:rFonts w:ascii="Times New Roman" w:hAnsi="Times New Roman" w:cs="Times New Roman"/>
          <w:sz w:val="22"/>
          <w:szCs w:val="22"/>
        </w:rPr>
        <w:tab/>
        <w:t xml:space="preserve">Q. Zhou, C. Xu, </w:t>
      </w:r>
      <w:r w:rsidRPr="00322DEC">
        <w:rPr>
          <w:rFonts w:ascii="Times New Roman" w:hAnsi="Times New Roman" w:cs="Times New Roman"/>
          <w:i/>
          <w:iCs/>
          <w:sz w:val="22"/>
          <w:szCs w:val="22"/>
        </w:rPr>
        <w:t>J. Colloid Interface Sci.</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2017</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496</w:t>
      </w:r>
      <w:r w:rsidRPr="00322DEC">
        <w:rPr>
          <w:rFonts w:ascii="Times New Roman" w:hAnsi="Times New Roman" w:cs="Times New Roman"/>
          <w:sz w:val="22"/>
          <w:szCs w:val="22"/>
        </w:rPr>
        <w:t>, 235–242.</w:t>
      </w:r>
    </w:p>
    <w:p w14:paraId="20D49E76"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[11]</w:t>
      </w:r>
      <w:r w:rsidRPr="00322DEC">
        <w:rPr>
          <w:rFonts w:ascii="Times New Roman" w:hAnsi="Times New Roman" w:cs="Times New Roman"/>
          <w:sz w:val="22"/>
          <w:szCs w:val="22"/>
        </w:rPr>
        <w:tab/>
        <w:t xml:space="preserve">M. Zahmakıran, S. Özkar, </w:t>
      </w:r>
      <w:r w:rsidRPr="00322DEC">
        <w:rPr>
          <w:rFonts w:ascii="Times New Roman" w:hAnsi="Times New Roman" w:cs="Times New Roman"/>
          <w:i/>
          <w:iCs/>
          <w:sz w:val="22"/>
          <w:szCs w:val="22"/>
        </w:rPr>
        <w:t>Appl. Catal. B Environ.</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2009</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89</w:t>
      </w:r>
      <w:r w:rsidRPr="00322DEC">
        <w:rPr>
          <w:rFonts w:ascii="Times New Roman" w:hAnsi="Times New Roman" w:cs="Times New Roman"/>
          <w:sz w:val="22"/>
          <w:szCs w:val="22"/>
        </w:rPr>
        <w:t>, 104–110.</w:t>
      </w:r>
    </w:p>
    <w:p w14:paraId="17CFD6CF" w14:textId="77777777" w:rsidR="0059046B" w:rsidRPr="00322DEC" w:rsidRDefault="0059046B" w:rsidP="00322DEC">
      <w:pPr>
        <w:pStyle w:val="Bibliografia"/>
        <w:jc w:val="both"/>
        <w:rPr>
          <w:rFonts w:ascii="Times New Roman" w:hAnsi="Times New Roman" w:cs="Times New Roman"/>
          <w:sz w:val="22"/>
          <w:szCs w:val="22"/>
        </w:rPr>
      </w:pPr>
      <w:r w:rsidRPr="00322DEC">
        <w:rPr>
          <w:rFonts w:ascii="Times New Roman" w:hAnsi="Times New Roman" w:cs="Times New Roman"/>
          <w:sz w:val="22"/>
          <w:szCs w:val="22"/>
        </w:rPr>
        <w:t>[12]</w:t>
      </w:r>
      <w:r w:rsidRPr="00322DEC">
        <w:rPr>
          <w:rFonts w:ascii="Times New Roman" w:hAnsi="Times New Roman" w:cs="Times New Roman"/>
          <w:sz w:val="22"/>
          <w:szCs w:val="22"/>
        </w:rPr>
        <w:tab/>
        <w:t xml:space="preserve">W.-H. Wang, H.-P. Tang, W.-D. Lu, Y. Li, M. Bao, Y. Himeda, </w:t>
      </w:r>
      <w:r w:rsidRPr="00322DEC">
        <w:rPr>
          <w:rFonts w:ascii="Times New Roman" w:hAnsi="Times New Roman" w:cs="Times New Roman"/>
          <w:i/>
          <w:iCs/>
          <w:sz w:val="22"/>
          <w:szCs w:val="22"/>
        </w:rPr>
        <w:t>ChemCatChem</w:t>
      </w:r>
      <w:r w:rsidRPr="00322DEC">
        <w:rPr>
          <w:rFonts w:ascii="Times New Roman" w:hAnsi="Times New Roman" w:cs="Times New Roman"/>
          <w:sz w:val="22"/>
          <w:szCs w:val="22"/>
        </w:rPr>
        <w:t xml:space="preserve"> </w:t>
      </w:r>
      <w:r w:rsidRPr="00322DEC">
        <w:rPr>
          <w:rFonts w:ascii="Times New Roman" w:hAnsi="Times New Roman" w:cs="Times New Roman"/>
          <w:b/>
          <w:bCs/>
          <w:sz w:val="22"/>
          <w:szCs w:val="22"/>
        </w:rPr>
        <w:t>2017</w:t>
      </w:r>
      <w:r w:rsidRPr="00322DEC">
        <w:rPr>
          <w:rFonts w:ascii="Times New Roman" w:hAnsi="Times New Roman" w:cs="Times New Roman"/>
          <w:sz w:val="22"/>
          <w:szCs w:val="22"/>
        </w:rPr>
        <w:t xml:space="preserve">, </w:t>
      </w:r>
      <w:r w:rsidRPr="00322DEC">
        <w:rPr>
          <w:rFonts w:ascii="Times New Roman" w:hAnsi="Times New Roman" w:cs="Times New Roman"/>
          <w:i/>
          <w:iCs/>
          <w:sz w:val="22"/>
          <w:szCs w:val="22"/>
        </w:rPr>
        <w:t>9</w:t>
      </w:r>
      <w:r w:rsidRPr="00322DEC">
        <w:rPr>
          <w:rFonts w:ascii="Times New Roman" w:hAnsi="Times New Roman" w:cs="Times New Roman"/>
          <w:sz w:val="22"/>
          <w:szCs w:val="22"/>
        </w:rPr>
        <w:t>, 3191–3196.</w:t>
      </w:r>
    </w:p>
    <w:p w14:paraId="1448302B" w14:textId="7E09DAAB" w:rsidR="00DB3037" w:rsidRPr="00DB3037" w:rsidRDefault="0059046B" w:rsidP="00322DEC">
      <w:pPr>
        <w:jc w:val="both"/>
        <w:rPr>
          <w:rFonts w:ascii="Times New Roman" w:hAnsi="Times New Roman" w:cs="Times New Roman"/>
          <w:b/>
          <w:bCs/>
          <w:szCs w:val="32"/>
          <w:lang w:val="it-IT"/>
        </w:rPr>
      </w:pPr>
      <w:r w:rsidRPr="00322DEC">
        <w:rPr>
          <w:rFonts w:ascii="Times New Roman" w:hAnsi="Times New Roman" w:cs="Times New Roman"/>
          <w:b/>
          <w:bCs/>
          <w:sz w:val="22"/>
          <w:szCs w:val="28"/>
          <w:lang w:val="it-IT"/>
        </w:rPr>
        <w:fldChar w:fldCharType="end"/>
      </w:r>
    </w:p>
    <w:sectPr w:rsidR="00DB3037" w:rsidRPr="00DB303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harisSIL">
    <w:altName w:val="Cambria"/>
    <w:panose1 w:val="00000000000000000000"/>
    <w:charset w:val="80"/>
    <w:family w:val="auto"/>
    <w:notTrueType/>
    <w:pitch w:val="default"/>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835"/>
    <w:rsid w:val="00010F73"/>
    <w:rsid w:val="002266B5"/>
    <w:rsid w:val="00287D89"/>
    <w:rsid w:val="00310835"/>
    <w:rsid w:val="00322DEC"/>
    <w:rsid w:val="004552B9"/>
    <w:rsid w:val="0059046B"/>
    <w:rsid w:val="009437F0"/>
    <w:rsid w:val="00960CAB"/>
    <w:rsid w:val="00A10A0D"/>
    <w:rsid w:val="00B21F34"/>
    <w:rsid w:val="00BE4A2F"/>
    <w:rsid w:val="00D84CE9"/>
    <w:rsid w:val="00DB3037"/>
    <w:rsid w:val="00F122B8"/>
    <w:rsid w:val="00FC59E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1BE6B"/>
  <w15:chartTrackingRefBased/>
  <w15:docId w15:val="{E4A7490D-7096-4D50-890E-CB81DA030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B3037"/>
  </w:style>
  <w:style w:type="paragraph" w:styleId="Titolo1">
    <w:name w:val="heading 1"/>
    <w:basedOn w:val="Normale"/>
    <w:next w:val="Normale"/>
    <w:link w:val="Titolo1Carattere"/>
    <w:uiPriority w:val="9"/>
    <w:qFormat/>
    <w:rsid w:val="003108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108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1083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1083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1083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1083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1083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1083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1083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083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1083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1083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1083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1083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1083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1083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1083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1083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108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1083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1083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1083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1083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10835"/>
    <w:rPr>
      <w:i/>
      <w:iCs/>
      <w:color w:val="404040" w:themeColor="text1" w:themeTint="BF"/>
    </w:rPr>
  </w:style>
  <w:style w:type="paragraph" w:styleId="Paragrafoelenco">
    <w:name w:val="List Paragraph"/>
    <w:basedOn w:val="Normale"/>
    <w:uiPriority w:val="34"/>
    <w:qFormat/>
    <w:rsid w:val="00310835"/>
    <w:pPr>
      <w:ind w:left="720"/>
      <w:contextualSpacing/>
    </w:pPr>
  </w:style>
  <w:style w:type="character" w:styleId="Enfasiintensa">
    <w:name w:val="Intense Emphasis"/>
    <w:basedOn w:val="Carpredefinitoparagrafo"/>
    <w:uiPriority w:val="21"/>
    <w:qFormat/>
    <w:rsid w:val="00310835"/>
    <w:rPr>
      <w:i/>
      <w:iCs/>
      <w:color w:val="0F4761" w:themeColor="accent1" w:themeShade="BF"/>
    </w:rPr>
  </w:style>
  <w:style w:type="paragraph" w:styleId="Citazioneintensa">
    <w:name w:val="Intense Quote"/>
    <w:basedOn w:val="Normale"/>
    <w:next w:val="Normale"/>
    <w:link w:val="CitazioneintensaCarattere"/>
    <w:uiPriority w:val="30"/>
    <w:qFormat/>
    <w:rsid w:val="003108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10835"/>
    <w:rPr>
      <w:i/>
      <w:iCs/>
      <w:color w:val="0F4761" w:themeColor="accent1" w:themeShade="BF"/>
    </w:rPr>
  </w:style>
  <w:style w:type="character" w:styleId="Riferimentointenso">
    <w:name w:val="Intense Reference"/>
    <w:basedOn w:val="Carpredefinitoparagrafo"/>
    <w:uiPriority w:val="32"/>
    <w:qFormat/>
    <w:rsid w:val="00310835"/>
    <w:rPr>
      <w:b/>
      <w:bCs/>
      <w:smallCaps/>
      <w:color w:val="0F4761" w:themeColor="accent1" w:themeShade="BF"/>
      <w:spacing w:val="5"/>
    </w:rPr>
  </w:style>
  <w:style w:type="paragraph" w:customStyle="1" w:styleId="Authors">
    <w:name w:val="Authors"/>
    <w:basedOn w:val="Normale"/>
    <w:qFormat/>
    <w:rsid w:val="00DB3037"/>
    <w:pPr>
      <w:spacing w:before="120" w:after="120" w:line="320" w:lineRule="exact"/>
    </w:pPr>
    <w:rPr>
      <w:rFonts w:ascii="Arial" w:eastAsia="MS Mincho" w:hAnsi="Arial" w:cs="Times New Roman"/>
      <w:kern w:val="0"/>
      <w:sz w:val="22"/>
      <w:lang w:val="en-GB" w:eastAsia="ja-JP"/>
      <w14:ligatures w14:val="none"/>
    </w:rPr>
  </w:style>
  <w:style w:type="paragraph" w:customStyle="1" w:styleId="Adress">
    <w:name w:val="Adress"/>
    <w:basedOn w:val="Normale"/>
    <w:qFormat/>
    <w:rsid w:val="00DB3037"/>
    <w:pPr>
      <w:spacing w:after="0" w:line="180" w:lineRule="exact"/>
      <w:ind w:left="425" w:hanging="425"/>
    </w:pPr>
    <w:rPr>
      <w:rFonts w:ascii="Arial" w:eastAsia="MS Mincho" w:hAnsi="Arial" w:cs="Times New Roman"/>
      <w:kern w:val="0"/>
      <w:sz w:val="14"/>
      <w:szCs w:val="20"/>
      <w:lang w:val="de-DE" w:eastAsia="ja-JP"/>
      <w14:ligatures w14:val="none"/>
    </w:rPr>
  </w:style>
  <w:style w:type="character" w:styleId="Collegamentoipertestuale">
    <w:name w:val="Hyperlink"/>
    <w:uiPriority w:val="99"/>
    <w:unhideWhenUsed/>
    <w:rsid w:val="00DB3037"/>
    <w:rPr>
      <w:color w:val="0563C1"/>
      <w:u w:val="single"/>
    </w:rPr>
  </w:style>
  <w:style w:type="paragraph" w:styleId="Bibliografia">
    <w:name w:val="Bibliography"/>
    <w:basedOn w:val="Normale"/>
    <w:next w:val="Normale"/>
    <w:uiPriority w:val="37"/>
    <w:unhideWhenUsed/>
    <w:rsid w:val="00DB3037"/>
    <w:pPr>
      <w:tabs>
        <w:tab w:val="left" w:pos="504"/>
      </w:tabs>
      <w:spacing w:after="0" w:line="240" w:lineRule="auto"/>
      <w:ind w:left="504" w:hanging="504"/>
    </w:pPr>
  </w:style>
  <w:style w:type="table" w:styleId="Grigliatabella">
    <w:name w:val="Table Grid"/>
    <w:basedOn w:val="Tabellanormale"/>
    <w:uiPriority w:val="39"/>
    <w:rsid w:val="00DB30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DB3037"/>
    <w:pPr>
      <w:spacing w:after="200" w:line="240" w:lineRule="auto"/>
    </w:pPr>
    <w:rPr>
      <w:i/>
      <w:iCs/>
      <w:color w:val="0E2841" w:themeColor="text2"/>
      <w:sz w:val="18"/>
      <w:szCs w:val="18"/>
    </w:rPr>
  </w:style>
  <w:style w:type="character" w:customStyle="1" w:styleId="katex-mathml">
    <w:name w:val="katex-mathml"/>
    <w:basedOn w:val="Carpredefinitoparagrafo"/>
    <w:rsid w:val="00DB3037"/>
  </w:style>
  <w:style w:type="character" w:customStyle="1" w:styleId="mord">
    <w:name w:val="mord"/>
    <w:basedOn w:val="Carpredefinitoparagrafo"/>
    <w:rsid w:val="00DB3037"/>
  </w:style>
  <w:style w:type="character" w:customStyle="1" w:styleId="mrel">
    <w:name w:val="mrel"/>
    <w:basedOn w:val="Carpredefinitoparagrafo"/>
    <w:rsid w:val="00DB3037"/>
  </w:style>
  <w:style w:type="character" w:customStyle="1" w:styleId="vlist-s">
    <w:name w:val="vlist-s"/>
    <w:basedOn w:val="Carpredefinitoparagrafo"/>
    <w:rsid w:val="00DB30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21" Type="http://schemas.openxmlformats.org/officeDocument/2006/relationships/image" Target="media/image17.png"/><Relationship Id="rId34" Type="http://schemas.openxmlformats.org/officeDocument/2006/relationships/image" Target="media/image30.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2" Type="http://schemas.openxmlformats.org/officeDocument/2006/relationships/settings" Target="setting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styles" Target="styles.xml"/><Relationship Id="rId6" Type="http://schemas.openxmlformats.org/officeDocument/2006/relationships/image" Target="media/image2.tiff"/><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theme" Target="theme/theme1.xml"/><Relationship Id="rId5" Type="http://schemas.openxmlformats.org/officeDocument/2006/relationships/image" Target="media/image1.emf"/><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hyperlink" Target="mailto:alberto.villa@unimi.it" TargetMode="Externa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8" Type="http://schemas.openxmlformats.org/officeDocument/2006/relationships/image" Target="media/image4.png"/><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4740</Words>
  <Characters>27018</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Panayiota A. Adamou</dc:creator>
  <cp:keywords/>
  <dc:description/>
  <cp:lastModifiedBy>Anna Maugeri</cp:lastModifiedBy>
  <cp:revision>2</cp:revision>
  <dcterms:created xsi:type="dcterms:W3CDTF">2026-01-30T10:45:00Z</dcterms:created>
  <dcterms:modified xsi:type="dcterms:W3CDTF">2026-01-30T10:45:00Z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id="T0pPNOBc"/&gt;&lt;style id="http://www.zotero.org/styles/angewandte-chemie" hasBibliography="1" bibliographyStyleHasBeenSet="1"/&gt;&lt;prefs&gt;&lt;pref name="fieldType" value="Field"/&gt;&lt;pref name="automaticJourna</vt:lpwstr>
  </property>
  <property fmtid="{D5CDD505-2E9C-101B-9397-08002B2CF9AE}" pid="3" name="ZOTERO_PREF_2">
    <vt:lpwstr>lAbbreviations" value="true"/&gt;&lt;/prefs&gt;&lt;/data&gt;</vt:lpwstr>
  </property>
</Properties>
</file>