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1C7E2" w14:textId="3A47796C" w:rsidR="00D50E58" w:rsidRPr="00D50E58" w:rsidRDefault="00D50E58">
      <w:pPr>
        <w:rPr>
          <w:b/>
          <w:bCs/>
          <w:lang w:val="it-IT"/>
        </w:rPr>
      </w:pPr>
      <w:r w:rsidRPr="00D50E58">
        <w:rPr>
          <w:b/>
          <w:bCs/>
          <w:lang w:val="it-IT"/>
        </w:rPr>
        <w:t xml:space="preserve">Study </w:t>
      </w:r>
      <w:r w:rsidRPr="00803484">
        <w:rPr>
          <w:b/>
          <w:bCs/>
          <w:lang w:val="en-GB"/>
        </w:rPr>
        <w:t>limitations</w:t>
      </w:r>
      <w:r w:rsidRPr="00D50E58">
        <w:rPr>
          <w:b/>
          <w:bCs/>
          <w:lang w:val="it-IT"/>
        </w:rPr>
        <w:t>:</w:t>
      </w:r>
    </w:p>
    <w:p w14:paraId="7D024658" w14:textId="77777777" w:rsidR="00D50E58" w:rsidRDefault="00D50E58" w:rsidP="00D50E58">
      <w:pPr>
        <w:spacing w:after="0" w:line="360" w:lineRule="auto"/>
        <w:jc w:val="both"/>
        <w:rPr>
          <w:rFonts w:ascii="Arial" w:eastAsia="Times New Roman" w:hAnsi="Arial" w:cs="Arial"/>
          <w:color w:val="000000"/>
          <w:kern w:val="0"/>
          <w:lang w:val="en-GB" w:eastAsia="en-GB"/>
          <w14:ligatures w14:val="none"/>
        </w:rPr>
      </w:pPr>
    </w:p>
    <w:p w14:paraId="124DA76A" w14:textId="4D06128B" w:rsidR="00D50E58" w:rsidRPr="006B5C9A" w:rsidRDefault="00D50E58" w:rsidP="00D50E58">
      <w:pPr>
        <w:spacing w:after="0" w:line="360" w:lineRule="auto"/>
        <w:jc w:val="both"/>
        <w:rPr>
          <w:rFonts w:ascii="Arial" w:eastAsia="Times New Roman" w:hAnsi="Arial" w:cs="Arial"/>
          <w:color w:val="000000"/>
          <w:kern w:val="0"/>
          <w:lang w:val="en-GB" w:eastAsia="en-GB"/>
          <w14:ligatures w14:val="none"/>
        </w:rPr>
      </w:pPr>
      <w:r w:rsidRPr="006B5C9A">
        <w:rPr>
          <w:rFonts w:ascii="Arial" w:eastAsia="Times New Roman" w:hAnsi="Arial" w:cs="Arial"/>
          <w:color w:val="000000"/>
          <w:kern w:val="0"/>
          <w:lang w:val="en-GB" w:eastAsia="en-GB"/>
          <w14:ligatures w14:val="none"/>
        </w:rPr>
        <w:t xml:space="preserve">Several limitations must be acknowledged when interpreting the results of our survey. First, the survey was distributed primarily among urologists affiliated with academic </w:t>
      </w:r>
      <w:proofErr w:type="spellStart"/>
      <w:r w:rsidRPr="006B5C9A">
        <w:rPr>
          <w:rFonts w:ascii="Arial" w:eastAsia="Times New Roman" w:hAnsi="Arial" w:cs="Arial"/>
          <w:color w:val="000000"/>
          <w:kern w:val="0"/>
          <w:lang w:val="en-GB" w:eastAsia="en-GB"/>
          <w14:ligatures w14:val="none"/>
        </w:rPr>
        <w:t>centers</w:t>
      </w:r>
      <w:proofErr w:type="spellEnd"/>
      <w:r w:rsidRPr="006B5C9A">
        <w:rPr>
          <w:rFonts w:ascii="Arial" w:eastAsia="Times New Roman" w:hAnsi="Arial" w:cs="Arial"/>
          <w:color w:val="000000"/>
          <w:kern w:val="0"/>
          <w:lang w:val="en-GB" w:eastAsia="en-GB"/>
          <w14:ligatures w14:val="none"/>
        </w:rPr>
        <w:t xml:space="preserve"> or high-volume institutions, with over half of respondents. This may limit generalizability to broader urologic communities, including those in private or rural practice, which were underrepresented. Second, despite participation from six world regions, </w:t>
      </w:r>
      <w:proofErr w:type="gramStart"/>
      <w:r w:rsidRPr="006B5C9A">
        <w:rPr>
          <w:rFonts w:ascii="Arial" w:eastAsia="Times New Roman" w:hAnsi="Arial" w:cs="Arial"/>
          <w:color w:val="000000"/>
          <w:kern w:val="0"/>
          <w:lang w:val="en-GB" w:eastAsia="en-GB"/>
          <w14:ligatures w14:val="none"/>
        </w:rPr>
        <w:t>the majority of</w:t>
      </w:r>
      <w:proofErr w:type="gramEnd"/>
      <w:r w:rsidRPr="006B5C9A">
        <w:rPr>
          <w:rFonts w:ascii="Arial" w:eastAsia="Times New Roman" w:hAnsi="Arial" w:cs="Arial"/>
          <w:color w:val="000000"/>
          <w:kern w:val="0"/>
          <w:lang w:val="en-GB" w:eastAsia="en-GB"/>
          <w14:ligatures w14:val="none"/>
        </w:rPr>
        <w:t xml:space="preserve"> responses came from Europe, potentially biasing the findings toward EAU-guided clinical behaviours and limiting applicability to regions where other guidelines dominate.</w:t>
      </w:r>
    </w:p>
    <w:p w14:paraId="481C5789" w14:textId="77777777" w:rsidR="00D50E58" w:rsidRPr="00B760A9" w:rsidRDefault="00D50E58" w:rsidP="00D50E58">
      <w:pPr>
        <w:spacing w:after="0" w:line="360" w:lineRule="auto"/>
        <w:jc w:val="both"/>
        <w:rPr>
          <w:rFonts w:ascii="Arial" w:hAnsi="Arial" w:cs="Arial"/>
          <w:color w:val="000000"/>
          <w:lang w:val="en-GB"/>
        </w:rPr>
      </w:pPr>
      <w:r w:rsidRPr="006B5C9A">
        <w:rPr>
          <w:rFonts w:ascii="Arial" w:eastAsia="Times New Roman" w:hAnsi="Arial" w:cs="Arial"/>
          <w:color w:val="000000"/>
          <w:kern w:val="0"/>
          <w:lang w:val="en-GB" w:eastAsia="en-GB"/>
          <w14:ligatures w14:val="none"/>
        </w:rPr>
        <w:t>Selection and response bias cannot be excluded. Since</w:t>
      </w:r>
      <w:r w:rsidRPr="00B760A9">
        <w:rPr>
          <w:rFonts w:ascii="Arial" w:eastAsia="Times New Roman" w:hAnsi="Arial" w:cs="Arial"/>
          <w:color w:val="000000"/>
          <w:kern w:val="0"/>
          <w:lang w:val="en-GB" w:eastAsia="en-GB"/>
          <w14:ligatures w14:val="none"/>
        </w:rPr>
        <w:t xml:space="preserve"> </w:t>
      </w:r>
      <w:r w:rsidRPr="00B760A9">
        <w:rPr>
          <w:rFonts w:ascii="Arial" w:hAnsi="Arial" w:cs="Arial"/>
          <w:color w:val="000000"/>
          <w:lang w:val="en-GB"/>
        </w:rPr>
        <w:t>the survey was distributed via open-access links and mailing lists without a clear denominator, a true response rate cannot be calculated</w:t>
      </w:r>
      <w:r w:rsidRPr="006B5C9A">
        <w:rPr>
          <w:rFonts w:ascii="Arial" w:eastAsia="Times New Roman" w:hAnsi="Arial" w:cs="Arial"/>
          <w:color w:val="000000"/>
          <w:kern w:val="0"/>
          <w:lang w:val="en-GB" w:eastAsia="en-GB"/>
          <w14:ligatures w14:val="none"/>
        </w:rPr>
        <w:t>. Additionally, as a self and voluntary-reported survey, answers may be influenced by recall bias or reflect idealized rather than actual pr</w:t>
      </w:r>
      <w:r w:rsidRPr="00B760A9">
        <w:rPr>
          <w:rFonts w:ascii="Arial" w:hAnsi="Arial" w:cs="Arial"/>
          <w:color w:val="000000"/>
          <w:lang w:val="en-GB"/>
        </w:rPr>
        <w:t xml:space="preserve">actices. </w:t>
      </w:r>
      <w:r w:rsidRPr="00B760A9">
        <w:rPr>
          <w:rFonts w:ascii="Arial" w:eastAsia="Times New Roman" w:hAnsi="Arial" w:cs="Arial"/>
          <w:color w:val="000000"/>
          <w:kern w:val="0"/>
          <w:lang w:val="en-GB" w:eastAsia="en-GB"/>
          <w14:ligatures w14:val="none"/>
        </w:rPr>
        <w:t xml:space="preserve">Institutional clustering cannot be excluded, as multiple respondents from the same institution may have participated. This could influence the interpretation of institutional variability and response distribution. However, the open design of the survey allowed all participants to independently express their individual perspectives and maintain anonymity. Thus, we deliberately avoided collecting country-specific identifiers. </w:t>
      </w:r>
      <w:proofErr w:type="gramStart"/>
      <w:r w:rsidRPr="006B5C9A">
        <w:rPr>
          <w:rFonts w:ascii="Arial" w:eastAsia="Times New Roman" w:hAnsi="Arial" w:cs="Arial"/>
          <w:color w:val="000000"/>
          <w:kern w:val="0"/>
          <w:lang w:val="en-GB" w:eastAsia="en-GB"/>
          <w14:ligatures w14:val="none"/>
        </w:rPr>
        <w:t>As a consequence</w:t>
      </w:r>
      <w:proofErr w:type="gramEnd"/>
      <w:r w:rsidRPr="006B5C9A">
        <w:rPr>
          <w:rFonts w:ascii="Arial" w:eastAsia="Times New Roman" w:hAnsi="Arial" w:cs="Arial"/>
          <w:color w:val="000000"/>
          <w:kern w:val="0"/>
          <w:lang w:val="en-GB" w:eastAsia="en-GB"/>
          <w14:ligatures w14:val="none"/>
        </w:rPr>
        <w:t>, w</w:t>
      </w:r>
      <w:r w:rsidRPr="00B760A9">
        <w:rPr>
          <w:rFonts w:ascii="Arial" w:eastAsia="Times New Roman" w:hAnsi="Arial" w:cs="Arial"/>
          <w:color w:val="000000"/>
          <w:kern w:val="0"/>
          <w:lang w:val="en-GB" w:eastAsia="en-GB"/>
          <w14:ligatures w14:val="none"/>
        </w:rPr>
        <w:t xml:space="preserve">e are unable to </w:t>
      </w:r>
      <w:r w:rsidRPr="006B5C9A">
        <w:rPr>
          <w:rFonts w:ascii="Arial" w:eastAsia="Times New Roman" w:hAnsi="Arial" w:cs="Arial"/>
          <w:color w:val="000000"/>
          <w:kern w:val="0"/>
          <w:lang w:val="en-GB" w:eastAsia="en-GB"/>
          <w14:ligatures w14:val="none"/>
        </w:rPr>
        <w:t>analyse</w:t>
      </w:r>
      <w:r w:rsidRPr="00B760A9">
        <w:rPr>
          <w:rFonts w:ascii="Arial" w:eastAsia="Times New Roman" w:hAnsi="Arial" w:cs="Arial"/>
          <w:color w:val="000000"/>
          <w:kern w:val="0"/>
          <w:lang w:val="en-GB" w:eastAsia="en-GB"/>
          <w14:ligatures w14:val="none"/>
        </w:rPr>
        <w:t xml:space="preserve"> regional or national determinants influencing PSMA availability or PLND patterns. </w:t>
      </w:r>
      <w:r w:rsidRPr="006B5C9A">
        <w:rPr>
          <w:rFonts w:ascii="Arial" w:eastAsia="Times New Roman" w:hAnsi="Arial" w:cs="Arial"/>
          <w:color w:val="000000"/>
          <w:kern w:val="0"/>
          <w:lang w:val="en-GB" w:eastAsia="en-GB"/>
          <w14:ligatures w14:val="none"/>
        </w:rPr>
        <w:t xml:space="preserve">Unfortunately, although the study aims to include countries worldwide, </w:t>
      </w:r>
      <w:proofErr w:type="gramStart"/>
      <w:r w:rsidRPr="006B5C9A">
        <w:rPr>
          <w:rFonts w:ascii="Arial" w:eastAsia="Times New Roman" w:hAnsi="Arial" w:cs="Arial"/>
          <w:color w:val="000000"/>
          <w:kern w:val="0"/>
          <w:lang w:val="en-GB" w:eastAsia="en-GB"/>
          <w14:ligatures w14:val="none"/>
        </w:rPr>
        <w:t>the majority of</w:t>
      </w:r>
      <w:proofErr w:type="gramEnd"/>
      <w:r w:rsidRPr="006B5C9A">
        <w:rPr>
          <w:rFonts w:ascii="Arial" w:eastAsia="Times New Roman" w:hAnsi="Arial" w:cs="Arial"/>
          <w:color w:val="000000"/>
          <w:kern w:val="0"/>
          <w:lang w:val="en-GB" w:eastAsia="en-GB"/>
          <w14:ligatures w14:val="none"/>
        </w:rPr>
        <w:t xml:space="preserve"> respondents came from European countries, highlighting a regional skew. </w:t>
      </w:r>
    </w:p>
    <w:p w14:paraId="02570E4C" w14:textId="77777777" w:rsidR="00D50E58" w:rsidRPr="00B760A9" w:rsidRDefault="00D50E58" w:rsidP="00D50E58">
      <w:pPr>
        <w:spacing w:after="0" w:line="360" w:lineRule="auto"/>
        <w:jc w:val="both"/>
        <w:rPr>
          <w:rFonts w:ascii="Arial" w:hAnsi="Arial" w:cs="Arial"/>
          <w:color w:val="000000"/>
          <w:lang w:val="en-GB"/>
        </w:rPr>
      </w:pPr>
      <w:r w:rsidRPr="00B760A9">
        <w:rPr>
          <w:rFonts w:ascii="Arial" w:hAnsi="Arial" w:cs="Arial"/>
          <w:color w:val="000000"/>
          <w:lang w:val="en-GB"/>
        </w:rPr>
        <w:t xml:space="preserve">The exploratory nature of the regression analyses also warrants cautious interpretation, as these models were intended to generate hypotheses rather than establish definitive associations. </w:t>
      </w:r>
    </w:p>
    <w:p w14:paraId="60CC1FD2" w14:textId="77777777" w:rsidR="00D50E58" w:rsidRPr="00B760A9" w:rsidRDefault="00D50E58" w:rsidP="00D50E58">
      <w:pPr>
        <w:spacing w:after="0" w:line="360" w:lineRule="auto"/>
        <w:jc w:val="both"/>
        <w:rPr>
          <w:rFonts w:ascii="Arial" w:eastAsia="Times New Roman" w:hAnsi="Arial" w:cs="Arial"/>
          <w:color w:val="000000"/>
          <w:kern w:val="0"/>
          <w:lang w:val="en-GB" w:eastAsia="en-GB"/>
          <w14:ligatures w14:val="none"/>
        </w:rPr>
      </w:pPr>
      <w:r w:rsidRPr="00B760A9">
        <w:rPr>
          <w:rFonts w:ascii="Arial" w:eastAsia="Times New Roman" w:hAnsi="Arial" w:cs="Arial"/>
          <w:color w:val="000000"/>
          <w:kern w:val="0"/>
          <w:lang w:val="en-GB" w:eastAsia="en-GB"/>
          <w14:ligatures w14:val="none"/>
        </w:rPr>
        <w:t xml:space="preserve">Detailed information on the heterogeneity of diagnostic and pathological workflows across institutions were </w:t>
      </w:r>
      <w:r w:rsidRPr="00B760A9">
        <w:rPr>
          <w:rFonts w:ascii="Arial" w:hAnsi="Arial" w:cs="Arial"/>
          <w:color w:val="374151"/>
          <w:lang w:val="en-GB"/>
        </w:rPr>
        <w:t>lacking</w:t>
      </w:r>
      <w:r w:rsidRPr="00B760A9">
        <w:rPr>
          <w:rFonts w:ascii="Arial" w:eastAsia="Times New Roman" w:hAnsi="Arial" w:cs="Arial"/>
          <w:color w:val="000000"/>
          <w:kern w:val="0"/>
          <w:lang w:val="en-GB" w:eastAsia="en-GB"/>
          <w14:ligatures w14:val="none"/>
        </w:rPr>
        <w:t xml:space="preserve">. Differences in PSMA-PET acquisition, image interpretation, surgical extent of PLND, and pathological assessment (e.g., tissue sampling or use of immunohistochemistry) may influence reported detection rates and treatment choices. Such disparities may partly explain regional variability, emphasizing the need for greater standardization across </w:t>
      </w:r>
      <w:proofErr w:type="spellStart"/>
      <w:r w:rsidRPr="00B760A9">
        <w:rPr>
          <w:rFonts w:ascii="Arial" w:eastAsia="Times New Roman" w:hAnsi="Arial" w:cs="Arial"/>
          <w:color w:val="000000"/>
          <w:kern w:val="0"/>
          <w:lang w:val="en-GB" w:eastAsia="en-GB"/>
          <w14:ligatures w14:val="none"/>
        </w:rPr>
        <w:t>centers</w:t>
      </w:r>
      <w:proofErr w:type="spellEnd"/>
      <w:r w:rsidRPr="00B760A9">
        <w:rPr>
          <w:rFonts w:ascii="Arial" w:eastAsia="Times New Roman" w:hAnsi="Arial" w:cs="Arial"/>
          <w:color w:val="000000"/>
          <w:kern w:val="0"/>
          <w:lang w:val="en-GB" w:eastAsia="en-GB"/>
          <w14:ligatures w14:val="none"/>
        </w:rPr>
        <w:t xml:space="preserve">. </w:t>
      </w:r>
      <w:sdt>
        <w:sdtPr>
          <w:rPr>
            <w:rFonts w:ascii="Arial" w:eastAsia="Times New Roman" w:hAnsi="Arial" w:cs="Arial"/>
            <w:color w:val="000000"/>
            <w:kern w:val="0"/>
            <w:lang w:val="en-GB" w:eastAsia="en-GB"/>
            <w14:ligatures w14:val="none"/>
          </w:rPr>
          <w:tag w:val="goog_rdk_538"/>
          <w:id w:val="-1905596142"/>
        </w:sdtPr>
        <w:sdtContent>
          <w:r w:rsidRPr="00B760A9">
            <w:rPr>
              <w:rFonts w:ascii="Arial" w:eastAsia="Times New Roman" w:hAnsi="Arial" w:cs="Arial"/>
              <w:color w:val="000000"/>
              <w:kern w:val="0"/>
              <w:lang w:val="en-GB" w:eastAsia="en-GB"/>
              <w14:ligatures w14:val="none"/>
            </w:rPr>
            <w:t xml:space="preserve">Lymph node </w:t>
          </w:r>
          <w:proofErr w:type="spellStart"/>
          <w:r w:rsidRPr="006B5C9A">
            <w:rPr>
              <w:rFonts w:ascii="Arial" w:eastAsia="Times New Roman" w:hAnsi="Arial" w:cs="Arial"/>
              <w:color w:val="000000"/>
              <w:kern w:val="0"/>
              <w:lang w:val="en-GB" w:eastAsia="en-GB"/>
              <w14:ligatures w14:val="none"/>
            </w:rPr>
            <w:t>tratment</w:t>
          </w:r>
          <w:proofErr w:type="spellEnd"/>
          <w:r w:rsidRPr="00B760A9">
            <w:rPr>
              <w:rFonts w:ascii="Arial" w:eastAsia="Times New Roman" w:hAnsi="Arial" w:cs="Arial"/>
              <w:color w:val="000000"/>
              <w:kern w:val="0"/>
              <w:lang w:val="en-GB" w:eastAsia="en-GB"/>
              <w14:ligatures w14:val="none"/>
            </w:rPr>
            <w:t xml:space="preserve"> with radiation therapy was not covered.</w:t>
          </w:r>
        </w:sdtContent>
      </w:sdt>
    </w:p>
    <w:p w14:paraId="11EDAD8F" w14:textId="77777777" w:rsidR="00D50E58" w:rsidRPr="006B5C9A" w:rsidRDefault="00D50E58" w:rsidP="00D50E58">
      <w:pPr>
        <w:spacing w:after="0" w:line="360" w:lineRule="auto"/>
        <w:jc w:val="both"/>
        <w:rPr>
          <w:rFonts w:ascii="Arial" w:eastAsia="Times New Roman" w:hAnsi="Arial" w:cs="Arial"/>
          <w:color w:val="000000"/>
          <w:kern w:val="0"/>
          <w:lang w:val="en-GB" w:eastAsia="en-GB"/>
          <w14:ligatures w14:val="none"/>
        </w:rPr>
      </w:pPr>
      <w:r w:rsidRPr="006B5C9A">
        <w:rPr>
          <w:rFonts w:ascii="Arial" w:eastAsia="Times New Roman" w:hAnsi="Arial" w:cs="Arial"/>
          <w:color w:val="000000"/>
          <w:kern w:val="0"/>
          <w:lang w:val="en-GB" w:eastAsia="en-GB"/>
          <w14:ligatures w14:val="none"/>
        </w:rPr>
        <w:lastRenderedPageBreak/>
        <w:t>Finally, while the survey included questions on imaging use and nomograms, it did not assess how often decisions were made in multidisciplinary teams or whether institutional protocols played a role, both of which may affect PLND practice patterns independently of clinician preference.</w:t>
      </w:r>
    </w:p>
    <w:p w14:paraId="66281180" w14:textId="77777777" w:rsidR="00D50E58" w:rsidRPr="00B760A9" w:rsidRDefault="00D50E58" w:rsidP="00D50E58">
      <w:pPr>
        <w:spacing w:after="0" w:line="360" w:lineRule="auto"/>
        <w:jc w:val="both"/>
        <w:rPr>
          <w:rFonts w:ascii="Arial" w:eastAsia="Times New Roman" w:hAnsi="Arial" w:cs="Arial"/>
          <w:color w:val="000000"/>
          <w:kern w:val="0"/>
          <w:lang w:val="en-GB" w:eastAsia="en-GB"/>
          <w14:ligatures w14:val="none"/>
        </w:rPr>
      </w:pPr>
      <w:r w:rsidRPr="00B760A9">
        <w:rPr>
          <w:rFonts w:ascii="Arial" w:eastAsia="Times New Roman" w:hAnsi="Arial" w:cs="Arial"/>
          <w:color w:val="000000"/>
          <w:kern w:val="0"/>
          <w:lang w:val="en-GB" w:eastAsia="en-GB"/>
          <w14:ligatures w14:val="none"/>
        </w:rPr>
        <w:t xml:space="preserve">A trial designed to evaluate the impact of omitting lymph node dissection in </w:t>
      </w:r>
      <w:r w:rsidRPr="006B5C9A">
        <w:rPr>
          <w:rFonts w:ascii="Arial" w:eastAsia="Times New Roman" w:hAnsi="Arial" w:cs="Arial"/>
          <w:color w:val="000000"/>
          <w:kern w:val="0"/>
          <w:lang w:val="en-GB" w:eastAsia="en-GB"/>
          <w14:ligatures w14:val="none"/>
        </w:rPr>
        <w:t>unfavourable</w:t>
      </w:r>
      <w:r w:rsidRPr="00B760A9">
        <w:rPr>
          <w:rFonts w:ascii="Arial" w:eastAsia="Times New Roman" w:hAnsi="Arial" w:cs="Arial"/>
          <w:color w:val="000000"/>
          <w:kern w:val="0"/>
          <w:lang w:val="en-GB" w:eastAsia="en-GB"/>
          <w14:ligatures w14:val="none"/>
        </w:rPr>
        <w:t xml:space="preserve"> intermediate-risk </w:t>
      </w:r>
      <w:proofErr w:type="spellStart"/>
      <w:r w:rsidRPr="006B5C9A">
        <w:rPr>
          <w:rFonts w:ascii="Arial" w:eastAsia="Times New Roman" w:hAnsi="Arial" w:cs="Arial"/>
          <w:color w:val="000000"/>
          <w:kern w:val="0"/>
          <w:lang w:val="en-GB" w:eastAsia="en-GB"/>
          <w14:ligatures w14:val="none"/>
        </w:rPr>
        <w:t>PCa</w:t>
      </w:r>
      <w:proofErr w:type="spellEnd"/>
      <w:r w:rsidRPr="00B760A9">
        <w:rPr>
          <w:rFonts w:ascii="Arial" w:eastAsia="Times New Roman" w:hAnsi="Arial" w:cs="Arial"/>
          <w:color w:val="000000"/>
          <w:kern w:val="0"/>
          <w:lang w:val="en-GB" w:eastAsia="en-GB"/>
          <w14:ligatures w14:val="none"/>
        </w:rPr>
        <w:t xml:space="preserve">, such as the NODE pilot study, will focus specifically on this patient subgroup </w:t>
      </w:r>
      <w:sdt>
        <w:sdtPr>
          <w:rPr>
            <w:rFonts w:ascii="Arial" w:eastAsia="Times New Roman" w:hAnsi="Arial" w:cs="Arial"/>
            <w:color w:val="000000"/>
            <w:kern w:val="0"/>
            <w:lang w:val="en-GB" w:eastAsia="en-GB"/>
            <w14:ligatures w14:val="none"/>
          </w:rPr>
          <w:tag w:val="MENDELEY_CITATION_v3_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"/>
          <w:id w:val="1581799160"/>
          <w:placeholder>
            <w:docPart w:val="9B8B308F39060143BB350E27B9E9085E"/>
          </w:placeholder>
        </w:sdtPr>
        <w:sdtContent>
          <w:r w:rsidRPr="001954C9">
            <w:rPr>
              <w:rFonts w:ascii="Arial" w:eastAsia="Times New Roman" w:hAnsi="Arial" w:cs="Arial"/>
              <w:color w:val="000000"/>
              <w:kern w:val="0"/>
              <w:lang w:val="en-GB" w:eastAsia="en-GB"/>
              <w14:ligatures w14:val="none"/>
            </w:rPr>
            <w:t>[32]</w:t>
          </w:r>
        </w:sdtContent>
      </w:sdt>
      <w:r w:rsidRPr="00B760A9">
        <w:rPr>
          <w:rFonts w:ascii="Arial" w:eastAsia="Times New Roman" w:hAnsi="Arial" w:cs="Arial"/>
          <w:color w:val="000000"/>
          <w:kern w:val="0"/>
          <w:lang w:val="en-GB" w:eastAsia="en-GB"/>
          <w14:ligatures w14:val="none"/>
        </w:rPr>
        <w:t xml:space="preserve">. The study will mandate the use of PSMA PET/CT for staging to exclude patients with distant metastases. A standardized extended </w:t>
      </w:r>
      <w:r w:rsidRPr="006B5C9A">
        <w:rPr>
          <w:rFonts w:ascii="Arial" w:eastAsia="Times New Roman" w:hAnsi="Arial" w:cs="Arial"/>
          <w:color w:val="000000"/>
          <w:kern w:val="0"/>
          <w:lang w:val="en-GB" w:eastAsia="en-GB"/>
          <w14:ligatures w14:val="none"/>
        </w:rPr>
        <w:t>PLND</w:t>
      </w:r>
      <w:r w:rsidRPr="00B760A9">
        <w:rPr>
          <w:rFonts w:ascii="Arial" w:eastAsia="Times New Roman" w:hAnsi="Arial" w:cs="Arial"/>
          <w:color w:val="000000"/>
          <w:kern w:val="0"/>
          <w:lang w:val="en-GB" w:eastAsia="en-GB"/>
          <w14:ligatures w14:val="none"/>
        </w:rPr>
        <w:t xml:space="preserve"> template will be used, with endpoints including biochemical recurrence, clinical progression, and survival. To detect potentially small but clinically meaningful differences in outcomes, the trial will require an adequate sample size and a follow-up period of 5–10 years, balancing statistical power with the practical feasibility of a long-term surgical study.</w:t>
      </w:r>
    </w:p>
    <w:p w14:paraId="0D9F1C08" w14:textId="77777777" w:rsidR="00D50E58" w:rsidRPr="00D50E58" w:rsidRDefault="00D50E58">
      <w:pPr>
        <w:rPr>
          <w:lang w:val="en-GB"/>
        </w:rPr>
      </w:pPr>
    </w:p>
    <w:sectPr w:rsidR="00D50E58" w:rsidRPr="00D50E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E58"/>
    <w:rsid w:val="00126577"/>
    <w:rsid w:val="00803484"/>
    <w:rsid w:val="00977132"/>
    <w:rsid w:val="00D50E58"/>
  </w:rsids>
  <m:mathPr>
    <m:mathFont m:val="Cambria Math"/>
    <m:brkBin m:val="before"/>
    <m:brkBinSub m:val="--"/>
    <m:smallFrac m:val="0"/>
    <m:dispDef/>
    <m:lMargin m:val="0"/>
    <m:rMargin m:val="0"/>
    <m:defJc m:val="centerGroup"/>
    <m:wrapIndent m:val="1440"/>
    <m:intLim m:val="subSup"/>
    <m:naryLim m:val="undOvr"/>
  </m:mathPr>
  <w:themeFontLang w:val="en-IT"/>
  <w:clrSchemeMapping w:bg1="light1" w:t1="dark1" w:bg2="light2" w:t2="dark2" w:accent1="accent1" w:accent2="accent2" w:accent3="accent3" w:accent4="accent4" w:accent5="accent5" w:accent6="accent6" w:hyperlink="hyperlink" w:followedHyperlink="followedHyperlink"/>
  <w:decimalSymbol w:val=","/>
  <w:listSeparator w:val=","/>
  <w14:docId w14:val="28E1C550"/>
  <w15:chartTrackingRefBased/>
  <w15:docId w15:val="{458119F9-5759-AE4E-928A-202F5FE4E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E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0E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0E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0E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0E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0E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0E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0E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0E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0E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0E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0E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0E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0E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0E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0E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0E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0E58"/>
    <w:rPr>
      <w:rFonts w:eastAsiaTheme="majorEastAsia" w:cstheme="majorBidi"/>
      <w:color w:val="272727" w:themeColor="text1" w:themeTint="D8"/>
    </w:rPr>
  </w:style>
  <w:style w:type="paragraph" w:styleId="Title">
    <w:name w:val="Title"/>
    <w:basedOn w:val="Normal"/>
    <w:next w:val="Normal"/>
    <w:link w:val="TitleChar"/>
    <w:uiPriority w:val="10"/>
    <w:qFormat/>
    <w:rsid w:val="00D50E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0E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0E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0E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0E58"/>
    <w:pPr>
      <w:spacing w:before="160"/>
      <w:jc w:val="center"/>
    </w:pPr>
    <w:rPr>
      <w:i/>
      <w:iCs/>
      <w:color w:val="404040" w:themeColor="text1" w:themeTint="BF"/>
    </w:rPr>
  </w:style>
  <w:style w:type="character" w:customStyle="1" w:styleId="QuoteChar">
    <w:name w:val="Quote Char"/>
    <w:basedOn w:val="DefaultParagraphFont"/>
    <w:link w:val="Quote"/>
    <w:uiPriority w:val="29"/>
    <w:rsid w:val="00D50E58"/>
    <w:rPr>
      <w:i/>
      <w:iCs/>
      <w:color w:val="404040" w:themeColor="text1" w:themeTint="BF"/>
    </w:rPr>
  </w:style>
  <w:style w:type="paragraph" w:styleId="ListParagraph">
    <w:name w:val="List Paragraph"/>
    <w:basedOn w:val="Normal"/>
    <w:uiPriority w:val="34"/>
    <w:qFormat/>
    <w:rsid w:val="00D50E58"/>
    <w:pPr>
      <w:ind w:left="720"/>
      <w:contextualSpacing/>
    </w:pPr>
  </w:style>
  <w:style w:type="character" w:styleId="IntenseEmphasis">
    <w:name w:val="Intense Emphasis"/>
    <w:basedOn w:val="DefaultParagraphFont"/>
    <w:uiPriority w:val="21"/>
    <w:qFormat/>
    <w:rsid w:val="00D50E58"/>
    <w:rPr>
      <w:i/>
      <w:iCs/>
      <w:color w:val="0F4761" w:themeColor="accent1" w:themeShade="BF"/>
    </w:rPr>
  </w:style>
  <w:style w:type="paragraph" w:styleId="IntenseQuote">
    <w:name w:val="Intense Quote"/>
    <w:basedOn w:val="Normal"/>
    <w:next w:val="Normal"/>
    <w:link w:val="IntenseQuoteChar"/>
    <w:uiPriority w:val="30"/>
    <w:qFormat/>
    <w:rsid w:val="00D50E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0E58"/>
    <w:rPr>
      <w:i/>
      <w:iCs/>
      <w:color w:val="0F4761" w:themeColor="accent1" w:themeShade="BF"/>
    </w:rPr>
  </w:style>
  <w:style w:type="character" w:styleId="IntenseReference">
    <w:name w:val="Intense Reference"/>
    <w:basedOn w:val="DefaultParagraphFont"/>
    <w:uiPriority w:val="32"/>
    <w:qFormat/>
    <w:rsid w:val="00D50E5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8B308F39060143BB350E27B9E9085E"/>
        <w:category>
          <w:name w:val="General"/>
          <w:gallery w:val="placeholder"/>
        </w:category>
        <w:types>
          <w:type w:val="bbPlcHdr"/>
        </w:types>
        <w:behaviors>
          <w:behavior w:val="content"/>
        </w:behaviors>
        <w:guid w:val="{AD3753E3-BA85-DF4B-9C14-A09429805E7B}"/>
      </w:docPartPr>
      <w:docPartBody>
        <w:p w:rsidR="00B36A9B" w:rsidRDefault="00B36A9B" w:rsidP="00B36A9B">
          <w:pPr>
            <w:pStyle w:val="9B8B308F39060143BB350E27B9E9085E"/>
          </w:pPr>
          <w:r w:rsidRPr="00D84FB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A9B"/>
    <w:rsid w:val="00126577"/>
    <w:rsid w:val="00B36A9B"/>
  </w:rsids>
  <m:mathPr>
    <m:mathFont m:val="Cambria Math"/>
    <m:brkBin m:val="before"/>
    <m:brkBinSub m:val="--"/>
    <m:smallFrac m:val="0"/>
    <m:dispDef/>
    <m:lMargin m:val="0"/>
    <m:rMargin m:val="0"/>
    <m:defJc m:val="centerGroup"/>
    <m:wrapIndent m:val="1440"/>
    <m:intLim m:val="subSup"/>
    <m:naryLim m:val="undOvr"/>
  </m:mathPr>
  <w:themeFontLang w:val="en-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T"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6A9B"/>
    <w:rPr>
      <w:color w:val="666666"/>
    </w:rPr>
  </w:style>
  <w:style w:type="paragraph" w:customStyle="1" w:styleId="9B8B308F39060143BB350E27B9E9085E">
    <w:name w:val="9B8B308F39060143BB350E27B9E9085E"/>
    <w:rsid w:val="00B36A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Zattoni</dc:creator>
  <cp:keywords/>
  <dc:description/>
  <cp:lastModifiedBy>Fabio Zattoni</cp:lastModifiedBy>
  <cp:revision>2</cp:revision>
  <dcterms:created xsi:type="dcterms:W3CDTF">2025-11-15T08:57:00Z</dcterms:created>
  <dcterms:modified xsi:type="dcterms:W3CDTF">2025-11-15T09:08:00Z</dcterms:modified>
</cp:coreProperties>
</file>