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90133" w14:textId="77777777" w:rsidR="003A2895" w:rsidRPr="006B5C9A" w:rsidRDefault="003A2895" w:rsidP="003A2895">
      <w:pPr>
        <w:spacing w:before="100" w:beforeAutospacing="1" w:after="100" w:afterAutospacing="1" w:line="360" w:lineRule="auto"/>
        <w:jc w:val="both"/>
        <w:rPr>
          <w:rFonts w:ascii="Arial" w:eastAsia="Times New Roman" w:hAnsi="Arial" w:cs="Arial"/>
          <w:b/>
          <w:bCs/>
          <w:color w:val="000000"/>
          <w:kern w:val="0"/>
          <w:lang w:val="en-GB" w:eastAsia="en-GB"/>
          <w14:ligatures w14:val="none"/>
        </w:rPr>
      </w:pPr>
      <w:r w:rsidRPr="006B5C9A">
        <w:rPr>
          <w:rFonts w:ascii="Arial" w:eastAsia="Times New Roman" w:hAnsi="Arial" w:cs="Arial"/>
          <w:b/>
          <w:bCs/>
          <w:color w:val="000000"/>
          <w:kern w:val="0"/>
          <w:lang w:val="en-GB" w:eastAsia="en-GB"/>
          <w14:ligatures w14:val="none"/>
        </w:rPr>
        <w:t>Questionnaire Development</w:t>
      </w:r>
    </w:p>
    <w:p w14:paraId="67AFDF09" w14:textId="77777777" w:rsidR="003A2895" w:rsidRPr="006B5C9A" w:rsidRDefault="003A2895" w:rsidP="003A2895">
      <w:pPr>
        <w:spacing w:after="0" w:line="360" w:lineRule="auto"/>
        <w:jc w:val="both"/>
        <w:rPr>
          <w:rFonts w:ascii="Arial" w:eastAsia="Times New Roman" w:hAnsi="Arial" w:cs="Arial"/>
          <w:color w:val="000000"/>
          <w:kern w:val="0"/>
          <w:lang w:val="en-GB" w:eastAsia="en-GB"/>
          <w14:ligatures w14:val="none"/>
        </w:rPr>
      </w:pPr>
      <w:r w:rsidRPr="006B5C9A">
        <w:rPr>
          <w:rFonts w:ascii="Arial" w:eastAsia="Times New Roman" w:hAnsi="Arial" w:cs="Arial"/>
          <w:color w:val="000000"/>
          <w:kern w:val="0"/>
          <w:lang w:val="en-GB" w:eastAsia="en-GB"/>
          <w14:ligatures w14:val="none"/>
        </w:rPr>
        <w:t xml:space="preserve">The survey instrument was developed in three phases. First, a focused literature review was conducted to identify contemporary issues and controversies regarding PLND. This review included clinical trials, observational studies, and international guidelines published between 2015 and 2023, sourced from PubMed, Scopus, and Web of Science. The evidence gathered informed the content areas and structure of the preliminary questionnaire. </w:t>
      </w:r>
    </w:p>
    <w:p w14:paraId="610C507B" w14:textId="77777777" w:rsidR="003A2895" w:rsidRPr="006B5C9A" w:rsidRDefault="003A2895" w:rsidP="003A2895">
      <w:pPr>
        <w:spacing w:after="0" w:line="360" w:lineRule="auto"/>
        <w:jc w:val="both"/>
        <w:rPr>
          <w:rFonts w:ascii="Arial" w:eastAsia="Times New Roman" w:hAnsi="Arial" w:cs="Arial"/>
          <w:color w:val="000000"/>
          <w:kern w:val="0"/>
          <w:lang w:val="en-GB" w:eastAsia="en-GB"/>
          <w14:ligatures w14:val="none"/>
        </w:rPr>
      </w:pPr>
      <w:r w:rsidRPr="006B5C9A">
        <w:rPr>
          <w:rFonts w:ascii="Arial" w:eastAsia="Times New Roman" w:hAnsi="Arial" w:cs="Arial"/>
          <w:color w:val="000000"/>
          <w:kern w:val="0"/>
          <w:lang w:val="en-GB" w:eastAsia="en-GB"/>
          <w14:ligatures w14:val="none"/>
        </w:rPr>
        <w:t xml:space="preserve">In the second phase, a core development group composed of seven experienced urologists and </w:t>
      </w:r>
      <w:proofErr w:type="spellStart"/>
      <w:r w:rsidRPr="006B5C9A">
        <w:rPr>
          <w:rFonts w:ascii="Arial" w:eastAsia="Times New Roman" w:hAnsi="Arial" w:cs="Arial"/>
          <w:color w:val="000000"/>
          <w:kern w:val="0"/>
          <w:lang w:val="en-GB" w:eastAsia="en-GB"/>
          <w14:ligatures w14:val="none"/>
        </w:rPr>
        <w:t>uro</w:t>
      </w:r>
      <w:proofErr w:type="spellEnd"/>
      <w:r w:rsidRPr="006B5C9A">
        <w:rPr>
          <w:rFonts w:ascii="Arial" w:eastAsia="Times New Roman" w:hAnsi="Arial" w:cs="Arial"/>
          <w:color w:val="000000"/>
          <w:kern w:val="0"/>
          <w:lang w:val="en-GB" w:eastAsia="en-GB"/>
          <w14:ligatures w14:val="none"/>
        </w:rPr>
        <w:t>-oncologists from various international centres reviewed the draft questionnaire. Through iterative consensus meetings, the expert panel refined item wording, eliminated redundancy, and ensured that each question aligned with current clinical realities. The goal was to cover both established knowledge areas and emerging themes such as the role of PSMA PET in lymph node staging and the influence of surgical modality on PLND practices.</w:t>
      </w:r>
    </w:p>
    <w:p w14:paraId="30787453" w14:textId="77777777" w:rsidR="003A2895" w:rsidRPr="006B5C9A" w:rsidRDefault="003A2895" w:rsidP="003A2895">
      <w:pPr>
        <w:spacing w:after="0" w:line="360" w:lineRule="auto"/>
        <w:jc w:val="both"/>
        <w:rPr>
          <w:rFonts w:ascii="Arial" w:eastAsia="Times New Roman" w:hAnsi="Arial" w:cs="Arial"/>
          <w:color w:val="000000"/>
          <w:kern w:val="0"/>
          <w:lang w:val="en-GB" w:eastAsia="en-GB"/>
          <w14:ligatures w14:val="none"/>
        </w:rPr>
      </w:pPr>
      <w:r w:rsidRPr="006B5C9A">
        <w:rPr>
          <w:rFonts w:ascii="Arial" w:eastAsia="Times New Roman" w:hAnsi="Arial" w:cs="Arial"/>
          <w:color w:val="000000"/>
          <w:kern w:val="0"/>
          <w:lang w:val="en-GB" w:eastAsia="en-GB"/>
          <w14:ligatures w14:val="none"/>
        </w:rPr>
        <w:t>Third, the revised questionnaire was pilot tested with a group of 15 practicing urologists from multiple countries and members of the Young Academic Urologist Prostate Cancer working group of the European Association of Urology. Participants completed the survey and provided structured feedback on clarity, completeness, and relevance. Revisions were made to improve clarity, adjust flow, and streamline user experience based on the pilot testing results.</w:t>
      </w:r>
    </w:p>
    <w:p w14:paraId="18134E60" w14:textId="77777777" w:rsidR="003A2895" w:rsidRPr="006B5C9A" w:rsidRDefault="003A2895" w:rsidP="003A2895">
      <w:pPr>
        <w:spacing w:after="0" w:line="360" w:lineRule="auto"/>
        <w:jc w:val="both"/>
        <w:rPr>
          <w:rFonts w:ascii="Arial" w:eastAsia="Times New Roman" w:hAnsi="Arial" w:cs="Arial"/>
          <w:color w:val="000000"/>
          <w:kern w:val="0"/>
          <w:lang w:val="en-GB" w:eastAsia="en-GB"/>
          <w14:ligatures w14:val="none"/>
        </w:rPr>
      </w:pPr>
      <w:r w:rsidRPr="006B5C9A">
        <w:rPr>
          <w:rFonts w:ascii="Arial" w:eastAsia="Times New Roman" w:hAnsi="Arial" w:cs="Arial"/>
          <w:color w:val="000000"/>
          <w:kern w:val="0"/>
          <w:lang w:val="en-GB" w:eastAsia="en-GB"/>
          <w14:ligatures w14:val="none"/>
        </w:rPr>
        <w:t xml:space="preserve">The finalized questionnaire consisted of 35 items organized into six thematic domains: </w:t>
      </w:r>
      <w:proofErr w:type="spellStart"/>
      <w:r w:rsidRPr="006B5C9A">
        <w:rPr>
          <w:rFonts w:ascii="Arial" w:eastAsia="Times New Roman" w:hAnsi="Arial" w:cs="Arial"/>
          <w:color w:val="000000"/>
          <w:kern w:val="0"/>
          <w:lang w:val="en-GB" w:eastAsia="en-GB"/>
          <w14:ligatures w14:val="none"/>
        </w:rPr>
        <w:t>i</w:t>
      </w:r>
      <w:proofErr w:type="spellEnd"/>
      <w:r w:rsidRPr="006B5C9A">
        <w:rPr>
          <w:rFonts w:ascii="Arial" w:eastAsia="Times New Roman" w:hAnsi="Arial" w:cs="Arial"/>
          <w:color w:val="000000"/>
          <w:kern w:val="0"/>
          <w:lang w:val="en-GB" w:eastAsia="en-GB"/>
          <w14:ligatures w14:val="none"/>
        </w:rPr>
        <w:t xml:space="preserve">) demographics and practice setting; ii) criteria for performing PLND; iii) extent and technique of PLND; iv) integration of preoperative imaging </w:t>
      </w:r>
      <w:r w:rsidRPr="00B760A9">
        <w:rPr>
          <w:rFonts w:ascii="Arial" w:eastAsia="Arial" w:hAnsi="Arial" w:cs="Arial"/>
          <w:color w:val="000000"/>
          <w:lang w:val="en-GB"/>
        </w:rPr>
        <w:t>(conventional versus PSMA</w:t>
      </w:r>
      <w:sdt>
        <w:sdtPr>
          <w:rPr>
            <w:rFonts w:ascii="Arial" w:hAnsi="Arial" w:cs="Arial"/>
            <w:lang w:val="en-GB"/>
          </w:rPr>
          <w:tag w:val="goog_rdk_361"/>
          <w:id w:val="-1194944688"/>
        </w:sdtPr>
        <w:sdtContent/>
      </w:sdt>
      <w:r w:rsidRPr="00B760A9">
        <w:rPr>
          <w:rFonts w:ascii="Arial" w:eastAsia="Arial" w:hAnsi="Arial" w:cs="Arial"/>
          <w:color w:val="000000"/>
          <w:lang w:val="en-GB"/>
        </w:rPr>
        <w:t>)</w:t>
      </w:r>
      <w:r w:rsidRPr="006B5C9A">
        <w:rPr>
          <w:rFonts w:ascii="Arial" w:eastAsia="Times New Roman" w:hAnsi="Arial" w:cs="Arial"/>
          <w:color w:val="000000"/>
          <w:kern w:val="0"/>
          <w:lang w:val="en-GB" w:eastAsia="en-GB"/>
          <w14:ligatures w14:val="none"/>
        </w:rPr>
        <w:t xml:space="preserve">; v) perceived risks and benefits; and vi) the influence of guidelines and recent evidence. The </w:t>
      </w:r>
      <w:r w:rsidRPr="006B5C9A">
        <w:rPr>
          <w:rFonts w:ascii="Arial" w:eastAsia="Times New Roman" w:hAnsi="Arial" w:cs="Arial"/>
          <w:kern w:val="0"/>
          <w:lang w:val="en-GB" w:eastAsia="en-GB"/>
          <w14:ligatures w14:val="none"/>
        </w:rPr>
        <w:t>English and French final versions of the survey are presented in the supplementary material 1 and 2.</w:t>
      </w:r>
    </w:p>
    <w:p w14:paraId="37B27186" w14:textId="77777777" w:rsidR="003A2895" w:rsidRPr="006B5C9A" w:rsidRDefault="003A2895" w:rsidP="003A2895">
      <w:pPr>
        <w:spacing w:before="100" w:beforeAutospacing="1" w:after="100" w:afterAutospacing="1" w:line="360" w:lineRule="auto"/>
        <w:jc w:val="both"/>
        <w:outlineLvl w:val="3"/>
        <w:rPr>
          <w:rFonts w:ascii="Arial" w:eastAsia="Times New Roman" w:hAnsi="Arial" w:cs="Arial"/>
          <w:b/>
          <w:bCs/>
          <w:color w:val="000000"/>
          <w:kern w:val="0"/>
          <w:lang w:val="en-GB" w:eastAsia="en-GB"/>
          <w14:ligatures w14:val="none"/>
        </w:rPr>
      </w:pPr>
      <w:r w:rsidRPr="006B5C9A">
        <w:rPr>
          <w:rFonts w:ascii="Arial" w:eastAsia="Times New Roman" w:hAnsi="Arial" w:cs="Arial"/>
          <w:b/>
          <w:bCs/>
          <w:color w:val="000000"/>
          <w:kern w:val="0"/>
          <w:lang w:val="en-GB" w:eastAsia="en-GB"/>
          <w14:ligatures w14:val="none"/>
        </w:rPr>
        <w:t>Survey Administration and Dissemination</w:t>
      </w:r>
    </w:p>
    <w:p w14:paraId="53B9E171" w14:textId="77777777" w:rsidR="003A2895" w:rsidRPr="006B5C9A" w:rsidRDefault="003A2895" w:rsidP="003A2895">
      <w:pPr>
        <w:spacing w:after="0" w:line="360" w:lineRule="auto"/>
        <w:jc w:val="both"/>
        <w:rPr>
          <w:rFonts w:ascii="Arial" w:eastAsia="Times New Roman" w:hAnsi="Arial" w:cs="Arial"/>
          <w:color w:val="000000"/>
          <w:kern w:val="0"/>
          <w:lang w:val="en-GB" w:eastAsia="en-GB"/>
          <w14:ligatures w14:val="none"/>
        </w:rPr>
      </w:pPr>
      <w:r w:rsidRPr="006B5C9A">
        <w:rPr>
          <w:rFonts w:ascii="Arial" w:eastAsia="Times New Roman" w:hAnsi="Arial" w:cs="Arial"/>
          <w:color w:val="000000"/>
          <w:kern w:val="0"/>
          <w:lang w:val="en-GB" w:eastAsia="en-GB"/>
          <w14:ligatures w14:val="none"/>
        </w:rPr>
        <w:t>The final survey was deployed via the secure web-based platform SurveyMonkey®, which enabled encrypted data collection. The survey was accessible between February 11</w:t>
      </w:r>
      <w:r w:rsidRPr="006B5C9A">
        <w:rPr>
          <w:rFonts w:ascii="Arial" w:eastAsia="Times New Roman" w:hAnsi="Arial" w:cs="Arial"/>
          <w:color w:val="000000"/>
          <w:kern w:val="0"/>
          <w:vertAlign w:val="superscript"/>
          <w:lang w:val="en-GB" w:eastAsia="en-GB"/>
          <w14:ligatures w14:val="none"/>
        </w:rPr>
        <w:t>th</w:t>
      </w:r>
      <w:r w:rsidRPr="006B5C9A">
        <w:rPr>
          <w:rFonts w:ascii="Arial" w:eastAsia="Times New Roman" w:hAnsi="Arial" w:cs="Arial"/>
          <w:color w:val="000000"/>
          <w:kern w:val="0"/>
          <w:lang w:val="en-GB" w:eastAsia="en-GB"/>
          <w14:ligatures w14:val="none"/>
        </w:rPr>
        <w:t xml:space="preserve"> to May 15</w:t>
      </w:r>
      <w:r w:rsidRPr="006B5C9A">
        <w:rPr>
          <w:rFonts w:ascii="Arial" w:eastAsia="Times New Roman" w:hAnsi="Arial" w:cs="Arial"/>
          <w:color w:val="000000"/>
          <w:kern w:val="0"/>
          <w:vertAlign w:val="superscript"/>
          <w:lang w:val="en-GB" w:eastAsia="en-GB"/>
          <w14:ligatures w14:val="none"/>
        </w:rPr>
        <w:t>th</w:t>
      </w:r>
      <w:proofErr w:type="gramStart"/>
      <w:r w:rsidRPr="006B5C9A">
        <w:rPr>
          <w:rFonts w:ascii="Arial" w:eastAsia="Times New Roman" w:hAnsi="Arial" w:cs="Arial"/>
          <w:color w:val="000000"/>
          <w:kern w:val="0"/>
          <w:lang w:val="en-GB" w:eastAsia="en-GB"/>
          <w14:ligatures w14:val="none"/>
        </w:rPr>
        <w:t xml:space="preserve"> 2025</w:t>
      </w:r>
      <w:proofErr w:type="gramEnd"/>
      <w:r w:rsidRPr="006B5C9A">
        <w:rPr>
          <w:rFonts w:ascii="Arial" w:eastAsia="Times New Roman" w:hAnsi="Arial" w:cs="Arial"/>
          <w:color w:val="000000"/>
          <w:kern w:val="0"/>
          <w:lang w:val="en-GB" w:eastAsia="en-GB"/>
          <w14:ligatures w14:val="none"/>
        </w:rPr>
        <w:t>.</w:t>
      </w:r>
    </w:p>
    <w:p w14:paraId="1D0A9BFF" w14:textId="77777777" w:rsidR="003A2895" w:rsidRPr="00B760A9" w:rsidRDefault="003A2895" w:rsidP="003A2895">
      <w:pPr>
        <w:spacing w:after="0" w:line="360" w:lineRule="auto"/>
        <w:jc w:val="both"/>
        <w:rPr>
          <w:rFonts w:ascii="Arial" w:hAnsi="Arial" w:cs="Arial"/>
          <w:color w:val="000000"/>
          <w:lang w:val="en-GB"/>
        </w:rPr>
      </w:pPr>
      <w:r w:rsidRPr="006B5C9A">
        <w:rPr>
          <w:rFonts w:ascii="Arial" w:eastAsia="Times New Roman" w:hAnsi="Arial" w:cs="Arial"/>
          <w:color w:val="000000"/>
          <w:kern w:val="0"/>
          <w:lang w:val="en-GB" w:eastAsia="en-GB"/>
          <w14:ligatures w14:val="none"/>
        </w:rPr>
        <w:t xml:space="preserve">A multi-channel distribution strategy was employed to ensure broad international reach. The survey link was disseminated through the official mailing lists of several </w:t>
      </w:r>
      <w:r w:rsidRPr="006B5C9A">
        <w:rPr>
          <w:rFonts w:ascii="Arial" w:eastAsia="Times New Roman" w:hAnsi="Arial" w:cs="Arial"/>
          <w:color w:val="000000"/>
          <w:kern w:val="0"/>
          <w:lang w:val="en-GB" w:eastAsia="en-GB"/>
          <w14:ligatures w14:val="none"/>
        </w:rPr>
        <w:lastRenderedPageBreak/>
        <w:t>major urological societies</w:t>
      </w:r>
      <w:r w:rsidRPr="006B5C9A">
        <w:rPr>
          <w:rFonts w:ascii="Arial" w:hAnsi="Arial" w:cs="Arial"/>
          <w:kern w:val="0"/>
          <w:lang w:val="en-GB"/>
        </w:rPr>
        <w:t xml:space="preserve"> from multiple national and international Urological societies (Supplementary Table </w:t>
      </w:r>
      <w:r w:rsidRPr="006B5C9A">
        <w:rPr>
          <w:rFonts w:ascii="Arial" w:eastAsia="Times New Roman" w:hAnsi="Arial" w:cs="Arial"/>
          <w:color w:val="000000"/>
          <w:kern w:val="0"/>
          <w:lang w:val="en-GB" w:eastAsia="en-GB"/>
          <w14:ligatures w14:val="none"/>
        </w:rPr>
        <w:t>1)</w:t>
      </w:r>
    </w:p>
    <w:p w14:paraId="3B0F4759" w14:textId="77777777" w:rsidR="003A2895" w:rsidRPr="006B5C9A" w:rsidRDefault="003A2895" w:rsidP="003A2895">
      <w:pPr>
        <w:spacing w:after="0" w:line="360" w:lineRule="auto"/>
        <w:jc w:val="both"/>
        <w:rPr>
          <w:rFonts w:ascii="Arial" w:eastAsia="Times New Roman" w:hAnsi="Arial" w:cs="Arial"/>
          <w:color w:val="000000"/>
          <w:kern w:val="0"/>
          <w:lang w:val="en-GB" w:eastAsia="en-GB"/>
          <w14:ligatures w14:val="none"/>
        </w:rPr>
      </w:pPr>
      <w:r w:rsidRPr="006B5C9A">
        <w:rPr>
          <w:rFonts w:ascii="Arial" w:eastAsia="Times New Roman" w:hAnsi="Arial" w:cs="Arial"/>
          <w:color w:val="000000"/>
          <w:kern w:val="0"/>
          <w:lang w:val="en-GB" w:eastAsia="en-GB"/>
          <w14:ligatures w14:val="none"/>
        </w:rPr>
        <w:t>In addition, the survey was promoted via the professional social media platforms such as Twitter/X and LinkedIn, and through personal academic networks and institutional communications. Participation was voluntary, anonymous and without incentives. Each respondent could complete the survey only once. Electronic informed consent was obtained at the start of the survey.</w:t>
      </w:r>
    </w:p>
    <w:p w14:paraId="543106A2" w14:textId="77777777" w:rsidR="003A2895" w:rsidRPr="006B5C9A" w:rsidRDefault="003A2895" w:rsidP="003A2895">
      <w:pPr>
        <w:spacing w:before="100" w:beforeAutospacing="1" w:after="100" w:afterAutospacing="1" w:line="360" w:lineRule="auto"/>
        <w:jc w:val="both"/>
        <w:outlineLvl w:val="3"/>
        <w:rPr>
          <w:rFonts w:ascii="Arial" w:eastAsia="Times New Roman" w:hAnsi="Arial" w:cs="Arial"/>
          <w:b/>
          <w:bCs/>
          <w:color w:val="000000"/>
          <w:kern w:val="0"/>
          <w:lang w:val="en-GB" w:eastAsia="en-GB"/>
          <w14:ligatures w14:val="none"/>
        </w:rPr>
      </w:pPr>
      <w:r w:rsidRPr="006B5C9A">
        <w:rPr>
          <w:rFonts w:ascii="Arial" w:eastAsia="Times New Roman" w:hAnsi="Arial" w:cs="Arial"/>
          <w:b/>
          <w:bCs/>
          <w:color w:val="000000"/>
          <w:kern w:val="0"/>
          <w:lang w:val="en-GB" w:eastAsia="en-GB"/>
          <w14:ligatures w14:val="none"/>
        </w:rPr>
        <w:t>Eligibility Criteria</w:t>
      </w:r>
    </w:p>
    <w:p w14:paraId="77D864DE" w14:textId="77777777" w:rsidR="003A2895" w:rsidRPr="006B5C9A" w:rsidRDefault="003A2895" w:rsidP="003A2895">
      <w:pPr>
        <w:spacing w:before="100" w:beforeAutospacing="1" w:after="100" w:afterAutospacing="1" w:line="360" w:lineRule="auto"/>
        <w:jc w:val="both"/>
        <w:rPr>
          <w:rFonts w:ascii="Arial" w:eastAsia="Times New Roman" w:hAnsi="Arial" w:cs="Arial"/>
          <w:color w:val="000000"/>
          <w:kern w:val="0"/>
          <w:lang w:val="en-GB" w:eastAsia="en-GB"/>
          <w14:ligatures w14:val="none"/>
        </w:rPr>
      </w:pPr>
      <w:r w:rsidRPr="006B5C9A">
        <w:rPr>
          <w:rFonts w:ascii="Arial" w:eastAsia="Times New Roman" w:hAnsi="Arial" w:cs="Arial"/>
          <w:color w:val="000000"/>
          <w:kern w:val="0"/>
          <w:lang w:val="en-GB" w:eastAsia="en-GB"/>
          <w14:ligatures w14:val="none"/>
        </w:rPr>
        <w:t xml:space="preserve">Inclusion criteria were defined as: (1) auto declaration to be a board-certified urologists or an urology in training; (2) active involvement in the diagnosis and treatment of </w:t>
      </w:r>
      <w:proofErr w:type="spellStart"/>
      <w:r w:rsidRPr="006B5C9A">
        <w:rPr>
          <w:rFonts w:ascii="Arial" w:eastAsia="Times New Roman" w:hAnsi="Arial" w:cs="Arial"/>
          <w:color w:val="000000"/>
          <w:kern w:val="0"/>
          <w:lang w:val="en-GB" w:eastAsia="en-GB"/>
          <w14:ligatures w14:val="none"/>
        </w:rPr>
        <w:t>PCa</w:t>
      </w:r>
      <w:proofErr w:type="spellEnd"/>
      <w:r w:rsidRPr="006B5C9A">
        <w:rPr>
          <w:rFonts w:ascii="Arial" w:eastAsia="Times New Roman" w:hAnsi="Arial" w:cs="Arial"/>
          <w:color w:val="000000"/>
          <w:kern w:val="0"/>
          <w:lang w:val="en-GB" w:eastAsia="en-GB"/>
          <w14:ligatures w14:val="none"/>
        </w:rPr>
        <w:t xml:space="preserve">; Exclusion criteria included: (1) incomplete responses, defined as surveys in which more than 30% of items were left unanswered (2) multiple replies for the same </w:t>
      </w:r>
      <w:r w:rsidRPr="00B760A9">
        <w:rPr>
          <w:rFonts w:ascii="Arial" w:eastAsia="Times New Roman" w:hAnsi="Arial" w:cs="Arial"/>
          <w:color w:val="000000"/>
          <w:kern w:val="0"/>
          <w:lang w:val="en-GB" w:eastAsia="en-GB"/>
          <w14:ligatures w14:val="none"/>
        </w:rPr>
        <w:t>Internet Protocol (IP) address assigned to a computer</w:t>
      </w:r>
      <w:r w:rsidRPr="006B5C9A">
        <w:rPr>
          <w:rFonts w:ascii="Arial" w:eastAsia="Times New Roman" w:hAnsi="Arial" w:cs="Arial"/>
          <w:color w:val="000000"/>
          <w:kern w:val="0"/>
          <w:lang w:val="en-GB" w:eastAsia="en-GB"/>
          <w14:ligatures w14:val="none"/>
        </w:rPr>
        <w:t xml:space="preserve"> (3) non urologists.</w:t>
      </w:r>
    </w:p>
    <w:p w14:paraId="43A287B1" w14:textId="77777777" w:rsidR="003A2895" w:rsidRPr="006B5C9A" w:rsidRDefault="003A2895" w:rsidP="003A2895">
      <w:pPr>
        <w:spacing w:before="100" w:beforeAutospacing="1" w:after="100" w:afterAutospacing="1" w:line="360" w:lineRule="auto"/>
        <w:jc w:val="both"/>
        <w:outlineLvl w:val="3"/>
        <w:rPr>
          <w:rFonts w:ascii="Arial" w:eastAsia="Times New Roman" w:hAnsi="Arial" w:cs="Arial"/>
          <w:b/>
          <w:bCs/>
          <w:color w:val="000000"/>
          <w:kern w:val="0"/>
          <w:lang w:val="en-GB" w:eastAsia="en-GB"/>
          <w14:ligatures w14:val="none"/>
        </w:rPr>
      </w:pPr>
      <w:r w:rsidRPr="006B5C9A">
        <w:rPr>
          <w:rFonts w:ascii="Arial" w:eastAsia="Times New Roman" w:hAnsi="Arial" w:cs="Arial"/>
          <w:b/>
          <w:bCs/>
          <w:color w:val="000000"/>
          <w:kern w:val="0"/>
          <w:lang w:val="en-GB" w:eastAsia="en-GB"/>
          <w14:ligatures w14:val="none"/>
        </w:rPr>
        <w:t xml:space="preserve">Consideration of </w:t>
      </w:r>
      <w:proofErr w:type="gramStart"/>
      <w:r w:rsidRPr="006B5C9A">
        <w:rPr>
          <w:rFonts w:ascii="Arial" w:eastAsia="Times New Roman" w:hAnsi="Arial" w:cs="Arial"/>
          <w:b/>
          <w:bCs/>
          <w:color w:val="000000"/>
          <w:kern w:val="0"/>
          <w:lang w:val="en-GB" w:eastAsia="en-GB"/>
          <w14:ligatures w14:val="none"/>
        </w:rPr>
        <w:t>Non-Responders</w:t>
      </w:r>
      <w:proofErr w:type="gramEnd"/>
    </w:p>
    <w:p w14:paraId="4D3C727B" w14:textId="77777777" w:rsidR="003A2895" w:rsidRPr="006B5C9A" w:rsidRDefault="003A2895" w:rsidP="003A2895">
      <w:pPr>
        <w:spacing w:before="100" w:beforeAutospacing="1" w:after="100" w:afterAutospacing="1" w:line="360" w:lineRule="auto"/>
        <w:jc w:val="both"/>
        <w:rPr>
          <w:rFonts w:ascii="Arial" w:eastAsia="Times New Roman" w:hAnsi="Arial" w:cs="Arial"/>
          <w:color w:val="000000"/>
          <w:kern w:val="0"/>
          <w:lang w:val="en-GB" w:eastAsia="en-GB"/>
          <w14:ligatures w14:val="none"/>
        </w:rPr>
      </w:pPr>
      <w:r w:rsidRPr="006B5C9A">
        <w:rPr>
          <w:rFonts w:ascii="Arial" w:eastAsia="Times New Roman" w:hAnsi="Arial" w:cs="Arial"/>
          <w:color w:val="000000"/>
          <w:kern w:val="0"/>
          <w:lang w:val="en-GB" w:eastAsia="en-GB"/>
          <w14:ligatures w14:val="none"/>
        </w:rPr>
        <w:t xml:space="preserve">Given the voluntary nature of the study and the open-access survey link, non-response bias was anticipated. While direct follow-up of non-respondents was not possible due to the anonymous format, several strategies were implemented to minimize and assess its potential impact. Reminders were sent at regular intervals through official society mailing lists and social media during the survey period. To examine potential bias, early and late respondents were compared across key demographic variables such as geographic region and years of practice, based on the assumption that late responders may approximate the characteristics of non-responders. </w:t>
      </w:r>
    </w:p>
    <w:p w14:paraId="21B66EDE" w14:textId="77777777" w:rsidR="003A2895" w:rsidRPr="006B5C9A" w:rsidRDefault="003A2895" w:rsidP="003A2895">
      <w:pPr>
        <w:spacing w:before="100" w:beforeAutospacing="1" w:after="100" w:afterAutospacing="1" w:line="360" w:lineRule="auto"/>
        <w:jc w:val="both"/>
        <w:outlineLvl w:val="3"/>
        <w:rPr>
          <w:rFonts w:ascii="Arial" w:eastAsia="Times New Roman" w:hAnsi="Arial" w:cs="Arial"/>
          <w:b/>
          <w:bCs/>
          <w:color w:val="000000"/>
          <w:kern w:val="0"/>
          <w:lang w:val="en-GB" w:eastAsia="en-GB"/>
          <w14:ligatures w14:val="none"/>
        </w:rPr>
      </w:pPr>
      <w:r w:rsidRPr="006B5C9A">
        <w:rPr>
          <w:rFonts w:ascii="Arial" w:eastAsia="Times New Roman" w:hAnsi="Arial" w:cs="Arial"/>
          <w:b/>
          <w:bCs/>
          <w:color w:val="000000"/>
          <w:kern w:val="0"/>
          <w:lang w:val="en-GB" w:eastAsia="en-GB"/>
          <w14:ligatures w14:val="none"/>
        </w:rPr>
        <w:t>Ethical Considerations</w:t>
      </w:r>
    </w:p>
    <w:p w14:paraId="6EC80A85" w14:textId="77777777" w:rsidR="003A2895" w:rsidRPr="006B5C9A" w:rsidRDefault="003A2895" w:rsidP="003A2895">
      <w:pPr>
        <w:spacing w:before="100" w:beforeAutospacing="1" w:after="100" w:afterAutospacing="1" w:line="360" w:lineRule="auto"/>
        <w:jc w:val="both"/>
        <w:rPr>
          <w:rFonts w:ascii="Arial" w:eastAsia="Times New Roman" w:hAnsi="Arial" w:cs="Arial"/>
          <w:color w:val="000000"/>
          <w:kern w:val="0"/>
          <w:lang w:val="en-GB" w:eastAsia="en-GB"/>
          <w14:ligatures w14:val="none"/>
        </w:rPr>
      </w:pPr>
      <w:r w:rsidRPr="006B5C9A">
        <w:rPr>
          <w:rFonts w:ascii="Arial" w:eastAsia="Times New Roman" w:hAnsi="Arial" w:cs="Arial"/>
          <w:color w:val="000000"/>
          <w:kern w:val="0"/>
          <w:lang w:val="en-GB" w:eastAsia="en-GB"/>
          <w14:ligatures w14:val="none"/>
        </w:rPr>
        <w:t>All participants provided electronic informed consent before beginning the questionnaire. The survey collected no personally identifiable data, and all responses were stored securely on encrypted servers, in full compliance with international data protection standards.</w:t>
      </w:r>
    </w:p>
    <w:p w14:paraId="3DE88C7F" w14:textId="77777777" w:rsidR="003A2895" w:rsidRPr="003A2895" w:rsidRDefault="003A2895">
      <w:pPr>
        <w:rPr>
          <w:lang w:val="en-GB"/>
        </w:rPr>
      </w:pPr>
    </w:p>
    <w:sectPr w:rsidR="003A2895" w:rsidRPr="003A28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895"/>
    <w:rsid w:val="00126577"/>
    <w:rsid w:val="003A2895"/>
  </w:rsids>
  <m:mathPr>
    <m:mathFont m:val="Cambria Math"/>
    <m:brkBin m:val="before"/>
    <m:brkBinSub m:val="--"/>
    <m:smallFrac m:val="0"/>
    <m:dispDef/>
    <m:lMargin m:val="0"/>
    <m:rMargin m:val="0"/>
    <m:defJc m:val="centerGroup"/>
    <m:wrapIndent m:val="1440"/>
    <m:intLim m:val="subSup"/>
    <m:naryLim m:val="undOvr"/>
  </m:mathPr>
  <w:themeFontLang w:val="en-IT"/>
  <w:clrSchemeMapping w:bg1="light1" w:t1="dark1" w:bg2="light2" w:t2="dark2" w:accent1="accent1" w:accent2="accent2" w:accent3="accent3" w:accent4="accent4" w:accent5="accent5" w:accent6="accent6" w:hyperlink="hyperlink" w:followedHyperlink="followedHyperlink"/>
  <w:decimalSymbol w:val=","/>
  <w:listSeparator w:val=","/>
  <w14:docId w14:val="29BBC66D"/>
  <w15:chartTrackingRefBased/>
  <w15:docId w15:val="{727571DA-11F4-934E-B652-7946D83F5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895"/>
  </w:style>
  <w:style w:type="paragraph" w:styleId="Heading1">
    <w:name w:val="heading 1"/>
    <w:basedOn w:val="Normal"/>
    <w:next w:val="Normal"/>
    <w:link w:val="Heading1Char"/>
    <w:uiPriority w:val="9"/>
    <w:qFormat/>
    <w:rsid w:val="003A28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28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28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28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28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28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28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28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28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28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28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28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28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28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28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28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28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2895"/>
    <w:rPr>
      <w:rFonts w:eastAsiaTheme="majorEastAsia" w:cstheme="majorBidi"/>
      <w:color w:val="272727" w:themeColor="text1" w:themeTint="D8"/>
    </w:rPr>
  </w:style>
  <w:style w:type="paragraph" w:styleId="Title">
    <w:name w:val="Title"/>
    <w:basedOn w:val="Normal"/>
    <w:next w:val="Normal"/>
    <w:link w:val="TitleChar"/>
    <w:uiPriority w:val="10"/>
    <w:qFormat/>
    <w:rsid w:val="003A28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28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28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28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2895"/>
    <w:pPr>
      <w:spacing w:before="160"/>
      <w:jc w:val="center"/>
    </w:pPr>
    <w:rPr>
      <w:i/>
      <w:iCs/>
      <w:color w:val="404040" w:themeColor="text1" w:themeTint="BF"/>
    </w:rPr>
  </w:style>
  <w:style w:type="character" w:customStyle="1" w:styleId="QuoteChar">
    <w:name w:val="Quote Char"/>
    <w:basedOn w:val="DefaultParagraphFont"/>
    <w:link w:val="Quote"/>
    <w:uiPriority w:val="29"/>
    <w:rsid w:val="003A2895"/>
    <w:rPr>
      <w:i/>
      <w:iCs/>
      <w:color w:val="404040" w:themeColor="text1" w:themeTint="BF"/>
    </w:rPr>
  </w:style>
  <w:style w:type="paragraph" w:styleId="ListParagraph">
    <w:name w:val="List Paragraph"/>
    <w:basedOn w:val="Normal"/>
    <w:uiPriority w:val="34"/>
    <w:qFormat/>
    <w:rsid w:val="003A2895"/>
    <w:pPr>
      <w:ind w:left="720"/>
      <w:contextualSpacing/>
    </w:pPr>
  </w:style>
  <w:style w:type="character" w:styleId="IntenseEmphasis">
    <w:name w:val="Intense Emphasis"/>
    <w:basedOn w:val="DefaultParagraphFont"/>
    <w:uiPriority w:val="21"/>
    <w:qFormat/>
    <w:rsid w:val="003A2895"/>
    <w:rPr>
      <w:i/>
      <w:iCs/>
      <w:color w:val="0F4761" w:themeColor="accent1" w:themeShade="BF"/>
    </w:rPr>
  </w:style>
  <w:style w:type="paragraph" w:styleId="IntenseQuote">
    <w:name w:val="Intense Quote"/>
    <w:basedOn w:val="Normal"/>
    <w:next w:val="Normal"/>
    <w:link w:val="IntenseQuoteChar"/>
    <w:uiPriority w:val="30"/>
    <w:qFormat/>
    <w:rsid w:val="003A28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2895"/>
    <w:rPr>
      <w:i/>
      <w:iCs/>
      <w:color w:val="0F4761" w:themeColor="accent1" w:themeShade="BF"/>
    </w:rPr>
  </w:style>
  <w:style w:type="character" w:styleId="IntenseReference">
    <w:name w:val="Intense Reference"/>
    <w:basedOn w:val="DefaultParagraphFont"/>
    <w:uiPriority w:val="32"/>
    <w:qFormat/>
    <w:rsid w:val="003A289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627</Words>
  <Characters>3576</Characters>
  <Application>Microsoft Office Word</Application>
  <DocSecurity>0</DocSecurity>
  <Lines>29</Lines>
  <Paragraphs>8</Paragraphs>
  <ScaleCrop>false</ScaleCrop>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Zattoni</dc:creator>
  <cp:keywords/>
  <dc:description/>
  <cp:lastModifiedBy>Fabio Zattoni</cp:lastModifiedBy>
  <cp:revision>1</cp:revision>
  <dcterms:created xsi:type="dcterms:W3CDTF">2025-11-15T08:46:00Z</dcterms:created>
  <dcterms:modified xsi:type="dcterms:W3CDTF">2025-11-15T08:49:00Z</dcterms:modified>
</cp:coreProperties>
</file>