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B895DB" w14:textId="46194674" w:rsidR="00714B50" w:rsidRPr="00FF252F" w:rsidRDefault="0030138C" w:rsidP="00FF252F">
      <w:pPr>
        <w:spacing w:before="0"/>
        <w:rPr>
          <w:sz w:val="28"/>
          <w:szCs w:val="28"/>
        </w:rPr>
      </w:pPr>
      <w:bookmarkStart w:id="0" w:name="_heading=h.gjdgxs" w:colFirst="0" w:colLast="0"/>
      <w:bookmarkEnd w:id="0"/>
      <w:r>
        <w:rPr>
          <w:sz w:val="28"/>
          <w:szCs w:val="28"/>
        </w:rPr>
        <w:t>Supplementary material</w:t>
      </w:r>
    </w:p>
    <w:p w14:paraId="37003CDE" w14:textId="77777777" w:rsidR="00252322" w:rsidRPr="00252322" w:rsidRDefault="00252322" w:rsidP="00252322">
      <w:pPr>
        <w:spacing w:before="0" w:after="0" w:line="480" w:lineRule="auto"/>
        <w:rPr>
          <w:b/>
          <w:sz w:val="28"/>
          <w:szCs w:val="28"/>
        </w:rPr>
      </w:pPr>
      <w:bookmarkStart w:id="1" w:name="_heading=h.jfar0y1cp5a5" w:colFirst="0" w:colLast="0"/>
      <w:bookmarkEnd w:id="1"/>
      <w:r w:rsidRPr="00252322">
        <w:rPr>
          <w:b/>
          <w:sz w:val="28"/>
          <w:szCs w:val="28"/>
        </w:rPr>
        <w:t xml:space="preserve">Positive interactions under ocean warming and acidification: crustose coralline algae </w:t>
      </w:r>
      <w:proofErr w:type="spellStart"/>
      <w:r w:rsidRPr="00252322">
        <w:rPr>
          <w:b/>
          <w:sz w:val="28"/>
          <w:szCs w:val="28"/>
        </w:rPr>
        <w:t>holobionts</w:t>
      </w:r>
      <w:proofErr w:type="spellEnd"/>
      <w:r w:rsidRPr="00252322">
        <w:rPr>
          <w:b/>
          <w:sz w:val="28"/>
          <w:szCs w:val="28"/>
        </w:rPr>
        <w:t xml:space="preserve"> enhance gorgonian larval settlement under climate change</w:t>
      </w:r>
    </w:p>
    <w:p w14:paraId="12A828F4" w14:textId="77777777" w:rsidR="006943AB" w:rsidRDefault="006943AB">
      <w:pPr>
        <w:spacing w:before="0" w:after="0" w:line="480" w:lineRule="auto"/>
        <w:rPr>
          <w:b/>
          <w:bCs/>
          <w:sz w:val="28"/>
          <w:szCs w:val="28"/>
        </w:rPr>
      </w:pPr>
    </w:p>
    <w:p w14:paraId="19C1C7BE" w14:textId="6F281885" w:rsidR="00714B50" w:rsidRPr="0030138C" w:rsidRDefault="0030138C">
      <w:pPr>
        <w:spacing w:before="0" w:after="0" w:line="480" w:lineRule="auto"/>
        <w:rPr>
          <w:color w:val="000000"/>
          <w:lang w:val="it-IT"/>
        </w:rPr>
      </w:pPr>
      <w:r w:rsidRPr="0030138C">
        <w:rPr>
          <w:color w:val="000000"/>
          <w:lang w:val="it-IT"/>
        </w:rPr>
        <w:t>Manea, E.</w:t>
      </w:r>
      <w:r w:rsidRPr="0030138C">
        <w:rPr>
          <w:color w:val="000000"/>
          <w:vertAlign w:val="superscript"/>
          <w:lang w:val="it-IT"/>
        </w:rPr>
        <w:t>1</w:t>
      </w:r>
      <w:r w:rsidRPr="0030138C">
        <w:rPr>
          <w:color w:val="000000"/>
          <w:lang w:val="it-IT"/>
        </w:rPr>
        <w:t>*; Galand, P.E.</w:t>
      </w:r>
      <w:r w:rsidRPr="0030138C">
        <w:rPr>
          <w:color w:val="000000"/>
          <w:vertAlign w:val="superscript"/>
          <w:lang w:val="it-IT"/>
        </w:rPr>
        <w:t>1</w:t>
      </w:r>
      <w:r w:rsidRPr="0030138C">
        <w:rPr>
          <w:color w:val="000000"/>
          <w:lang w:val="it-IT"/>
        </w:rPr>
        <w:t>; Comeau, S.</w:t>
      </w:r>
      <w:r w:rsidRPr="0030138C">
        <w:rPr>
          <w:color w:val="000000"/>
          <w:vertAlign w:val="superscript"/>
          <w:lang w:val="it-IT"/>
        </w:rPr>
        <w:t>2</w:t>
      </w:r>
      <w:r w:rsidRPr="0030138C">
        <w:rPr>
          <w:color w:val="000000"/>
          <w:lang w:val="it-IT"/>
        </w:rPr>
        <w:t>; Ferrier-Pagès, C.</w:t>
      </w:r>
      <w:r w:rsidRPr="0030138C">
        <w:rPr>
          <w:color w:val="000000"/>
          <w:vertAlign w:val="superscript"/>
          <w:lang w:val="it-IT"/>
        </w:rPr>
        <w:t>3</w:t>
      </w:r>
      <w:r w:rsidRPr="0030138C">
        <w:rPr>
          <w:color w:val="000000"/>
          <w:lang w:val="it-IT"/>
        </w:rPr>
        <w:t>; Giordano, B.</w:t>
      </w:r>
      <w:r w:rsidRPr="0030138C">
        <w:rPr>
          <w:color w:val="000000"/>
          <w:vertAlign w:val="superscript"/>
          <w:lang w:val="it-IT"/>
        </w:rPr>
        <w:t>1,4</w:t>
      </w:r>
      <w:r w:rsidRPr="0030138C">
        <w:rPr>
          <w:color w:val="000000"/>
          <w:lang w:val="it-IT"/>
        </w:rPr>
        <w:t>; Pezzolesi, L.</w:t>
      </w:r>
      <w:r w:rsidRPr="0030138C">
        <w:rPr>
          <w:color w:val="000000"/>
          <w:vertAlign w:val="superscript"/>
          <w:lang w:val="it-IT"/>
        </w:rPr>
        <w:t>5,6</w:t>
      </w:r>
      <w:r w:rsidRPr="0030138C">
        <w:rPr>
          <w:color w:val="000000"/>
          <w:lang w:val="it-IT"/>
        </w:rPr>
        <w:t>; Raina, J-B.</w:t>
      </w:r>
      <w:r w:rsidRPr="0030138C">
        <w:rPr>
          <w:color w:val="000000"/>
          <w:vertAlign w:val="superscript"/>
          <w:lang w:val="it-IT"/>
        </w:rPr>
        <w:t>7</w:t>
      </w:r>
      <w:r w:rsidRPr="0030138C">
        <w:rPr>
          <w:color w:val="000000"/>
          <w:lang w:val="it-IT"/>
        </w:rPr>
        <w:t xml:space="preserve">; </w:t>
      </w:r>
      <w:r w:rsidR="00A82ABF">
        <w:rPr>
          <w:color w:val="000000"/>
          <w:lang w:val="it-IT"/>
        </w:rPr>
        <w:t>Elahee Do</w:t>
      </w:r>
      <w:r w:rsidR="00C7482D">
        <w:rPr>
          <w:color w:val="000000"/>
          <w:lang w:val="it-IT"/>
        </w:rPr>
        <w:t>o</w:t>
      </w:r>
      <w:r w:rsidR="00A82ABF">
        <w:rPr>
          <w:color w:val="000000"/>
          <w:lang w:val="it-IT"/>
        </w:rPr>
        <w:t>mun, S.N.</w:t>
      </w:r>
      <w:r w:rsidR="00A82ABF">
        <w:rPr>
          <w:color w:val="000000"/>
          <w:vertAlign w:val="superscript"/>
          <w:lang w:val="it-IT"/>
        </w:rPr>
        <w:t>8</w:t>
      </w:r>
      <w:r w:rsidR="00A82ABF">
        <w:rPr>
          <w:color w:val="000000"/>
          <w:lang w:val="it-IT"/>
        </w:rPr>
        <w:t xml:space="preserve">; </w:t>
      </w:r>
      <w:r w:rsidRPr="0030138C">
        <w:rPr>
          <w:color w:val="000000"/>
          <w:lang w:val="it-IT"/>
        </w:rPr>
        <w:t>Tignat-Perrier, R.</w:t>
      </w:r>
      <w:r w:rsidRPr="0030138C">
        <w:rPr>
          <w:color w:val="000000"/>
          <w:vertAlign w:val="superscript"/>
          <w:lang w:val="it-IT"/>
        </w:rPr>
        <w:t>3</w:t>
      </w:r>
      <w:r w:rsidRPr="0030138C">
        <w:rPr>
          <w:color w:val="000000"/>
          <w:lang w:val="it-IT"/>
        </w:rPr>
        <w:t>; Bramanti, L.</w:t>
      </w:r>
      <w:r w:rsidRPr="0030138C">
        <w:rPr>
          <w:color w:val="000000"/>
          <w:vertAlign w:val="superscript"/>
          <w:lang w:val="it-IT"/>
        </w:rPr>
        <w:t>1</w:t>
      </w:r>
      <w:r w:rsidRPr="0030138C">
        <w:rPr>
          <w:color w:val="000000"/>
          <w:lang w:val="it-IT"/>
        </w:rPr>
        <w:t xml:space="preserve"> </w:t>
      </w:r>
    </w:p>
    <w:p w14:paraId="3A189266" w14:textId="77777777" w:rsidR="00714B50" w:rsidRPr="0030138C" w:rsidRDefault="00714B50">
      <w:pPr>
        <w:spacing w:before="0" w:after="0" w:line="480" w:lineRule="auto"/>
        <w:rPr>
          <w:b/>
          <w:color w:val="000000"/>
          <w:sz w:val="28"/>
          <w:szCs w:val="28"/>
          <w:lang w:val="it-IT"/>
        </w:rPr>
      </w:pPr>
    </w:p>
    <w:p w14:paraId="5BB52CBE" w14:textId="77777777" w:rsidR="00714B50" w:rsidRPr="0030138C" w:rsidRDefault="0030138C">
      <w:pPr>
        <w:spacing w:before="0" w:after="0" w:line="360" w:lineRule="auto"/>
        <w:rPr>
          <w:color w:val="000000"/>
          <w:lang w:val="fr-FR"/>
        </w:rPr>
      </w:pPr>
      <w:r w:rsidRPr="0030138C">
        <w:rPr>
          <w:color w:val="000000"/>
          <w:vertAlign w:val="superscript"/>
          <w:lang w:val="fr-FR"/>
        </w:rPr>
        <w:t>1</w:t>
      </w:r>
      <w:r w:rsidRPr="0030138C">
        <w:rPr>
          <w:color w:val="000000"/>
          <w:lang w:val="fr-FR"/>
        </w:rPr>
        <w:t>Laboratoire d’</w:t>
      </w:r>
      <w:proofErr w:type="spellStart"/>
      <w:r w:rsidRPr="0030138C">
        <w:rPr>
          <w:color w:val="000000"/>
          <w:lang w:val="fr-FR"/>
        </w:rPr>
        <w:t>Ecogeochimie</w:t>
      </w:r>
      <w:proofErr w:type="spellEnd"/>
      <w:r w:rsidRPr="0030138C">
        <w:rPr>
          <w:color w:val="000000"/>
          <w:lang w:val="fr-FR"/>
        </w:rPr>
        <w:t xml:space="preserve"> des Environnements Benthiques, LECOB, Observatoire Océanologique de Banyuls sur Mer Centre National de la Recherche Scientifique (CNRS)-Sorbonne Université, Banyuls sur Mer, France </w:t>
      </w:r>
    </w:p>
    <w:p w14:paraId="50825F1F" w14:textId="77777777" w:rsidR="00714B50" w:rsidRPr="0030138C" w:rsidRDefault="0030138C">
      <w:pPr>
        <w:spacing w:before="0" w:after="0" w:line="360" w:lineRule="auto"/>
        <w:rPr>
          <w:vertAlign w:val="superscript"/>
          <w:lang w:val="fr-FR"/>
        </w:rPr>
      </w:pPr>
      <w:r w:rsidRPr="0030138C">
        <w:rPr>
          <w:vertAlign w:val="superscript"/>
          <w:lang w:val="fr-FR"/>
        </w:rPr>
        <w:t>2</w:t>
      </w:r>
      <w:r w:rsidRPr="0030138C">
        <w:rPr>
          <w:color w:val="000000"/>
          <w:lang w:val="fr-FR"/>
        </w:rPr>
        <w:t>Laboratoire d’Océanographie de Villefranche (LOV), CNRS, Sorbonne université, 06230 Villefranche-sur-Mer, France</w:t>
      </w:r>
    </w:p>
    <w:p w14:paraId="348809E5" w14:textId="77777777" w:rsidR="00714B50" w:rsidRPr="0030138C" w:rsidRDefault="0030138C">
      <w:pPr>
        <w:spacing w:before="0" w:after="0" w:line="360" w:lineRule="auto"/>
        <w:rPr>
          <w:color w:val="000000"/>
          <w:lang w:val="fr-FR"/>
        </w:rPr>
      </w:pPr>
      <w:r w:rsidRPr="0030138C">
        <w:rPr>
          <w:vertAlign w:val="superscript"/>
          <w:lang w:val="fr-FR"/>
        </w:rPr>
        <w:t>3</w:t>
      </w:r>
      <w:r w:rsidRPr="0030138C">
        <w:rPr>
          <w:color w:val="000000"/>
          <w:lang w:val="fr-FR"/>
        </w:rPr>
        <w:t xml:space="preserve">Centre Scientifique de Monaco, Coral </w:t>
      </w:r>
      <w:proofErr w:type="spellStart"/>
      <w:r w:rsidRPr="0030138C">
        <w:rPr>
          <w:color w:val="000000"/>
          <w:lang w:val="fr-FR"/>
        </w:rPr>
        <w:t>Ecophysiology</w:t>
      </w:r>
      <w:proofErr w:type="spellEnd"/>
      <w:r w:rsidRPr="0030138C">
        <w:rPr>
          <w:color w:val="000000"/>
          <w:lang w:val="fr-FR"/>
        </w:rPr>
        <w:t xml:space="preserve"> team and Unité CSM-Chanel sur les Coraux Précieux, 8 Quai Antoine 1er, MC-98000 Monaco</w:t>
      </w:r>
    </w:p>
    <w:p w14:paraId="61F063AA" w14:textId="77777777" w:rsidR="00714B50" w:rsidRDefault="0030138C">
      <w:pPr>
        <w:spacing w:before="0" w:after="0" w:line="360" w:lineRule="auto"/>
        <w:rPr>
          <w:vertAlign w:val="superscript"/>
        </w:rPr>
      </w:pPr>
      <w:r>
        <w:rPr>
          <w:vertAlign w:val="superscript"/>
        </w:rPr>
        <w:t>4</w:t>
      </w:r>
      <w:r>
        <w:rPr>
          <w:color w:val="000000"/>
        </w:rPr>
        <w:t>Department of Life and Environmental Sciences, University of Cagliari, Cagliari, Italy</w:t>
      </w:r>
    </w:p>
    <w:p w14:paraId="5E2C69EA" w14:textId="77777777" w:rsidR="00714B50" w:rsidRDefault="0030138C">
      <w:pPr>
        <w:spacing w:before="0" w:after="0" w:line="360" w:lineRule="auto"/>
      </w:pPr>
      <w:r>
        <w:rPr>
          <w:vertAlign w:val="superscript"/>
        </w:rPr>
        <w:t>5</w:t>
      </w:r>
      <w:r>
        <w:t>Department of Biological, Geological and Environmental Sciences (</w:t>
      </w:r>
      <w:proofErr w:type="spellStart"/>
      <w:r>
        <w:t>BiGeA</w:t>
      </w:r>
      <w:proofErr w:type="spellEnd"/>
      <w:r>
        <w:t xml:space="preserve">), University of Bologna, Via </w:t>
      </w:r>
      <w:proofErr w:type="spellStart"/>
      <w:r>
        <w:t>Sant’Alberto</w:t>
      </w:r>
      <w:proofErr w:type="spellEnd"/>
      <w:r>
        <w:t xml:space="preserve"> 163, 48123 Ravenna, Italy </w:t>
      </w:r>
    </w:p>
    <w:p w14:paraId="68E82B32" w14:textId="77777777" w:rsidR="00714B50" w:rsidRDefault="0030138C">
      <w:pPr>
        <w:spacing w:before="0" w:after="0" w:line="360" w:lineRule="auto"/>
      </w:pPr>
      <w:r>
        <w:rPr>
          <w:vertAlign w:val="superscript"/>
        </w:rPr>
        <w:t>6</w:t>
      </w:r>
      <w:r>
        <w:t xml:space="preserve">Interdepartmental Centre for Industrial Research in Renewable Resources, Environment, Sea and Energy (CIRI-FRAME), University of Bologna, Via </w:t>
      </w:r>
      <w:proofErr w:type="spellStart"/>
      <w:r>
        <w:t>Sant’Alberto</w:t>
      </w:r>
      <w:proofErr w:type="spellEnd"/>
      <w:r>
        <w:t xml:space="preserve"> 163, 48123 Ravenna, Italy</w:t>
      </w:r>
    </w:p>
    <w:p w14:paraId="2DCDFA4D" w14:textId="77777777" w:rsidR="00714B50" w:rsidRPr="0030138C" w:rsidRDefault="0030138C">
      <w:pPr>
        <w:spacing w:before="0" w:after="0" w:line="360" w:lineRule="auto"/>
        <w:rPr>
          <w:lang w:val="fr-FR"/>
        </w:rPr>
      </w:pPr>
      <w:r w:rsidRPr="0030138C">
        <w:rPr>
          <w:vertAlign w:val="superscript"/>
          <w:lang w:val="fr-FR"/>
        </w:rPr>
        <w:t>7</w:t>
      </w:r>
      <w:r w:rsidRPr="0030138C">
        <w:rPr>
          <w:lang w:val="fr-FR"/>
        </w:rPr>
        <w:t>PSL Université Paris: EPHE-UPVD-CNRS, USR 3278 CRIOBE, Université de</w:t>
      </w:r>
    </w:p>
    <w:p w14:paraId="52082D58" w14:textId="7312E9F7" w:rsidR="00714B50" w:rsidRDefault="0030138C" w:rsidP="00A82ABF">
      <w:pPr>
        <w:spacing w:before="0" w:after="0" w:line="360" w:lineRule="auto"/>
        <w:rPr>
          <w:lang w:val="fr-FR"/>
        </w:rPr>
      </w:pPr>
      <w:r w:rsidRPr="0030138C">
        <w:rPr>
          <w:lang w:val="fr-FR"/>
        </w:rPr>
        <w:t xml:space="preserve">Perpignan, 52 Avenue Paul </w:t>
      </w:r>
      <w:proofErr w:type="spellStart"/>
      <w:r w:rsidRPr="0030138C">
        <w:rPr>
          <w:lang w:val="fr-FR"/>
        </w:rPr>
        <w:t>Alduy</w:t>
      </w:r>
      <w:proofErr w:type="spellEnd"/>
      <w:r w:rsidRPr="0030138C">
        <w:rPr>
          <w:lang w:val="fr-FR"/>
        </w:rPr>
        <w:t xml:space="preserve">, 66860 Perpignan CEDEX, </w:t>
      </w:r>
      <w:r w:rsidR="00A82ABF">
        <w:rPr>
          <w:lang w:val="fr-FR"/>
        </w:rPr>
        <w:t>France</w:t>
      </w:r>
    </w:p>
    <w:p w14:paraId="7DE90FD4" w14:textId="77777777" w:rsidR="00A82ABF" w:rsidRPr="00F53B9A" w:rsidRDefault="00A82ABF" w:rsidP="003B794F">
      <w:pPr>
        <w:spacing w:after="0" w:line="360" w:lineRule="auto"/>
      </w:pPr>
      <w:r w:rsidRPr="00F53B9A">
        <w:rPr>
          <w:vertAlign w:val="superscript"/>
        </w:rPr>
        <w:t>8</w:t>
      </w:r>
      <w:r w:rsidRPr="00F53B9A">
        <w:rPr>
          <w:color w:val="000000"/>
          <w:shd w:val="clear" w:color="auto" w:fill="FFFFFF"/>
        </w:rPr>
        <w:t>Metabolomics Australia, Bio21 Molecular Science and Biotechnology Institute, University of Melbourne, Parkville, VIC, Australia</w:t>
      </w:r>
    </w:p>
    <w:p w14:paraId="34272DCB" w14:textId="77777777" w:rsidR="00A82ABF" w:rsidRPr="003B794F" w:rsidRDefault="00A82ABF">
      <w:pPr>
        <w:spacing w:before="0" w:after="0" w:line="480" w:lineRule="auto"/>
      </w:pPr>
    </w:p>
    <w:p w14:paraId="1EC06CDA" w14:textId="77777777" w:rsidR="00714B50" w:rsidRPr="003B794F" w:rsidRDefault="00714B50">
      <w:pPr>
        <w:spacing w:before="0" w:after="0" w:line="480" w:lineRule="auto"/>
      </w:pPr>
    </w:p>
    <w:p w14:paraId="571C9F8A" w14:textId="77777777" w:rsidR="00714B50" w:rsidRDefault="0030138C">
      <w:pPr>
        <w:spacing w:before="0" w:after="0" w:line="480" w:lineRule="auto"/>
      </w:pPr>
      <w:r>
        <w:t xml:space="preserve">*Corresponding author: </w:t>
      </w:r>
      <w:hyperlink r:id="rId7">
        <w:r>
          <w:rPr>
            <w:color w:val="1155CC"/>
            <w:u w:val="single"/>
          </w:rPr>
          <w:t>elisabetta.manea@obs-banyuls.fr</w:t>
        </w:r>
      </w:hyperlink>
    </w:p>
    <w:p w14:paraId="3B40867E" w14:textId="77777777" w:rsidR="00714B50" w:rsidRDefault="0030138C">
      <w:pPr>
        <w:rPr>
          <w:sz w:val="28"/>
          <w:szCs w:val="28"/>
        </w:rPr>
      </w:pPr>
      <w:r>
        <w:rPr>
          <w:sz w:val="28"/>
          <w:szCs w:val="28"/>
        </w:rPr>
        <w:lastRenderedPageBreak/>
        <w:t xml:space="preserve">Supplementary text related to the Material and Methods </w:t>
      </w:r>
    </w:p>
    <w:p w14:paraId="35745A54" w14:textId="77777777" w:rsidR="00714B50" w:rsidRDefault="00714B50">
      <w:pPr>
        <w:spacing w:after="0" w:line="480" w:lineRule="auto"/>
        <w:ind w:firstLine="709"/>
      </w:pPr>
    </w:p>
    <w:p w14:paraId="4BBA1817" w14:textId="1C98902A" w:rsidR="00714B50" w:rsidRDefault="0030138C">
      <w:pPr>
        <w:spacing w:after="0" w:line="480" w:lineRule="auto"/>
        <w:rPr>
          <w:i/>
        </w:rPr>
      </w:pPr>
      <w:r>
        <w:rPr>
          <w:b/>
        </w:rPr>
        <w:t>Experimental setup and treatments</w:t>
      </w:r>
    </w:p>
    <w:p w14:paraId="3D3B0073" w14:textId="506B4905" w:rsidR="00714B50" w:rsidRPr="00E54A33" w:rsidRDefault="00757CF4">
      <w:pPr>
        <w:spacing w:after="0" w:line="480" w:lineRule="auto"/>
        <w:rPr>
          <w:b/>
          <w:bCs/>
        </w:rPr>
      </w:pPr>
      <w:bookmarkStart w:id="2" w:name="_Hlk210234227"/>
      <w:r>
        <w:rPr>
          <w:color w:val="0E101A"/>
        </w:rPr>
        <w:t xml:space="preserve">The </w:t>
      </w:r>
      <w:r w:rsidR="0030138C">
        <w:rPr>
          <w:color w:val="0E101A"/>
        </w:rPr>
        <w:t>acclimatization</w:t>
      </w:r>
      <w:r>
        <w:rPr>
          <w:color w:val="0E101A"/>
        </w:rPr>
        <w:t xml:space="preserve"> of CCA thalli was done in an open-circuit aquarium that received a continuous water flow of 1 L min</w:t>
      </w:r>
      <w:r>
        <w:rPr>
          <w:color w:val="0E101A"/>
          <w:vertAlign w:val="superscript"/>
        </w:rPr>
        <w:t>-1</w:t>
      </w:r>
      <w:r>
        <w:rPr>
          <w:color w:val="0E101A"/>
        </w:rPr>
        <w:t xml:space="preserve">. The seawater was </w:t>
      </w:r>
      <w:r w:rsidRPr="00757CF4">
        <w:rPr>
          <w:color w:val="0E101A"/>
        </w:rPr>
        <w:t xml:space="preserve">pumped from </w:t>
      </w:r>
      <w:proofErr w:type="spellStart"/>
      <w:r w:rsidRPr="00757CF4">
        <w:rPr>
          <w:color w:val="0E101A"/>
        </w:rPr>
        <w:t>Banyuls</w:t>
      </w:r>
      <w:proofErr w:type="spellEnd"/>
      <w:r w:rsidRPr="00757CF4">
        <w:rPr>
          <w:color w:val="0E101A"/>
        </w:rPr>
        <w:t>-sur-Mer Bay at 14 m depth</w:t>
      </w:r>
      <w:r>
        <w:rPr>
          <w:color w:val="0E101A"/>
        </w:rPr>
        <w:t>,</w:t>
      </w:r>
      <w:r w:rsidRPr="00757CF4">
        <w:rPr>
          <w:color w:val="0E101A"/>
        </w:rPr>
        <w:t xml:space="preserve"> filtered at 5 </w:t>
      </w:r>
      <w:r w:rsidR="003B794F">
        <w:rPr>
          <w:color w:val="0E101A"/>
        </w:rPr>
        <w:t>µ</w:t>
      </w:r>
      <w:r w:rsidRPr="00757CF4">
        <w:rPr>
          <w:color w:val="0E101A"/>
        </w:rPr>
        <w:t>m</w:t>
      </w:r>
      <w:r>
        <w:rPr>
          <w:color w:val="0E101A"/>
        </w:rPr>
        <w:t xml:space="preserve">, and maintain at </w:t>
      </w:r>
      <w:r w:rsidRPr="00757CF4">
        <w:rPr>
          <w:color w:val="0E101A"/>
        </w:rPr>
        <w:t>≈</w:t>
      </w:r>
      <w:r>
        <w:rPr>
          <w:color w:val="0E101A"/>
        </w:rPr>
        <w:t>16.1°C, the temperature of the sampling site.</w:t>
      </w:r>
      <w:r>
        <w:rPr>
          <w:color w:val="0E101A"/>
          <w:vertAlign w:val="superscript"/>
        </w:rPr>
        <w:t xml:space="preserve"> </w:t>
      </w:r>
      <w:r>
        <w:rPr>
          <w:color w:val="0E101A"/>
        </w:rPr>
        <w:t>A</w:t>
      </w:r>
      <w:r w:rsidR="00E54A33">
        <w:rPr>
          <w:color w:val="0E101A"/>
        </w:rPr>
        <w:t xml:space="preserve"> </w:t>
      </w:r>
      <w:r w:rsidR="00E54A33" w:rsidRPr="00E54A33">
        <w:t>Sera LED cool daylight 1420 mm / 27 W</w:t>
      </w:r>
      <w:r w:rsidRPr="00E54A33">
        <w:rPr>
          <w:color w:val="0E101A"/>
        </w:rPr>
        <w:t xml:space="preserve"> </w:t>
      </w:r>
      <w:r>
        <w:rPr>
          <w:color w:val="0E101A"/>
        </w:rPr>
        <w:t xml:space="preserve">was adopted to </w:t>
      </w:r>
      <w:r w:rsidR="00D0151E">
        <w:rPr>
          <w:color w:val="0E101A"/>
        </w:rPr>
        <w:t>maintain a</w:t>
      </w:r>
      <w:r>
        <w:rPr>
          <w:color w:val="0E101A"/>
        </w:rPr>
        <w:t xml:space="preserve"> daily irradiance </w:t>
      </w:r>
      <w:r w:rsidR="00D0151E">
        <w:rPr>
          <w:color w:val="0E101A"/>
        </w:rPr>
        <w:t xml:space="preserve">of </w:t>
      </w:r>
      <w:r w:rsidR="00D125DB">
        <w:rPr>
          <w:color w:val="0E101A"/>
        </w:rPr>
        <w:t>3</w:t>
      </w:r>
      <w:r w:rsidR="00D0151E">
        <w:rPr>
          <w:color w:val="0E101A"/>
        </w:rPr>
        <w:t xml:space="preserve"> </w:t>
      </w:r>
      <w:r w:rsidR="000216AD">
        <w:rPr>
          <w:color w:val="0E101A"/>
        </w:rPr>
        <w:t>µ</w:t>
      </w:r>
      <w:r w:rsidR="00D0151E">
        <w:rPr>
          <w:color w:val="0E101A"/>
        </w:rPr>
        <w:t>mol photons m</w:t>
      </w:r>
      <w:r w:rsidR="00D0151E" w:rsidRPr="00D0151E">
        <w:rPr>
          <w:color w:val="0E101A"/>
          <w:vertAlign w:val="superscript"/>
        </w:rPr>
        <w:t>-2</w:t>
      </w:r>
      <w:r w:rsidR="00D0151E">
        <w:rPr>
          <w:color w:val="0E101A"/>
        </w:rPr>
        <w:t xml:space="preserve"> s</w:t>
      </w:r>
      <w:r w:rsidR="00D0151E" w:rsidRPr="00D0151E">
        <w:rPr>
          <w:color w:val="0E101A"/>
          <w:vertAlign w:val="superscript"/>
        </w:rPr>
        <w:t>-1</w:t>
      </w:r>
      <w:r w:rsidR="00D0151E">
        <w:rPr>
          <w:color w:val="0E101A"/>
        </w:rPr>
        <w:t xml:space="preserve"> under a cycle of 10-h light-14-h dark. </w:t>
      </w:r>
      <w:bookmarkEnd w:id="2"/>
      <w:r>
        <w:rPr>
          <w:color w:val="0E101A"/>
        </w:rPr>
        <w:t>After acclimatization</w:t>
      </w:r>
      <w:r w:rsidR="0030138C">
        <w:rPr>
          <w:color w:val="0E101A"/>
        </w:rPr>
        <w:t>, fragments of nine thalli of each CCA species (surface = 12.6±2.5 cm</w:t>
      </w:r>
      <w:r w:rsidR="0030138C">
        <w:rPr>
          <w:color w:val="0E101A"/>
          <w:vertAlign w:val="superscript"/>
        </w:rPr>
        <w:t>2</w:t>
      </w:r>
      <w:r w:rsidR="0030138C">
        <w:rPr>
          <w:color w:val="0E101A"/>
        </w:rPr>
        <w:t xml:space="preserve">) were coated on the underside with non-toxic epoxy glue (Holdfast Epoxy, Aquarium Systems) to avoid possible interactions between </w:t>
      </w:r>
      <w:proofErr w:type="spellStart"/>
      <w:r w:rsidR="00977149">
        <w:rPr>
          <w:i/>
          <w:color w:val="0E101A"/>
        </w:rPr>
        <w:t>Eunicella</w:t>
      </w:r>
      <w:proofErr w:type="spellEnd"/>
      <w:r w:rsidR="0030138C">
        <w:rPr>
          <w:i/>
          <w:color w:val="0E101A"/>
        </w:rPr>
        <w:t xml:space="preserve"> </w:t>
      </w:r>
      <w:proofErr w:type="spellStart"/>
      <w:r w:rsidR="0030138C">
        <w:rPr>
          <w:i/>
          <w:color w:val="0E101A"/>
        </w:rPr>
        <w:t>singularis</w:t>
      </w:r>
      <w:proofErr w:type="spellEnd"/>
      <w:r w:rsidR="0030138C">
        <w:rPr>
          <w:color w:val="0E101A"/>
        </w:rPr>
        <w:t xml:space="preserve"> larvae and the organisms colonizing the underside of the CCAs. Each fragment was placed in a 1-liter cylindrical open-circuit aquarium and was maintained in three different treatments for 56 days prior to the introduction of the larvae. The treatments were the following: </w:t>
      </w:r>
      <w:r w:rsidR="0030138C">
        <w:rPr>
          <w:b/>
          <w:color w:val="0E101A"/>
        </w:rPr>
        <w:t>Control</w:t>
      </w:r>
      <w:r w:rsidR="0030138C">
        <w:rPr>
          <w:color w:val="0E101A"/>
        </w:rPr>
        <w:t xml:space="preserve"> (</w:t>
      </w:r>
      <w:r w:rsidR="0030138C">
        <w:rPr>
          <w:b/>
          <w:color w:val="0E101A"/>
        </w:rPr>
        <w:t>CTRL</w:t>
      </w:r>
      <w:r w:rsidR="0030138C">
        <w:rPr>
          <w:color w:val="0E101A"/>
        </w:rPr>
        <w:t>) representing the ambient conditions of pH (</w:t>
      </w:r>
      <w:proofErr w:type="spellStart"/>
      <w:r w:rsidR="0030138C">
        <w:rPr>
          <w:color w:val="0E101A"/>
        </w:rPr>
        <w:t>pH</w:t>
      </w:r>
      <w:r w:rsidR="0030138C">
        <w:rPr>
          <w:color w:val="0E101A"/>
          <w:vertAlign w:val="subscript"/>
        </w:rPr>
        <w:t>T</w:t>
      </w:r>
      <w:proofErr w:type="spellEnd"/>
      <w:r w:rsidR="0030138C">
        <w:rPr>
          <w:color w:val="0E101A"/>
          <w:vertAlign w:val="subscript"/>
        </w:rPr>
        <w:t xml:space="preserve"> </w:t>
      </w:r>
      <w:r w:rsidR="0030138C">
        <w:rPr>
          <w:color w:val="0E101A"/>
        </w:rPr>
        <w:t>=</w:t>
      </w:r>
      <w:sdt>
        <w:sdtPr>
          <w:tag w:val="goog_rdk_0"/>
          <w:id w:val="-1117512918"/>
        </w:sdtPr>
        <w:sdtEndPr/>
        <w:sdtContent>
          <w:r w:rsidR="0030138C" w:rsidRPr="0030138C">
            <w:rPr>
              <w:rFonts w:eastAsia="Gungsuh"/>
              <w:color w:val="0E101A"/>
            </w:rPr>
            <w:t xml:space="preserve"> 8.1) and temperature (T ≈ 16.1</w:t>
          </w:r>
          <w:r w:rsidR="003B794F">
            <w:rPr>
              <w:rFonts w:eastAsia="Gungsuh"/>
              <w:color w:val="0E101A"/>
            </w:rPr>
            <w:t xml:space="preserve"> </w:t>
          </w:r>
          <w:r w:rsidR="0030138C" w:rsidRPr="0030138C">
            <w:rPr>
              <w:rFonts w:eastAsia="Gungsuh"/>
              <w:color w:val="0E101A"/>
            </w:rPr>
            <w:t xml:space="preserve">°C); </w:t>
          </w:r>
        </w:sdtContent>
      </w:sdt>
      <w:r w:rsidR="0030138C">
        <w:rPr>
          <w:b/>
          <w:color w:val="0E101A"/>
        </w:rPr>
        <w:t>T1</w:t>
      </w:r>
      <w:r w:rsidR="0030138C">
        <w:rPr>
          <w:color w:val="0E101A"/>
        </w:rPr>
        <w:t xml:space="preserve"> representing the acidified and warmer conditions projected in the SSP5-8.5 scenario for 2100 with </w:t>
      </w:r>
      <w:proofErr w:type="spellStart"/>
      <w:r w:rsidR="0030138C">
        <w:rPr>
          <w:color w:val="0E101A"/>
        </w:rPr>
        <w:t>pH</w:t>
      </w:r>
      <w:r w:rsidR="0030138C">
        <w:rPr>
          <w:color w:val="0E101A"/>
          <w:vertAlign w:val="subscript"/>
        </w:rPr>
        <w:t>T</w:t>
      </w:r>
      <w:proofErr w:type="spellEnd"/>
      <w:r w:rsidR="0030138C">
        <w:rPr>
          <w:color w:val="0E101A"/>
        </w:rPr>
        <w:t xml:space="preserve"> value corresponding to 7.70 (Kwiatkowski et al., 2020) and a temperature increase of 2.5</w:t>
      </w:r>
      <w:r w:rsidR="00391D8F">
        <w:rPr>
          <w:color w:val="0E101A"/>
        </w:rPr>
        <w:t xml:space="preserve"> </w:t>
      </w:r>
      <w:r w:rsidR="0030138C">
        <w:rPr>
          <w:color w:val="0E101A"/>
        </w:rPr>
        <w:t>°C (</w:t>
      </w:r>
      <w:proofErr w:type="spellStart"/>
      <w:r w:rsidR="0030138C">
        <w:rPr>
          <w:color w:val="0E101A"/>
        </w:rPr>
        <w:t>Reale</w:t>
      </w:r>
      <w:proofErr w:type="spellEnd"/>
      <w:r w:rsidR="0030138C">
        <w:rPr>
          <w:color w:val="0E101A"/>
        </w:rPr>
        <w:t xml:space="preserve"> et al., 2022); </w:t>
      </w:r>
      <w:r w:rsidR="0030138C">
        <w:rPr>
          <w:b/>
          <w:color w:val="0E101A"/>
        </w:rPr>
        <w:t>T2</w:t>
      </w:r>
      <w:r w:rsidR="0030138C">
        <w:rPr>
          <w:color w:val="0E101A"/>
        </w:rPr>
        <w:t xml:space="preserve"> corresponding to the same conditions than T1 (pH</w:t>
      </w:r>
      <w:sdt>
        <w:sdtPr>
          <w:tag w:val="goog_rdk_1"/>
          <w:id w:val="2038776087"/>
        </w:sdtPr>
        <w:sdtEndPr/>
        <w:sdtContent>
          <w:r w:rsidR="0030138C">
            <w:rPr>
              <w:rFonts w:ascii="Gungsuh" w:eastAsia="Gungsuh" w:hAnsi="Gungsuh" w:cs="Gungsuh"/>
              <w:color w:val="0E101A"/>
            </w:rPr>
            <w:t xml:space="preserve"> ≈</w:t>
          </w:r>
        </w:sdtContent>
      </w:sdt>
      <w:r w:rsidR="0030138C">
        <w:rPr>
          <w:color w:val="0E101A"/>
        </w:rPr>
        <w:t xml:space="preserve"> 7.70, T = + 2.5</w:t>
      </w:r>
      <w:r w:rsidR="00391D8F">
        <w:rPr>
          <w:color w:val="0E101A"/>
        </w:rPr>
        <w:t xml:space="preserve"> </w:t>
      </w:r>
      <w:r w:rsidR="0030138C">
        <w:rPr>
          <w:color w:val="0E101A"/>
        </w:rPr>
        <w:t>°C) for 35 days, followed by a 21-day heatwave event at 26</w:t>
      </w:r>
      <w:r w:rsidR="003B794F">
        <w:rPr>
          <w:color w:val="0E101A"/>
        </w:rPr>
        <w:t xml:space="preserve"> </w:t>
      </w:r>
      <w:r w:rsidR="0030138C">
        <w:rPr>
          <w:color w:val="0E101A"/>
        </w:rPr>
        <w:t>°C representative of the projections in the study area starting from 2050 (Galli et al., 2017). The 26</w:t>
      </w:r>
      <w:r w:rsidR="003B794F">
        <w:rPr>
          <w:color w:val="0E101A"/>
        </w:rPr>
        <w:t xml:space="preserve"> </w:t>
      </w:r>
      <w:r w:rsidR="0030138C">
        <w:rPr>
          <w:color w:val="0E101A"/>
        </w:rPr>
        <w:t>°C temperature was achieved over 10 days with a daily increase of 0.5°C. Temperature and pH conditions were controlled as described below.</w:t>
      </w:r>
    </w:p>
    <w:p w14:paraId="1B8D0A4E" w14:textId="7644AB94" w:rsidR="00714B50" w:rsidRDefault="0030138C">
      <w:pPr>
        <w:spacing w:after="0" w:line="480" w:lineRule="auto"/>
        <w:ind w:firstLine="708"/>
        <w:rPr>
          <w:color w:val="0E101A"/>
        </w:rPr>
      </w:pPr>
      <w:r>
        <w:rPr>
          <w:color w:val="0E101A"/>
        </w:rPr>
        <w:t>The same cylinders were used to test for the larval settlement with three replicated cylinders used for each algal species and treatment (18 cylinders in total). A total of six cylinders (three replicates for the two algal species) were used for each environmental condition and were arranged in three larger aquaria (later referred to as “water bath”), each dedicated to one of the experimental treatments (T1, T2, CTRL). In addition, three cylinders containing only bare rocks, which were first combusted at 459</w:t>
      </w:r>
      <w:r w:rsidR="003B794F">
        <w:rPr>
          <w:color w:val="0E101A"/>
        </w:rPr>
        <w:t xml:space="preserve"> °</w:t>
      </w:r>
      <w:r>
        <w:rPr>
          <w:color w:val="0E101A"/>
        </w:rPr>
        <w:t xml:space="preserve">C for four hours (to remove organisms and organic matter) and coated with epoxy on one side, were added to the CTRL treatment aquarium. The remaining fragments of the CCA thalli that were not put in the cylinders were placed in their corresponding water bath. These CCA fragments were used to characterize the composition of the CCA bacterial communities after treatments, just before the addition of the larvae to the cylinders. Finally, three intact unfragmented thalli for each CCA species were kept only in the T2 water bath to characterize </w:t>
      </w:r>
      <w:proofErr w:type="spellStart"/>
      <w:r>
        <w:rPr>
          <w:color w:val="0E101A"/>
        </w:rPr>
        <w:t>exo</w:t>
      </w:r>
      <w:proofErr w:type="spellEnd"/>
      <w:r>
        <w:rPr>
          <w:color w:val="0E101A"/>
        </w:rPr>
        <w:t xml:space="preserve">-metabolite profiles after treatment. Seawater pumped from </w:t>
      </w:r>
      <w:proofErr w:type="spellStart"/>
      <w:r>
        <w:rPr>
          <w:color w:val="0E101A"/>
        </w:rPr>
        <w:t>Banyuls</w:t>
      </w:r>
      <w:proofErr w:type="spellEnd"/>
      <w:r>
        <w:rPr>
          <w:color w:val="0E101A"/>
        </w:rPr>
        <w:t>-sur-Mer Bay at 14 m depth and filtered at 5 um was continuously flowing into four 100-liter tanks</w:t>
      </w:r>
      <w:r w:rsidR="001E35DD">
        <w:rPr>
          <w:color w:val="0E101A"/>
        </w:rPr>
        <w:t>, the header tanks</w:t>
      </w:r>
      <w:r>
        <w:rPr>
          <w:color w:val="0E101A"/>
        </w:rPr>
        <w:t xml:space="preserve">. These tanks supplied the 21 cylinders at a rate of 50 </w:t>
      </w:r>
      <w:r w:rsidR="003B794F">
        <w:rPr>
          <w:color w:val="0E101A"/>
        </w:rPr>
        <w:t>mL</w:t>
      </w:r>
      <w:r>
        <w:rPr>
          <w:color w:val="0E101A"/>
        </w:rPr>
        <w:t xml:space="preserve"> min</w:t>
      </w:r>
      <w:sdt>
        <w:sdtPr>
          <w:rPr>
            <w:vertAlign w:val="superscript"/>
          </w:rPr>
          <w:tag w:val="goog_rdk_2"/>
          <w:id w:val="1730423963"/>
        </w:sdtPr>
        <w:sdtEndPr/>
        <w:sdtContent>
          <w:r w:rsidR="003B794F" w:rsidRPr="00CE7E0B">
            <w:rPr>
              <w:color w:val="0E101A"/>
              <w:vertAlign w:val="superscript"/>
            </w:rPr>
            <w:t>-1</w:t>
          </w:r>
        </w:sdtContent>
      </w:sdt>
      <w:r>
        <w:rPr>
          <w:color w:val="0E101A"/>
        </w:rPr>
        <w:t xml:space="preserve"> which subsequently fed the three water baths.</w:t>
      </w:r>
    </w:p>
    <w:p w14:paraId="0CD1139A" w14:textId="60CA5546" w:rsidR="00714B50" w:rsidRDefault="0030138C">
      <w:pPr>
        <w:spacing w:after="0" w:line="480" w:lineRule="auto"/>
        <w:ind w:firstLine="708"/>
        <w:rPr>
          <w:b/>
        </w:rPr>
      </w:pPr>
      <w:r>
        <w:rPr>
          <w:color w:val="0E101A"/>
        </w:rPr>
        <w:t xml:space="preserve">During the 56 days of treatment, in two out of the four </w:t>
      </w:r>
      <w:r w:rsidR="001E35DD">
        <w:rPr>
          <w:color w:val="0E101A"/>
        </w:rPr>
        <w:t>header</w:t>
      </w:r>
      <w:r>
        <w:rPr>
          <w:color w:val="0E101A"/>
        </w:rPr>
        <w:t xml:space="preserve"> tanks, pH and temperature were controlled using dedicated controllers and probes with the APEX Neptune Systems (</w:t>
      </w:r>
      <w:hyperlink r:id="rId8">
        <w:r>
          <w:rPr>
            <w:color w:val="4A6EE0"/>
            <w:u w:val="single"/>
          </w:rPr>
          <w:t>www.neptunesystems.com</w:t>
        </w:r>
      </w:hyperlink>
      <w:r>
        <w:rPr>
          <w:color w:val="0E101A"/>
        </w:rPr>
        <w:t>). The</w:t>
      </w:r>
      <w:r w:rsidR="001E35DD">
        <w:rPr>
          <w:color w:val="0E101A"/>
        </w:rPr>
        <w:t xml:space="preserve"> header</w:t>
      </w:r>
      <w:r>
        <w:rPr>
          <w:color w:val="0E101A"/>
        </w:rPr>
        <w:t xml:space="preserve"> tanks randomly supplied the 12 cylinders dedicated to T1 and T2 treatments. The temperature was adjusted daily to mimic its natural seasonal daily variation. In the other two 100-litre tanks, temperature and pH were those of the natural seawater, and they randomly supplied the nine CTRL cylinders. </w:t>
      </w:r>
      <w:r w:rsidR="003072FD">
        <w:rPr>
          <w:color w:val="0E101A"/>
        </w:rPr>
        <w:t xml:space="preserve">The heatwave event </w:t>
      </w:r>
      <w:r w:rsidR="009A6E7E">
        <w:rPr>
          <w:color w:val="0E101A"/>
        </w:rPr>
        <w:t xml:space="preserve">of T2 treatment </w:t>
      </w:r>
      <w:r w:rsidR="003072FD">
        <w:rPr>
          <w:color w:val="0E101A"/>
        </w:rPr>
        <w:t xml:space="preserve">was simulated by increasing the seawater temperature specifically in the water bath </w:t>
      </w:r>
      <w:r w:rsidR="00180512">
        <w:rPr>
          <w:color w:val="0E101A"/>
        </w:rPr>
        <w:t xml:space="preserve">containing the six dedicated cylinders </w:t>
      </w:r>
      <w:r w:rsidR="003072FD">
        <w:rPr>
          <w:color w:val="0E101A"/>
        </w:rPr>
        <w:t>with dedicated temperature controller</w:t>
      </w:r>
      <w:r w:rsidR="009A6E7E">
        <w:rPr>
          <w:color w:val="0E101A"/>
        </w:rPr>
        <w:t xml:space="preserve"> and probe</w:t>
      </w:r>
      <w:r w:rsidR="003072FD">
        <w:rPr>
          <w:color w:val="0E101A"/>
        </w:rPr>
        <w:t xml:space="preserve">. </w:t>
      </w:r>
      <w:r>
        <w:rPr>
          <w:color w:val="0E101A"/>
        </w:rPr>
        <w:t xml:space="preserve">After 56 days of treatment, temperature and pH were maintained at ambient conditions. </w:t>
      </w:r>
      <w:r w:rsidR="003A2F59">
        <w:rPr>
          <w:color w:val="0E101A"/>
        </w:rPr>
        <w:t>The</w:t>
      </w:r>
      <w:r w:rsidR="00E54A33" w:rsidRPr="00E54A33">
        <w:t xml:space="preserve"> Sera LED cool daylight 1420 mm / 27 W </w:t>
      </w:r>
      <w:r>
        <w:rPr>
          <w:color w:val="0E101A"/>
        </w:rPr>
        <w:t xml:space="preserve">was adopted to </w:t>
      </w:r>
      <w:r w:rsidR="004F07CC">
        <w:rPr>
          <w:color w:val="0E101A"/>
        </w:rPr>
        <w:t xml:space="preserve">maintain a daily irradiance of </w:t>
      </w:r>
      <w:r w:rsidR="002B59C0">
        <w:rPr>
          <w:color w:val="0E101A"/>
        </w:rPr>
        <w:t>3</w:t>
      </w:r>
      <w:r w:rsidR="004F07CC">
        <w:rPr>
          <w:color w:val="0E101A"/>
        </w:rPr>
        <w:t xml:space="preserve"> µmol photons m</w:t>
      </w:r>
      <w:r w:rsidR="004F07CC" w:rsidRPr="00D0151E">
        <w:rPr>
          <w:color w:val="0E101A"/>
          <w:vertAlign w:val="superscript"/>
        </w:rPr>
        <w:t>-2</w:t>
      </w:r>
      <w:r w:rsidR="004F07CC">
        <w:rPr>
          <w:color w:val="0E101A"/>
        </w:rPr>
        <w:t xml:space="preserve"> s</w:t>
      </w:r>
      <w:r w:rsidR="004F07CC" w:rsidRPr="00D0151E">
        <w:rPr>
          <w:color w:val="0E101A"/>
          <w:vertAlign w:val="superscript"/>
        </w:rPr>
        <w:t>-1</w:t>
      </w:r>
      <w:r w:rsidR="004F07CC">
        <w:rPr>
          <w:color w:val="0E101A"/>
        </w:rPr>
        <w:t xml:space="preserve"> under a cycle of 10 to 12-h light and</w:t>
      </w:r>
      <w:r w:rsidR="00B64553">
        <w:rPr>
          <w:color w:val="0E101A"/>
        </w:rPr>
        <w:t>,</w:t>
      </w:r>
      <w:r w:rsidR="004F07CC">
        <w:rPr>
          <w:color w:val="0E101A"/>
        </w:rPr>
        <w:t xml:space="preserve"> </w:t>
      </w:r>
      <w:r w:rsidR="00652A68">
        <w:rPr>
          <w:color w:val="0E101A"/>
        </w:rPr>
        <w:t>respectively</w:t>
      </w:r>
      <w:r w:rsidR="00B64553">
        <w:rPr>
          <w:color w:val="0E101A"/>
        </w:rPr>
        <w:t>,</w:t>
      </w:r>
      <w:r w:rsidR="00652A68">
        <w:rPr>
          <w:color w:val="0E101A"/>
        </w:rPr>
        <w:t xml:space="preserve"> </w:t>
      </w:r>
      <w:r w:rsidR="004F07CC">
        <w:rPr>
          <w:color w:val="0E101A"/>
        </w:rPr>
        <w:t>1</w:t>
      </w:r>
      <w:r w:rsidR="00652A68">
        <w:rPr>
          <w:color w:val="0E101A"/>
        </w:rPr>
        <w:t>4</w:t>
      </w:r>
      <w:r w:rsidR="004F07CC">
        <w:rPr>
          <w:color w:val="0E101A"/>
        </w:rPr>
        <w:t xml:space="preserve"> to 1</w:t>
      </w:r>
      <w:r w:rsidR="00652A68">
        <w:rPr>
          <w:color w:val="0E101A"/>
        </w:rPr>
        <w:t>2</w:t>
      </w:r>
      <w:r w:rsidR="004F07CC">
        <w:rPr>
          <w:color w:val="0E101A"/>
        </w:rPr>
        <w:t>-h dark</w:t>
      </w:r>
      <w:r w:rsidR="00652A68">
        <w:rPr>
          <w:color w:val="0E101A"/>
        </w:rPr>
        <w:t xml:space="preserve"> following the monthly changes</w:t>
      </w:r>
      <w:r>
        <w:rPr>
          <w:color w:val="0E101A"/>
        </w:rPr>
        <w:t>.</w:t>
      </w:r>
    </w:p>
    <w:p w14:paraId="4BE9B670" w14:textId="77777777" w:rsidR="00714B50" w:rsidRDefault="0030138C">
      <w:pPr>
        <w:spacing w:after="0" w:line="480" w:lineRule="auto"/>
        <w:ind w:firstLine="709"/>
      </w:pPr>
      <w:r>
        <w:t xml:space="preserve">Temperature and pH in all experimental aquaria and cylinders were measured weekly using a handheld pH meter (IP67 3110, Fisher Scientific) calibrated with a seawater pH TRIS buffer (batch no. T33 provided by Andrew G. Dickson, Scripps Institution of Oceanography, USA) before each set of measurements. Salinity data during the experiment were obtained from measurements performed in the bay of </w:t>
      </w:r>
      <w:proofErr w:type="spellStart"/>
      <w:r>
        <w:t>Banyuls</w:t>
      </w:r>
      <w:proofErr w:type="spellEnd"/>
      <w:r>
        <w:t xml:space="preserve">. To confirm that total alkalinity was not altered by metabolic activity, it was measured biweekly in each experimental condition by potentiometric titration using a </w:t>
      </w:r>
      <w:proofErr w:type="spellStart"/>
      <w:r>
        <w:t>Metrohm</w:t>
      </w:r>
      <w:proofErr w:type="spellEnd"/>
      <w:r>
        <w:t xml:space="preserve"> 888 </w:t>
      </w:r>
      <w:proofErr w:type="spellStart"/>
      <w:r>
        <w:t>Titrando</w:t>
      </w:r>
      <w:proofErr w:type="spellEnd"/>
      <w:r>
        <w:t xml:space="preserve"> following the method of Dickson et al. (2007). Titrations of certified reference material (batch no. 186) provided by Andrew G. Dickson were used to assess the accuracy of the measurements and were within 6.5 µmol kg</w:t>
      </w:r>
      <w:sdt>
        <w:sdtPr>
          <w:tag w:val="goog_rdk_3"/>
          <w:id w:val="-1839528504"/>
        </w:sdtPr>
        <w:sdtEndPr/>
        <w:sdtContent>
          <w:r>
            <w:rPr>
              <w:rFonts w:ascii="Gungsuh" w:eastAsia="Gungsuh" w:hAnsi="Gungsuh" w:cs="Gungsuh"/>
              <w:vertAlign w:val="superscript"/>
            </w:rPr>
            <w:t>−1</w:t>
          </w:r>
        </w:sdtContent>
      </w:sdt>
      <w:r>
        <w:t xml:space="preserve"> of the reference value. </w:t>
      </w:r>
      <w:proofErr w:type="spellStart"/>
      <w:r>
        <w:t>pH</w:t>
      </w:r>
      <w:r>
        <w:rPr>
          <w:vertAlign w:val="subscript"/>
        </w:rPr>
        <w:t>T</w:t>
      </w:r>
      <w:proofErr w:type="spellEnd"/>
      <w:r>
        <w:t xml:space="preserve">, temperature, total alkalinity, and salinity were used to calculate the other carbonate chemistry parameters using R package </w:t>
      </w:r>
      <w:proofErr w:type="spellStart"/>
      <w:r>
        <w:t>seacarb</w:t>
      </w:r>
      <w:proofErr w:type="spellEnd"/>
      <w:r>
        <w:t xml:space="preserve"> (</w:t>
      </w:r>
      <w:proofErr w:type="spellStart"/>
      <w:r>
        <w:t>Gattuso</w:t>
      </w:r>
      <w:proofErr w:type="spellEnd"/>
      <w:r>
        <w:t xml:space="preserve"> et al., 2024).</w:t>
      </w:r>
    </w:p>
    <w:p w14:paraId="6008C911" w14:textId="5C866F10" w:rsidR="00714B50" w:rsidRDefault="0030138C">
      <w:pPr>
        <w:spacing w:after="0" w:line="480" w:lineRule="auto"/>
        <w:ind w:firstLine="709"/>
      </w:pPr>
      <w:r>
        <w:t>After the 56 days of treatment, the CCA thalli kept in the larger aquaria were sampled and frozen immediately at -80</w:t>
      </w:r>
      <w:r w:rsidR="00F13FFE">
        <w:t xml:space="preserve"> </w:t>
      </w:r>
      <w:r>
        <w:t>°C for subsequent analysis of the associated bacterial communities. For the CCA fragments in the cylinders, water conditions in all experimental systems were restored to normal conditions five days before the addition of gorgonian larvae.</w:t>
      </w:r>
    </w:p>
    <w:p w14:paraId="4C167DF9" w14:textId="77777777" w:rsidR="00714B50" w:rsidRDefault="00714B50">
      <w:pPr>
        <w:spacing w:after="0" w:line="480" w:lineRule="auto"/>
        <w:rPr>
          <w:b/>
        </w:rPr>
      </w:pPr>
    </w:p>
    <w:p w14:paraId="15EB8969" w14:textId="77777777" w:rsidR="00714B50" w:rsidRDefault="0030138C">
      <w:pPr>
        <w:spacing w:after="0" w:line="480" w:lineRule="auto"/>
        <w:rPr>
          <w:i/>
        </w:rPr>
      </w:pPr>
      <w:r>
        <w:rPr>
          <w:b/>
        </w:rPr>
        <w:t xml:space="preserve">CCA DNA extraction, amplification, sequencing, and phylogenetic analyses </w:t>
      </w:r>
    </w:p>
    <w:p w14:paraId="5FA5A810" w14:textId="4FD493FC" w:rsidR="00E51C67" w:rsidRDefault="0030138C">
      <w:pPr>
        <w:spacing w:after="0" w:line="480" w:lineRule="auto"/>
      </w:pPr>
      <w:r>
        <w:t xml:space="preserve">The taxonomic identification of CCAs was performed as in </w:t>
      </w:r>
      <w:proofErr w:type="spellStart"/>
      <w:r>
        <w:t>Manea</w:t>
      </w:r>
      <w:proofErr w:type="spellEnd"/>
      <w:r>
        <w:t xml:space="preserve"> et al. (2025). The silica-dried CCA samples were pulverized using sterile mortars, and the DNA extraction was performed following the modified protocol of the Qiagen </w:t>
      </w:r>
      <w:proofErr w:type="spellStart"/>
      <w:r>
        <w:t>DNeasy</w:t>
      </w:r>
      <w:proofErr w:type="spellEnd"/>
      <w:r>
        <w:t xml:space="preserve"> Blood &amp; Tissue Kit (Qiagen, Crawley, UK) by Broom et al. (2008). </w:t>
      </w:r>
      <w:r w:rsidR="004C3C2B">
        <w:t>Samples</w:t>
      </w:r>
      <w:r w:rsidR="004E37EE">
        <w:t xml:space="preserve"> were</w:t>
      </w:r>
      <w:r w:rsidR="004C3C2B">
        <w:t xml:space="preserve"> incubated in 1.5 mL centrifuge tubes with 400 µL of extraction buffer ATL and 25 </w:t>
      </w:r>
      <w:proofErr w:type="spellStart"/>
      <w:r w:rsidR="004C3C2B">
        <w:t>mAU</w:t>
      </w:r>
      <w:proofErr w:type="spellEnd"/>
      <w:r w:rsidR="004C3C2B">
        <w:t xml:space="preserve"> of proteinase K at 65</w:t>
      </w:r>
      <w:r w:rsidR="00F13FFE">
        <w:t xml:space="preserve"> </w:t>
      </w:r>
      <w:r w:rsidR="004C3C2B">
        <w:rPr>
          <w:color w:val="0E101A"/>
        </w:rPr>
        <w:t>°</w:t>
      </w:r>
      <w:r w:rsidR="004C3C2B">
        <w:t xml:space="preserve">C for 4 h. </w:t>
      </w:r>
      <w:r w:rsidR="004E37EE">
        <w:t>S</w:t>
      </w:r>
      <w:r w:rsidR="004C3C2B">
        <w:t>amples were</w:t>
      </w:r>
      <w:r w:rsidR="004E37EE">
        <w:t xml:space="preserve"> subsequently</w:t>
      </w:r>
      <w:r w:rsidR="004C3C2B">
        <w:t xml:space="preserve"> incubated at 70</w:t>
      </w:r>
      <w:r w:rsidR="00391D8F">
        <w:t xml:space="preserve"> </w:t>
      </w:r>
      <w:r w:rsidR="004C3C2B">
        <w:rPr>
          <w:color w:val="0E101A"/>
        </w:rPr>
        <w:t>°</w:t>
      </w:r>
      <w:r w:rsidR="004C3C2B">
        <w:t>C for 10 minutes</w:t>
      </w:r>
      <w:r w:rsidR="004E37EE">
        <w:t xml:space="preserve"> after the addition of 400 µL of lysis buffer AL</w:t>
      </w:r>
      <w:r w:rsidR="004C3C2B">
        <w:t xml:space="preserve">. </w:t>
      </w:r>
      <w:r w:rsidR="005A4EA7">
        <w:t xml:space="preserve">Samples were then centrifuged </w:t>
      </w:r>
      <w:r w:rsidR="004E37EE">
        <w:t>at full speed in a bench</w:t>
      </w:r>
      <w:r w:rsidR="003B794F">
        <w:t>top</w:t>
      </w:r>
      <w:r w:rsidR="004E37EE">
        <w:t xml:space="preserve"> centrifuge for 10 minutes. After supernatants transfer to new 1.5 mL centrifuge tubes, 400 µL of ethanol (96-100%) were added.</w:t>
      </w:r>
      <w:r w:rsidR="004C3C2B">
        <w:t xml:space="preserve"> </w:t>
      </w:r>
      <w:r w:rsidR="004E37EE">
        <w:t xml:space="preserve">Once mixed, the obtained solution was transferred to a </w:t>
      </w:r>
      <w:proofErr w:type="spellStart"/>
      <w:r w:rsidR="004E37EE">
        <w:t>DNeasy</w:t>
      </w:r>
      <w:proofErr w:type="spellEnd"/>
      <w:r w:rsidR="004E37EE">
        <w:t xml:space="preserve"> Mini spin column in a 2 mL collection tube, and </w:t>
      </w:r>
      <w:r w:rsidR="003B794F">
        <w:t xml:space="preserve">then processed following </w:t>
      </w:r>
      <w:r w:rsidR="00E51C67" w:rsidRPr="00E51C67">
        <w:t>the manufactur</w:t>
      </w:r>
      <w:r w:rsidR="003B794F">
        <w:t>er</w:t>
      </w:r>
      <w:r w:rsidR="00E51C67" w:rsidRPr="00E51C67">
        <w:t xml:space="preserve"> instructions.</w:t>
      </w:r>
      <w:r w:rsidR="00E51C67">
        <w:t xml:space="preserve"> </w:t>
      </w:r>
    </w:p>
    <w:p w14:paraId="08032D5B" w14:textId="62DD5228" w:rsidR="00714B50" w:rsidRDefault="0030138C">
      <w:pPr>
        <w:spacing w:after="0" w:line="480" w:lineRule="auto"/>
      </w:pPr>
      <w:r>
        <w:t xml:space="preserve">The </w:t>
      </w:r>
      <w:proofErr w:type="spellStart"/>
      <w:r>
        <w:rPr>
          <w:i/>
        </w:rPr>
        <w:t>psb</w:t>
      </w:r>
      <w:r>
        <w:t>A</w:t>
      </w:r>
      <w:proofErr w:type="spellEnd"/>
      <w:r>
        <w:t xml:space="preserve"> gene was PCR-amplified according to </w:t>
      </w:r>
      <w:proofErr w:type="spellStart"/>
      <w:r>
        <w:t>Pezzolesi</w:t>
      </w:r>
      <w:proofErr w:type="spellEnd"/>
      <w:r>
        <w:t xml:space="preserve"> et al. (2017, 2019), while the mitochondrial COI-5P fragment was PCR-amplified in </w:t>
      </w:r>
      <w:r>
        <w:rPr>
          <w:i/>
        </w:rPr>
        <w:t>M.</w:t>
      </w:r>
      <w:r>
        <w:t xml:space="preserve"> </w:t>
      </w:r>
      <w:proofErr w:type="spellStart"/>
      <w:r>
        <w:rPr>
          <w:i/>
        </w:rPr>
        <w:t>dendrospermum</w:t>
      </w:r>
      <w:proofErr w:type="spellEnd"/>
      <w:r>
        <w:t xml:space="preserve"> following Peña et al. (2015). PCR products were visualized in 1.5% agarose gels stained with Midori Green using Low DNA Mass Ladder (Invitrogen, Carlsbad, CA, USA) as a reference, and PCR products with expected lengths and yields were purified and sequenced by BMR Genomics (Padua, Italy).</w:t>
      </w:r>
    </w:p>
    <w:p w14:paraId="7CEFB5FA" w14:textId="5A64AA53" w:rsidR="00714B50" w:rsidRDefault="0030138C">
      <w:pPr>
        <w:spacing w:after="0" w:line="480" w:lineRule="auto"/>
        <w:ind w:firstLine="709"/>
      </w:pPr>
      <w:r>
        <w:t xml:space="preserve">The quality of the sequences was assessed by visual inspection of the electropherograms using the Chromas software (Version 2.6.6; </w:t>
      </w:r>
      <w:proofErr w:type="spellStart"/>
      <w:r>
        <w:t>Technelysium</w:t>
      </w:r>
      <w:proofErr w:type="spellEnd"/>
      <w:r>
        <w:t xml:space="preserve"> Pty LTD, South Brisbane, Australia). Alignment was performed using </w:t>
      </w:r>
      <w:proofErr w:type="spellStart"/>
      <w:r>
        <w:t>ClustalW</w:t>
      </w:r>
      <w:proofErr w:type="spellEnd"/>
      <w:r>
        <w:t xml:space="preserve"> and default settings and phylogeny constructed by means of MEGA software (Version 11.0.13, </w:t>
      </w:r>
      <w:hyperlink r:id="rId9">
        <w:r>
          <w:rPr>
            <w:color w:val="0000FF"/>
            <w:u w:val="single"/>
          </w:rPr>
          <w:t>www.megasoftware.net</w:t>
        </w:r>
      </w:hyperlink>
      <w:r>
        <w:t>; Tamura et al., 2021). In addition, NCBI database (</w:t>
      </w:r>
      <w:hyperlink r:id="rId10">
        <w:r>
          <w:rPr>
            <w:color w:val="0000FF"/>
            <w:u w:val="single"/>
          </w:rPr>
          <w:t>www.ncbi.nlm.nih.gov</w:t>
        </w:r>
      </w:hyperlink>
      <w:r>
        <w:t xml:space="preserve">) was searched for publicly available sequences of </w:t>
      </w:r>
      <w:proofErr w:type="spellStart"/>
      <w:r>
        <w:rPr>
          <w:i/>
        </w:rPr>
        <w:t>Lithophyllum</w:t>
      </w:r>
      <w:proofErr w:type="spellEnd"/>
      <w:r>
        <w:rPr>
          <w:i/>
        </w:rPr>
        <w:t xml:space="preserve"> </w:t>
      </w:r>
      <w:proofErr w:type="spellStart"/>
      <w:r>
        <w:rPr>
          <w:i/>
        </w:rPr>
        <w:t>stictiforme</w:t>
      </w:r>
      <w:proofErr w:type="spellEnd"/>
      <w:r>
        <w:t xml:space="preserve"> complex and </w:t>
      </w:r>
      <w:proofErr w:type="spellStart"/>
      <w:r>
        <w:rPr>
          <w:i/>
        </w:rPr>
        <w:t>Mesophyllum</w:t>
      </w:r>
      <w:proofErr w:type="spellEnd"/>
      <w:r>
        <w:t xml:space="preserve"> genus (as </w:t>
      </w:r>
      <w:proofErr w:type="spellStart"/>
      <w:r>
        <w:rPr>
          <w:i/>
        </w:rPr>
        <w:t>Mesophyllum</w:t>
      </w:r>
      <w:proofErr w:type="spellEnd"/>
      <w:r>
        <w:rPr>
          <w:i/>
        </w:rPr>
        <w:t xml:space="preserve"> </w:t>
      </w:r>
      <w:proofErr w:type="spellStart"/>
      <w:r>
        <w:rPr>
          <w:i/>
        </w:rPr>
        <w:t>macroblastum</w:t>
      </w:r>
      <w:proofErr w:type="spellEnd"/>
      <w:r>
        <w:rPr>
          <w:i/>
        </w:rPr>
        <w:t xml:space="preserve"> </w:t>
      </w:r>
      <w:r>
        <w:t>is now recognized as</w:t>
      </w:r>
      <w:r>
        <w:rPr>
          <w:i/>
        </w:rPr>
        <w:t xml:space="preserve"> </w:t>
      </w:r>
      <w:proofErr w:type="spellStart"/>
      <w:r>
        <w:rPr>
          <w:i/>
        </w:rPr>
        <w:t>Macroblastum</w:t>
      </w:r>
      <w:proofErr w:type="spellEnd"/>
      <w:r>
        <w:rPr>
          <w:i/>
        </w:rPr>
        <w:t xml:space="preserve"> </w:t>
      </w:r>
      <w:proofErr w:type="spellStart"/>
      <w:r>
        <w:rPr>
          <w:i/>
        </w:rPr>
        <w:t>dendrospermum</w:t>
      </w:r>
      <w:proofErr w:type="spellEnd"/>
      <w:r>
        <w:rPr>
          <w:i/>
        </w:rPr>
        <w:t xml:space="preserve">, </w:t>
      </w:r>
      <w:proofErr w:type="spellStart"/>
      <w:r>
        <w:t>Athanasiadis</w:t>
      </w:r>
      <w:proofErr w:type="spellEnd"/>
      <w:r>
        <w:t xml:space="preserve"> &amp; Ballantine, 2024), and some representatives were selected to be included in the alignments, as in </w:t>
      </w:r>
      <w:proofErr w:type="spellStart"/>
      <w:r>
        <w:t>Manea</w:t>
      </w:r>
      <w:proofErr w:type="spellEnd"/>
      <w:r>
        <w:t xml:space="preserve"> et. (2025). The alignment was assembled including the </w:t>
      </w:r>
      <w:proofErr w:type="spellStart"/>
      <w:r>
        <w:rPr>
          <w:i/>
        </w:rPr>
        <w:t>psb</w:t>
      </w:r>
      <w:r>
        <w:t>A</w:t>
      </w:r>
      <w:proofErr w:type="spellEnd"/>
      <w:r>
        <w:t xml:space="preserve"> sequences of </w:t>
      </w:r>
      <w:proofErr w:type="spellStart"/>
      <w:r>
        <w:rPr>
          <w:i/>
        </w:rPr>
        <w:t>Lithophyllum</w:t>
      </w:r>
      <w:proofErr w:type="spellEnd"/>
      <w:r>
        <w:t xml:space="preserve"> </w:t>
      </w:r>
      <w:proofErr w:type="spellStart"/>
      <w:r>
        <w:rPr>
          <w:i/>
        </w:rPr>
        <w:t>dentatum</w:t>
      </w:r>
      <w:proofErr w:type="spellEnd"/>
      <w:r>
        <w:rPr>
          <w:i/>
        </w:rPr>
        <w:t xml:space="preserve"> </w:t>
      </w:r>
      <w:r>
        <w:t>(</w:t>
      </w:r>
      <w:proofErr w:type="spellStart"/>
      <w:r>
        <w:t>Kützing</w:t>
      </w:r>
      <w:proofErr w:type="spellEnd"/>
      <w:r>
        <w:t xml:space="preserve">) </w:t>
      </w:r>
      <w:proofErr w:type="spellStart"/>
      <w:r>
        <w:t>Foslie</w:t>
      </w:r>
      <w:proofErr w:type="spellEnd"/>
      <w:r>
        <w:rPr>
          <w:i/>
        </w:rPr>
        <w:t xml:space="preserve">, L. </w:t>
      </w:r>
      <w:proofErr w:type="spellStart"/>
      <w:r>
        <w:rPr>
          <w:i/>
        </w:rPr>
        <w:t>hibernicum</w:t>
      </w:r>
      <w:proofErr w:type="spellEnd"/>
      <w:r>
        <w:rPr>
          <w:i/>
        </w:rPr>
        <w:t xml:space="preserve"> </w:t>
      </w:r>
      <w:proofErr w:type="spellStart"/>
      <w:r>
        <w:t>Foslie</w:t>
      </w:r>
      <w:proofErr w:type="spellEnd"/>
      <w:r>
        <w:rPr>
          <w:i/>
        </w:rPr>
        <w:t xml:space="preserve">, </w:t>
      </w:r>
      <w:r>
        <w:t>and</w:t>
      </w:r>
      <w:r>
        <w:rPr>
          <w:i/>
        </w:rPr>
        <w:t xml:space="preserve"> L. </w:t>
      </w:r>
      <w:proofErr w:type="spellStart"/>
      <w:r>
        <w:rPr>
          <w:i/>
        </w:rPr>
        <w:t>bathyporum</w:t>
      </w:r>
      <w:proofErr w:type="spellEnd"/>
      <w:r>
        <w:rPr>
          <w:i/>
        </w:rPr>
        <w:t xml:space="preserve"> </w:t>
      </w:r>
      <w:proofErr w:type="spellStart"/>
      <w:r>
        <w:t>Athanasiadis</w:t>
      </w:r>
      <w:proofErr w:type="spellEnd"/>
      <w:r>
        <w:t xml:space="preserve"> &amp; </w:t>
      </w:r>
      <w:proofErr w:type="spellStart"/>
      <w:r>
        <w:t>D.L.Ballantine</w:t>
      </w:r>
      <w:proofErr w:type="spellEnd"/>
      <w:r>
        <w:t xml:space="preserve">, and </w:t>
      </w:r>
      <w:proofErr w:type="spellStart"/>
      <w:r>
        <w:t>psbA</w:t>
      </w:r>
      <w:proofErr w:type="spellEnd"/>
      <w:r>
        <w:t xml:space="preserve"> sequences of the </w:t>
      </w:r>
      <w:proofErr w:type="spellStart"/>
      <w:r>
        <w:t>Melobesioideae</w:t>
      </w:r>
      <w:proofErr w:type="spellEnd"/>
      <w:r>
        <w:t xml:space="preserve"> </w:t>
      </w:r>
      <w:proofErr w:type="spellStart"/>
      <w:r>
        <w:rPr>
          <w:i/>
        </w:rPr>
        <w:t>Phymatolithon</w:t>
      </w:r>
      <w:proofErr w:type="spellEnd"/>
      <w:r>
        <w:rPr>
          <w:i/>
        </w:rPr>
        <w:t xml:space="preserve"> </w:t>
      </w:r>
      <w:proofErr w:type="spellStart"/>
      <w:r>
        <w:rPr>
          <w:i/>
        </w:rPr>
        <w:t>calcareum</w:t>
      </w:r>
      <w:proofErr w:type="spellEnd"/>
      <w:r>
        <w:t xml:space="preserve"> (Pallas) W.H. Adey &amp; McKibbin and </w:t>
      </w:r>
      <w:proofErr w:type="spellStart"/>
      <w:r>
        <w:rPr>
          <w:i/>
        </w:rPr>
        <w:t>Lithothamnion</w:t>
      </w:r>
      <w:proofErr w:type="spellEnd"/>
      <w:r>
        <w:rPr>
          <w:i/>
        </w:rPr>
        <w:t xml:space="preserve"> </w:t>
      </w:r>
      <w:proofErr w:type="spellStart"/>
      <w:r>
        <w:rPr>
          <w:i/>
        </w:rPr>
        <w:t>corallioides</w:t>
      </w:r>
      <w:proofErr w:type="spellEnd"/>
      <w:r>
        <w:t xml:space="preserve"> (P.L. </w:t>
      </w:r>
      <w:proofErr w:type="spellStart"/>
      <w:r>
        <w:t>Crouan</w:t>
      </w:r>
      <w:proofErr w:type="spellEnd"/>
      <w:r>
        <w:t xml:space="preserve"> &amp; H.M. </w:t>
      </w:r>
      <w:proofErr w:type="spellStart"/>
      <w:r>
        <w:t>Crouan</w:t>
      </w:r>
      <w:proofErr w:type="spellEnd"/>
      <w:r>
        <w:t xml:space="preserve">) P.L. </w:t>
      </w:r>
      <w:proofErr w:type="spellStart"/>
      <w:r>
        <w:t>Crouan</w:t>
      </w:r>
      <w:proofErr w:type="spellEnd"/>
      <w:r>
        <w:t xml:space="preserve"> &amp; H.M. </w:t>
      </w:r>
      <w:proofErr w:type="spellStart"/>
      <w:r>
        <w:t>Crouan</w:t>
      </w:r>
      <w:proofErr w:type="spellEnd"/>
      <w:r>
        <w:t xml:space="preserve"> as outgroups in the respective data sets, according to previous studies (</w:t>
      </w:r>
      <w:proofErr w:type="spellStart"/>
      <w:r>
        <w:t>Pezzolesi</w:t>
      </w:r>
      <w:proofErr w:type="spellEnd"/>
      <w:r>
        <w:t xml:space="preserve"> et al, 2019; Peña et al., 2015; </w:t>
      </w:r>
      <w:proofErr w:type="spellStart"/>
      <w:r>
        <w:t>Manea</w:t>
      </w:r>
      <w:proofErr w:type="spellEnd"/>
      <w:r>
        <w:t xml:space="preserve"> et al., 2025). </w:t>
      </w:r>
      <w:r>
        <w:rPr>
          <w:highlight w:val="white"/>
        </w:rPr>
        <w:t xml:space="preserve">The sequences’ alignment of </w:t>
      </w:r>
      <w:r>
        <w:rPr>
          <w:i/>
          <w:highlight w:val="white"/>
        </w:rPr>
        <w:t xml:space="preserve">L. </w:t>
      </w:r>
      <w:proofErr w:type="spellStart"/>
      <w:r>
        <w:rPr>
          <w:i/>
          <w:highlight w:val="white"/>
        </w:rPr>
        <w:t>stictiforme</w:t>
      </w:r>
      <w:proofErr w:type="spellEnd"/>
      <w:r>
        <w:rPr>
          <w:highlight w:val="white"/>
        </w:rPr>
        <w:t xml:space="preserve"> </w:t>
      </w:r>
      <w:proofErr w:type="spellStart"/>
      <w:r w:rsidRPr="00F13FFE">
        <w:rPr>
          <w:i/>
          <w:iCs/>
          <w:highlight w:val="white"/>
        </w:rPr>
        <w:t>psbA</w:t>
      </w:r>
      <w:proofErr w:type="spellEnd"/>
      <w:r>
        <w:rPr>
          <w:highlight w:val="white"/>
        </w:rPr>
        <w:t xml:space="preserve"> sequences was 816 base pairs long, while those of </w:t>
      </w:r>
      <w:r>
        <w:rPr>
          <w:i/>
          <w:highlight w:val="white"/>
        </w:rPr>
        <w:t xml:space="preserve">M. </w:t>
      </w:r>
      <w:proofErr w:type="spellStart"/>
      <w:r>
        <w:rPr>
          <w:i/>
          <w:highlight w:val="white"/>
        </w:rPr>
        <w:t>dendrospermum</w:t>
      </w:r>
      <w:proofErr w:type="spellEnd"/>
      <w:r>
        <w:rPr>
          <w:i/>
          <w:highlight w:val="white"/>
        </w:rPr>
        <w:t xml:space="preserve"> </w:t>
      </w:r>
      <w:r>
        <w:rPr>
          <w:highlight w:val="white"/>
        </w:rPr>
        <w:t xml:space="preserve">ranged from 599 to 851 base pairs. The COI-5P of </w:t>
      </w:r>
      <w:r>
        <w:rPr>
          <w:i/>
          <w:highlight w:val="white"/>
        </w:rPr>
        <w:t xml:space="preserve">M. </w:t>
      </w:r>
      <w:proofErr w:type="spellStart"/>
      <w:r>
        <w:rPr>
          <w:i/>
          <w:highlight w:val="white"/>
        </w:rPr>
        <w:t>dendrospermum</w:t>
      </w:r>
      <w:proofErr w:type="spellEnd"/>
      <w:r>
        <w:rPr>
          <w:i/>
          <w:highlight w:val="white"/>
        </w:rPr>
        <w:t xml:space="preserve"> </w:t>
      </w:r>
      <w:r>
        <w:rPr>
          <w:highlight w:val="white"/>
        </w:rPr>
        <w:t xml:space="preserve">alignment resulted in 608 bp. </w:t>
      </w:r>
      <w:r>
        <w:t xml:space="preserve">Neighbor-Joining (NJ) distance analyses were performed on all data sets using Maximum Composite Likelihood model in MEGA software, with nodal support assessed by 1,000 bootstrap (BR) </w:t>
      </w:r>
      <w:proofErr w:type="spellStart"/>
      <w:r>
        <w:t>resamplings</w:t>
      </w:r>
      <w:proofErr w:type="spellEnd"/>
      <w:r>
        <w:t xml:space="preserve">. Phylogenetic relationships were inferred using Maximum likelihood (ML) analyses in MEGA software, under a generalized time-reversible with </w:t>
      </w:r>
      <w:proofErr w:type="spellStart"/>
      <w:r>
        <w:t>gamma+invariant</w:t>
      </w:r>
      <w:proofErr w:type="spellEnd"/>
      <w:r>
        <w:t xml:space="preserve"> sites heterogeneity model (GTR+G+I), and a generalized time-reversible gamma distributed (GTR+G) alignments, for the COI-5P and </w:t>
      </w:r>
      <w:proofErr w:type="spellStart"/>
      <w:r w:rsidRPr="00F13FFE">
        <w:rPr>
          <w:i/>
          <w:iCs/>
        </w:rPr>
        <w:t>psbA</w:t>
      </w:r>
      <w:proofErr w:type="spellEnd"/>
      <w:r>
        <w:t xml:space="preserve"> alignments, respectively. The bootstrap consisted of 1000 replicates with complete deletion option, i.e. eliminating positions containing gaps and missing data (Saitou &amp; </w:t>
      </w:r>
      <w:proofErr w:type="spellStart"/>
      <w:r>
        <w:t>Nei</w:t>
      </w:r>
      <w:proofErr w:type="spellEnd"/>
      <w:r>
        <w:t xml:space="preserve">, 1987; </w:t>
      </w:r>
      <w:proofErr w:type="spellStart"/>
      <w:r>
        <w:t>Nei</w:t>
      </w:r>
      <w:proofErr w:type="spellEnd"/>
      <w:r>
        <w:t xml:space="preserve"> &amp; Kumar, 2000; </w:t>
      </w:r>
      <w:proofErr w:type="spellStart"/>
      <w:r>
        <w:t>Pezzolesi</w:t>
      </w:r>
      <w:proofErr w:type="spellEnd"/>
      <w:r>
        <w:t xml:space="preserve"> et al., 2019; </w:t>
      </w:r>
      <w:proofErr w:type="spellStart"/>
      <w:r>
        <w:t>Manea</w:t>
      </w:r>
      <w:proofErr w:type="spellEnd"/>
      <w:r>
        <w:t xml:space="preserve"> et al., 2025).</w:t>
      </w:r>
    </w:p>
    <w:p w14:paraId="13252153" w14:textId="77777777" w:rsidR="00714B50" w:rsidRDefault="00714B50">
      <w:pPr>
        <w:spacing w:after="0" w:line="480" w:lineRule="auto"/>
        <w:rPr>
          <w:b/>
        </w:rPr>
      </w:pPr>
    </w:p>
    <w:p w14:paraId="127C170A" w14:textId="7B619C94" w:rsidR="00714B50" w:rsidRDefault="0030138C">
      <w:pPr>
        <w:spacing w:after="0" w:line="480" w:lineRule="auto"/>
      </w:pPr>
      <w:r>
        <w:rPr>
          <w:b/>
        </w:rPr>
        <w:t xml:space="preserve">Bacteria DNA </w:t>
      </w:r>
      <w:r w:rsidR="00DC5823">
        <w:rPr>
          <w:b/>
        </w:rPr>
        <w:t xml:space="preserve">amplification </w:t>
      </w:r>
      <w:r>
        <w:rPr>
          <w:b/>
        </w:rPr>
        <w:t xml:space="preserve">and sequencing from </w:t>
      </w:r>
      <w:r>
        <w:rPr>
          <w:b/>
          <w:i/>
        </w:rPr>
        <w:t xml:space="preserve">E. </w:t>
      </w:r>
      <w:proofErr w:type="spellStart"/>
      <w:r>
        <w:rPr>
          <w:b/>
          <w:i/>
        </w:rPr>
        <w:t>singularis</w:t>
      </w:r>
      <w:proofErr w:type="spellEnd"/>
      <w:r>
        <w:rPr>
          <w:b/>
        </w:rPr>
        <w:t xml:space="preserve"> larvae and settlers</w:t>
      </w:r>
    </w:p>
    <w:p w14:paraId="3D8CA2B7" w14:textId="62E70672" w:rsidR="00714B50" w:rsidRDefault="0030138C">
      <w:pPr>
        <w:spacing w:before="0" w:after="0" w:line="480" w:lineRule="auto"/>
      </w:pPr>
      <w:r>
        <w:t xml:space="preserve">Bacteria DNA amplification from single larvae and settlers was carried out using a direct PCR approach as described in </w:t>
      </w:r>
      <w:proofErr w:type="spellStart"/>
      <w:r w:rsidRPr="00F60377">
        <w:t>Tignat</w:t>
      </w:r>
      <w:proofErr w:type="spellEnd"/>
      <w:r w:rsidRPr="00F60377">
        <w:t>-Perrier et al. (</w:t>
      </w:r>
      <w:r w:rsidR="00E81ECF">
        <w:t>2025</w:t>
      </w:r>
      <w:r w:rsidRPr="00F60377">
        <w:t>)</w:t>
      </w:r>
      <w:r>
        <w:t xml:space="preserve"> to avoid losing the small quantity of bacteria DNA associated with the samples. Samples were incubated for 20 min at 65 °C in extraction buffer (qPCR </w:t>
      </w:r>
      <w:proofErr w:type="spellStart"/>
      <w:r>
        <w:t>ProbesMaster</w:t>
      </w:r>
      <w:proofErr w:type="spellEnd"/>
      <w:r>
        <w:t xml:space="preserve"> kit, Jena Bioscience) supplemented with 0.1 µL of Proteinase K solution (600 U/mL; Qiagen) for cell lysis and DNA release. The V3-V4 region of the 16S rRNA gene was then amplified in three replicates per sample using the direct qPCR </w:t>
      </w:r>
      <w:proofErr w:type="spellStart"/>
      <w:r>
        <w:t>ProbesMaster</w:t>
      </w:r>
      <w:proofErr w:type="spellEnd"/>
      <w:r>
        <w:t xml:space="preserve"> kit (Jena Bioscience)</w:t>
      </w:r>
      <w:r w:rsidR="00D47B1D">
        <w:t xml:space="preserve"> </w:t>
      </w:r>
      <w:bookmarkStart w:id="3" w:name="_Hlk190259514"/>
      <w:r w:rsidR="00D47B1D" w:rsidRPr="00D47B1D">
        <w:t xml:space="preserve">and the forward and reverse primers 341F 5′-CCTACGGGNGGCWGCAG-3′ and 785R 5′-GACTACHVGGGTATCTAATCC-3′, respectively </w:t>
      </w:r>
      <w:r w:rsidR="00D47B1D" w:rsidRPr="00D47B1D">
        <w:fldChar w:fldCharType="begin"/>
      </w:r>
      <w:r w:rsidR="00D47B1D" w:rsidRPr="00D47B1D">
        <w:instrText xml:space="preserve"> ADDIN EN.CITE &lt;EndNote&gt;&lt;Cite&gt;&lt;Author&gt;Klindworth&lt;/Author&gt;&lt;Year&gt;2013&lt;/Year&gt;&lt;RecNum&gt;112&lt;/RecNum&gt;&lt;DisplayText&gt;(48)&lt;/DisplayText&gt;&lt;record&gt;&lt;rec-number&gt;112&lt;/rec-number&gt;&lt;foreign-keys&gt;&lt;key app="EN" db-id="wwwr5wf9ep0fzpeda0b5fersaptddvafz9av" timestamp="0"&gt;112&lt;/key&gt;&lt;/foreign-keys&gt;&lt;ref-type name="Journal Article"&gt;17&lt;/ref-type&gt;&lt;contributors&gt;&lt;authors&gt;&lt;author&gt;Klindworth, A.&lt;/author&gt;&lt;author&gt;Pruesse, E.&lt;/author&gt;&lt;author&gt;Schweer, T.&lt;/author&gt;&lt;author&gt;Peplies, J.&lt;/author&gt;&lt;author&gt;Quast, C.&lt;/author&gt;&lt;author&gt;Horn, M.&lt;/author&gt;&lt;author&gt;Glöckner, F. O.&lt;/author&gt;&lt;/authors&gt;&lt;/contributors&gt;&lt;auth-address&gt;Max Planck Institute for Marine Microbiology, Microbial Genomics and Bioinformatics Research Group, Celsiusstr 1, 28359 Bremen, Germany.&lt;/auth-address&gt;&lt;titles&gt;&lt;title&gt;Evaluation of general 16S ribosomal RNA gene PCR primers for classical and next-generation sequencing-based diversity studies&lt;/title&gt;&lt;secondary-title&gt;Nucleic Acids Res&lt;/secondary-title&gt;&lt;alt-title&gt;Nucleic acids research&lt;/alt-title&gt;&lt;/titles&gt;&lt;pages&gt;e1&lt;/pages&gt;&lt;volume&gt;41&lt;/volume&gt;&lt;number&gt;1&lt;/number&gt;&lt;edition&gt;2012/08/31&lt;/edition&gt;&lt;keywords&gt;&lt;keyword&gt;Archaea/*genetics&lt;/keyword&gt;&lt;keyword&gt;Bacteria/*genetics&lt;/keyword&gt;&lt;keyword&gt;Biodiversity&lt;/keyword&gt;&lt;keyword&gt;Computer Simulation&lt;/keyword&gt;&lt;keyword&gt;*DNA Primers&lt;/keyword&gt;&lt;keyword&gt;Genes, rRNA&lt;/keyword&gt;&lt;keyword&gt;Genetic Variation&lt;/keyword&gt;&lt;keyword&gt;*High-Throughput Nucleotide Sequencing&lt;/keyword&gt;&lt;keyword&gt;Metagenome&lt;/keyword&gt;&lt;keyword&gt;*Polymerase Chain Reaction&lt;/keyword&gt;&lt;keyword&gt;RNA, Ribosomal, 16S/*genetics&lt;/keyword&gt;&lt;keyword&gt;*Sequence Analysis, DNA&lt;/keyword&gt;&lt;/keywords&gt;&lt;dates&gt;&lt;year&gt;2013&lt;/year&gt;&lt;pub-dates&gt;&lt;date&gt;Jan 7&lt;/date&gt;&lt;/pub-dates&gt;&lt;/dates&gt;&lt;isbn&gt;0305-1048 (Print)&amp;#xD;0305-1048&lt;/isbn&gt;&lt;accession-num&gt;22933715&lt;/accession-num&gt;&lt;urls&gt;&lt;/urls&gt;&lt;custom2&gt;PMC3592464&lt;/custom2&gt;&lt;electronic-resource-num&gt;10.1093/nar/gks808&lt;/electronic-resource-num&gt;&lt;remote-database-provider&gt;NLM&lt;/remote-database-provider&gt;&lt;language&gt;eng&lt;/language&gt;&lt;/record&gt;&lt;/Cite&gt;&lt;/EndNote&gt;</w:instrText>
      </w:r>
      <w:r w:rsidR="00D47B1D" w:rsidRPr="00D47B1D">
        <w:fldChar w:fldCharType="separate"/>
      </w:r>
      <w:r w:rsidR="00D47B1D" w:rsidRPr="00D47B1D">
        <w:t>(</w:t>
      </w:r>
      <w:r w:rsidR="00F60377">
        <w:t>Klindworth et al., 2013</w:t>
      </w:r>
      <w:r w:rsidR="00D47B1D" w:rsidRPr="00D47B1D">
        <w:t>)</w:t>
      </w:r>
      <w:r w:rsidR="00D47B1D" w:rsidRPr="00D47B1D">
        <w:fldChar w:fldCharType="end"/>
      </w:r>
      <w:r w:rsidR="00D47B1D" w:rsidRPr="00D47B1D">
        <w:t>.</w:t>
      </w:r>
      <w:bookmarkEnd w:id="3"/>
      <w:r>
        <w:t xml:space="preserve"> The reaction mixture contained 25 µL of direct qPCR </w:t>
      </w:r>
      <w:proofErr w:type="spellStart"/>
      <w:r>
        <w:t>ProbesMaster</w:t>
      </w:r>
      <w:proofErr w:type="spellEnd"/>
      <w:r>
        <w:t xml:space="preserve"> mix, 0.75 µL of each primer (10 µM), 1 µL of sample (in extraction buffer) and </w:t>
      </w:r>
      <w:proofErr w:type="spellStart"/>
      <w:r>
        <w:t>RNAse</w:t>
      </w:r>
      <w:proofErr w:type="spellEnd"/>
      <w:r>
        <w:t xml:space="preserve">-free water to complete the final 50 µL volume. The PCR 3-steps program consisted of an initial step at 95 °C for 5 min for enzyme activation, 40 cycles of 15 sec at 95 °C, 30 sec at 55 °C and 30 sec at 60 °C for denaturation, hybridization and elongation, respectively, then a final step at 60 °C for 10 min. Negative controls (i.e., PCR without sample material) were processed at the same time as the samples. The three PCR reactions per sample were pooled and amplicons were purified using </w:t>
      </w:r>
      <w:proofErr w:type="spellStart"/>
      <w:r>
        <w:t>AMPure</w:t>
      </w:r>
      <w:proofErr w:type="spellEnd"/>
      <w:r>
        <w:t xml:space="preserve"> XP beads (Beckman Coulter). Amplification was checked using the Bioanalyzer DNA 1000 kit (Agilent), and samples showing amplification were sent for library preparation and sequencing following Illumina’s standard “16S Metagenomic Sequencing Library Preparation” protocol (Illumina, 2013).</w:t>
      </w:r>
    </w:p>
    <w:p w14:paraId="574B1647" w14:textId="77777777" w:rsidR="00714B50" w:rsidRDefault="00714B50">
      <w:pPr>
        <w:spacing w:before="0" w:after="0" w:line="480" w:lineRule="auto"/>
      </w:pPr>
    </w:p>
    <w:p w14:paraId="76A28CCA" w14:textId="77777777" w:rsidR="00714B50" w:rsidRDefault="0030138C">
      <w:pPr>
        <w:spacing w:after="0" w:line="480" w:lineRule="auto"/>
        <w:rPr>
          <w:i/>
        </w:rPr>
      </w:pPr>
      <w:r>
        <w:rPr>
          <w:b/>
        </w:rPr>
        <w:t>CCA metabolite sampling, extraction and composition</w:t>
      </w:r>
    </w:p>
    <w:p w14:paraId="550009E8" w14:textId="51254013" w:rsidR="00714B50" w:rsidRDefault="0030138C">
      <w:pPr>
        <w:spacing w:before="0" w:after="0" w:line="480" w:lineRule="auto"/>
        <w:ind w:firstLine="720"/>
      </w:pPr>
      <w:r>
        <w:t xml:space="preserve">Samples for CCAs’ </w:t>
      </w:r>
      <w:proofErr w:type="spellStart"/>
      <w:r>
        <w:t>exo</w:t>
      </w:r>
      <w:proofErr w:type="spellEnd"/>
      <w:r>
        <w:t xml:space="preserve">-metabolite characterization were collected in aquarium after T2 treatment (i.e., warming and acidification followed by heatwave). Additional six samples (three for each CCA species) were collected in situ and used as controls for comparison. In both cases, a volume of 200 </w:t>
      </w:r>
      <w:proofErr w:type="spellStart"/>
      <w:r>
        <w:t>μ</w:t>
      </w:r>
      <w:r w:rsidR="00F13FFE">
        <w:t>L</w:t>
      </w:r>
      <w:proofErr w:type="spellEnd"/>
      <w:r>
        <w:t xml:space="preserve"> of seawater was collected by using sterile syringes on the surface of each CCA thallus, for a total of 12 samples (six in situ samples, hereafter referred as “in situ”, and six samples in T2 treatment aquarium). The samples were immediately filtered through a sterilized 0.2 </w:t>
      </w:r>
      <w:proofErr w:type="spellStart"/>
      <w:r>
        <w:t>μm</w:t>
      </w:r>
      <w:proofErr w:type="spellEnd"/>
      <w:r>
        <w:t xml:space="preserve"> filter (</w:t>
      </w:r>
      <w:proofErr w:type="spellStart"/>
      <w:r>
        <w:t>Minisart</w:t>
      </w:r>
      <w:proofErr w:type="spellEnd"/>
      <w:r>
        <w:t xml:space="preserve"> Syringe Filter, diameter 47 mm, Sartorius) and frozen at -80°C until metabolites extraction.</w:t>
      </w:r>
    </w:p>
    <w:p w14:paraId="52701073" w14:textId="3041BA90" w:rsidR="00F13FFE" w:rsidRDefault="0030138C" w:rsidP="00F13FFE">
      <w:pPr>
        <w:spacing w:before="0" w:after="0" w:line="480" w:lineRule="auto"/>
      </w:pPr>
      <w:r>
        <w:t xml:space="preserve">Samples were subjected to a solid-phase extraction (SPE) using Strata-X 33 µm Polymeric Reversed Phase columns (Phenomenex SAS, US) following a protocol adapted from Dittmar et al. (2008). </w:t>
      </w:r>
      <w:r w:rsidR="0019211C">
        <w:t>S</w:t>
      </w:r>
      <w:r w:rsidR="00F13FFE">
        <w:t xml:space="preserve">pecifically, </w:t>
      </w:r>
      <w:bookmarkStart w:id="4" w:name="_Hlk210234755"/>
      <w:r w:rsidR="00F13FFE">
        <w:t>s</w:t>
      </w:r>
      <w:r>
        <w:t>amples were acidified to pH 2 using 10% HCl</w:t>
      </w:r>
      <w:r w:rsidR="009C17CE">
        <w:t xml:space="preserve"> </w:t>
      </w:r>
      <w:r w:rsidR="009C17CE" w:rsidRPr="00A60D45">
        <w:rPr>
          <w:color w:val="000000" w:themeColor="text1"/>
        </w:rPr>
        <w:t xml:space="preserve">(made with HPLC-water from HCl </w:t>
      </w:r>
      <w:proofErr w:type="spellStart"/>
      <w:r w:rsidR="009C17CE" w:rsidRPr="00A60D45">
        <w:rPr>
          <w:color w:val="000000" w:themeColor="text1"/>
        </w:rPr>
        <w:t>puriss</w:t>
      </w:r>
      <w:proofErr w:type="spellEnd"/>
      <w:r w:rsidR="009C17CE" w:rsidRPr="00A60D45">
        <w:rPr>
          <w:color w:val="000000" w:themeColor="text1"/>
        </w:rPr>
        <w:t xml:space="preserve">. 32%, </w:t>
      </w:r>
      <w:proofErr w:type="spellStart"/>
      <w:r w:rsidR="009C17CE" w:rsidRPr="00A60D45">
        <w:rPr>
          <w:color w:val="000000" w:themeColor="text1"/>
        </w:rPr>
        <w:t>Fluka</w:t>
      </w:r>
      <w:proofErr w:type="spellEnd"/>
      <w:r w:rsidR="009C17CE" w:rsidRPr="00A60D45">
        <w:rPr>
          <w:color w:val="000000" w:themeColor="text1"/>
        </w:rPr>
        <w:t>, Sigma)</w:t>
      </w:r>
      <w:r>
        <w:t xml:space="preserve">, and metabolites were adsorbed onto the SPE cartridges using </w:t>
      </w:r>
      <w:r w:rsidRPr="008D19D6">
        <w:t>gravity flow</w:t>
      </w:r>
      <w:r w:rsidR="009C17CE" w:rsidRPr="008D19D6">
        <w:t xml:space="preserve"> not exceeding a flow rate of 1 mL min</w:t>
      </w:r>
      <w:r w:rsidR="009C17CE" w:rsidRPr="008D19D6">
        <w:rPr>
          <w:vertAlign w:val="superscript"/>
        </w:rPr>
        <w:t>-1</w:t>
      </w:r>
      <w:r w:rsidRPr="008D19D6">
        <w:t xml:space="preserve">. SPE cartridges were then dried for 20 min before being eluted with </w:t>
      </w:r>
      <w:r w:rsidR="00A0259D" w:rsidRPr="008D19D6">
        <w:t>80</w:t>
      </w:r>
      <w:r w:rsidRPr="008D19D6">
        <w:t>% HPLC-grade methanol</w:t>
      </w:r>
      <w:r w:rsidR="00F13FFE">
        <w:t xml:space="preserve"> and </w:t>
      </w:r>
      <w:r w:rsidRPr="008D19D6">
        <w:t xml:space="preserve">then dried using a rotary evaporator. </w:t>
      </w:r>
      <w:bookmarkEnd w:id="4"/>
      <w:r w:rsidR="00F13FFE" w:rsidRPr="008D19D6">
        <w:t xml:space="preserve">The dried extracts were reconstituted in 200 ul 3:1 methanol/Milli-Q water with 0.4 nmol of </w:t>
      </w:r>
      <w:r w:rsidR="00F13FFE" w:rsidRPr="00CE7E0B">
        <w:rPr>
          <w:vertAlign w:val="superscript"/>
        </w:rPr>
        <w:t>13</w:t>
      </w:r>
      <w:r w:rsidR="00F13FFE" w:rsidRPr="008D19D6">
        <w:t>C</w:t>
      </w:r>
      <w:r w:rsidR="00F13FFE" w:rsidRPr="00CE7E0B">
        <w:rPr>
          <w:vertAlign w:val="subscript"/>
        </w:rPr>
        <w:t>5</w:t>
      </w:r>
      <w:r w:rsidR="00F13FFE" w:rsidRPr="00CE7E0B">
        <w:rPr>
          <w:vertAlign w:val="superscript"/>
        </w:rPr>
        <w:t>15</w:t>
      </w:r>
      <w:r w:rsidR="00F13FFE" w:rsidRPr="008D19D6">
        <w:t xml:space="preserve">N valine and </w:t>
      </w:r>
      <w:r w:rsidR="00F13FFE" w:rsidRPr="00CE7E0B">
        <w:rPr>
          <w:vertAlign w:val="superscript"/>
        </w:rPr>
        <w:t>13</w:t>
      </w:r>
      <w:r w:rsidR="00F13FFE" w:rsidRPr="008D19D6">
        <w:t>C</w:t>
      </w:r>
      <w:r w:rsidR="00F13FFE" w:rsidRPr="00CE7E0B">
        <w:rPr>
          <w:vertAlign w:val="subscript"/>
        </w:rPr>
        <w:t>6</w:t>
      </w:r>
      <w:r w:rsidR="00F13FFE" w:rsidRPr="008D19D6">
        <w:t xml:space="preserve"> sorbitol. The samples were sonicated for 20 min at 4°C, then centrifuged </w:t>
      </w:r>
      <w:r w:rsidR="00F13FFE" w:rsidRPr="00CE7E0B">
        <w:t xml:space="preserve">at 4°C for 20 min at 16000 </w:t>
      </w:r>
      <w:r w:rsidR="00F13FFE" w:rsidRPr="00CE7E0B">
        <w:rPr>
          <w:i/>
        </w:rPr>
        <w:t>g</w:t>
      </w:r>
      <w:r w:rsidR="00F13FFE" w:rsidRPr="00CE7E0B">
        <w:t xml:space="preserve"> using an Eppendorf centrifuge 5430 R. </w:t>
      </w:r>
      <w:r w:rsidR="00F13FFE" w:rsidRPr="008D19D6">
        <w:t>Seventy-five</w:t>
      </w:r>
      <w:r w:rsidR="00F13FFE" w:rsidRPr="00CE7E0B">
        <w:t xml:space="preserve"> </w:t>
      </w:r>
      <w:proofErr w:type="spellStart"/>
      <w:r w:rsidR="00F13FFE" w:rsidRPr="008D19D6">
        <w:t>μL</w:t>
      </w:r>
      <w:proofErr w:type="spellEnd"/>
      <w:r w:rsidR="00F13FFE" w:rsidRPr="008D19D6">
        <w:t xml:space="preserve"> of the supernatant was</w:t>
      </w:r>
      <w:r w:rsidR="00F13FFE">
        <w:t xml:space="preserve"> dried for the GC-MS analysis.</w:t>
      </w:r>
    </w:p>
    <w:p w14:paraId="7D88F21A" w14:textId="2A599437" w:rsidR="00714B50" w:rsidRDefault="0030138C">
      <w:pPr>
        <w:spacing w:before="0" w:after="0" w:line="480" w:lineRule="auto"/>
        <w:ind w:firstLine="709"/>
      </w:pPr>
      <w:r>
        <w:t xml:space="preserve">Dried samples for targeted analysis were prepared by adding 25 </w:t>
      </w:r>
      <w:proofErr w:type="spellStart"/>
      <w:r>
        <w:t>μ</w:t>
      </w:r>
      <w:r w:rsidR="00F13FFE">
        <w:t>L</w:t>
      </w:r>
      <w:proofErr w:type="spellEnd"/>
      <w:r>
        <w:t xml:space="preserve"> of </w:t>
      </w:r>
      <w:proofErr w:type="spellStart"/>
      <w:r>
        <w:t>methoxyamine</w:t>
      </w:r>
      <w:proofErr w:type="spellEnd"/>
      <w:r>
        <w:t xml:space="preserve"> hydrochloride (30 mg ml</w:t>
      </w:r>
      <w:sdt>
        <w:sdtPr>
          <w:tag w:val="goog_rdk_4"/>
          <w:id w:val="381832713"/>
        </w:sdtPr>
        <w:sdtEndPr/>
        <w:sdtContent>
          <w:r>
            <w:rPr>
              <w:rFonts w:ascii="Gungsuh" w:eastAsia="Gungsuh" w:hAnsi="Gungsuh" w:cs="Gungsuh"/>
              <w:vertAlign w:val="superscript"/>
            </w:rPr>
            <w:t>−1</w:t>
          </w:r>
        </w:sdtContent>
      </w:sdt>
      <w:r>
        <w:t xml:space="preserve"> in pyridine) followed by shaking at 37 °C for 2 h. Samples were then derivatized with 25 </w:t>
      </w:r>
      <w:proofErr w:type="spellStart"/>
      <w:r>
        <w:t>μ</w:t>
      </w:r>
      <w:r w:rsidR="00F13FFE">
        <w:t>L</w:t>
      </w:r>
      <w:proofErr w:type="spellEnd"/>
      <w:r>
        <w:t xml:space="preserve"> of N,O-bis (trimethylsilyl)trifluoroacetamide with trimethylchlorosilane (BSTFA with 1% TMCS, Thermo Scientific) for 1 h at 37 °C. Samples were left for 1 h before 1 </w:t>
      </w:r>
      <w:proofErr w:type="spellStart"/>
      <w:r>
        <w:t>μ</w:t>
      </w:r>
      <w:r w:rsidR="00C82916">
        <w:t>L</w:t>
      </w:r>
      <w:proofErr w:type="spellEnd"/>
      <w:r>
        <w:t xml:space="preserve"> was injected onto the gas chromatography column using a hot needle technique. </w:t>
      </w:r>
    </w:p>
    <w:p w14:paraId="09BCD412" w14:textId="3BA49F60" w:rsidR="00714B50" w:rsidRDefault="0030138C">
      <w:pPr>
        <w:spacing w:before="0" w:after="0" w:line="480" w:lineRule="auto"/>
        <w:ind w:firstLine="709"/>
      </w:pPr>
      <w:r>
        <w:t>The GC–MS system used was composed of an AOC6000 autosampler, a 2030 Shimadzu gas chromatograph and a TQ8050 quadrupole mass spectrometer (Shimadzu). The mass spectrometer was tuned according to the manufacturer’s recommendations using tris-(</w:t>
      </w:r>
      <w:proofErr w:type="spellStart"/>
      <w:r>
        <w:t>perfluorobutyl</w:t>
      </w:r>
      <w:proofErr w:type="spellEnd"/>
      <w:r>
        <w:t xml:space="preserve">)-amine (CF43). GC–MS was performed on a 30 m Agilent DB-5 column with 1 </w:t>
      </w:r>
      <w:proofErr w:type="spellStart"/>
      <w:r>
        <w:t>μm</w:t>
      </w:r>
      <w:proofErr w:type="spellEnd"/>
      <w:r>
        <w:t xml:space="preserve"> film thickness and 0.25 mm internal diameter column. The injection temperature (inlet) was set at 280 °C, the MS transfer line at 280 °C and the ion source adjusted to 200 °C. Helium was used as the carrier gas at a flow rate of 1 m</w:t>
      </w:r>
      <w:r w:rsidR="00C82916">
        <w:t>L</w:t>
      </w:r>
      <w:r>
        <w:t xml:space="preserve"> min</w:t>
      </w:r>
      <w:sdt>
        <w:sdtPr>
          <w:tag w:val="goog_rdk_5"/>
          <w:id w:val="183797510"/>
        </w:sdtPr>
        <w:sdtEndPr/>
        <w:sdtContent>
          <w:r>
            <w:rPr>
              <w:rFonts w:ascii="Gungsuh" w:eastAsia="Gungsuh" w:hAnsi="Gungsuh" w:cs="Gungsuh"/>
              <w:vertAlign w:val="superscript"/>
            </w:rPr>
            <w:t>−1</w:t>
          </w:r>
        </w:sdtContent>
      </w:sdt>
      <w:r>
        <w:t>, and argon gas was used as the collision cell gas to generate the multiple reaction monitoring (MRM) product ion. Sample analysis was performed under the following temperature program; start at injection 100 °C, a hold for 4 min, followed by a 10 °C min</w:t>
      </w:r>
      <w:sdt>
        <w:sdtPr>
          <w:tag w:val="goog_rdk_6"/>
          <w:id w:val="1202048362"/>
        </w:sdtPr>
        <w:sdtEndPr/>
        <w:sdtContent>
          <w:r>
            <w:rPr>
              <w:rFonts w:ascii="Gungsuh" w:eastAsia="Gungsuh" w:hAnsi="Gungsuh" w:cs="Gungsuh"/>
              <w:vertAlign w:val="superscript"/>
            </w:rPr>
            <w:t>−1</w:t>
          </w:r>
        </w:sdtContent>
      </w:sdt>
      <w:r>
        <w:t xml:space="preserve"> oven temperature ramp to 320 °C following final hold-off for 11 min. Approximately 520 quantifying MRM targets were collected using Shimadzu Smart Database along with a qualifier for each target that covers about 350 endogenous metabolites and multiple </w:t>
      </w:r>
      <w:r>
        <w:rPr>
          <w:vertAlign w:val="superscript"/>
        </w:rPr>
        <w:t>13</w:t>
      </w:r>
      <w:r>
        <w:t>C-labelled internal standards. Both chromatograms and MRMs were evaluated using the Shimadzu GCMS LabSolutions Insight software</w:t>
      </w:r>
      <w:r w:rsidR="00C82916">
        <w:t xml:space="preserve"> (version 3.6)</w:t>
      </w:r>
      <w:r>
        <w:t xml:space="preserve">. Resulting area responses were normalized to the internal standard </w:t>
      </w:r>
      <w:r>
        <w:rPr>
          <w:vertAlign w:val="superscript"/>
        </w:rPr>
        <w:t>13</w:t>
      </w:r>
      <w:r>
        <w:t>C</w:t>
      </w:r>
      <w:r>
        <w:rPr>
          <w:vertAlign w:val="subscript"/>
        </w:rPr>
        <w:t>6</w:t>
      </w:r>
      <w:r>
        <w:t>-sorbitol area response.</w:t>
      </w:r>
    </w:p>
    <w:p w14:paraId="2C207D7F" w14:textId="77777777" w:rsidR="00714B50" w:rsidRDefault="00714B50">
      <w:pPr>
        <w:spacing w:after="0" w:line="480" w:lineRule="auto"/>
      </w:pPr>
    </w:p>
    <w:p w14:paraId="757B4B7F" w14:textId="77777777" w:rsidR="00714B50" w:rsidRDefault="0030138C">
      <w:pPr>
        <w:spacing w:after="0" w:line="480" w:lineRule="auto"/>
      </w:pPr>
      <w:r>
        <w:rPr>
          <w:b/>
          <w:sz w:val="26"/>
          <w:szCs w:val="26"/>
        </w:rPr>
        <w:t>Data analysis and statistics</w:t>
      </w:r>
      <w:r>
        <w:rPr>
          <w:b/>
        </w:rPr>
        <w:t xml:space="preserve"> linked to the larvae settlement experiment</w:t>
      </w:r>
    </w:p>
    <w:p w14:paraId="160C4997" w14:textId="77777777" w:rsidR="00714B50" w:rsidRDefault="0030138C">
      <w:pPr>
        <w:spacing w:after="0" w:line="480" w:lineRule="auto"/>
        <w:rPr>
          <w:b/>
        </w:rPr>
      </w:pPr>
      <w:r>
        <w:rPr>
          <w:b/>
        </w:rPr>
        <w:t>Effect of substrate and treatment on larval settlement</w:t>
      </w:r>
    </w:p>
    <w:p w14:paraId="706FE278" w14:textId="77777777" w:rsidR="00714B50" w:rsidRDefault="0030138C">
      <w:pPr>
        <w:spacing w:after="0" w:line="480" w:lineRule="auto"/>
      </w:pPr>
      <w:r>
        <w:t xml:space="preserve">To assess the effects of substrate type and experimental treatments on </w:t>
      </w:r>
      <w:proofErr w:type="spellStart"/>
      <w:r>
        <w:rPr>
          <w:i/>
        </w:rPr>
        <w:t>Eunicella</w:t>
      </w:r>
      <w:proofErr w:type="spellEnd"/>
      <w:r>
        <w:rPr>
          <w:i/>
        </w:rPr>
        <w:t xml:space="preserve"> </w:t>
      </w:r>
      <w:proofErr w:type="spellStart"/>
      <w:r>
        <w:rPr>
          <w:i/>
        </w:rPr>
        <w:t>singularis</w:t>
      </w:r>
      <w:proofErr w:type="spellEnd"/>
      <w:r>
        <w:t xml:space="preserve"> larval settlement, we performed two separate statistical analyses. This approach was necessary due to differences in substrate characteristics and the applicability of the pre-conditioning treatments.</w:t>
      </w:r>
    </w:p>
    <w:p w14:paraId="0F5013C7" w14:textId="77777777" w:rsidR="00714B50" w:rsidRDefault="0030138C">
      <w:pPr>
        <w:spacing w:after="0" w:line="480" w:lineRule="auto"/>
        <w:rPr>
          <w:b/>
          <w:i/>
        </w:rPr>
      </w:pPr>
      <w:r>
        <w:rPr>
          <w:b/>
          <w:i/>
        </w:rPr>
        <w:t xml:space="preserve">Effect of Substrate Type </w:t>
      </w:r>
    </w:p>
    <w:p w14:paraId="0E136847" w14:textId="77777777" w:rsidR="00714B50" w:rsidRDefault="0030138C">
      <w:pPr>
        <w:spacing w:after="0" w:line="480" w:lineRule="auto"/>
      </w:pPr>
      <w:r>
        <w:t>We first tested the effect of substrate type on larval settlement using a one-way ANOVA. The experimental design included three substrate types: bare rock, and two species of crustose coralline algae (</w:t>
      </w:r>
      <w:proofErr w:type="spellStart"/>
      <w:r>
        <w:rPr>
          <w:i/>
        </w:rPr>
        <w:t>Lithophyllum</w:t>
      </w:r>
      <w:proofErr w:type="spellEnd"/>
      <w:r>
        <w:rPr>
          <w:i/>
        </w:rPr>
        <w:t xml:space="preserve"> </w:t>
      </w:r>
      <w:proofErr w:type="spellStart"/>
      <w:r>
        <w:rPr>
          <w:i/>
        </w:rPr>
        <w:t>stictiforme</w:t>
      </w:r>
      <w:proofErr w:type="spellEnd"/>
      <w:r>
        <w:t xml:space="preserve"> and </w:t>
      </w:r>
      <w:proofErr w:type="spellStart"/>
      <w:r>
        <w:rPr>
          <w:i/>
        </w:rPr>
        <w:t>Macroblastum</w:t>
      </w:r>
      <w:proofErr w:type="spellEnd"/>
      <w:r>
        <w:rPr>
          <w:i/>
        </w:rPr>
        <w:t xml:space="preserve"> </w:t>
      </w:r>
      <w:proofErr w:type="spellStart"/>
      <w:r>
        <w:rPr>
          <w:i/>
        </w:rPr>
        <w:t>dendrospermum</w:t>
      </w:r>
      <w:proofErr w:type="spellEnd"/>
      <w:r>
        <w:t xml:space="preserve">). Settlement was measured as the total number of settlement events recorded over a 59-day experimental period during which settlement was recorded daily in three replicate aquaria for each substrate type. </w:t>
      </w:r>
    </w:p>
    <w:p w14:paraId="19941B00" w14:textId="77777777" w:rsidR="00714B50" w:rsidRDefault="0030138C">
      <w:pPr>
        <w:spacing w:after="0" w:line="480" w:lineRule="auto"/>
        <w:rPr>
          <w:b/>
          <w:i/>
        </w:rPr>
      </w:pPr>
      <w:r>
        <w:rPr>
          <w:b/>
          <w:i/>
        </w:rPr>
        <w:t xml:space="preserve">Effect of Experimental Treatments </w:t>
      </w:r>
    </w:p>
    <w:p w14:paraId="61DC931C" w14:textId="77777777" w:rsidR="00714B50" w:rsidRDefault="0030138C">
      <w:pPr>
        <w:spacing w:after="0" w:line="480" w:lineRule="auto"/>
      </w:pPr>
      <w:r>
        <w:t xml:space="preserve">A second analysis was conducted to examine the effects of ocean acidification and marine heat waves on larval settlement, specifically on the two CCA species. Bare rock was excluded from this analysis because the experimental treatments involved a pre-conditioning phase, which aimed to alter the microbial community associated with CCA surfaces. Since bare rock has been previously sterilized, its inclusion in the analysis would have compromised the statistical validity of the results. To test the effects of substrate type (CCA species) and treatment, we employed a two-way ANOVA with Substrate (2 levels: </w:t>
      </w:r>
      <w:proofErr w:type="spellStart"/>
      <w:r>
        <w:rPr>
          <w:i/>
        </w:rPr>
        <w:t>Lithophyllum</w:t>
      </w:r>
      <w:proofErr w:type="spellEnd"/>
      <w:r>
        <w:rPr>
          <w:i/>
        </w:rPr>
        <w:t xml:space="preserve"> </w:t>
      </w:r>
      <w:proofErr w:type="spellStart"/>
      <w:r>
        <w:rPr>
          <w:i/>
        </w:rPr>
        <w:t>stictiforme</w:t>
      </w:r>
      <w:proofErr w:type="spellEnd"/>
      <w:r>
        <w:t xml:space="preserve"> and </w:t>
      </w:r>
      <w:proofErr w:type="spellStart"/>
      <w:r>
        <w:rPr>
          <w:i/>
        </w:rPr>
        <w:t>Macroblastum</w:t>
      </w:r>
      <w:proofErr w:type="spellEnd"/>
      <w:r>
        <w:rPr>
          <w:i/>
        </w:rPr>
        <w:t xml:space="preserve"> </w:t>
      </w:r>
      <w:proofErr w:type="spellStart"/>
      <w:r>
        <w:rPr>
          <w:i/>
        </w:rPr>
        <w:t>dendrospermum</w:t>
      </w:r>
      <w:proofErr w:type="spellEnd"/>
      <w:r>
        <w:t>) and Treatment (3 levels: CTRL, T1, and T2) as independent factors.</w:t>
      </w:r>
    </w:p>
    <w:p w14:paraId="66047748" w14:textId="76B46FE7" w:rsidR="00714B50" w:rsidRDefault="0030138C">
      <w:pPr>
        <w:spacing w:after="0" w:line="480" w:lineRule="auto"/>
        <w:ind w:firstLine="708"/>
      </w:pPr>
      <w:r>
        <w:t>The underlying hypothesis was that experimental treatments can modify CCA properties (microbial community and metabolites produced), potentially altering their capacity to promote larval settlement. By preconditioning the substrates, we aimed to simulate how future climate scenarios might influence the settlement process through changes in the algae/settlement interactions.</w:t>
      </w:r>
    </w:p>
    <w:p w14:paraId="5460E464" w14:textId="77777777" w:rsidR="00714B50" w:rsidRDefault="0030138C">
      <w:pPr>
        <w:spacing w:after="0" w:line="480" w:lineRule="auto"/>
        <w:rPr>
          <w:b/>
        </w:rPr>
      </w:pPr>
      <w:r>
        <w:rPr>
          <w:b/>
        </w:rPr>
        <w:t>Effect of substrate and treatment on the timing of larval settlement</w:t>
      </w:r>
    </w:p>
    <w:p w14:paraId="2426A500" w14:textId="77777777" w:rsidR="00714B50" w:rsidRDefault="0030138C">
      <w:pPr>
        <w:spacing w:after="0" w:line="480" w:lineRule="auto"/>
      </w:pPr>
      <w:r>
        <w:t>To determine whether substrate type or treatment conditions influenced the timing of larval settlement, we used the day of first settlement as the response variable. This analysis was based on the hypothesis that substrate type or treatment conditions could either accelerate or delay larval settlement. The day of first settlement was recorded for each substrate and treatment in the three replicate aquaria. Two separate ANOVA models were applied to analyze the data:</w:t>
      </w:r>
    </w:p>
    <w:p w14:paraId="7994AE37" w14:textId="77777777" w:rsidR="00714B50" w:rsidRDefault="0030138C">
      <w:pPr>
        <w:spacing w:after="0" w:line="480" w:lineRule="auto"/>
        <w:rPr>
          <w:b/>
          <w:i/>
        </w:rPr>
      </w:pPr>
      <w:r>
        <w:rPr>
          <w:b/>
          <w:i/>
        </w:rPr>
        <w:t>Effect of Substrate Type</w:t>
      </w:r>
    </w:p>
    <w:p w14:paraId="57EC5D2E" w14:textId="77777777" w:rsidR="00714B50" w:rsidRDefault="0030138C">
      <w:pPr>
        <w:spacing w:after="0" w:line="480" w:lineRule="auto"/>
      </w:pPr>
      <w:r>
        <w:t xml:space="preserve">A one-way ANOVA was performed to assess the effect of substrate type on settlement timing. The experimental design included three substrates: bare rock, </w:t>
      </w:r>
      <w:proofErr w:type="spellStart"/>
      <w:r>
        <w:rPr>
          <w:i/>
        </w:rPr>
        <w:t>Lithophyllum</w:t>
      </w:r>
      <w:proofErr w:type="spellEnd"/>
      <w:r>
        <w:rPr>
          <w:i/>
        </w:rPr>
        <w:t xml:space="preserve"> </w:t>
      </w:r>
      <w:proofErr w:type="spellStart"/>
      <w:r>
        <w:rPr>
          <w:i/>
        </w:rPr>
        <w:t>stictiforme</w:t>
      </w:r>
      <w:proofErr w:type="spellEnd"/>
      <w:r>
        <w:t xml:space="preserve">, and </w:t>
      </w:r>
      <w:proofErr w:type="spellStart"/>
      <w:r>
        <w:rPr>
          <w:i/>
        </w:rPr>
        <w:t>Macroblastum</w:t>
      </w:r>
      <w:proofErr w:type="spellEnd"/>
      <w:r>
        <w:rPr>
          <w:i/>
        </w:rPr>
        <w:t xml:space="preserve"> </w:t>
      </w:r>
      <w:proofErr w:type="spellStart"/>
      <w:r>
        <w:rPr>
          <w:i/>
        </w:rPr>
        <w:t>dendrospermum</w:t>
      </w:r>
      <w:proofErr w:type="spellEnd"/>
      <w:r>
        <w:t>.</w:t>
      </w:r>
    </w:p>
    <w:p w14:paraId="21BF8874" w14:textId="77777777" w:rsidR="00714B50" w:rsidRDefault="0030138C">
      <w:pPr>
        <w:spacing w:after="0" w:line="480" w:lineRule="auto"/>
        <w:rPr>
          <w:b/>
          <w:i/>
        </w:rPr>
      </w:pPr>
      <w:r>
        <w:rPr>
          <w:b/>
          <w:i/>
        </w:rPr>
        <w:t xml:space="preserve">Effect of Experimental Treatments </w:t>
      </w:r>
    </w:p>
    <w:p w14:paraId="172B39E1" w14:textId="3582FE5E" w:rsidR="001F3A71" w:rsidRDefault="0030138C">
      <w:pPr>
        <w:spacing w:after="0" w:line="480" w:lineRule="auto"/>
        <w:rPr>
          <w:b/>
        </w:rPr>
      </w:pPr>
      <w:r>
        <w:t xml:space="preserve">A two-way ANOVA was conducted to test if settlement timing is influenced by treatment conditions and if this effect varied between substrates. The experimental design included two independent factors: Substrate (2 levels: </w:t>
      </w:r>
      <w:proofErr w:type="spellStart"/>
      <w:r>
        <w:rPr>
          <w:i/>
        </w:rPr>
        <w:t>Lithophyllum</w:t>
      </w:r>
      <w:proofErr w:type="spellEnd"/>
      <w:r>
        <w:rPr>
          <w:i/>
        </w:rPr>
        <w:t xml:space="preserve"> </w:t>
      </w:r>
      <w:proofErr w:type="spellStart"/>
      <w:r>
        <w:rPr>
          <w:i/>
        </w:rPr>
        <w:t>stictiforme</w:t>
      </w:r>
      <w:proofErr w:type="spellEnd"/>
      <w:r>
        <w:t xml:space="preserve"> and </w:t>
      </w:r>
      <w:proofErr w:type="spellStart"/>
      <w:r>
        <w:rPr>
          <w:i/>
        </w:rPr>
        <w:t>Macroblastum</w:t>
      </w:r>
      <w:proofErr w:type="spellEnd"/>
      <w:r>
        <w:t xml:space="preserve"> </w:t>
      </w:r>
      <w:proofErr w:type="spellStart"/>
      <w:r>
        <w:rPr>
          <w:i/>
        </w:rPr>
        <w:t>dendrospermum</w:t>
      </w:r>
      <w:proofErr w:type="spellEnd"/>
      <w:r>
        <w:t>) and Treatment (3 levels: CTRL, T1, and T2). In both analyses, the response variable was the day of first settlement, measured as the day in which the first settlement event was observed in each replicate aquarium.</w:t>
      </w:r>
    </w:p>
    <w:p w14:paraId="076FC57E" w14:textId="77777777" w:rsidR="00EE72BE" w:rsidRDefault="00EE72BE" w:rsidP="00EA626C">
      <w:pPr>
        <w:spacing w:after="0" w:line="480" w:lineRule="auto"/>
        <w:rPr>
          <w:sz w:val="28"/>
          <w:szCs w:val="28"/>
        </w:rPr>
      </w:pPr>
      <w:bookmarkStart w:id="5" w:name="_heading=h.uyyovla79s1v" w:colFirst="0" w:colLast="0"/>
      <w:bookmarkStart w:id="6" w:name="_heading=h.p2a3kzle0d36" w:colFirst="0" w:colLast="0"/>
      <w:bookmarkStart w:id="7" w:name="_heading=h.l3pozel36adp" w:colFirst="0" w:colLast="0"/>
      <w:bookmarkStart w:id="8" w:name="_heading=h.lt2qa9lczw1h" w:colFirst="0" w:colLast="0"/>
      <w:bookmarkStart w:id="9" w:name="_heading=h.ffbfxjcnrqlf" w:colFirst="0" w:colLast="0"/>
      <w:bookmarkStart w:id="10" w:name="_heading=h.ixk59sjhwlqe" w:colFirst="0" w:colLast="0"/>
      <w:bookmarkStart w:id="11" w:name="_heading=h.nmhqjmhsseea" w:colFirst="0" w:colLast="0"/>
      <w:bookmarkStart w:id="12" w:name="_heading=h.rp6pr51ibf2c" w:colFirst="0" w:colLast="0"/>
      <w:bookmarkStart w:id="13" w:name="_heading=h.tyjcwt" w:colFirst="0" w:colLast="0"/>
      <w:bookmarkEnd w:id="5"/>
      <w:bookmarkEnd w:id="6"/>
      <w:bookmarkEnd w:id="7"/>
      <w:bookmarkEnd w:id="8"/>
      <w:bookmarkEnd w:id="9"/>
      <w:bookmarkEnd w:id="10"/>
      <w:bookmarkEnd w:id="11"/>
      <w:bookmarkEnd w:id="12"/>
      <w:bookmarkEnd w:id="13"/>
    </w:p>
    <w:p w14:paraId="6A4B49A4" w14:textId="77777777" w:rsidR="00EE72BE" w:rsidRDefault="00EE72BE" w:rsidP="00EA626C">
      <w:pPr>
        <w:spacing w:after="0" w:line="480" w:lineRule="auto"/>
        <w:rPr>
          <w:sz w:val="28"/>
          <w:szCs w:val="28"/>
        </w:rPr>
      </w:pPr>
    </w:p>
    <w:p w14:paraId="5C3FA9EA" w14:textId="77777777" w:rsidR="00EE72BE" w:rsidRDefault="00EE72BE" w:rsidP="00EA626C">
      <w:pPr>
        <w:spacing w:after="0" w:line="480" w:lineRule="auto"/>
        <w:rPr>
          <w:sz w:val="28"/>
          <w:szCs w:val="28"/>
        </w:rPr>
      </w:pPr>
    </w:p>
    <w:p w14:paraId="70281084" w14:textId="77777777" w:rsidR="00EE72BE" w:rsidRDefault="00EE72BE" w:rsidP="00EA626C">
      <w:pPr>
        <w:spacing w:after="0" w:line="480" w:lineRule="auto"/>
        <w:rPr>
          <w:sz w:val="28"/>
          <w:szCs w:val="28"/>
        </w:rPr>
      </w:pPr>
    </w:p>
    <w:p w14:paraId="1EC8FE53" w14:textId="77777777" w:rsidR="00EE72BE" w:rsidRDefault="00EE72BE" w:rsidP="00EA626C">
      <w:pPr>
        <w:spacing w:after="0" w:line="480" w:lineRule="auto"/>
        <w:rPr>
          <w:sz w:val="28"/>
          <w:szCs w:val="28"/>
        </w:rPr>
      </w:pPr>
    </w:p>
    <w:p w14:paraId="535F34F3" w14:textId="77777777" w:rsidR="00EE72BE" w:rsidRDefault="00EE72BE" w:rsidP="00EA626C">
      <w:pPr>
        <w:spacing w:after="0" w:line="480" w:lineRule="auto"/>
        <w:rPr>
          <w:sz w:val="28"/>
          <w:szCs w:val="28"/>
        </w:rPr>
      </w:pPr>
    </w:p>
    <w:p w14:paraId="526748E2" w14:textId="77777777" w:rsidR="00EE72BE" w:rsidRDefault="00EE72BE" w:rsidP="00EA626C">
      <w:pPr>
        <w:spacing w:after="0" w:line="480" w:lineRule="auto"/>
        <w:rPr>
          <w:sz w:val="28"/>
          <w:szCs w:val="28"/>
        </w:rPr>
      </w:pPr>
    </w:p>
    <w:p w14:paraId="28B6CDEE" w14:textId="77777777" w:rsidR="00EE72BE" w:rsidRDefault="00EE72BE" w:rsidP="00EA626C">
      <w:pPr>
        <w:spacing w:after="0" w:line="480" w:lineRule="auto"/>
        <w:rPr>
          <w:sz w:val="28"/>
          <w:szCs w:val="28"/>
        </w:rPr>
      </w:pPr>
    </w:p>
    <w:p w14:paraId="5E2ADEFC" w14:textId="77777777" w:rsidR="00EE72BE" w:rsidRDefault="00EE72BE" w:rsidP="00EA626C">
      <w:pPr>
        <w:spacing w:after="0" w:line="480" w:lineRule="auto"/>
        <w:rPr>
          <w:sz w:val="28"/>
          <w:szCs w:val="28"/>
        </w:rPr>
      </w:pPr>
    </w:p>
    <w:p w14:paraId="024B27CF" w14:textId="77777777" w:rsidR="00EE72BE" w:rsidRDefault="00EE72BE" w:rsidP="00EA626C">
      <w:pPr>
        <w:spacing w:after="0" w:line="480" w:lineRule="auto"/>
        <w:rPr>
          <w:sz w:val="28"/>
          <w:szCs w:val="28"/>
        </w:rPr>
      </w:pPr>
    </w:p>
    <w:p w14:paraId="312AD93C" w14:textId="77777777" w:rsidR="00EE72BE" w:rsidRDefault="00EE72BE" w:rsidP="00EA626C">
      <w:pPr>
        <w:spacing w:after="0" w:line="480" w:lineRule="auto"/>
        <w:rPr>
          <w:sz w:val="28"/>
          <w:szCs w:val="28"/>
        </w:rPr>
      </w:pPr>
    </w:p>
    <w:p w14:paraId="24848800" w14:textId="77777777" w:rsidR="00EE72BE" w:rsidRDefault="00EE72BE" w:rsidP="00EA626C">
      <w:pPr>
        <w:spacing w:after="0" w:line="480" w:lineRule="auto"/>
        <w:rPr>
          <w:sz w:val="28"/>
          <w:szCs w:val="28"/>
        </w:rPr>
      </w:pPr>
    </w:p>
    <w:p w14:paraId="36018EF9" w14:textId="694D05A2" w:rsidR="00714B50" w:rsidRDefault="0030138C" w:rsidP="00EA626C">
      <w:pPr>
        <w:spacing w:after="0" w:line="480" w:lineRule="auto"/>
        <w:rPr>
          <w:sz w:val="28"/>
          <w:szCs w:val="28"/>
        </w:rPr>
      </w:pPr>
      <w:r>
        <w:rPr>
          <w:sz w:val="28"/>
          <w:szCs w:val="28"/>
        </w:rPr>
        <w:t>Supplementary Figures</w:t>
      </w:r>
    </w:p>
    <w:p w14:paraId="74D6C04B" w14:textId="77777777" w:rsidR="00714B50" w:rsidRDefault="0030138C">
      <w:r>
        <w:rPr>
          <w:noProof/>
        </w:rPr>
        <w:drawing>
          <wp:inline distT="114300" distB="114300" distL="114300" distR="114300" wp14:anchorId="25529270" wp14:editId="6BC8A2EF">
            <wp:extent cx="5163151" cy="6720848"/>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5163151" cy="6720848"/>
                    </a:xfrm>
                    <a:prstGeom prst="rect">
                      <a:avLst/>
                    </a:prstGeom>
                    <a:ln/>
                  </pic:spPr>
                </pic:pic>
              </a:graphicData>
            </a:graphic>
          </wp:inline>
        </w:drawing>
      </w:r>
    </w:p>
    <w:p w14:paraId="6D9BF547" w14:textId="77777777" w:rsidR="00714B50" w:rsidRDefault="0030138C">
      <w:r>
        <w:t xml:space="preserve">Fig. S1. Phylogenetic tree of </w:t>
      </w:r>
      <w:proofErr w:type="spellStart"/>
      <w:r>
        <w:rPr>
          <w:i/>
        </w:rPr>
        <w:t>Macroblastum</w:t>
      </w:r>
      <w:proofErr w:type="spellEnd"/>
      <w:r>
        <w:rPr>
          <w:i/>
        </w:rPr>
        <w:t xml:space="preserve"> </w:t>
      </w:r>
      <w:proofErr w:type="spellStart"/>
      <w:r>
        <w:rPr>
          <w:i/>
        </w:rPr>
        <w:t>dendrospermum</w:t>
      </w:r>
      <w:proofErr w:type="spellEnd"/>
      <w:r>
        <w:t xml:space="preserve">. Phylogenetic tree inferred from ML analysis of the </w:t>
      </w:r>
      <w:proofErr w:type="spellStart"/>
      <w:r w:rsidRPr="00C82916">
        <w:rPr>
          <w:i/>
          <w:iCs/>
        </w:rPr>
        <w:t>psbA</w:t>
      </w:r>
      <w:proofErr w:type="spellEnd"/>
      <w:r>
        <w:t xml:space="preserve"> sequences of the Mediterranean </w:t>
      </w:r>
      <w:r>
        <w:rPr>
          <w:i/>
        </w:rPr>
        <w:t xml:space="preserve">M. </w:t>
      </w:r>
      <w:proofErr w:type="spellStart"/>
      <w:r>
        <w:rPr>
          <w:i/>
        </w:rPr>
        <w:t>dendrospermum</w:t>
      </w:r>
      <w:proofErr w:type="spellEnd"/>
      <w:r>
        <w:t xml:space="preserve"> and other publicly available sequences for Mediterranean </w:t>
      </w:r>
      <w:proofErr w:type="spellStart"/>
      <w:r>
        <w:rPr>
          <w:i/>
        </w:rPr>
        <w:t>Mesophyllum</w:t>
      </w:r>
      <w:proofErr w:type="spellEnd"/>
      <w:r>
        <w:rPr>
          <w:i/>
        </w:rPr>
        <w:t xml:space="preserve">. </w:t>
      </w:r>
      <w:r>
        <w:t xml:space="preserve">Bootstrap ML values &gt; 60% are shown for each node. Members of the subfamily </w:t>
      </w:r>
      <w:proofErr w:type="spellStart"/>
      <w:r>
        <w:t>Melobesioideae</w:t>
      </w:r>
      <w:proofErr w:type="spellEnd"/>
      <w:r>
        <w:t xml:space="preserve"> were used as outgroup. Scale bar: 0.02 substitutions per site. </w:t>
      </w:r>
      <w:r>
        <w:rPr>
          <w:b/>
        </w:rPr>
        <w:t>Sequences generated in the present work are marked in bold.</w:t>
      </w:r>
    </w:p>
    <w:p w14:paraId="131DA4B3" w14:textId="77777777" w:rsidR="00714B50" w:rsidRDefault="0030138C">
      <w:r>
        <w:rPr>
          <w:noProof/>
        </w:rPr>
        <w:drawing>
          <wp:inline distT="114300" distB="114300" distL="114300" distR="114300" wp14:anchorId="0B1F9946" wp14:editId="5647BC04">
            <wp:extent cx="3590925" cy="6972300"/>
            <wp:effectExtent l="0" t="0" r="0" b="0"/>
            <wp:docPr id="1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b="3046"/>
                    <a:stretch>
                      <a:fillRect/>
                    </a:stretch>
                  </pic:blipFill>
                  <pic:spPr>
                    <a:xfrm>
                      <a:off x="0" y="0"/>
                      <a:ext cx="3590925" cy="6972300"/>
                    </a:xfrm>
                    <a:prstGeom prst="rect">
                      <a:avLst/>
                    </a:prstGeom>
                    <a:ln/>
                  </pic:spPr>
                </pic:pic>
              </a:graphicData>
            </a:graphic>
          </wp:inline>
        </w:drawing>
      </w:r>
    </w:p>
    <w:p w14:paraId="73441CE6" w14:textId="77777777" w:rsidR="00714B50" w:rsidRDefault="0030138C">
      <w:r>
        <w:t xml:space="preserve">Fig. S2. Phylogenetic tree of </w:t>
      </w:r>
      <w:proofErr w:type="spellStart"/>
      <w:r>
        <w:rPr>
          <w:i/>
        </w:rPr>
        <w:t>Macroblastum</w:t>
      </w:r>
      <w:proofErr w:type="spellEnd"/>
      <w:r>
        <w:rPr>
          <w:i/>
        </w:rPr>
        <w:t xml:space="preserve"> </w:t>
      </w:r>
      <w:proofErr w:type="spellStart"/>
      <w:r>
        <w:rPr>
          <w:i/>
        </w:rPr>
        <w:t>dendrospermum</w:t>
      </w:r>
      <w:proofErr w:type="spellEnd"/>
      <w:r>
        <w:t xml:space="preserve">. Phylogenetic tree inferred from ML analysis of the COI-5P sequences of Mediterranean </w:t>
      </w:r>
      <w:r>
        <w:rPr>
          <w:i/>
        </w:rPr>
        <w:t xml:space="preserve">M. </w:t>
      </w:r>
      <w:proofErr w:type="spellStart"/>
      <w:r>
        <w:rPr>
          <w:i/>
        </w:rPr>
        <w:t>dendrospermum</w:t>
      </w:r>
      <w:proofErr w:type="spellEnd"/>
      <w:r>
        <w:t xml:space="preserve"> and other publicly available sequences for the genus </w:t>
      </w:r>
      <w:proofErr w:type="spellStart"/>
      <w:r>
        <w:rPr>
          <w:i/>
        </w:rPr>
        <w:t>Mesophyllum</w:t>
      </w:r>
      <w:proofErr w:type="spellEnd"/>
      <w:r>
        <w:t xml:space="preserve">. Bootstrap values &gt; 60% are shown for each node. Members of the subfamily </w:t>
      </w:r>
      <w:proofErr w:type="spellStart"/>
      <w:r>
        <w:t>Melobesioideae</w:t>
      </w:r>
      <w:proofErr w:type="spellEnd"/>
      <w:r>
        <w:t xml:space="preserve"> were used as outgroup. Scale bar: 0.05 substitutions per site. </w:t>
      </w:r>
      <w:r>
        <w:rPr>
          <w:b/>
        </w:rPr>
        <w:t>Sequences generated in the present work are marked in bold.</w:t>
      </w:r>
    </w:p>
    <w:p w14:paraId="17159466" w14:textId="77777777" w:rsidR="00714B50" w:rsidRDefault="0030138C">
      <w:r>
        <w:rPr>
          <w:noProof/>
        </w:rPr>
        <w:drawing>
          <wp:inline distT="114300" distB="114300" distL="114300" distR="114300" wp14:anchorId="1904B807" wp14:editId="65149E76">
            <wp:extent cx="5943600" cy="5702300"/>
            <wp:effectExtent l="0" t="0" r="0" b="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a:stretch>
                      <a:fillRect/>
                    </a:stretch>
                  </pic:blipFill>
                  <pic:spPr>
                    <a:xfrm>
                      <a:off x="0" y="0"/>
                      <a:ext cx="5943600" cy="5702300"/>
                    </a:xfrm>
                    <a:prstGeom prst="rect">
                      <a:avLst/>
                    </a:prstGeom>
                    <a:ln/>
                  </pic:spPr>
                </pic:pic>
              </a:graphicData>
            </a:graphic>
          </wp:inline>
        </w:drawing>
      </w:r>
    </w:p>
    <w:p w14:paraId="31EAD5D0" w14:textId="77777777" w:rsidR="00714B50" w:rsidRDefault="0030138C">
      <w:pPr>
        <w:rPr>
          <w:b/>
        </w:rPr>
      </w:pPr>
      <w:r>
        <w:t xml:space="preserve">Fig. S3. Phylogenetic tree of </w:t>
      </w:r>
      <w:proofErr w:type="spellStart"/>
      <w:r>
        <w:rPr>
          <w:i/>
        </w:rPr>
        <w:t>Lithophyllum</w:t>
      </w:r>
      <w:proofErr w:type="spellEnd"/>
      <w:r>
        <w:rPr>
          <w:i/>
        </w:rPr>
        <w:t xml:space="preserve"> </w:t>
      </w:r>
      <w:proofErr w:type="spellStart"/>
      <w:r>
        <w:rPr>
          <w:i/>
        </w:rPr>
        <w:t>stictiforme</w:t>
      </w:r>
      <w:proofErr w:type="spellEnd"/>
      <w:r>
        <w:rPr>
          <w:i/>
        </w:rPr>
        <w:t xml:space="preserve">. </w:t>
      </w:r>
      <w:r>
        <w:t xml:space="preserve">Phylogenetic tree inferred from ML analysis of the </w:t>
      </w:r>
      <w:proofErr w:type="spellStart"/>
      <w:r w:rsidRPr="00C82916">
        <w:rPr>
          <w:i/>
          <w:iCs/>
        </w:rPr>
        <w:t>psbA</w:t>
      </w:r>
      <w:proofErr w:type="spellEnd"/>
      <w:r>
        <w:t xml:space="preserve"> sequences of Mediterranean </w:t>
      </w:r>
      <w:r>
        <w:rPr>
          <w:i/>
        </w:rPr>
        <w:t xml:space="preserve">L. </w:t>
      </w:r>
      <w:proofErr w:type="spellStart"/>
      <w:r>
        <w:rPr>
          <w:i/>
        </w:rPr>
        <w:t>stictiforme</w:t>
      </w:r>
      <w:proofErr w:type="spellEnd"/>
      <w:r>
        <w:t xml:space="preserve"> and other publicly available sequences for this complex. Bootstrap ML values &gt; 60% are shown for each node. </w:t>
      </w:r>
      <w:r>
        <w:rPr>
          <w:i/>
        </w:rPr>
        <w:t xml:space="preserve">L. </w:t>
      </w:r>
      <w:proofErr w:type="spellStart"/>
      <w:r>
        <w:rPr>
          <w:i/>
        </w:rPr>
        <w:t>dentatum</w:t>
      </w:r>
      <w:proofErr w:type="spellEnd"/>
      <w:r>
        <w:t xml:space="preserve">, </w:t>
      </w:r>
      <w:r>
        <w:rPr>
          <w:i/>
        </w:rPr>
        <w:t xml:space="preserve">L. </w:t>
      </w:r>
      <w:proofErr w:type="spellStart"/>
      <w:r>
        <w:rPr>
          <w:i/>
        </w:rPr>
        <w:t>hibernicum</w:t>
      </w:r>
      <w:proofErr w:type="spellEnd"/>
      <w:r>
        <w:t xml:space="preserve"> and </w:t>
      </w:r>
      <w:r>
        <w:rPr>
          <w:i/>
        </w:rPr>
        <w:t xml:space="preserve">L. </w:t>
      </w:r>
      <w:proofErr w:type="spellStart"/>
      <w:r>
        <w:rPr>
          <w:i/>
        </w:rPr>
        <w:t>bathyporum</w:t>
      </w:r>
      <w:proofErr w:type="spellEnd"/>
      <w:r>
        <w:t xml:space="preserve"> were used as outgroup. Clades refer to the classification provided in previous works (</w:t>
      </w:r>
      <w:proofErr w:type="spellStart"/>
      <w:r>
        <w:t>Pezzolesi</w:t>
      </w:r>
      <w:proofErr w:type="spellEnd"/>
      <w:r>
        <w:t xml:space="preserve"> et al., 2019; De </w:t>
      </w:r>
      <w:proofErr w:type="spellStart"/>
      <w:r>
        <w:t>Jode</w:t>
      </w:r>
      <w:proofErr w:type="spellEnd"/>
      <w:r>
        <w:t xml:space="preserve"> et al., 2019; </w:t>
      </w:r>
      <w:proofErr w:type="spellStart"/>
      <w:r>
        <w:t>Manea</w:t>
      </w:r>
      <w:proofErr w:type="spellEnd"/>
      <w:r>
        <w:t xml:space="preserve"> et al., 2025). Scale bar: 0.02 substitutions per site. </w:t>
      </w:r>
      <w:r>
        <w:rPr>
          <w:b/>
        </w:rPr>
        <w:t>Sequences generated in the present work are marked in bold.</w:t>
      </w:r>
    </w:p>
    <w:p w14:paraId="19194E5A" w14:textId="77777777" w:rsidR="00714B50" w:rsidRDefault="00714B50"/>
    <w:p w14:paraId="7ADF989A" w14:textId="77777777" w:rsidR="00714B50" w:rsidRDefault="00714B50">
      <w:pPr>
        <w:rPr>
          <w:i/>
        </w:rPr>
      </w:pPr>
    </w:p>
    <w:p w14:paraId="6EEE37D7" w14:textId="77777777" w:rsidR="00714B50" w:rsidRDefault="00714B50">
      <w:pPr>
        <w:rPr>
          <w:i/>
        </w:rPr>
      </w:pPr>
    </w:p>
    <w:p w14:paraId="43E12286" w14:textId="77777777" w:rsidR="00714B50" w:rsidRDefault="0030138C">
      <w:pPr>
        <w:rPr>
          <w:i/>
        </w:rPr>
      </w:pPr>
      <w:r>
        <w:rPr>
          <w:i/>
          <w:noProof/>
        </w:rPr>
        <w:drawing>
          <wp:inline distT="114300" distB="114300" distL="114300" distR="114300" wp14:anchorId="630FFE5D" wp14:editId="779E2C65">
            <wp:extent cx="5943600" cy="2641600"/>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943600" cy="2641600"/>
                    </a:xfrm>
                    <a:prstGeom prst="rect">
                      <a:avLst/>
                    </a:prstGeom>
                    <a:ln/>
                  </pic:spPr>
                </pic:pic>
              </a:graphicData>
            </a:graphic>
          </wp:inline>
        </w:drawing>
      </w:r>
    </w:p>
    <w:p w14:paraId="2EF64C6B" w14:textId="77777777" w:rsidR="00714B50" w:rsidRDefault="0030138C">
      <w:pPr>
        <w:rPr>
          <w:i/>
        </w:rPr>
      </w:pPr>
      <w:r>
        <w:t xml:space="preserve">Fig. S4. Cumulative number of settlers for each substrate and treatment recorded daily during the settlement experiment (lasted 56 days), in the presence of A) </w:t>
      </w:r>
      <w:r>
        <w:rPr>
          <w:i/>
        </w:rPr>
        <w:t xml:space="preserve">M. </w:t>
      </w:r>
      <w:proofErr w:type="spellStart"/>
      <w:r>
        <w:rPr>
          <w:i/>
        </w:rPr>
        <w:t>dendrospermum</w:t>
      </w:r>
      <w:proofErr w:type="spellEnd"/>
      <w:r>
        <w:t xml:space="preserve"> and B) </w:t>
      </w:r>
      <w:r>
        <w:rPr>
          <w:i/>
        </w:rPr>
        <w:t xml:space="preserve">L. </w:t>
      </w:r>
      <w:proofErr w:type="spellStart"/>
      <w:r>
        <w:rPr>
          <w:i/>
        </w:rPr>
        <w:t>stictiforme</w:t>
      </w:r>
      <w:proofErr w:type="spellEnd"/>
      <w:r>
        <w:t>. CTRL = control (no treatment), T1 = acidification and warming, T2 = acidification and warming followed by a heatwave event, bare rock = control substrate without CCA and without treatment.</w:t>
      </w:r>
    </w:p>
    <w:p w14:paraId="2346309E" w14:textId="7D65237A" w:rsidR="00714B50" w:rsidRDefault="00714B50"/>
    <w:p w14:paraId="325EC578" w14:textId="77777777" w:rsidR="00714B50" w:rsidRDefault="00714B50">
      <w:pPr>
        <w:rPr>
          <w:i/>
        </w:rPr>
      </w:pPr>
    </w:p>
    <w:p w14:paraId="78CA5B44" w14:textId="77777777" w:rsidR="00714B50" w:rsidRDefault="0030138C">
      <w:r>
        <w:rPr>
          <w:noProof/>
        </w:rPr>
        <w:drawing>
          <wp:inline distT="0" distB="0" distL="0" distR="0" wp14:anchorId="7BD69753" wp14:editId="727851CC">
            <wp:extent cx="5943600" cy="2870835"/>
            <wp:effectExtent l="0" t="0" r="0" b="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5943600" cy="2870835"/>
                    </a:xfrm>
                    <a:prstGeom prst="rect">
                      <a:avLst/>
                    </a:prstGeom>
                    <a:ln/>
                  </pic:spPr>
                </pic:pic>
              </a:graphicData>
            </a:graphic>
          </wp:inline>
        </w:drawing>
      </w:r>
    </w:p>
    <w:p w14:paraId="061C3545" w14:textId="77777777" w:rsidR="00714B50" w:rsidRDefault="00714B50"/>
    <w:p w14:paraId="03344B65" w14:textId="149F4F2C" w:rsidR="00714B50" w:rsidRDefault="0030138C">
      <w:r>
        <w:t>Fig. S</w:t>
      </w:r>
      <w:r w:rsidR="006E2739">
        <w:t>5</w:t>
      </w:r>
      <w:r>
        <w:t xml:space="preserve">. Output of the multi-class Significance Analysis of Metabolomics SAM (based on F-statistics) for A) </w:t>
      </w:r>
      <w:r>
        <w:rPr>
          <w:i/>
        </w:rPr>
        <w:t xml:space="preserve">M. </w:t>
      </w:r>
      <w:proofErr w:type="spellStart"/>
      <w:r>
        <w:rPr>
          <w:i/>
        </w:rPr>
        <w:t>dendrospermum</w:t>
      </w:r>
      <w:proofErr w:type="spellEnd"/>
      <w:r>
        <w:t xml:space="preserve"> and B) </w:t>
      </w:r>
      <w:r>
        <w:rPr>
          <w:i/>
        </w:rPr>
        <w:t xml:space="preserve">L. </w:t>
      </w:r>
      <w:proofErr w:type="spellStart"/>
      <w:r>
        <w:rPr>
          <w:i/>
        </w:rPr>
        <w:t>stictiforme</w:t>
      </w:r>
      <w:proofErr w:type="spellEnd"/>
      <w:r>
        <w:t xml:space="preserve">. </w:t>
      </w:r>
    </w:p>
    <w:p w14:paraId="083D256E" w14:textId="77777777" w:rsidR="00714B50" w:rsidRDefault="00714B50"/>
    <w:p w14:paraId="2CD1A83C" w14:textId="77777777" w:rsidR="00714B50" w:rsidRDefault="0030138C">
      <w:r>
        <w:rPr>
          <w:noProof/>
        </w:rPr>
        <w:drawing>
          <wp:inline distT="0" distB="0" distL="0" distR="0" wp14:anchorId="0CE6E8B0" wp14:editId="117958DE">
            <wp:extent cx="5943600" cy="4264025"/>
            <wp:effectExtent l="0" t="0" r="0" b="0"/>
            <wp:docPr id="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5943600" cy="4264025"/>
                    </a:xfrm>
                    <a:prstGeom prst="rect">
                      <a:avLst/>
                    </a:prstGeom>
                    <a:ln/>
                  </pic:spPr>
                </pic:pic>
              </a:graphicData>
            </a:graphic>
          </wp:inline>
        </w:drawing>
      </w:r>
    </w:p>
    <w:p w14:paraId="022FC3E8" w14:textId="3EAD190F" w:rsidR="00714B50" w:rsidRDefault="0030138C">
      <w:bookmarkStart w:id="14" w:name="_heading=h.30j0zll" w:colFirst="0" w:colLast="0"/>
      <w:bookmarkEnd w:id="14"/>
      <w:r>
        <w:t>Fig. S</w:t>
      </w:r>
      <w:r w:rsidR="006E2739">
        <w:t>6</w:t>
      </w:r>
      <w:r>
        <w:t xml:space="preserve">. Bacterial community richness of </w:t>
      </w:r>
      <w:r>
        <w:rPr>
          <w:i/>
        </w:rPr>
        <w:t xml:space="preserve">E. </w:t>
      </w:r>
      <w:proofErr w:type="spellStart"/>
      <w:r>
        <w:rPr>
          <w:i/>
        </w:rPr>
        <w:t>singularis</w:t>
      </w:r>
      <w:proofErr w:type="spellEnd"/>
      <w:r>
        <w:t xml:space="preserve"> larvae and settlers on CCAs and aquarium surface in </w:t>
      </w:r>
      <w:r>
        <w:rPr>
          <w:i/>
        </w:rPr>
        <w:t xml:space="preserve">M. </w:t>
      </w:r>
      <w:proofErr w:type="spellStart"/>
      <w:r>
        <w:rPr>
          <w:i/>
        </w:rPr>
        <w:t>dendrospermum</w:t>
      </w:r>
      <w:proofErr w:type="spellEnd"/>
      <w:r>
        <w:t xml:space="preserve"> and </w:t>
      </w:r>
      <w:r>
        <w:rPr>
          <w:i/>
        </w:rPr>
        <w:t xml:space="preserve">L. </w:t>
      </w:r>
      <w:proofErr w:type="spellStart"/>
      <w:r>
        <w:rPr>
          <w:i/>
        </w:rPr>
        <w:t>stictiforme</w:t>
      </w:r>
      <w:proofErr w:type="spellEnd"/>
      <w:r>
        <w:t xml:space="preserve"> aquaria. </w:t>
      </w:r>
      <w:r>
        <w:rPr>
          <w:i/>
        </w:rPr>
        <w:t>p</w:t>
      </w:r>
      <w:sdt>
        <w:sdtPr>
          <w:tag w:val="goog_rdk_7"/>
          <w:id w:val="-1271157389"/>
        </w:sdtPr>
        <w:sdtEndPr/>
        <w:sdtContent>
          <w:r w:rsidRPr="008A28FD">
            <w:rPr>
              <w:rFonts w:eastAsia="Gungsuh"/>
            </w:rPr>
            <w:t xml:space="preserve">-value ≤ 0.5*, </w:t>
          </w:r>
        </w:sdtContent>
      </w:sdt>
      <w:r>
        <w:rPr>
          <w:i/>
        </w:rPr>
        <w:t>p</w:t>
      </w:r>
      <w:sdt>
        <w:sdtPr>
          <w:rPr>
            <w:rFonts w:eastAsia="Gungsuh"/>
          </w:rPr>
          <w:tag w:val="goog_rdk_8"/>
          <w:id w:val="-2051758247"/>
        </w:sdtPr>
        <w:sdtEndPr/>
        <w:sdtContent>
          <w:r w:rsidRPr="008A28FD">
            <w:rPr>
              <w:rFonts w:eastAsia="Gungsuh"/>
            </w:rPr>
            <w:t>-value ≤ 0.01**.</w:t>
          </w:r>
        </w:sdtContent>
      </w:sdt>
    </w:p>
    <w:p w14:paraId="7D7B55C2" w14:textId="77777777" w:rsidR="00714B50" w:rsidRDefault="00714B50"/>
    <w:p w14:paraId="7F95FE0E" w14:textId="77777777" w:rsidR="00714B50" w:rsidRDefault="00714B50"/>
    <w:p w14:paraId="38406116" w14:textId="77777777" w:rsidR="00714B50" w:rsidRDefault="0030138C">
      <w:r>
        <w:rPr>
          <w:noProof/>
        </w:rPr>
        <w:drawing>
          <wp:inline distT="114300" distB="114300" distL="114300" distR="114300" wp14:anchorId="77530793" wp14:editId="545AB187">
            <wp:extent cx="3968750" cy="7531100"/>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a:srcRect/>
                    <a:stretch>
                      <a:fillRect/>
                    </a:stretch>
                  </pic:blipFill>
                  <pic:spPr>
                    <a:xfrm>
                      <a:off x="0" y="0"/>
                      <a:ext cx="3969036" cy="7531643"/>
                    </a:xfrm>
                    <a:prstGeom prst="rect">
                      <a:avLst/>
                    </a:prstGeom>
                    <a:ln/>
                  </pic:spPr>
                </pic:pic>
              </a:graphicData>
            </a:graphic>
          </wp:inline>
        </w:drawing>
      </w:r>
    </w:p>
    <w:p w14:paraId="18D96887" w14:textId="470B3110" w:rsidR="00714B50" w:rsidRDefault="0030138C">
      <w:r>
        <w:t>Fig. S</w:t>
      </w:r>
      <w:r w:rsidR="006E2739">
        <w:t>7</w:t>
      </w:r>
      <w:r>
        <w:t>. Twenty ASVs that contributed the most to the microbial community composition of settlers on CCA, larvae, settlers on aquarium surface,</w:t>
      </w:r>
      <w:r>
        <w:rPr>
          <w:i/>
        </w:rPr>
        <w:t xml:space="preserve"> </w:t>
      </w:r>
      <w:r>
        <w:t xml:space="preserve">in presence of A) </w:t>
      </w:r>
      <w:r>
        <w:rPr>
          <w:i/>
        </w:rPr>
        <w:t xml:space="preserve">M. </w:t>
      </w:r>
      <w:proofErr w:type="spellStart"/>
      <w:r>
        <w:rPr>
          <w:i/>
        </w:rPr>
        <w:t>dendrospermum</w:t>
      </w:r>
      <w:proofErr w:type="spellEnd"/>
      <w:r>
        <w:t xml:space="preserve"> and B) </w:t>
      </w:r>
      <w:r>
        <w:rPr>
          <w:i/>
        </w:rPr>
        <w:t xml:space="preserve">L. </w:t>
      </w:r>
      <w:proofErr w:type="spellStart"/>
      <w:r>
        <w:rPr>
          <w:i/>
        </w:rPr>
        <w:t>stictiforme</w:t>
      </w:r>
      <w:proofErr w:type="spellEnd"/>
      <w:r>
        <w:t xml:space="preserve"> after each experimental treatment. ASVs are grouped at the Class level. </w:t>
      </w:r>
    </w:p>
    <w:p w14:paraId="678BCD38" w14:textId="77777777" w:rsidR="00714B50" w:rsidRDefault="0030138C">
      <w:pPr>
        <w:rPr>
          <w:sz w:val="28"/>
          <w:szCs w:val="28"/>
        </w:rPr>
      </w:pPr>
      <w:r>
        <w:rPr>
          <w:sz w:val="28"/>
          <w:szCs w:val="28"/>
        </w:rPr>
        <w:t>Supplementary Tables</w:t>
      </w:r>
    </w:p>
    <w:p w14:paraId="794CD6CD" w14:textId="77777777" w:rsidR="00714B50" w:rsidRDefault="00714B50">
      <w:pPr>
        <w:rPr>
          <w:sz w:val="28"/>
          <w:szCs w:val="28"/>
        </w:rPr>
      </w:pPr>
    </w:p>
    <w:p w14:paraId="13D9612C" w14:textId="1F645007" w:rsidR="00714B50" w:rsidRDefault="0030138C">
      <w:r>
        <w:t xml:space="preserve">Table S2. Measured and estimated sea water physicochemical parameters of the pH treatments in the experimental </w:t>
      </w:r>
      <w:r w:rsidR="001E35DD">
        <w:t xml:space="preserve">header </w:t>
      </w:r>
      <w:r>
        <w:t>tanks</w:t>
      </w:r>
      <w:r w:rsidR="001E35DD">
        <w:t xml:space="preserve"> and cylinders</w:t>
      </w:r>
      <w:r>
        <w:t xml:space="preserve"> for salinity (</w:t>
      </w:r>
      <w:r>
        <w:rPr>
          <w:i/>
        </w:rPr>
        <w:t>S</w:t>
      </w:r>
      <w:r>
        <w:t>), temperature (</w:t>
      </w:r>
      <w:r>
        <w:rPr>
          <w:i/>
        </w:rPr>
        <w:t>T</w:t>
      </w:r>
      <w:r>
        <w:t>), total alkalinity (</w:t>
      </w:r>
      <w:r>
        <w:rPr>
          <w:i/>
        </w:rPr>
        <w:t>A</w:t>
      </w:r>
      <w:r>
        <w:rPr>
          <w:vertAlign w:val="subscript"/>
        </w:rPr>
        <w:t>T</w:t>
      </w:r>
      <w:r>
        <w:t>), dissolved inorganic carbon (</w:t>
      </w:r>
      <w:r>
        <w:rPr>
          <w:i/>
        </w:rPr>
        <w:t>C</w:t>
      </w:r>
      <w:r>
        <w:rPr>
          <w:vertAlign w:val="subscript"/>
        </w:rPr>
        <w:t>T</w:t>
      </w:r>
      <w:r>
        <w:t xml:space="preserve">), </w:t>
      </w:r>
      <w:proofErr w:type="spellStart"/>
      <w:r>
        <w:t>pH</w:t>
      </w:r>
      <w:r>
        <w:rPr>
          <w:vertAlign w:val="subscript"/>
        </w:rPr>
        <w:t>T</w:t>
      </w:r>
      <w:proofErr w:type="spellEnd"/>
      <w:r>
        <w:t xml:space="preserve">, </w:t>
      </w:r>
      <w:r>
        <w:rPr>
          <w:i/>
        </w:rPr>
        <w:t>p</w:t>
      </w:r>
      <w:r>
        <w:t>CO</w:t>
      </w:r>
      <w:r>
        <w:rPr>
          <w:vertAlign w:val="subscript"/>
        </w:rPr>
        <w:t>2</w:t>
      </w:r>
      <w:r>
        <w:t>, calcite (</w:t>
      </w:r>
      <w:proofErr w:type="spellStart"/>
      <w:r>
        <w:t>Ωc</w:t>
      </w:r>
      <w:proofErr w:type="spellEnd"/>
      <w:r>
        <w:t>) and aragonite (</w:t>
      </w:r>
      <w:proofErr w:type="spellStart"/>
      <w:r>
        <w:t>Ωa</w:t>
      </w:r>
      <w:proofErr w:type="spellEnd"/>
      <w:r>
        <w:t xml:space="preserve">) saturation. Values are means ± SD. Calculated concentrations of </w:t>
      </w:r>
      <w:r>
        <w:rPr>
          <w:i/>
        </w:rPr>
        <w:t>C</w:t>
      </w:r>
      <w:r>
        <w:rPr>
          <w:vertAlign w:val="subscript"/>
        </w:rPr>
        <w:t>T</w:t>
      </w:r>
      <w:r>
        <w:t xml:space="preserve">, </w:t>
      </w:r>
      <w:r>
        <w:rPr>
          <w:i/>
        </w:rPr>
        <w:t>p</w:t>
      </w:r>
      <w:r>
        <w:t>CO</w:t>
      </w:r>
      <w:r>
        <w:rPr>
          <w:vertAlign w:val="subscript"/>
        </w:rPr>
        <w:t>2</w:t>
      </w:r>
      <w:r>
        <w:t xml:space="preserve">, </w:t>
      </w:r>
      <w:proofErr w:type="spellStart"/>
      <w:r>
        <w:t>Ωc</w:t>
      </w:r>
      <w:proofErr w:type="spellEnd"/>
      <w:r>
        <w:t xml:space="preserve">, </w:t>
      </w:r>
      <w:proofErr w:type="spellStart"/>
      <w:r>
        <w:t>Ωa</w:t>
      </w:r>
      <w:proofErr w:type="spellEnd"/>
      <w:r>
        <w:t xml:space="preserve"> are shown. </w:t>
      </w:r>
    </w:p>
    <w:tbl>
      <w:tblPr>
        <w:tblStyle w:val="a"/>
        <w:tblW w:w="92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4"/>
        <w:gridCol w:w="791"/>
        <w:gridCol w:w="900"/>
        <w:gridCol w:w="1168"/>
        <w:gridCol w:w="1172"/>
        <w:gridCol w:w="1080"/>
        <w:gridCol w:w="1260"/>
        <w:gridCol w:w="864"/>
        <w:gridCol w:w="1031"/>
      </w:tblGrid>
      <w:tr w:rsidR="00714B50" w14:paraId="3657A902" w14:textId="77777777">
        <w:trPr>
          <w:trHeight w:val="608"/>
        </w:trPr>
        <w:tc>
          <w:tcPr>
            <w:tcW w:w="1004" w:type="dxa"/>
          </w:tcPr>
          <w:p w14:paraId="1571A1A4" w14:textId="77777777" w:rsidR="00714B50" w:rsidRDefault="0030138C">
            <w:pPr>
              <w:rPr>
                <w:sz w:val="18"/>
                <w:szCs w:val="18"/>
              </w:rPr>
            </w:pPr>
            <w:r>
              <w:rPr>
                <w:sz w:val="18"/>
                <w:szCs w:val="18"/>
              </w:rPr>
              <w:t>Treatment</w:t>
            </w:r>
          </w:p>
        </w:tc>
        <w:tc>
          <w:tcPr>
            <w:tcW w:w="791" w:type="dxa"/>
          </w:tcPr>
          <w:p w14:paraId="4352BD16" w14:textId="77777777" w:rsidR="00714B50" w:rsidRDefault="0030138C">
            <w:pPr>
              <w:rPr>
                <w:sz w:val="18"/>
                <w:szCs w:val="18"/>
                <w:vertAlign w:val="subscript"/>
              </w:rPr>
            </w:pPr>
            <w:proofErr w:type="spellStart"/>
            <w:r>
              <w:rPr>
                <w:sz w:val="18"/>
                <w:szCs w:val="18"/>
              </w:rPr>
              <w:t>pH</w:t>
            </w:r>
            <w:r>
              <w:rPr>
                <w:sz w:val="18"/>
                <w:szCs w:val="18"/>
                <w:vertAlign w:val="subscript"/>
              </w:rPr>
              <w:t>T</w:t>
            </w:r>
            <w:proofErr w:type="spellEnd"/>
          </w:p>
        </w:tc>
        <w:tc>
          <w:tcPr>
            <w:tcW w:w="900" w:type="dxa"/>
          </w:tcPr>
          <w:p w14:paraId="582CCAC9" w14:textId="77777777" w:rsidR="00714B50" w:rsidRDefault="0030138C">
            <w:pPr>
              <w:rPr>
                <w:sz w:val="18"/>
                <w:szCs w:val="18"/>
              </w:rPr>
            </w:pPr>
            <w:r>
              <w:rPr>
                <w:i/>
                <w:sz w:val="18"/>
                <w:szCs w:val="18"/>
              </w:rPr>
              <w:t>T</w:t>
            </w:r>
            <w:r>
              <w:rPr>
                <w:sz w:val="18"/>
                <w:szCs w:val="18"/>
              </w:rPr>
              <w:t xml:space="preserve"> (˚C)</w:t>
            </w:r>
          </w:p>
        </w:tc>
        <w:tc>
          <w:tcPr>
            <w:tcW w:w="1168" w:type="dxa"/>
          </w:tcPr>
          <w:p w14:paraId="496C5A09" w14:textId="77777777" w:rsidR="00714B50" w:rsidRDefault="0030138C">
            <w:pPr>
              <w:rPr>
                <w:sz w:val="18"/>
                <w:szCs w:val="18"/>
                <w:vertAlign w:val="subscript"/>
              </w:rPr>
            </w:pPr>
            <w:r>
              <w:rPr>
                <w:i/>
                <w:sz w:val="18"/>
                <w:szCs w:val="18"/>
              </w:rPr>
              <w:t>A</w:t>
            </w:r>
            <w:r>
              <w:rPr>
                <w:sz w:val="18"/>
                <w:szCs w:val="18"/>
                <w:vertAlign w:val="subscript"/>
              </w:rPr>
              <w:t>T</w:t>
            </w:r>
          </w:p>
          <w:p w14:paraId="5CC6DD04" w14:textId="77777777" w:rsidR="00714B50" w:rsidRDefault="0030138C">
            <w:pPr>
              <w:rPr>
                <w:sz w:val="18"/>
                <w:szCs w:val="18"/>
              </w:rPr>
            </w:pPr>
            <w:r>
              <w:rPr>
                <w:sz w:val="18"/>
                <w:szCs w:val="18"/>
              </w:rPr>
              <w:t>(µmol kg</w:t>
            </w:r>
            <w:r>
              <w:rPr>
                <w:sz w:val="18"/>
                <w:szCs w:val="18"/>
                <w:vertAlign w:val="superscript"/>
              </w:rPr>
              <w:t>-1</w:t>
            </w:r>
            <w:r>
              <w:rPr>
                <w:sz w:val="18"/>
                <w:szCs w:val="18"/>
              </w:rPr>
              <w:t>)</w:t>
            </w:r>
          </w:p>
        </w:tc>
        <w:tc>
          <w:tcPr>
            <w:tcW w:w="1172" w:type="dxa"/>
          </w:tcPr>
          <w:p w14:paraId="5419C2CF" w14:textId="77777777" w:rsidR="00714B50" w:rsidRDefault="0030138C">
            <w:pPr>
              <w:rPr>
                <w:sz w:val="18"/>
                <w:szCs w:val="18"/>
                <w:vertAlign w:val="subscript"/>
              </w:rPr>
            </w:pPr>
            <w:r>
              <w:rPr>
                <w:i/>
                <w:sz w:val="18"/>
                <w:szCs w:val="18"/>
              </w:rPr>
              <w:t>C</w:t>
            </w:r>
            <w:r>
              <w:rPr>
                <w:sz w:val="18"/>
                <w:szCs w:val="18"/>
                <w:vertAlign w:val="subscript"/>
              </w:rPr>
              <w:t>T</w:t>
            </w:r>
          </w:p>
          <w:p w14:paraId="7B536FAA" w14:textId="77777777" w:rsidR="00714B50" w:rsidRDefault="0030138C">
            <w:pPr>
              <w:rPr>
                <w:sz w:val="18"/>
                <w:szCs w:val="18"/>
              </w:rPr>
            </w:pPr>
            <w:r>
              <w:rPr>
                <w:sz w:val="18"/>
                <w:szCs w:val="18"/>
              </w:rPr>
              <w:t>(µmol kg</w:t>
            </w:r>
            <w:r>
              <w:rPr>
                <w:sz w:val="18"/>
                <w:szCs w:val="18"/>
                <w:vertAlign w:val="superscript"/>
              </w:rPr>
              <w:t>-1</w:t>
            </w:r>
            <w:r>
              <w:rPr>
                <w:sz w:val="18"/>
                <w:szCs w:val="18"/>
              </w:rPr>
              <w:t>)</w:t>
            </w:r>
          </w:p>
        </w:tc>
        <w:tc>
          <w:tcPr>
            <w:tcW w:w="1080" w:type="dxa"/>
          </w:tcPr>
          <w:p w14:paraId="4AEFBF3F" w14:textId="77777777" w:rsidR="00714B50" w:rsidRDefault="0030138C">
            <w:pPr>
              <w:rPr>
                <w:sz w:val="18"/>
                <w:szCs w:val="18"/>
              </w:rPr>
            </w:pPr>
            <w:r>
              <w:rPr>
                <w:sz w:val="18"/>
                <w:szCs w:val="18"/>
              </w:rPr>
              <w:t>Salinity</w:t>
            </w:r>
          </w:p>
        </w:tc>
        <w:tc>
          <w:tcPr>
            <w:tcW w:w="1260" w:type="dxa"/>
          </w:tcPr>
          <w:p w14:paraId="6A88C2B4" w14:textId="77777777" w:rsidR="00714B50" w:rsidRDefault="0030138C">
            <w:pPr>
              <w:rPr>
                <w:sz w:val="18"/>
                <w:szCs w:val="18"/>
                <w:vertAlign w:val="subscript"/>
              </w:rPr>
            </w:pPr>
            <w:r>
              <w:rPr>
                <w:i/>
                <w:sz w:val="18"/>
                <w:szCs w:val="18"/>
              </w:rPr>
              <w:t>p</w:t>
            </w:r>
            <w:r>
              <w:rPr>
                <w:sz w:val="18"/>
                <w:szCs w:val="18"/>
              </w:rPr>
              <w:t>CO</w:t>
            </w:r>
            <w:r>
              <w:rPr>
                <w:sz w:val="18"/>
                <w:szCs w:val="18"/>
                <w:vertAlign w:val="subscript"/>
              </w:rPr>
              <w:t xml:space="preserve">2 </w:t>
            </w:r>
            <w:r>
              <w:rPr>
                <w:sz w:val="18"/>
                <w:szCs w:val="18"/>
              </w:rPr>
              <w:t>(µatm)</w:t>
            </w:r>
          </w:p>
        </w:tc>
        <w:tc>
          <w:tcPr>
            <w:tcW w:w="864" w:type="dxa"/>
          </w:tcPr>
          <w:p w14:paraId="1BA26609" w14:textId="77777777" w:rsidR="00714B50" w:rsidRDefault="0030138C">
            <w:pPr>
              <w:rPr>
                <w:sz w:val="18"/>
                <w:szCs w:val="18"/>
              </w:rPr>
            </w:pPr>
            <w:proofErr w:type="spellStart"/>
            <w:r>
              <w:rPr>
                <w:sz w:val="18"/>
                <w:szCs w:val="18"/>
              </w:rPr>
              <w:t>Ωc</w:t>
            </w:r>
            <w:proofErr w:type="spellEnd"/>
          </w:p>
        </w:tc>
        <w:tc>
          <w:tcPr>
            <w:tcW w:w="1031" w:type="dxa"/>
          </w:tcPr>
          <w:p w14:paraId="4031174D" w14:textId="77777777" w:rsidR="00714B50" w:rsidRDefault="0030138C">
            <w:pPr>
              <w:rPr>
                <w:sz w:val="18"/>
                <w:szCs w:val="18"/>
              </w:rPr>
            </w:pPr>
            <w:proofErr w:type="spellStart"/>
            <w:r>
              <w:rPr>
                <w:sz w:val="18"/>
                <w:szCs w:val="18"/>
              </w:rPr>
              <w:t>Ωa</w:t>
            </w:r>
            <w:proofErr w:type="spellEnd"/>
          </w:p>
        </w:tc>
      </w:tr>
      <w:tr w:rsidR="00714B50" w14:paraId="5E2C87F5" w14:textId="77777777">
        <w:trPr>
          <w:trHeight w:val="313"/>
        </w:trPr>
        <w:tc>
          <w:tcPr>
            <w:tcW w:w="1004" w:type="dxa"/>
          </w:tcPr>
          <w:p w14:paraId="5BFB88DE" w14:textId="77777777" w:rsidR="00714B50" w:rsidRDefault="0030138C">
            <w:pPr>
              <w:rPr>
                <w:sz w:val="18"/>
                <w:szCs w:val="18"/>
              </w:rPr>
            </w:pPr>
            <w:r>
              <w:rPr>
                <w:sz w:val="18"/>
                <w:szCs w:val="18"/>
              </w:rPr>
              <w:t>CTRL</w:t>
            </w:r>
          </w:p>
          <w:p w14:paraId="5BBE9001" w14:textId="77777777" w:rsidR="00714B50" w:rsidRDefault="0030138C">
            <w:pPr>
              <w:rPr>
                <w:sz w:val="18"/>
                <w:szCs w:val="18"/>
              </w:rPr>
            </w:pPr>
            <w:r>
              <w:rPr>
                <w:sz w:val="18"/>
                <w:szCs w:val="18"/>
              </w:rPr>
              <w:t>n=88</w:t>
            </w:r>
          </w:p>
        </w:tc>
        <w:tc>
          <w:tcPr>
            <w:tcW w:w="791" w:type="dxa"/>
          </w:tcPr>
          <w:p w14:paraId="38A74AA9" w14:textId="77777777" w:rsidR="00714B50" w:rsidRDefault="0030138C">
            <w:pPr>
              <w:rPr>
                <w:sz w:val="18"/>
                <w:szCs w:val="18"/>
              </w:rPr>
            </w:pPr>
            <w:r>
              <w:rPr>
                <w:sz w:val="18"/>
                <w:szCs w:val="18"/>
              </w:rPr>
              <w:t>8.1±0.1</w:t>
            </w:r>
          </w:p>
        </w:tc>
        <w:tc>
          <w:tcPr>
            <w:tcW w:w="900" w:type="dxa"/>
          </w:tcPr>
          <w:p w14:paraId="04E7F623" w14:textId="77777777" w:rsidR="00714B50" w:rsidRDefault="0030138C">
            <w:pPr>
              <w:rPr>
                <w:sz w:val="18"/>
                <w:szCs w:val="18"/>
              </w:rPr>
            </w:pPr>
            <w:r>
              <w:rPr>
                <w:sz w:val="18"/>
                <w:szCs w:val="18"/>
              </w:rPr>
              <w:t>16.1±1.2</w:t>
            </w:r>
          </w:p>
        </w:tc>
        <w:tc>
          <w:tcPr>
            <w:tcW w:w="1168" w:type="dxa"/>
          </w:tcPr>
          <w:p w14:paraId="51DA4DCB" w14:textId="77777777" w:rsidR="00714B50" w:rsidRDefault="0030138C">
            <w:pPr>
              <w:rPr>
                <w:sz w:val="18"/>
                <w:szCs w:val="18"/>
              </w:rPr>
            </w:pPr>
            <w:r>
              <w:rPr>
                <w:sz w:val="18"/>
                <w:szCs w:val="18"/>
              </w:rPr>
              <w:t>2560.1±15.6</w:t>
            </w:r>
          </w:p>
        </w:tc>
        <w:tc>
          <w:tcPr>
            <w:tcW w:w="1172" w:type="dxa"/>
          </w:tcPr>
          <w:p w14:paraId="3EE73D9D" w14:textId="77777777" w:rsidR="00714B50" w:rsidRDefault="0030138C">
            <w:pPr>
              <w:rPr>
                <w:sz w:val="18"/>
                <w:szCs w:val="18"/>
              </w:rPr>
            </w:pPr>
            <w:r>
              <w:rPr>
                <w:sz w:val="18"/>
                <w:szCs w:val="18"/>
              </w:rPr>
              <w:t>2258.3±32.6</w:t>
            </w:r>
          </w:p>
        </w:tc>
        <w:tc>
          <w:tcPr>
            <w:tcW w:w="1080" w:type="dxa"/>
          </w:tcPr>
          <w:p w14:paraId="483373D8" w14:textId="77777777" w:rsidR="00714B50" w:rsidRDefault="0030138C">
            <w:pPr>
              <w:rPr>
                <w:sz w:val="18"/>
                <w:szCs w:val="18"/>
              </w:rPr>
            </w:pPr>
            <w:r>
              <w:rPr>
                <w:sz w:val="18"/>
                <w:szCs w:val="18"/>
              </w:rPr>
              <w:t>37.9±0.2</w:t>
            </w:r>
          </w:p>
        </w:tc>
        <w:tc>
          <w:tcPr>
            <w:tcW w:w="1260" w:type="dxa"/>
          </w:tcPr>
          <w:p w14:paraId="78F00E11" w14:textId="77777777" w:rsidR="00714B50" w:rsidRDefault="0030138C">
            <w:pPr>
              <w:rPr>
                <w:sz w:val="18"/>
                <w:szCs w:val="18"/>
              </w:rPr>
            </w:pPr>
            <w:r>
              <w:rPr>
                <w:sz w:val="18"/>
                <w:szCs w:val="18"/>
              </w:rPr>
              <w:t>372.5±67.3</w:t>
            </w:r>
          </w:p>
        </w:tc>
        <w:tc>
          <w:tcPr>
            <w:tcW w:w="864" w:type="dxa"/>
          </w:tcPr>
          <w:p w14:paraId="2C5891E5" w14:textId="77777777" w:rsidR="00714B50" w:rsidRDefault="0030138C">
            <w:pPr>
              <w:rPr>
                <w:sz w:val="18"/>
                <w:szCs w:val="18"/>
              </w:rPr>
            </w:pPr>
            <w:r>
              <w:rPr>
                <w:sz w:val="18"/>
                <w:szCs w:val="18"/>
              </w:rPr>
              <w:t>5.1±0.5</w:t>
            </w:r>
          </w:p>
        </w:tc>
        <w:tc>
          <w:tcPr>
            <w:tcW w:w="1031" w:type="dxa"/>
          </w:tcPr>
          <w:p w14:paraId="5CE1D16F" w14:textId="77777777" w:rsidR="00714B50" w:rsidRDefault="0030138C">
            <w:pPr>
              <w:rPr>
                <w:sz w:val="18"/>
                <w:szCs w:val="18"/>
              </w:rPr>
            </w:pPr>
            <w:r>
              <w:rPr>
                <w:sz w:val="18"/>
                <w:szCs w:val="18"/>
              </w:rPr>
              <w:t>3.3±0.3</w:t>
            </w:r>
          </w:p>
        </w:tc>
      </w:tr>
      <w:tr w:rsidR="00714B50" w14:paraId="140DD1D2" w14:textId="77777777">
        <w:trPr>
          <w:trHeight w:val="313"/>
        </w:trPr>
        <w:tc>
          <w:tcPr>
            <w:tcW w:w="1004" w:type="dxa"/>
          </w:tcPr>
          <w:p w14:paraId="6D68ACC6" w14:textId="77777777" w:rsidR="00714B50" w:rsidRDefault="0030138C">
            <w:pPr>
              <w:rPr>
                <w:sz w:val="18"/>
                <w:szCs w:val="18"/>
              </w:rPr>
            </w:pPr>
            <w:r>
              <w:rPr>
                <w:sz w:val="18"/>
                <w:szCs w:val="18"/>
              </w:rPr>
              <w:t>T1</w:t>
            </w:r>
          </w:p>
          <w:p w14:paraId="63B921E9" w14:textId="77777777" w:rsidR="00714B50" w:rsidRDefault="0030138C">
            <w:pPr>
              <w:rPr>
                <w:sz w:val="18"/>
                <w:szCs w:val="18"/>
              </w:rPr>
            </w:pPr>
            <w:r>
              <w:rPr>
                <w:sz w:val="18"/>
                <w:szCs w:val="18"/>
              </w:rPr>
              <w:t>n=70</w:t>
            </w:r>
          </w:p>
        </w:tc>
        <w:tc>
          <w:tcPr>
            <w:tcW w:w="791" w:type="dxa"/>
          </w:tcPr>
          <w:p w14:paraId="5056DCC2" w14:textId="77777777" w:rsidR="00714B50" w:rsidRDefault="0030138C">
            <w:pPr>
              <w:rPr>
                <w:sz w:val="18"/>
                <w:szCs w:val="18"/>
              </w:rPr>
            </w:pPr>
            <w:r>
              <w:rPr>
                <w:sz w:val="18"/>
                <w:szCs w:val="18"/>
              </w:rPr>
              <w:t>7.7±0.1</w:t>
            </w:r>
          </w:p>
        </w:tc>
        <w:tc>
          <w:tcPr>
            <w:tcW w:w="900" w:type="dxa"/>
          </w:tcPr>
          <w:p w14:paraId="2F5FD4A5" w14:textId="77777777" w:rsidR="00714B50" w:rsidRDefault="0030138C">
            <w:pPr>
              <w:rPr>
                <w:sz w:val="18"/>
                <w:szCs w:val="18"/>
              </w:rPr>
            </w:pPr>
            <w:r>
              <w:rPr>
                <w:sz w:val="18"/>
                <w:szCs w:val="18"/>
              </w:rPr>
              <w:t>18.1±0.7</w:t>
            </w:r>
          </w:p>
        </w:tc>
        <w:tc>
          <w:tcPr>
            <w:tcW w:w="1168" w:type="dxa"/>
          </w:tcPr>
          <w:p w14:paraId="0A6D9370" w14:textId="77777777" w:rsidR="00714B50" w:rsidRDefault="0030138C">
            <w:pPr>
              <w:rPr>
                <w:sz w:val="18"/>
                <w:szCs w:val="18"/>
              </w:rPr>
            </w:pPr>
            <w:r>
              <w:rPr>
                <w:sz w:val="18"/>
                <w:szCs w:val="18"/>
              </w:rPr>
              <w:t>2581.3±32.7</w:t>
            </w:r>
          </w:p>
        </w:tc>
        <w:tc>
          <w:tcPr>
            <w:tcW w:w="1172" w:type="dxa"/>
          </w:tcPr>
          <w:p w14:paraId="28BDECD5" w14:textId="77777777" w:rsidR="00714B50" w:rsidRDefault="0030138C">
            <w:pPr>
              <w:rPr>
                <w:sz w:val="18"/>
                <w:szCs w:val="18"/>
              </w:rPr>
            </w:pPr>
            <w:r>
              <w:rPr>
                <w:sz w:val="18"/>
                <w:szCs w:val="18"/>
              </w:rPr>
              <w:t>2478.2±44.5</w:t>
            </w:r>
          </w:p>
        </w:tc>
        <w:tc>
          <w:tcPr>
            <w:tcW w:w="1080" w:type="dxa"/>
          </w:tcPr>
          <w:p w14:paraId="19336340" w14:textId="77777777" w:rsidR="00714B50" w:rsidRDefault="0030138C">
            <w:pPr>
              <w:rPr>
                <w:sz w:val="18"/>
                <w:szCs w:val="18"/>
              </w:rPr>
            </w:pPr>
            <w:r>
              <w:rPr>
                <w:sz w:val="18"/>
                <w:szCs w:val="18"/>
              </w:rPr>
              <w:t>37.9±0.1</w:t>
            </w:r>
          </w:p>
        </w:tc>
        <w:tc>
          <w:tcPr>
            <w:tcW w:w="1260" w:type="dxa"/>
          </w:tcPr>
          <w:p w14:paraId="637346BE" w14:textId="77777777" w:rsidR="00714B50" w:rsidRDefault="0030138C">
            <w:pPr>
              <w:rPr>
                <w:sz w:val="18"/>
                <w:szCs w:val="18"/>
              </w:rPr>
            </w:pPr>
            <w:r>
              <w:rPr>
                <w:sz w:val="18"/>
                <w:szCs w:val="18"/>
              </w:rPr>
              <w:t>1204.2±255.5</w:t>
            </w:r>
          </w:p>
        </w:tc>
        <w:tc>
          <w:tcPr>
            <w:tcW w:w="864" w:type="dxa"/>
          </w:tcPr>
          <w:p w14:paraId="586DE593" w14:textId="77777777" w:rsidR="00714B50" w:rsidRDefault="0030138C">
            <w:pPr>
              <w:rPr>
                <w:sz w:val="18"/>
                <w:szCs w:val="18"/>
              </w:rPr>
            </w:pPr>
            <w:r>
              <w:rPr>
                <w:sz w:val="18"/>
                <w:szCs w:val="18"/>
              </w:rPr>
              <w:t>2.3±0.4</w:t>
            </w:r>
          </w:p>
        </w:tc>
        <w:tc>
          <w:tcPr>
            <w:tcW w:w="1031" w:type="dxa"/>
          </w:tcPr>
          <w:p w14:paraId="0B0D3097" w14:textId="77777777" w:rsidR="00714B50" w:rsidRDefault="0030138C">
            <w:pPr>
              <w:rPr>
                <w:sz w:val="18"/>
                <w:szCs w:val="18"/>
              </w:rPr>
            </w:pPr>
            <w:r>
              <w:rPr>
                <w:sz w:val="18"/>
                <w:szCs w:val="18"/>
              </w:rPr>
              <w:t>1.5±0.3</w:t>
            </w:r>
          </w:p>
        </w:tc>
      </w:tr>
      <w:tr w:rsidR="00714B50" w14:paraId="1F15F278" w14:textId="77777777">
        <w:trPr>
          <w:trHeight w:val="302"/>
        </w:trPr>
        <w:tc>
          <w:tcPr>
            <w:tcW w:w="1004" w:type="dxa"/>
          </w:tcPr>
          <w:p w14:paraId="71372B45" w14:textId="77777777" w:rsidR="00714B50" w:rsidRDefault="0030138C">
            <w:pPr>
              <w:rPr>
                <w:sz w:val="18"/>
                <w:szCs w:val="18"/>
              </w:rPr>
            </w:pPr>
            <w:r>
              <w:rPr>
                <w:sz w:val="18"/>
                <w:szCs w:val="18"/>
              </w:rPr>
              <w:t>T2</w:t>
            </w:r>
          </w:p>
          <w:p w14:paraId="6C83E8EE" w14:textId="77777777" w:rsidR="00714B50" w:rsidRDefault="0030138C">
            <w:pPr>
              <w:rPr>
                <w:sz w:val="18"/>
                <w:szCs w:val="18"/>
              </w:rPr>
            </w:pPr>
            <w:r>
              <w:rPr>
                <w:sz w:val="18"/>
                <w:szCs w:val="18"/>
              </w:rPr>
              <w:t>n=21</w:t>
            </w:r>
          </w:p>
        </w:tc>
        <w:tc>
          <w:tcPr>
            <w:tcW w:w="791" w:type="dxa"/>
          </w:tcPr>
          <w:p w14:paraId="1B8BDDD6" w14:textId="77777777" w:rsidR="00714B50" w:rsidRDefault="0030138C">
            <w:pPr>
              <w:rPr>
                <w:sz w:val="18"/>
                <w:szCs w:val="18"/>
              </w:rPr>
            </w:pPr>
            <w:r>
              <w:rPr>
                <w:sz w:val="18"/>
                <w:szCs w:val="18"/>
              </w:rPr>
              <w:t>7.7±0.1</w:t>
            </w:r>
          </w:p>
        </w:tc>
        <w:tc>
          <w:tcPr>
            <w:tcW w:w="900" w:type="dxa"/>
          </w:tcPr>
          <w:p w14:paraId="5FCA1975" w14:textId="77777777" w:rsidR="00714B50" w:rsidRDefault="0030138C">
            <w:pPr>
              <w:rPr>
                <w:sz w:val="18"/>
                <w:szCs w:val="18"/>
              </w:rPr>
            </w:pPr>
            <w:r>
              <w:rPr>
                <w:sz w:val="18"/>
                <w:szCs w:val="18"/>
              </w:rPr>
              <w:t>23.3±3</w:t>
            </w:r>
          </w:p>
        </w:tc>
        <w:tc>
          <w:tcPr>
            <w:tcW w:w="1168" w:type="dxa"/>
          </w:tcPr>
          <w:p w14:paraId="673F789D" w14:textId="77777777" w:rsidR="00714B50" w:rsidRDefault="0030138C">
            <w:pPr>
              <w:rPr>
                <w:sz w:val="18"/>
                <w:szCs w:val="18"/>
              </w:rPr>
            </w:pPr>
            <w:r>
              <w:rPr>
                <w:sz w:val="18"/>
                <w:szCs w:val="18"/>
              </w:rPr>
              <w:t>2570.8±6.6</w:t>
            </w:r>
          </w:p>
        </w:tc>
        <w:tc>
          <w:tcPr>
            <w:tcW w:w="1172" w:type="dxa"/>
          </w:tcPr>
          <w:p w14:paraId="09031A72" w14:textId="77777777" w:rsidR="00714B50" w:rsidRDefault="0030138C">
            <w:pPr>
              <w:rPr>
                <w:sz w:val="18"/>
                <w:szCs w:val="18"/>
              </w:rPr>
            </w:pPr>
            <w:r>
              <w:rPr>
                <w:sz w:val="18"/>
                <w:szCs w:val="18"/>
              </w:rPr>
              <w:t>2416.6±30</w:t>
            </w:r>
          </w:p>
        </w:tc>
        <w:tc>
          <w:tcPr>
            <w:tcW w:w="1080" w:type="dxa"/>
          </w:tcPr>
          <w:p w14:paraId="571A411C" w14:textId="77777777" w:rsidR="00714B50" w:rsidRDefault="0030138C">
            <w:pPr>
              <w:rPr>
                <w:sz w:val="18"/>
                <w:szCs w:val="18"/>
              </w:rPr>
            </w:pPr>
            <w:r>
              <w:rPr>
                <w:sz w:val="18"/>
                <w:szCs w:val="18"/>
              </w:rPr>
              <w:t>37.9±0.2</w:t>
            </w:r>
          </w:p>
        </w:tc>
        <w:tc>
          <w:tcPr>
            <w:tcW w:w="1260" w:type="dxa"/>
          </w:tcPr>
          <w:p w14:paraId="2540A3C5" w14:textId="77777777" w:rsidR="00714B50" w:rsidRDefault="0030138C">
            <w:pPr>
              <w:rPr>
                <w:sz w:val="18"/>
                <w:szCs w:val="18"/>
              </w:rPr>
            </w:pPr>
            <w:r>
              <w:rPr>
                <w:sz w:val="18"/>
                <w:szCs w:val="18"/>
              </w:rPr>
              <w:t>1072.1±248.4</w:t>
            </w:r>
          </w:p>
        </w:tc>
        <w:tc>
          <w:tcPr>
            <w:tcW w:w="864" w:type="dxa"/>
          </w:tcPr>
          <w:p w14:paraId="3BD772D1" w14:textId="77777777" w:rsidR="00714B50" w:rsidRDefault="0030138C">
            <w:pPr>
              <w:rPr>
                <w:sz w:val="18"/>
                <w:szCs w:val="18"/>
              </w:rPr>
            </w:pPr>
            <w:r>
              <w:rPr>
                <w:sz w:val="18"/>
                <w:szCs w:val="18"/>
              </w:rPr>
              <w:t>3±0.4</w:t>
            </w:r>
          </w:p>
        </w:tc>
        <w:tc>
          <w:tcPr>
            <w:tcW w:w="1031" w:type="dxa"/>
          </w:tcPr>
          <w:p w14:paraId="535C82E2" w14:textId="77777777" w:rsidR="00714B50" w:rsidRDefault="0030138C">
            <w:pPr>
              <w:rPr>
                <w:sz w:val="18"/>
                <w:szCs w:val="18"/>
              </w:rPr>
            </w:pPr>
            <w:r>
              <w:rPr>
                <w:sz w:val="18"/>
                <w:szCs w:val="18"/>
              </w:rPr>
              <w:t>2±0.3</w:t>
            </w:r>
          </w:p>
        </w:tc>
      </w:tr>
    </w:tbl>
    <w:p w14:paraId="28039B52" w14:textId="77777777" w:rsidR="00714B50" w:rsidRDefault="00714B50">
      <w:pPr>
        <w:spacing w:after="0" w:line="276" w:lineRule="auto"/>
      </w:pPr>
    </w:p>
    <w:p w14:paraId="2D6A5555" w14:textId="77777777" w:rsidR="00714B50" w:rsidRDefault="0030138C">
      <w:pPr>
        <w:spacing w:after="0" w:line="276" w:lineRule="auto"/>
      </w:pPr>
      <w:r>
        <w:t xml:space="preserve">Table S3. Output of the Post hoc pairwise comparisons performed with the Tukey HSD test to test for the effect of the substrate type, bare rock, </w:t>
      </w:r>
      <w:r>
        <w:rPr>
          <w:i/>
        </w:rPr>
        <w:t xml:space="preserve">M. </w:t>
      </w:r>
      <w:proofErr w:type="spellStart"/>
      <w:r>
        <w:rPr>
          <w:i/>
        </w:rPr>
        <w:t>densdrospermum</w:t>
      </w:r>
      <w:proofErr w:type="spellEnd"/>
      <w:r>
        <w:rPr>
          <w:i/>
        </w:rPr>
        <w:t xml:space="preserve"> </w:t>
      </w:r>
      <w:r>
        <w:t>and</w:t>
      </w:r>
      <w:r>
        <w:rPr>
          <w:i/>
        </w:rPr>
        <w:t xml:space="preserve"> L. </w:t>
      </w:r>
      <w:proofErr w:type="spellStart"/>
      <w:r>
        <w:rPr>
          <w:i/>
        </w:rPr>
        <w:t>stictiforme</w:t>
      </w:r>
      <w:proofErr w:type="spellEnd"/>
      <w:r>
        <w:t xml:space="preserve">, on </w:t>
      </w:r>
      <w:r>
        <w:rPr>
          <w:i/>
        </w:rPr>
        <w:t xml:space="preserve">E. </w:t>
      </w:r>
      <w:proofErr w:type="spellStart"/>
      <w:r>
        <w:rPr>
          <w:i/>
        </w:rPr>
        <w:t>singularis</w:t>
      </w:r>
      <w:proofErr w:type="spellEnd"/>
      <w:r>
        <w:t xml:space="preserve"> larvae settlement events’ number.</w:t>
      </w:r>
    </w:p>
    <w:p w14:paraId="63586EBA" w14:textId="77777777" w:rsidR="00714B50" w:rsidRDefault="00714B50">
      <w:pPr>
        <w:spacing w:after="0" w:line="276" w:lineRule="auto"/>
      </w:pPr>
    </w:p>
    <w:tbl>
      <w:tblPr>
        <w:tblStyle w:val="a0"/>
        <w:tblW w:w="93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17"/>
        <w:gridCol w:w="1493"/>
        <w:gridCol w:w="1760"/>
        <w:gridCol w:w="1184"/>
        <w:gridCol w:w="1996"/>
      </w:tblGrid>
      <w:tr w:rsidR="00714B50" w14:paraId="619A26AE" w14:textId="77777777">
        <w:trPr>
          <w:trHeight w:val="320"/>
        </w:trPr>
        <w:tc>
          <w:tcPr>
            <w:tcW w:w="2917" w:type="dxa"/>
            <w:vAlign w:val="bottom"/>
          </w:tcPr>
          <w:p w14:paraId="529CAF09" w14:textId="77777777" w:rsidR="00714B50" w:rsidRDefault="0030138C">
            <w:pPr>
              <w:jc w:val="center"/>
              <w:rPr>
                <w:b/>
                <w:color w:val="000000"/>
                <w:sz w:val="18"/>
                <w:szCs w:val="18"/>
              </w:rPr>
            </w:pPr>
            <w:r>
              <w:rPr>
                <w:b/>
                <w:color w:val="000000"/>
                <w:sz w:val="18"/>
                <w:szCs w:val="18"/>
              </w:rPr>
              <w:t>Substrates</w:t>
            </w:r>
          </w:p>
        </w:tc>
        <w:tc>
          <w:tcPr>
            <w:tcW w:w="1493" w:type="dxa"/>
            <w:vAlign w:val="bottom"/>
          </w:tcPr>
          <w:p w14:paraId="5FF3C176" w14:textId="77777777" w:rsidR="00714B50" w:rsidRDefault="0030138C">
            <w:pPr>
              <w:jc w:val="center"/>
              <w:rPr>
                <w:b/>
                <w:color w:val="000000"/>
                <w:sz w:val="18"/>
                <w:szCs w:val="18"/>
              </w:rPr>
            </w:pPr>
            <w:r>
              <w:rPr>
                <w:b/>
                <w:color w:val="000000"/>
                <w:sz w:val="18"/>
                <w:szCs w:val="18"/>
              </w:rPr>
              <w:t>diff</w:t>
            </w:r>
          </w:p>
        </w:tc>
        <w:tc>
          <w:tcPr>
            <w:tcW w:w="1760" w:type="dxa"/>
            <w:vAlign w:val="bottom"/>
          </w:tcPr>
          <w:p w14:paraId="2551B9DD" w14:textId="77777777" w:rsidR="00714B50" w:rsidRDefault="0030138C">
            <w:pPr>
              <w:jc w:val="center"/>
              <w:rPr>
                <w:b/>
                <w:color w:val="000000"/>
                <w:sz w:val="18"/>
                <w:szCs w:val="18"/>
              </w:rPr>
            </w:pPr>
            <w:proofErr w:type="spellStart"/>
            <w:r>
              <w:rPr>
                <w:b/>
                <w:color w:val="000000"/>
                <w:sz w:val="18"/>
                <w:szCs w:val="18"/>
              </w:rPr>
              <w:t>lwr</w:t>
            </w:r>
            <w:proofErr w:type="spellEnd"/>
          </w:p>
        </w:tc>
        <w:tc>
          <w:tcPr>
            <w:tcW w:w="1184" w:type="dxa"/>
            <w:vAlign w:val="bottom"/>
          </w:tcPr>
          <w:p w14:paraId="4B541FA3" w14:textId="77777777" w:rsidR="00714B50" w:rsidRDefault="0030138C">
            <w:pPr>
              <w:jc w:val="center"/>
              <w:rPr>
                <w:b/>
                <w:color w:val="000000"/>
                <w:sz w:val="18"/>
                <w:szCs w:val="18"/>
              </w:rPr>
            </w:pPr>
            <w:proofErr w:type="spellStart"/>
            <w:r>
              <w:rPr>
                <w:b/>
                <w:color w:val="000000"/>
                <w:sz w:val="18"/>
                <w:szCs w:val="18"/>
              </w:rPr>
              <w:t>upr</w:t>
            </w:r>
            <w:proofErr w:type="spellEnd"/>
          </w:p>
        </w:tc>
        <w:tc>
          <w:tcPr>
            <w:tcW w:w="1996" w:type="dxa"/>
            <w:vAlign w:val="bottom"/>
          </w:tcPr>
          <w:p w14:paraId="754E8D93" w14:textId="77777777" w:rsidR="00714B50" w:rsidRDefault="0030138C">
            <w:pPr>
              <w:jc w:val="center"/>
              <w:rPr>
                <w:b/>
                <w:color w:val="000000"/>
                <w:sz w:val="18"/>
                <w:szCs w:val="18"/>
              </w:rPr>
            </w:pPr>
            <w:r>
              <w:rPr>
                <w:b/>
                <w:color w:val="000000"/>
                <w:sz w:val="18"/>
                <w:szCs w:val="18"/>
              </w:rPr>
              <w:t>p adj</w:t>
            </w:r>
          </w:p>
        </w:tc>
      </w:tr>
      <w:tr w:rsidR="00714B50" w14:paraId="0B42D4DA" w14:textId="77777777">
        <w:trPr>
          <w:trHeight w:val="320"/>
        </w:trPr>
        <w:tc>
          <w:tcPr>
            <w:tcW w:w="2917" w:type="dxa"/>
            <w:vAlign w:val="bottom"/>
          </w:tcPr>
          <w:p w14:paraId="71CAB8CD" w14:textId="77777777" w:rsidR="00714B50" w:rsidRDefault="0030138C">
            <w:pPr>
              <w:rPr>
                <w:b/>
                <w:color w:val="000000"/>
                <w:sz w:val="18"/>
                <w:szCs w:val="18"/>
              </w:rPr>
            </w:pPr>
            <w:r>
              <w:rPr>
                <w:b/>
                <w:i/>
                <w:color w:val="000000"/>
                <w:sz w:val="18"/>
                <w:szCs w:val="18"/>
              </w:rPr>
              <w:t xml:space="preserve">L. </w:t>
            </w:r>
            <w:proofErr w:type="spellStart"/>
            <w:r>
              <w:rPr>
                <w:b/>
                <w:i/>
                <w:color w:val="000000"/>
                <w:sz w:val="18"/>
                <w:szCs w:val="18"/>
              </w:rPr>
              <w:t>stictiforme</w:t>
            </w:r>
            <w:proofErr w:type="spellEnd"/>
            <w:r>
              <w:rPr>
                <w:b/>
                <w:color w:val="000000"/>
                <w:sz w:val="18"/>
                <w:szCs w:val="18"/>
              </w:rPr>
              <w:t xml:space="preserve"> –</w:t>
            </w:r>
            <w:r>
              <w:rPr>
                <w:b/>
                <w:i/>
                <w:color w:val="000000"/>
                <w:sz w:val="18"/>
                <w:szCs w:val="18"/>
              </w:rPr>
              <w:t xml:space="preserve"> </w:t>
            </w:r>
            <w:r>
              <w:rPr>
                <w:b/>
                <w:color w:val="000000"/>
                <w:sz w:val="18"/>
                <w:szCs w:val="18"/>
              </w:rPr>
              <w:t>bare rock</w:t>
            </w:r>
          </w:p>
        </w:tc>
        <w:tc>
          <w:tcPr>
            <w:tcW w:w="1493" w:type="dxa"/>
            <w:vAlign w:val="bottom"/>
          </w:tcPr>
          <w:p w14:paraId="09207747" w14:textId="77777777" w:rsidR="00714B50" w:rsidRDefault="0030138C">
            <w:pPr>
              <w:jc w:val="center"/>
              <w:rPr>
                <w:color w:val="000000"/>
                <w:sz w:val="18"/>
                <w:szCs w:val="18"/>
              </w:rPr>
            </w:pPr>
            <w:r>
              <w:rPr>
                <w:color w:val="000000"/>
                <w:sz w:val="18"/>
                <w:szCs w:val="18"/>
              </w:rPr>
              <w:t>9.666667</w:t>
            </w:r>
          </w:p>
        </w:tc>
        <w:tc>
          <w:tcPr>
            <w:tcW w:w="1760" w:type="dxa"/>
            <w:vAlign w:val="bottom"/>
          </w:tcPr>
          <w:p w14:paraId="3D8C9A5D" w14:textId="77777777" w:rsidR="00714B50" w:rsidRDefault="0030138C">
            <w:pPr>
              <w:jc w:val="center"/>
              <w:rPr>
                <w:color w:val="000000"/>
                <w:sz w:val="18"/>
                <w:szCs w:val="18"/>
              </w:rPr>
            </w:pPr>
            <w:r>
              <w:rPr>
                <w:color w:val="000000"/>
                <w:sz w:val="18"/>
                <w:szCs w:val="18"/>
              </w:rPr>
              <w:t>-1.6916293</w:t>
            </w:r>
          </w:p>
        </w:tc>
        <w:tc>
          <w:tcPr>
            <w:tcW w:w="1184" w:type="dxa"/>
            <w:vAlign w:val="bottom"/>
          </w:tcPr>
          <w:p w14:paraId="560AA4C5" w14:textId="77777777" w:rsidR="00714B50" w:rsidRDefault="0030138C">
            <w:pPr>
              <w:jc w:val="center"/>
              <w:rPr>
                <w:color w:val="000000"/>
                <w:sz w:val="18"/>
                <w:szCs w:val="18"/>
              </w:rPr>
            </w:pPr>
            <w:r>
              <w:rPr>
                <w:color w:val="000000"/>
                <w:sz w:val="18"/>
                <w:szCs w:val="18"/>
              </w:rPr>
              <w:t>21.02496</w:t>
            </w:r>
          </w:p>
        </w:tc>
        <w:tc>
          <w:tcPr>
            <w:tcW w:w="1996" w:type="dxa"/>
            <w:vAlign w:val="bottom"/>
          </w:tcPr>
          <w:p w14:paraId="7160023D" w14:textId="77777777" w:rsidR="00714B50" w:rsidRDefault="0030138C">
            <w:pPr>
              <w:jc w:val="center"/>
              <w:rPr>
                <w:color w:val="000000"/>
                <w:sz w:val="18"/>
                <w:szCs w:val="18"/>
              </w:rPr>
            </w:pPr>
            <w:r>
              <w:rPr>
                <w:color w:val="000000"/>
                <w:sz w:val="18"/>
                <w:szCs w:val="18"/>
              </w:rPr>
              <w:t>0.0886054</w:t>
            </w:r>
          </w:p>
        </w:tc>
      </w:tr>
      <w:tr w:rsidR="00714B50" w14:paraId="2D0BFBB7" w14:textId="77777777">
        <w:trPr>
          <w:trHeight w:val="320"/>
        </w:trPr>
        <w:tc>
          <w:tcPr>
            <w:tcW w:w="2917" w:type="dxa"/>
            <w:vAlign w:val="bottom"/>
          </w:tcPr>
          <w:p w14:paraId="1DEC57E2" w14:textId="77777777" w:rsidR="00714B50" w:rsidRDefault="0030138C">
            <w:pPr>
              <w:rPr>
                <w:b/>
                <w:i/>
                <w:color w:val="000000"/>
                <w:sz w:val="18"/>
                <w:szCs w:val="18"/>
              </w:rPr>
            </w:pPr>
            <w:r>
              <w:rPr>
                <w:b/>
                <w:i/>
                <w:color w:val="000000"/>
                <w:sz w:val="18"/>
                <w:szCs w:val="18"/>
              </w:rPr>
              <w:t xml:space="preserve">M. </w:t>
            </w:r>
            <w:proofErr w:type="spellStart"/>
            <w:r>
              <w:rPr>
                <w:b/>
                <w:i/>
                <w:color w:val="000000"/>
                <w:sz w:val="18"/>
                <w:szCs w:val="18"/>
              </w:rPr>
              <w:t>densdrospermum</w:t>
            </w:r>
            <w:proofErr w:type="spellEnd"/>
            <w:r>
              <w:rPr>
                <w:b/>
                <w:i/>
                <w:color w:val="000000"/>
                <w:sz w:val="18"/>
                <w:szCs w:val="18"/>
              </w:rPr>
              <w:t xml:space="preserve"> </w:t>
            </w:r>
            <w:r>
              <w:rPr>
                <w:b/>
                <w:color w:val="000000"/>
                <w:sz w:val="18"/>
                <w:szCs w:val="18"/>
              </w:rPr>
              <w:t>–</w:t>
            </w:r>
            <w:r>
              <w:rPr>
                <w:b/>
                <w:i/>
                <w:color w:val="000000"/>
                <w:sz w:val="18"/>
                <w:szCs w:val="18"/>
              </w:rPr>
              <w:t xml:space="preserve"> </w:t>
            </w:r>
            <w:r>
              <w:rPr>
                <w:b/>
                <w:color w:val="000000"/>
                <w:sz w:val="18"/>
                <w:szCs w:val="18"/>
              </w:rPr>
              <w:t>bare rock</w:t>
            </w:r>
          </w:p>
        </w:tc>
        <w:tc>
          <w:tcPr>
            <w:tcW w:w="1493" w:type="dxa"/>
            <w:vAlign w:val="bottom"/>
          </w:tcPr>
          <w:p w14:paraId="0EF444C8" w14:textId="77777777" w:rsidR="00714B50" w:rsidRDefault="0030138C">
            <w:pPr>
              <w:jc w:val="center"/>
              <w:rPr>
                <w:color w:val="000000"/>
                <w:sz w:val="18"/>
                <w:szCs w:val="18"/>
              </w:rPr>
            </w:pPr>
            <w:r>
              <w:rPr>
                <w:color w:val="000000"/>
                <w:sz w:val="18"/>
                <w:szCs w:val="18"/>
              </w:rPr>
              <w:t>12.333333</w:t>
            </w:r>
          </w:p>
        </w:tc>
        <w:tc>
          <w:tcPr>
            <w:tcW w:w="1760" w:type="dxa"/>
            <w:vAlign w:val="bottom"/>
          </w:tcPr>
          <w:p w14:paraId="4BFF71AA" w14:textId="77777777" w:rsidR="00714B50" w:rsidRDefault="0030138C">
            <w:pPr>
              <w:jc w:val="center"/>
              <w:rPr>
                <w:color w:val="000000"/>
                <w:sz w:val="18"/>
                <w:szCs w:val="18"/>
              </w:rPr>
            </w:pPr>
            <w:r>
              <w:rPr>
                <w:color w:val="000000"/>
                <w:sz w:val="18"/>
                <w:szCs w:val="18"/>
              </w:rPr>
              <w:t>0.9750374</w:t>
            </w:r>
          </w:p>
        </w:tc>
        <w:tc>
          <w:tcPr>
            <w:tcW w:w="1184" w:type="dxa"/>
            <w:vAlign w:val="bottom"/>
          </w:tcPr>
          <w:p w14:paraId="21B86BC3" w14:textId="77777777" w:rsidR="00714B50" w:rsidRDefault="0030138C">
            <w:pPr>
              <w:jc w:val="center"/>
              <w:rPr>
                <w:color w:val="000000"/>
                <w:sz w:val="18"/>
                <w:szCs w:val="18"/>
              </w:rPr>
            </w:pPr>
            <w:r>
              <w:rPr>
                <w:color w:val="000000"/>
                <w:sz w:val="18"/>
                <w:szCs w:val="18"/>
              </w:rPr>
              <w:t>23.69163</w:t>
            </w:r>
          </w:p>
        </w:tc>
        <w:tc>
          <w:tcPr>
            <w:tcW w:w="1996" w:type="dxa"/>
            <w:vAlign w:val="bottom"/>
          </w:tcPr>
          <w:p w14:paraId="3B0AEBFC" w14:textId="77777777" w:rsidR="00714B50" w:rsidRDefault="0030138C">
            <w:pPr>
              <w:jc w:val="center"/>
              <w:rPr>
                <w:color w:val="000000"/>
                <w:sz w:val="18"/>
                <w:szCs w:val="18"/>
              </w:rPr>
            </w:pPr>
            <w:r>
              <w:rPr>
                <w:color w:val="000000"/>
                <w:sz w:val="18"/>
                <w:szCs w:val="18"/>
              </w:rPr>
              <w:t>0.0362924 *</w:t>
            </w:r>
          </w:p>
        </w:tc>
      </w:tr>
      <w:tr w:rsidR="00714B50" w14:paraId="7EC35C85" w14:textId="77777777">
        <w:trPr>
          <w:trHeight w:val="320"/>
        </w:trPr>
        <w:tc>
          <w:tcPr>
            <w:tcW w:w="2917" w:type="dxa"/>
            <w:vAlign w:val="bottom"/>
          </w:tcPr>
          <w:p w14:paraId="3FC454CD" w14:textId="77777777" w:rsidR="00714B50" w:rsidRDefault="0030138C">
            <w:pPr>
              <w:rPr>
                <w:b/>
                <w:i/>
                <w:color w:val="000000"/>
                <w:sz w:val="18"/>
                <w:szCs w:val="18"/>
              </w:rPr>
            </w:pPr>
            <w:r>
              <w:rPr>
                <w:b/>
                <w:i/>
                <w:color w:val="000000"/>
                <w:sz w:val="18"/>
                <w:szCs w:val="18"/>
              </w:rPr>
              <w:t xml:space="preserve">M. </w:t>
            </w:r>
            <w:proofErr w:type="spellStart"/>
            <w:r>
              <w:rPr>
                <w:b/>
                <w:i/>
                <w:color w:val="000000"/>
                <w:sz w:val="18"/>
                <w:szCs w:val="18"/>
              </w:rPr>
              <w:t>densdrospermum</w:t>
            </w:r>
            <w:proofErr w:type="spellEnd"/>
            <w:r>
              <w:rPr>
                <w:b/>
                <w:color w:val="000000"/>
                <w:sz w:val="18"/>
                <w:szCs w:val="18"/>
              </w:rPr>
              <w:t>–</w:t>
            </w:r>
            <w:r>
              <w:rPr>
                <w:b/>
                <w:i/>
                <w:color w:val="000000"/>
                <w:sz w:val="18"/>
                <w:szCs w:val="18"/>
              </w:rPr>
              <w:t xml:space="preserve"> L. </w:t>
            </w:r>
            <w:proofErr w:type="spellStart"/>
            <w:r>
              <w:rPr>
                <w:b/>
                <w:i/>
                <w:color w:val="000000"/>
                <w:sz w:val="18"/>
                <w:szCs w:val="18"/>
              </w:rPr>
              <w:t>stictiforme</w:t>
            </w:r>
            <w:proofErr w:type="spellEnd"/>
          </w:p>
        </w:tc>
        <w:tc>
          <w:tcPr>
            <w:tcW w:w="1493" w:type="dxa"/>
            <w:vAlign w:val="bottom"/>
          </w:tcPr>
          <w:p w14:paraId="69F61496" w14:textId="77777777" w:rsidR="00714B50" w:rsidRDefault="0030138C">
            <w:pPr>
              <w:jc w:val="center"/>
              <w:rPr>
                <w:color w:val="000000"/>
                <w:sz w:val="18"/>
                <w:szCs w:val="18"/>
              </w:rPr>
            </w:pPr>
            <w:r>
              <w:rPr>
                <w:color w:val="000000"/>
                <w:sz w:val="18"/>
                <w:szCs w:val="18"/>
              </w:rPr>
              <w:t>2.666667</w:t>
            </w:r>
          </w:p>
        </w:tc>
        <w:tc>
          <w:tcPr>
            <w:tcW w:w="1760" w:type="dxa"/>
            <w:vAlign w:val="bottom"/>
          </w:tcPr>
          <w:p w14:paraId="2080AFB6" w14:textId="77777777" w:rsidR="00714B50" w:rsidRDefault="0030138C">
            <w:pPr>
              <w:jc w:val="center"/>
              <w:rPr>
                <w:color w:val="000000"/>
                <w:sz w:val="18"/>
                <w:szCs w:val="18"/>
              </w:rPr>
            </w:pPr>
            <w:r>
              <w:rPr>
                <w:color w:val="000000"/>
                <w:sz w:val="18"/>
                <w:szCs w:val="18"/>
              </w:rPr>
              <w:t>-8.6916293</w:t>
            </w:r>
          </w:p>
        </w:tc>
        <w:tc>
          <w:tcPr>
            <w:tcW w:w="1184" w:type="dxa"/>
            <w:vAlign w:val="bottom"/>
          </w:tcPr>
          <w:p w14:paraId="03E19E34" w14:textId="77777777" w:rsidR="00714B50" w:rsidRDefault="0030138C">
            <w:pPr>
              <w:jc w:val="center"/>
              <w:rPr>
                <w:color w:val="000000"/>
                <w:sz w:val="18"/>
                <w:szCs w:val="18"/>
              </w:rPr>
            </w:pPr>
            <w:r>
              <w:rPr>
                <w:color w:val="000000"/>
                <w:sz w:val="18"/>
                <w:szCs w:val="18"/>
              </w:rPr>
              <w:t>14.02496</w:t>
            </w:r>
          </w:p>
        </w:tc>
        <w:tc>
          <w:tcPr>
            <w:tcW w:w="1996" w:type="dxa"/>
            <w:vAlign w:val="bottom"/>
          </w:tcPr>
          <w:p w14:paraId="017EF681" w14:textId="77777777" w:rsidR="00714B50" w:rsidRDefault="0030138C">
            <w:pPr>
              <w:jc w:val="center"/>
              <w:rPr>
                <w:color w:val="000000"/>
                <w:sz w:val="18"/>
                <w:szCs w:val="18"/>
              </w:rPr>
            </w:pPr>
            <w:r>
              <w:rPr>
                <w:color w:val="000000"/>
                <w:sz w:val="18"/>
                <w:szCs w:val="18"/>
              </w:rPr>
              <w:t>0.7611555</w:t>
            </w:r>
          </w:p>
        </w:tc>
      </w:tr>
    </w:tbl>
    <w:p w14:paraId="27C15A39" w14:textId="77777777" w:rsidR="00714B50" w:rsidRDefault="00714B50">
      <w:pPr>
        <w:spacing w:after="0" w:line="276" w:lineRule="auto"/>
      </w:pPr>
    </w:p>
    <w:p w14:paraId="3FAEFE1F" w14:textId="77777777" w:rsidR="00714B50" w:rsidRDefault="0030138C">
      <w:pPr>
        <w:spacing w:after="0" w:line="276" w:lineRule="auto"/>
      </w:pPr>
      <w:r>
        <w:t xml:space="preserve">Table S4. Output of the Post hoc pairwise comparisons conducted using the Tukey HSD test to test for the effect of treatments on CCA on </w:t>
      </w:r>
      <w:r>
        <w:rPr>
          <w:i/>
        </w:rPr>
        <w:t xml:space="preserve">E. </w:t>
      </w:r>
      <w:proofErr w:type="spellStart"/>
      <w:r>
        <w:rPr>
          <w:i/>
        </w:rPr>
        <w:t>singularis</w:t>
      </w:r>
      <w:proofErr w:type="spellEnd"/>
      <w:r>
        <w:t xml:space="preserve"> larvae settlement events’ number.</w:t>
      </w:r>
    </w:p>
    <w:p w14:paraId="3757B4B1" w14:textId="77777777" w:rsidR="00714B50" w:rsidRDefault="00714B50">
      <w:pPr>
        <w:spacing w:after="0" w:line="276" w:lineRule="auto"/>
      </w:pPr>
    </w:p>
    <w:tbl>
      <w:tblPr>
        <w:tblStyle w:val="a1"/>
        <w:tblW w:w="93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5"/>
        <w:gridCol w:w="2452"/>
        <w:gridCol w:w="1894"/>
        <w:gridCol w:w="1719"/>
        <w:gridCol w:w="1300"/>
      </w:tblGrid>
      <w:tr w:rsidR="00714B50" w14:paraId="374C05F6" w14:textId="77777777">
        <w:trPr>
          <w:trHeight w:val="300"/>
        </w:trPr>
        <w:tc>
          <w:tcPr>
            <w:tcW w:w="1985" w:type="dxa"/>
            <w:vAlign w:val="bottom"/>
          </w:tcPr>
          <w:p w14:paraId="3ABBC471" w14:textId="77777777" w:rsidR="00714B50" w:rsidRDefault="0030138C">
            <w:pPr>
              <w:jc w:val="center"/>
              <w:rPr>
                <w:b/>
                <w:color w:val="000000"/>
                <w:sz w:val="18"/>
                <w:szCs w:val="18"/>
              </w:rPr>
            </w:pPr>
            <w:r>
              <w:rPr>
                <w:b/>
                <w:color w:val="000000"/>
                <w:sz w:val="18"/>
                <w:szCs w:val="18"/>
              </w:rPr>
              <w:t>Treatment</w:t>
            </w:r>
          </w:p>
        </w:tc>
        <w:tc>
          <w:tcPr>
            <w:tcW w:w="2452" w:type="dxa"/>
            <w:vAlign w:val="bottom"/>
          </w:tcPr>
          <w:p w14:paraId="506BEA3B" w14:textId="77777777" w:rsidR="00714B50" w:rsidRDefault="0030138C">
            <w:pPr>
              <w:jc w:val="center"/>
              <w:rPr>
                <w:b/>
                <w:color w:val="000000"/>
                <w:sz w:val="18"/>
                <w:szCs w:val="18"/>
              </w:rPr>
            </w:pPr>
            <w:r>
              <w:rPr>
                <w:b/>
                <w:color w:val="000000"/>
                <w:sz w:val="18"/>
                <w:szCs w:val="18"/>
              </w:rPr>
              <w:t>diff</w:t>
            </w:r>
          </w:p>
        </w:tc>
        <w:tc>
          <w:tcPr>
            <w:tcW w:w="1894" w:type="dxa"/>
            <w:vAlign w:val="bottom"/>
          </w:tcPr>
          <w:p w14:paraId="5705C8B3" w14:textId="77777777" w:rsidR="00714B50" w:rsidRDefault="0030138C">
            <w:pPr>
              <w:jc w:val="center"/>
              <w:rPr>
                <w:b/>
                <w:color w:val="000000"/>
                <w:sz w:val="18"/>
                <w:szCs w:val="18"/>
              </w:rPr>
            </w:pPr>
            <w:proofErr w:type="spellStart"/>
            <w:r>
              <w:rPr>
                <w:b/>
                <w:color w:val="000000"/>
                <w:sz w:val="18"/>
                <w:szCs w:val="18"/>
              </w:rPr>
              <w:t>lwr</w:t>
            </w:r>
            <w:proofErr w:type="spellEnd"/>
          </w:p>
        </w:tc>
        <w:tc>
          <w:tcPr>
            <w:tcW w:w="1719" w:type="dxa"/>
            <w:vAlign w:val="bottom"/>
          </w:tcPr>
          <w:p w14:paraId="13F1711E" w14:textId="77777777" w:rsidR="00714B50" w:rsidRDefault="0030138C">
            <w:pPr>
              <w:jc w:val="center"/>
              <w:rPr>
                <w:b/>
                <w:color w:val="000000"/>
                <w:sz w:val="18"/>
                <w:szCs w:val="18"/>
              </w:rPr>
            </w:pPr>
            <w:proofErr w:type="spellStart"/>
            <w:r>
              <w:rPr>
                <w:b/>
                <w:color w:val="000000"/>
                <w:sz w:val="18"/>
                <w:szCs w:val="18"/>
              </w:rPr>
              <w:t>upr</w:t>
            </w:r>
            <w:proofErr w:type="spellEnd"/>
          </w:p>
        </w:tc>
        <w:tc>
          <w:tcPr>
            <w:tcW w:w="1300" w:type="dxa"/>
            <w:vAlign w:val="bottom"/>
          </w:tcPr>
          <w:p w14:paraId="308D4991" w14:textId="77777777" w:rsidR="00714B50" w:rsidRDefault="0030138C">
            <w:pPr>
              <w:jc w:val="center"/>
              <w:rPr>
                <w:b/>
                <w:color w:val="000000"/>
                <w:sz w:val="18"/>
                <w:szCs w:val="18"/>
              </w:rPr>
            </w:pPr>
            <w:r>
              <w:rPr>
                <w:b/>
                <w:color w:val="000000"/>
                <w:sz w:val="18"/>
                <w:szCs w:val="18"/>
              </w:rPr>
              <w:t>p adj</w:t>
            </w:r>
          </w:p>
        </w:tc>
      </w:tr>
      <w:tr w:rsidR="00714B50" w14:paraId="5C68DDE5" w14:textId="77777777">
        <w:trPr>
          <w:trHeight w:val="300"/>
        </w:trPr>
        <w:tc>
          <w:tcPr>
            <w:tcW w:w="1985" w:type="dxa"/>
            <w:vAlign w:val="bottom"/>
          </w:tcPr>
          <w:p w14:paraId="7A8D7060" w14:textId="77777777" w:rsidR="00714B50" w:rsidRDefault="0030138C">
            <w:pPr>
              <w:rPr>
                <w:b/>
                <w:color w:val="000000"/>
                <w:sz w:val="18"/>
                <w:szCs w:val="18"/>
              </w:rPr>
            </w:pPr>
            <w:r>
              <w:rPr>
                <w:b/>
                <w:color w:val="000000"/>
                <w:sz w:val="18"/>
                <w:szCs w:val="18"/>
              </w:rPr>
              <w:t>T1 - CTRL</w:t>
            </w:r>
          </w:p>
        </w:tc>
        <w:tc>
          <w:tcPr>
            <w:tcW w:w="2452" w:type="dxa"/>
            <w:vAlign w:val="bottom"/>
          </w:tcPr>
          <w:p w14:paraId="1F1D140E" w14:textId="77777777" w:rsidR="00714B50" w:rsidRDefault="0030138C">
            <w:pPr>
              <w:jc w:val="center"/>
              <w:rPr>
                <w:color w:val="000000"/>
                <w:sz w:val="18"/>
                <w:szCs w:val="18"/>
              </w:rPr>
            </w:pPr>
            <w:r>
              <w:rPr>
                <w:color w:val="000000"/>
                <w:sz w:val="18"/>
                <w:szCs w:val="18"/>
              </w:rPr>
              <w:t xml:space="preserve">35.50000    </w:t>
            </w:r>
          </w:p>
        </w:tc>
        <w:tc>
          <w:tcPr>
            <w:tcW w:w="1894" w:type="dxa"/>
            <w:vAlign w:val="bottom"/>
          </w:tcPr>
          <w:p w14:paraId="39971642" w14:textId="77777777" w:rsidR="00714B50" w:rsidRDefault="0030138C">
            <w:pPr>
              <w:jc w:val="center"/>
              <w:rPr>
                <w:color w:val="000000"/>
                <w:sz w:val="18"/>
                <w:szCs w:val="18"/>
              </w:rPr>
            </w:pPr>
            <w:r>
              <w:rPr>
                <w:color w:val="000000"/>
                <w:sz w:val="18"/>
                <w:szCs w:val="18"/>
              </w:rPr>
              <w:t xml:space="preserve">20.3603254     </w:t>
            </w:r>
          </w:p>
        </w:tc>
        <w:tc>
          <w:tcPr>
            <w:tcW w:w="1719" w:type="dxa"/>
            <w:vAlign w:val="bottom"/>
          </w:tcPr>
          <w:p w14:paraId="743DAC27" w14:textId="77777777" w:rsidR="00714B50" w:rsidRDefault="0030138C">
            <w:pPr>
              <w:jc w:val="center"/>
              <w:rPr>
                <w:color w:val="000000"/>
                <w:sz w:val="18"/>
                <w:szCs w:val="18"/>
              </w:rPr>
            </w:pPr>
            <w:r>
              <w:rPr>
                <w:color w:val="000000"/>
                <w:sz w:val="18"/>
                <w:szCs w:val="18"/>
              </w:rPr>
              <w:t xml:space="preserve">50.639675         </w:t>
            </w:r>
          </w:p>
        </w:tc>
        <w:tc>
          <w:tcPr>
            <w:tcW w:w="1300" w:type="dxa"/>
            <w:vAlign w:val="bottom"/>
          </w:tcPr>
          <w:p w14:paraId="7D024DA0" w14:textId="77777777" w:rsidR="00714B50" w:rsidRDefault="0030138C">
            <w:pPr>
              <w:jc w:val="center"/>
              <w:rPr>
                <w:color w:val="000000"/>
                <w:sz w:val="18"/>
                <w:szCs w:val="18"/>
              </w:rPr>
            </w:pPr>
            <w:r>
              <w:rPr>
                <w:color w:val="000000"/>
                <w:sz w:val="18"/>
                <w:szCs w:val="18"/>
              </w:rPr>
              <w:t>0.0001157***</w:t>
            </w:r>
          </w:p>
        </w:tc>
      </w:tr>
      <w:tr w:rsidR="00714B50" w14:paraId="19A2A22F" w14:textId="77777777">
        <w:trPr>
          <w:trHeight w:val="300"/>
        </w:trPr>
        <w:tc>
          <w:tcPr>
            <w:tcW w:w="1985" w:type="dxa"/>
            <w:vAlign w:val="bottom"/>
          </w:tcPr>
          <w:p w14:paraId="3E159440" w14:textId="77777777" w:rsidR="00714B50" w:rsidRDefault="0030138C">
            <w:pPr>
              <w:rPr>
                <w:b/>
                <w:color w:val="000000"/>
                <w:sz w:val="18"/>
                <w:szCs w:val="18"/>
              </w:rPr>
            </w:pPr>
            <w:r>
              <w:rPr>
                <w:b/>
                <w:color w:val="000000"/>
                <w:sz w:val="18"/>
                <w:szCs w:val="18"/>
              </w:rPr>
              <w:t>T2 - CTRL</w:t>
            </w:r>
          </w:p>
        </w:tc>
        <w:tc>
          <w:tcPr>
            <w:tcW w:w="2452" w:type="dxa"/>
            <w:vAlign w:val="bottom"/>
          </w:tcPr>
          <w:p w14:paraId="5CE530F7" w14:textId="77777777" w:rsidR="00714B50" w:rsidRDefault="0030138C">
            <w:pPr>
              <w:jc w:val="center"/>
              <w:rPr>
                <w:color w:val="000000"/>
                <w:sz w:val="18"/>
                <w:szCs w:val="18"/>
              </w:rPr>
            </w:pPr>
            <w:r>
              <w:rPr>
                <w:color w:val="000000"/>
                <w:sz w:val="18"/>
                <w:szCs w:val="18"/>
              </w:rPr>
              <w:t xml:space="preserve">15.83333    </w:t>
            </w:r>
          </w:p>
        </w:tc>
        <w:tc>
          <w:tcPr>
            <w:tcW w:w="1894" w:type="dxa"/>
            <w:vAlign w:val="bottom"/>
          </w:tcPr>
          <w:p w14:paraId="5F946C23" w14:textId="77777777" w:rsidR="00714B50" w:rsidRDefault="0030138C">
            <w:pPr>
              <w:jc w:val="center"/>
              <w:rPr>
                <w:color w:val="000000"/>
                <w:sz w:val="18"/>
                <w:szCs w:val="18"/>
              </w:rPr>
            </w:pPr>
            <w:r>
              <w:rPr>
                <w:color w:val="000000"/>
                <w:sz w:val="18"/>
                <w:szCs w:val="18"/>
              </w:rPr>
              <w:t xml:space="preserve">0.6936587      </w:t>
            </w:r>
          </w:p>
        </w:tc>
        <w:tc>
          <w:tcPr>
            <w:tcW w:w="1719" w:type="dxa"/>
            <w:vAlign w:val="bottom"/>
          </w:tcPr>
          <w:p w14:paraId="5C0576F2" w14:textId="77777777" w:rsidR="00714B50" w:rsidRDefault="0030138C">
            <w:pPr>
              <w:jc w:val="center"/>
              <w:rPr>
                <w:color w:val="000000"/>
                <w:sz w:val="18"/>
                <w:szCs w:val="18"/>
              </w:rPr>
            </w:pPr>
            <w:r>
              <w:rPr>
                <w:color w:val="000000"/>
                <w:sz w:val="18"/>
                <w:szCs w:val="18"/>
              </w:rPr>
              <w:t xml:space="preserve">30.973008         </w:t>
            </w:r>
          </w:p>
        </w:tc>
        <w:tc>
          <w:tcPr>
            <w:tcW w:w="1300" w:type="dxa"/>
            <w:vAlign w:val="bottom"/>
          </w:tcPr>
          <w:p w14:paraId="58B101E5" w14:textId="77777777" w:rsidR="00714B50" w:rsidRDefault="0030138C">
            <w:pPr>
              <w:jc w:val="center"/>
              <w:rPr>
                <w:color w:val="000000"/>
                <w:sz w:val="18"/>
                <w:szCs w:val="18"/>
              </w:rPr>
            </w:pPr>
            <w:r>
              <w:rPr>
                <w:color w:val="000000"/>
                <w:sz w:val="18"/>
                <w:szCs w:val="18"/>
              </w:rPr>
              <w:t>0.0402942*</w:t>
            </w:r>
          </w:p>
        </w:tc>
      </w:tr>
      <w:tr w:rsidR="00714B50" w14:paraId="00F130D4" w14:textId="77777777">
        <w:trPr>
          <w:trHeight w:val="300"/>
        </w:trPr>
        <w:tc>
          <w:tcPr>
            <w:tcW w:w="1985" w:type="dxa"/>
            <w:vAlign w:val="bottom"/>
          </w:tcPr>
          <w:p w14:paraId="0F349F72" w14:textId="77777777" w:rsidR="00714B50" w:rsidRDefault="0030138C">
            <w:pPr>
              <w:rPr>
                <w:b/>
                <w:color w:val="000000"/>
                <w:sz w:val="18"/>
                <w:szCs w:val="18"/>
              </w:rPr>
            </w:pPr>
            <w:r>
              <w:rPr>
                <w:b/>
                <w:color w:val="000000"/>
                <w:sz w:val="18"/>
                <w:szCs w:val="18"/>
              </w:rPr>
              <w:t>T2 – T1</w:t>
            </w:r>
          </w:p>
        </w:tc>
        <w:tc>
          <w:tcPr>
            <w:tcW w:w="2452" w:type="dxa"/>
            <w:vAlign w:val="bottom"/>
          </w:tcPr>
          <w:p w14:paraId="70D59EFE" w14:textId="77777777" w:rsidR="00714B50" w:rsidRDefault="0030138C">
            <w:pPr>
              <w:jc w:val="center"/>
              <w:rPr>
                <w:color w:val="000000"/>
                <w:sz w:val="18"/>
                <w:szCs w:val="18"/>
              </w:rPr>
            </w:pPr>
            <w:r>
              <w:rPr>
                <w:color w:val="000000"/>
                <w:sz w:val="18"/>
                <w:szCs w:val="18"/>
              </w:rPr>
              <w:t xml:space="preserve">-19.66667  </w:t>
            </w:r>
          </w:p>
        </w:tc>
        <w:tc>
          <w:tcPr>
            <w:tcW w:w="1894" w:type="dxa"/>
            <w:vAlign w:val="bottom"/>
          </w:tcPr>
          <w:p w14:paraId="4E417A85" w14:textId="77777777" w:rsidR="00714B50" w:rsidRDefault="0030138C">
            <w:pPr>
              <w:jc w:val="center"/>
              <w:rPr>
                <w:color w:val="000000"/>
                <w:sz w:val="18"/>
                <w:szCs w:val="18"/>
              </w:rPr>
            </w:pPr>
            <w:r>
              <w:rPr>
                <w:color w:val="000000"/>
                <w:sz w:val="18"/>
                <w:szCs w:val="18"/>
              </w:rPr>
              <w:t xml:space="preserve">-34.8063413     </w:t>
            </w:r>
          </w:p>
        </w:tc>
        <w:tc>
          <w:tcPr>
            <w:tcW w:w="1719" w:type="dxa"/>
            <w:vAlign w:val="bottom"/>
          </w:tcPr>
          <w:p w14:paraId="41063115" w14:textId="77777777" w:rsidR="00714B50" w:rsidRDefault="0030138C">
            <w:pPr>
              <w:jc w:val="center"/>
              <w:rPr>
                <w:color w:val="000000"/>
                <w:sz w:val="18"/>
                <w:szCs w:val="18"/>
              </w:rPr>
            </w:pPr>
            <w:r>
              <w:rPr>
                <w:color w:val="000000"/>
                <w:sz w:val="18"/>
                <w:szCs w:val="18"/>
              </w:rPr>
              <w:t xml:space="preserve">-4.526992          </w:t>
            </w:r>
          </w:p>
        </w:tc>
        <w:tc>
          <w:tcPr>
            <w:tcW w:w="1300" w:type="dxa"/>
            <w:vAlign w:val="bottom"/>
          </w:tcPr>
          <w:p w14:paraId="2595DAA2" w14:textId="77777777" w:rsidR="00714B50" w:rsidRDefault="0030138C">
            <w:pPr>
              <w:jc w:val="center"/>
              <w:rPr>
                <w:color w:val="000000"/>
                <w:sz w:val="18"/>
                <w:szCs w:val="18"/>
              </w:rPr>
            </w:pPr>
            <w:r>
              <w:rPr>
                <w:color w:val="000000"/>
                <w:sz w:val="18"/>
                <w:szCs w:val="18"/>
              </w:rPr>
              <w:t>0.0120169*</w:t>
            </w:r>
          </w:p>
        </w:tc>
      </w:tr>
    </w:tbl>
    <w:p w14:paraId="3FEADC6E" w14:textId="77777777" w:rsidR="00714B50" w:rsidRDefault="00714B50">
      <w:pPr>
        <w:spacing w:after="0" w:line="276" w:lineRule="auto"/>
      </w:pPr>
    </w:p>
    <w:p w14:paraId="30173045" w14:textId="77777777" w:rsidR="00714B50" w:rsidRDefault="0030138C">
      <w:pPr>
        <w:spacing w:after="0" w:line="276" w:lineRule="auto"/>
      </w:pPr>
      <w:r>
        <w:t xml:space="preserve">Table S5. Output of the Post hoc pairwise comparisons performed with the Tukey HSD test to test for the effect of the substrate type, bare rock, </w:t>
      </w:r>
      <w:r>
        <w:rPr>
          <w:i/>
        </w:rPr>
        <w:t xml:space="preserve">M. </w:t>
      </w:r>
      <w:proofErr w:type="spellStart"/>
      <w:r>
        <w:rPr>
          <w:i/>
        </w:rPr>
        <w:t>densdrospermum</w:t>
      </w:r>
      <w:proofErr w:type="spellEnd"/>
      <w:r>
        <w:rPr>
          <w:i/>
        </w:rPr>
        <w:t xml:space="preserve"> </w:t>
      </w:r>
      <w:r>
        <w:t>and</w:t>
      </w:r>
      <w:r>
        <w:rPr>
          <w:i/>
        </w:rPr>
        <w:t xml:space="preserve"> L. </w:t>
      </w:r>
      <w:proofErr w:type="spellStart"/>
      <w:r>
        <w:rPr>
          <w:i/>
        </w:rPr>
        <w:t>stictiforme</w:t>
      </w:r>
      <w:proofErr w:type="spellEnd"/>
      <w:r>
        <w:t xml:space="preserve">, on the day of first settlement of </w:t>
      </w:r>
      <w:r>
        <w:rPr>
          <w:i/>
        </w:rPr>
        <w:t xml:space="preserve">E. </w:t>
      </w:r>
      <w:proofErr w:type="spellStart"/>
      <w:r>
        <w:rPr>
          <w:i/>
        </w:rPr>
        <w:t>singularis</w:t>
      </w:r>
      <w:proofErr w:type="spellEnd"/>
      <w:r>
        <w:t xml:space="preserve"> larvae.</w:t>
      </w:r>
    </w:p>
    <w:p w14:paraId="04A390E0" w14:textId="77777777" w:rsidR="00714B50" w:rsidRDefault="00714B50">
      <w:pPr>
        <w:spacing w:after="0" w:line="276" w:lineRule="auto"/>
      </w:pPr>
    </w:p>
    <w:tbl>
      <w:tblPr>
        <w:tblStyle w:val="a2"/>
        <w:tblW w:w="93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17"/>
        <w:gridCol w:w="1493"/>
        <w:gridCol w:w="1760"/>
        <w:gridCol w:w="1184"/>
        <w:gridCol w:w="1996"/>
      </w:tblGrid>
      <w:tr w:rsidR="00714B50" w14:paraId="27B9A959" w14:textId="77777777">
        <w:trPr>
          <w:trHeight w:val="320"/>
        </w:trPr>
        <w:tc>
          <w:tcPr>
            <w:tcW w:w="2917" w:type="dxa"/>
            <w:vAlign w:val="bottom"/>
          </w:tcPr>
          <w:p w14:paraId="11F991A2" w14:textId="77777777" w:rsidR="00714B50" w:rsidRDefault="0030138C">
            <w:pPr>
              <w:jc w:val="center"/>
              <w:rPr>
                <w:b/>
                <w:color w:val="000000"/>
                <w:sz w:val="18"/>
                <w:szCs w:val="18"/>
              </w:rPr>
            </w:pPr>
            <w:r>
              <w:rPr>
                <w:b/>
                <w:color w:val="000000"/>
                <w:sz w:val="18"/>
                <w:szCs w:val="18"/>
              </w:rPr>
              <w:t>Substrates</w:t>
            </w:r>
          </w:p>
        </w:tc>
        <w:tc>
          <w:tcPr>
            <w:tcW w:w="1493" w:type="dxa"/>
            <w:vAlign w:val="bottom"/>
          </w:tcPr>
          <w:p w14:paraId="2E54A66E" w14:textId="77777777" w:rsidR="00714B50" w:rsidRDefault="0030138C">
            <w:pPr>
              <w:jc w:val="center"/>
              <w:rPr>
                <w:b/>
                <w:color w:val="000000"/>
                <w:sz w:val="18"/>
                <w:szCs w:val="18"/>
              </w:rPr>
            </w:pPr>
            <w:r>
              <w:rPr>
                <w:b/>
                <w:color w:val="000000"/>
                <w:sz w:val="18"/>
                <w:szCs w:val="18"/>
              </w:rPr>
              <w:t>diff</w:t>
            </w:r>
          </w:p>
        </w:tc>
        <w:tc>
          <w:tcPr>
            <w:tcW w:w="1760" w:type="dxa"/>
            <w:vAlign w:val="bottom"/>
          </w:tcPr>
          <w:p w14:paraId="008194BE" w14:textId="77777777" w:rsidR="00714B50" w:rsidRDefault="0030138C">
            <w:pPr>
              <w:jc w:val="center"/>
              <w:rPr>
                <w:b/>
                <w:color w:val="000000"/>
                <w:sz w:val="18"/>
                <w:szCs w:val="18"/>
              </w:rPr>
            </w:pPr>
            <w:proofErr w:type="spellStart"/>
            <w:r>
              <w:rPr>
                <w:b/>
                <w:color w:val="000000"/>
                <w:sz w:val="18"/>
                <w:szCs w:val="18"/>
              </w:rPr>
              <w:t>lwr</w:t>
            </w:r>
            <w:proofErr w:type="spellEnd"/>
          </w:p>
        </w:tc>
        <w:tc>
          <w:tcPr>
            <w:tcW w:w="1184" w:type="dxa"/>
            <w:vAlign w:val="bottom"/>
          </w:tcPr>
          <w:p w14:paraId="0633FB25" w14:textId="77777777" w:rsidR="00714B50" w:rsidRDefault="0030138C">
            <w:pPr>
              <w:jc w:val="center"/>
              <w:rPr>
                <w:b/>
                <w:color w:val="000000"/>
                <w:sz w:val="18"/>
                <w:szCs w:val="18"/>
              </w:rPr>
            </w:pPr>
            <w:proofErr w:type="spellStart"/>
            <w:r>
              <w:rPr>
                <w:b/>
                <w:color w:val="000000"/>
                <w:sz w:val="18"/>
                <w:szCs w:val="18"/>
              </w:rPr>
              <w:t>upr</w:t>
            </w:r>
            <w:proofErr w:type="spellEnd"/>
          </w:p>
        </w:tc>
        <w:tc>
          <w:tcPr>
            <w:tcW w:w="1996" w:type="dxa"/>
            <w:vAlign w:val="bottom"/>
          </w:tcPr>
          <w:p w14:paraId="13365DD0" w14:textId="77777777" w:rsidR="00714B50" w:rsidRDefault="0030138C">
            <w:pPr>
              <w:jc w:val="center"/>
              <w:rPr>
                <w:b/>
                <w:color w:val="000000"/>
                <w:sz w:val="18"/>
                <w:szCs w:val="18"/>
              </w:rPr>
            </w:pPr>
            <w:r>
              <w:rPr>
                <w:b/>
                <w:color w:val="000000"/>
                <w:sz w:val="18"/>
                <w:szCs w:val="18"/>
              </w:rPr>
              <w:t>p adj</w:t>
            </w:r>
          </w:p>
        </w:tc>
      </w:tr>
      <w:tr w:rsidR="00714B50" w14:paraId="03170205" w14:textId="77777777">
        <w:trPr>
          <w:trHeight w:val="320"/>
        </w:trPr>
        <w:tc>
          <w:tcPr>
            <w:tcW w:w="2917" w:type="dxa"/>
            <w:vAlign w:val="bottom"/>
          </w:tcPr>
          <w:p w14:paraId="18A2790F" w14:textId="77777777" w:rsidR="00714B50" w:rsidRDefault="0030138C">
            <w:pPr>
              <w:rPr>
                <w:b/>
                <w:color w:val="000000"/>
                <w:sz w:val="18"/>
                <w:szCs w:val="18"/>
              </w:rPr>
            </w:pPr>
            <w:r>
              <w:rPr>
                <w:b/>
                <w:i/>
                <w:color w:val="000000"/>
                <w:sz w:val="18"/>
                <w:szCs w:val="18"/>
              </w:rPr>
              <w:t xml:space="preserve">L. </w:t>
            </w:r>
            <w:proofErr w:type="spellStart"/>
            <w:r>
              <w:rPr>
                <w:b/>
                <w:i/>
                <w:color w:val="000000"/>
                <w:sz w:val="18"/>
                <w:szCs w:val="18"/>
              </w:rPr>
              <w:t>stictiforme</w:t>
            </w:r>
            <w:proofErr w:type="spellEnd"/>
            <w:r>
              <w:rPr>
                <w:b/>
                <w:color w:val="000000"/>
                <w:sz w:val="18"/>
                <w:szCs w:val="18"/>
              </w:rPr>
              <w:t xml:space="preserve"> –</w:t>
            </w:r>
            <w:r>
              <w:rPr>
                <w:b/>
                <w:i/>
                <w:color w:val="000000"/>
                <w:sz w:val="18"/>
                <w:szCs w:val="18"/>
              </w:rPr>
              <w:t xml:space="preserve"> </w:t>
            </w:r>
            <w:r>
              <w:rPr>
                <w:b/>
                <w:color w:val="000000"/>
                <w:sz w:val="18"/>
                <w:szCs w:val="18"/>
              </w:rPr>
              <w:t>bare rock</w:t>
            </w:r>
          </w:p>
        </w:tc>
        <w:tc>
          <w:tcPr>
            <w:tcW w:w="1493" w:type="dxa"/>
            <w:vAlign w:val="bottom"/>
          </w:tcPr>
          <w:p w14:paraId="2C0AE335" w14:textId="77777777" w:rsidR="00714B50" w:rsidRDefault="0030138C">
            <w:pPr>
              <w:jc w:val="center"/>
              <w:rPr>
                <w:color w:val="000000"/>
                <w:sz w:val="18"/>
                <w:szCs w:val="18"/>
              </w:rPr>
            </w:pPr>
            <w:r>
              <w:rPr>
                <w:color w:val="000000"/>
                <w:sz w:val="18"/>
                <w:szCs w:val="18"/>
              </w:rPr>
              <w:t xml:space="preserve">-22.333333         </w:t>
            </w:r>
          </w:p>
        </w:tc>
        <w:tc>
          <w:tcPr>
            <w:tcW w:w="1760" w:type="dxa"/>
            <w:vAlign w:val="bottom"/>
          </w:tcPr>
          <w:p w14:paraId="38BB28EB" w14:textId="77777777" w:rsidR="00714B50" w:rsidRDefault="0030138C">
            <w:pPr>
              <w:jc w:val="center"/>
              <w:rPr>
                <w:color w:val="000000"/>
                <w:sz w:val="18"/>
                <w:szCs w:val="18"/>
              </w:rPr>
            </w:pPr>
            <w:r>
              <w:rPr>
                <w:color w:val="000000"/>
                <w:sz w:val="18"/>
                <w:szCs w:val="18"/>
              </w:rPr>
              <w:t xml:space="preserve">-31.09171        </w:t>
            </w:r>
          </w:p>
        </w:tc>
        <w:tc>
          <w:tcPr>
            <w:tcW w:w="1184" w:type="dxa"/>
            <w:vAlign w:val="bottom"/>
          </w:tcPr>
          <w:p w14:paraId="7F1D8FD7" w14:textId="77777777" w:rsidR="00714B50" w:rsidRDefault="0030138C">
            <w:pPr>
              <w:jc w:val="center"/>
              <w:rPr>
                <w:color w:val="000000"/>
                <w:sz w:val="18"/>
                <w:szCs w:val="18"/>
              </w:rPr>
            </w:pPr>
            <w:r>
              <w:rPr>
                <w:color w:val="000000"/>
                <w:sz w:val="18"/>
                <w:szCs w:val="18"/>
              </w:rPr>
              <w:t xml:space="preserve">-13.574956        </w:t>
            </w:r>
          </w:p>
        </w:tc>
        <w:tc>
          <w:tcPr>
            <w:tcW w:w="1996" w:type="dxa"/>
            <w:vAlign w:val="bottom"/>
          </w:tcPr>
          <w:p w14:paraId="2C242E75" w14:textId="77777777" w:rsidR="00714B50" w:rsidRDefault="0030138C">
            <w:pPr>
              <w:jc w:val="center"/>
              <w:rPr>
                <w:color w:val="000000"/>
                <w:sz w:val="18"/>
                <w:szCs w:val="18"/>
              </w:rPr>
            </w:pPr>
            <w:r>
              <w:rPr>
                <w:color w:val="000000"/>
                <w:sz w:val="18"/>
                <w:szCs w:val="18"/>
              </w:rPr>
              <w:t>0.0005637***</w:t>
            </w:r>
          </w:p>
        </w:tc>
      </w:tr>
      <w:tr w:rsidR="00714B50" w14:paraId="30F06910" w14:textId="77777777">
        <w:trPr>
          <w:trHeight w:val="320"/>
        </w:trPr>
        <w:tc>
          <w:tcPr>
            <w:tcW w:w="2917" w:type="dxa"/>
            <w:vAlign w:val="bottom"/>
          </w:tcPr>
          <w:p w14:paraId="24B5202F" w14:textId="77777777" w:rsidR="00714B50" w:rsidRDefault="0030138C">
            <w:pPr>
              <w:rPr>
                <w:b/>
                <w:i/>
                <w:color w:val="000000"/>
                <w:sz w:val="18"/>
                <w:szCs w:val="18"/>
              </w:rPr>
            </w:pPr>
            <w:r>
              <w:rPr>
                <w:b/>
                <w:i/>
                <w:color w:val="000000"/>
                <w:sz w:val="18"/>
                <w:szCs w:val="18"/>
              </w:rPr>
              <w:t xml:space="preserve">M. </w:t>
            </w:r>
            <w:proofErr w:type="spellStart"/>
            <w:r>
              <w:rPr>
                <w:b/>
                <w:i/>
                <w:color w:val="000000"/>
                <w:sz w:val="18"/>
                <w:szCs w:val="18"/>
              </w:rPr>
              <w:t>densdrospermum</w:t>
            </w:r>
            <w:proofErr w:type="spellEnd"/>
            <w:r>
              <w:rPr>
                <w:b/>
                <w:i/>
                <w:color w:val="000000"/>
                <w:sz w:val="18"/>
                <w:szCs w:val="18"/>
              </w:rPr>
              <w:t xml:space="preserve"> </w:t>
            </w:r>
            <w:r>
              <w:rPr>
                <w:b/>
                <w:color w:val="000000"/>
                <w:sz w:val="18"/>
                <w:szCs w:val="18"/>
              </w:rPr>
              <w:t>–</w:t>
            </w:r>
            <w:r>
              <w:rPr>
                <w:b/>
                <w:i/>
                <w:color w:val="000000"/>
                <w:sz w:val="18"/>
                <w:szCs w:val="18"/>
              </w:rPr>
              <w:t xml:space="preserve"> </w:t>
            </w:r>
            <w:r>
              <w:rPr>
                <w:b/>
                <w:color w:val="000000"/>
                <w:sz w:val="18"/>
                <w:szCs w:val="18"/>
              </w:rPr>
              <w:t>bare rock</w:t>
            </w:r>
          </w:p>
        </w:tc>
        <w:tc>
          <w:tcPr>
            <w:tcW w:w="1493" w:type="dxa"/>
            <w:vAlign w:val="bottom"/>
          </w:tcPr>
          <w:p w14:paraId="53A05E8D" w14:textId="77777777" w:rsidR="00714B50" w:rsidRDefault="0030138C">
            <w:pPr>
              <w:jc w:val="center"/>
              <w:rPr>
                <w:color w:val="000000"/>
                <w:sz w:val="18"/>
                <w:szCs w:val="18"/>
              </w:rPr>
            </w:pPr>
            <w:r>
              <w:rPr>
                <w:color w:val="000000"/>
                <w:sz w:val="18"/>
                <w:szCs w:val="18"/>
              </w:rPr>
              <w:t xml:space="preserve">-24.666667         </w:t>
            </w:r>
          </w:p>
        </w:tc>
        <w:tc>
          <w:tcPr>
            <w:tcW w:w="1760" w:type="dxa"/>
            <w:vAlign w:val="bottom"/>
          </w:tcPr>
          <w:p w14:paraId="4A582FE6" w14:textId="77777777" w:rsidR="00714B50" w:rsidRDefault="0030138C">
            <w:pPr>
              <w:jc w:val="center"/>
              <w:rPr>
                <w:color w:val="000000"/>
                <w:sz w:val="18"/>
                <w:szCs w:val="18"/>
              </w:rPr>
            </w:pPr>
            <w:r>
              <w:rPr>
                <w:color w:val="000000"/>
                <w:sz w:val="18"/>
                <w:szCs w:val="18"/>
              </w:rPr>
              <w:t xml:space="preserve">-33.42504        </w:t>
            </w:r>
          </w:p>
        </w:tc>
        <w:tc>
          <w:tcPr>
            <w:tcW w:w="1184" w:type="dxa"/>
            <w:vAlign w:val="bottom"/>
          </w:tcPr>
          <w:p w14:paraId="34325AE1" w14:textId="77777777" w:rsidR="00714B50" w:rsidRDefault="0030138C">
            <w:pPr>
              <w:jc w:val="center"/>
              <w:rPr>
                <w:color w:val="000000"/>
                <w:sz w:val="18"/>
                <w:szCs w:val="18"/>
              </w:rPr>
            </w:pPr>
            <w:r>
              <w:rPr>
                <w:color w:val="000000"/>
                <w:sz w:val="18"/>
                <w:szCs w:val="18"/>
              </w:rPr>
              <w:t xml:space="preserve">-15.908289        </w:t>
            </w:r>
          </w:p>
        </w:tc>
        <w:tc>
          <w:tcPr>
            <w:tcW w:w="1996" w:type="dxa"/>
            <w:vAlign w:val="bottom"/>
          </w:tcPr>
          <w:p w14:paraId="0AD538CB" w14:textId="77777777" w:rsidR="00714B50" w:rsidRDefault="0030138C">
            <w:pPr>
              <w:jc w:val="center"/>
              <w:rPr>
                <w:color w:val="000000"/>
                <w:sz w:val="18"/>
                <w:szCs w:val="18"/>
              </w:rPr>
            </w:pPr>
            <w:r>
              <w:rPr>
                <w:color w:val="000000"/>
                <w:sz w:val="18"/>
                <w:szCs w:val="18"/>
              </w:rPr>
              <w:t>0.0003250***</w:t>
            </w:r>
          </w:p>
        </w:tc>
      </w:tr>
      <w:tr w:rsidR="00714B50" w14:paraId="40BE8983" w14:textId="77777777">
        <w:trPr>
          <w:trHeight w:val="320"/>
        </w:trPr>
        <w:tc>
          <w:tcPr>
            <w:tcW w:w="2917" w:type="dxa"/>
            <w:vAlign w:val="bottom"/>
          </w:tcPr>
          <w:p w14:paraId="11FB4FD3" w14:textId="77777777" w:rsidR="00714B50" w:rsidRDefault="0030138C">
            <w:pPr>
              <w:rPr>
                <w:b/>
                <w:i/>
                <w:color w:val="000000"/>
                <w:sz w:val="18"/>
                <w:szCs w:val="18"/>
              </w:rPr>
            </w:pPr>
            <w:r>
              <w:rPr>
                <w:b/>
                <w:i/>
                <w:color w:val="000000"/>
                <w:sz w:val="18"/>
                <w:szCs w:val="18"/>
              </w:rPr>
              <w:t xml:space="preserve">M. </w:t>
            </w:r>
            <w:proofErr w:type="spellStart"/>
            <w:r>
              <w:rPr>
                <w:b/>
                <w:i/>
                <w:color w:val="000000"/>
                <w:sz w:val="18"/>
                <w:szCs w:val="18"/>
              </w:rPr>
              <w:t>densdrospermum</w:t>
            </w:r>
            <w:proofErr w:type="spellEnd"/>
            <w:r>
              <w:rPr>
                <w:b/>
                <w:color w:val="000000"/>
                <w:sz w:val="18"/>
                <w:szCs w:val="18"/>
              </w:rPr>
              <w:t>–</w:t>
            </w:r>
            <w:r>
              <w:rPr>
                <w:b/>
                <w:i/>
                <w:color w:val="000000"/>
                <w:sz w:val="18"/>
                <w:szCs w:val="18"/>
              </w:rPr>
              <w:t xml:space="preserve"> L. </w:t>
            </w:r>
            <w:proofErr w:type="spellStart"/>
            <w:r>
              <w:rPr>
                <w:b/>
                <w:i/>
                <w:color w:val="000000"/>
                <w:sz w:val="18"/>
                <w:szCs w:val="18"/>
              </w:rPr>
              <w:t>stictiforme</w:t>
            </w:r>
            <w:proofErr w:type="spellEnd"/>
          </w:p>
        </w:tc>
        <w:tc>
          <w:tcPr>
            <w:tcW w:w="1493" w:type="dxa"/>
            <w:vAlign w:val="bottom"/>
          </w:tcPr>
          <w:p w14:paraId="7132104A" w14:textId="77777777" w:rsidR="00714B50" w:rsidRDefault="0030138C">
            <w:pPr>
              <w:jc w:val="center"/>
              <w:rPr>
                <w:color w:val="000000"/>
                <w:sz w:val="18"/>
                <w:szCs w:val="18"/>
              </w:rPr>
            </w:pPr>
            <w:r>
              <w:rPr>
                <w:color w:val="000000"/>
                <w:sz w:val="18"/>
                <w:szCs w:val="18"/>
              </w:rPr>
              <w:t xml:space="preserve">-2.333333      </w:t>
            </w:r>
          </w:p>
        </w:tc>
        <w:tc>
          <w:tcPr>
            <w:tcW w:w="1760" w:type="dxa"/>
            <w:vAlign w:val="bottom"/>
          </w:tcPr>
          <w:p w14:paraId="28A7E164" w14:textId="77777777" w:rsidR="00714B50" w:rsidRDefault="0030138C">
            <w:pPr>
              <w:jc w:val="center"/>
              <w:rPr>
                <w:color w:val="000000"/>
                <w:sz w:val="18"/>
                <w:szCs w:val="18"/>
              </w:rPr>
            </w:pPr>
            <w:r>
              <w:rPr>
                <w:color w:val="000000"/>
                <w:sz w:val="18"/>
                <w:szCs w:val="18"/>
              </w:rPr>
              <w:t xml:space="preserve">-11.09171            </w:t>
            </w:r>
          </w:p>
        </w:tc>
        <w:tc>
          <w:tcPr>
            <w:tcW w:w="1184" w:type="dxa"/>
            <w:vAlign w:val="bottom"/>
          </w:tcPr>
          <w:p w14:paraId="4B7E9291" w14:textId="77777777" w:rsidR="00714B50" w:rsidRDefault="0030138C">
            <w:pPr>
              <w:jc w:val="center"/>
              <w:rPr>
                <w:color w:val="000000"/>
                <w:sz w:val="18"/>
                <w:szCs w:val="18"/>
              </w:rPr>
            </w:pPr>
            <w:r>
              <w:rPr>
                <w:color w:val="000000"/>
                <w:sz w:val="18"/>
                <w:szCs w:val="18"/>
              </w:rPr>
              <w:t xml:space="preserve">6.425044        </w:t>
            </w:r>
          </w:p>
        </w:tc>
        <w:tc>
          <w:tcPr>
            <w:tcW w:w="1996" w:type="dxa"/>
            <w:vAlign w:val="bottom"/>
          </w:tcPr>
          <w:p w14:paraId="51C9AB54" w14:textId="77777777" w:rsidR="00714B50" w:rsidRDefault="0030138C">
            <w:pPr>
              <w:jc w:val="center"/>
              <w:rPr>
                <w:color w:val="000000"/>
                <w:sz w:val="18"/>
                <w:szCs w:val="18"/>
              </w:rPr>
            </w:pPr>
            <w:r>
              <w:rPr>
                <w:color w:val="000000"/>
                <w:sz w:val="18"/>
                <w:szCs w:val="18"/>
              </w:rPr>
              <w:t>0.7068602</w:t>
            </w:r>
          </w:p>
        </w:tc>
      </w:tr>
    </w:tbl>
    <w:p w14:paraId="68AE31D1" w14:textId="77777777" w:rsidR="00714B50" w:rsidRDefault="00714B50">
      <w:pPr>
        <w:spacing w:after="0" w:line="276" w:lineRule="auto"/>
      </w:pPr>
    </w:p>
    <w:p w14:paraId="7DBA06D9" w14:textId="0A3A0FAF" w:rsidR="00714B50" w:rsidRPr="008A28FD" w:rsidRDefault="00C56BEC">
      <w:pPr>
        <w:spacing w:after="0" w:line="276" w:lineRule="auto"/>
      </w:pPr>
      <w:sdt>
        <w:sdtPr>
          <w:tag w:val="goog_rdk_9"/>
          <w:id w:val="1389607989"/>
        </w:sdtPr>
        <w:sdtEndPr/>
        <w:sdtContent>
          <w:r w:rsidR="0030138C" w:rsidRPr="008A28FD">
            <w:rPr>
              <w:rFonts w:eastAsia="Gungsuh"/>
            </w:rPr>
            <w:t>Table S6. Output of the PERMANOVA analysis carried out on Bray Curtis matrix of Hellinger transformed ASV data to test for differences in composition of bacterial communities associated with CCAs under different treatments. The analyses were carried out on each CCA species considering experimental treatments (*=p≤0.05, **=p≤0.01, ***=p≤0.001).</w:t>
          </w:r>
          <w:r w:rsidR="00EC5C97">
            <w:rPr>
              <w:rFonts w:eastAsia="Gungsuh"/>
            </w:rPr>
            <w:t xml:space="preserve"> The output</w:t>
          </w:r>
          <w:r w:rsidR="00D91BC9">
            <w:rPr>
              <w:rFonts w:eastAsia="Gungsuh"/>
            </w:rPr>
            <w:t>s</w:t>
          </w:r>
          <w:r w:rsidR="00EC5C97">
            <w:rPr>
              <w:rFonts w:eastAsia="Gungsuh"/>
            </w:rPr>
            <w:t xml:space="preserve"> of the </w:t>
          </w:r>
          <w:proofErr w:type="spellStart"/>
          <w:r w:rsidR="00EC5C97">
            <w:rPr>
              <w:rFonts w:eastAsia="Gungsuh"/>
            </w:rPr>
            <w:t>Betadisper</w:t>
          </w:r>
          <w:proofErr w:type="spellEnd"/>
          <w:r w:rsidR="00EC5C97">
            <w:rPr>
              <w:rFonts w:eastAsia="Gungsuh"/>
            </w:rPr>
            <w:t xml:space="preserve"> analys</w:t>
          </w:r>
          <w:r w:rsidR="00D91BC9">
            <w:rPr>
              <w:rFonts w:eastAsia="Gungsuh"/>
            </w:rPr>
            <w:t>e</w:t>
          </w:r>
          <w:r w:rsidR="00EC5C97">
            <w:rPr>
              <w:rFonts w:eastAsia="Gungsuh"/>
            </w:rPr>
            <w:t>s applied to test for data dispersion homogeneity between CCA treatments are also reported.</w:t>
          </w:r>
        </w:sdtContent>
      </w:sdt>
    </w:p>
    <w:p w14:paraId="64A5B08F" w14:textId="77777777" w:rsidR="00714B50" w:rsidRDefault="00714B50">
      <w:pPr>
        <w:spacing w:after="0" w:line="276" w:lineRule="auto"/>
      </w:pPr>
    </w:p>
    <w:tbl>
      <w:tblPr>
        <w:tblStyle w:val="a3"/>
        <w:tblW w:w="5000" w:type="pct"/>
        <w:tblInd w:w="0" w:type="dxa"/>
        <w:tblLook w:val="0400" w:firstRow="0" w:lastRow="0" w:firstColumn="0" w:lastColumn="0" w:noHBand="0" w:noVBand="1"/>
      </w:tblPr>
      <w:tblGrid>
        <w:gridCol w:w="2053"/>
        <w:gridCol w:w="903"/>
        <w:gridCol w:w="1047"/>
        <w:gridCol w:w="1031"/>
        <w:gridCol w:w="830"/>
        <w:gridCol w:w="830"/>
        <w:gridCol w:w="885"/>
        <w:gridCol w:w="885"/>
        <w:gridCol w:w="886"/>
      </w:tblGrid>
      <w:tr w:rsidR="00BD2024" w14:paraId="1121130F" w14:textId="1027914F" w:rsidTr="00BD2024">
        <w:trPr>
          <w:trHeight w:val="328"/>
        </w:trPr>
        <w:tc>
          <w:tcPr>
            <w:tcW w:w="1098" w:type="pct"/>
            <w:tcBorders>
              <w:top w:val="single" w:sz="4" w:space="0" w:color="000000"/>
              <w:left w:val="single" w:sz="4" w:space="0" w:color="000000"/>
              <w:bottom w:val="single" w:sz="4" w:space="0" w:color="000000"/>
              <w:right w:val="single" w:sz="4" w:space="0" w:color="000000"/>
            </w:tcBorders>
            <w:vAlign w:val="center"/>
          </w:tcPr>
          <w:p w14:paraId="02778A02" w14:textId="77777777" w:rsidR="00BD2024" w:rsidRDefault="00BD2024">
            <w:pPr>
              <w:spacing w:after="0" w:line="240" w:lineRule="auto"/>
              <w:jc w:val="center"/>
              <w:rPr>
                <w:b/>
                <w:color w:val="000000"/>
                <w:sz w:val="18"/>
                <w:szCs w:val="18"/>
              </w:rPr>
            </w:pPr>
          </w:p>
        </w:tc>
        <w:tc>
          <w:tcPr>
            <w:tcW w:w="2955" w:type="pct"/>
            <w:gridSpan w:val="6"/>
            <w:tcBorders>
              <w:top w:val="single" w:sz="4" w:space="0" w:color="000000"/>
              <w:left w:val="nil"/>
              <w:bottom w:val="single" w:sz="4" w:space="0" w:color="000000"/>
              <w:right w:val="single" w:sz="4" w:space="0" w:color="000000"/>
            </w:tcBorders>
            <w:vAlign w:val="center"/>
          </w:tcPr>
          <w:p w14:paraId="64E71BC4" w14:textId="49D66508" w:rsidR="00BD2024" w:rsidRDefault="00BD2024">
            <w:pPr>
              <w:spacing w:after="0" w:line="240" w:lineRule="auto"/>
              <w:jc w:val="center"/>
              <w:rPr>
                <w:b/>
                <w:color w:val="000000"/>
                <w:sz w:val="18"/>
                <w:szCs w:val="18"/>
              </w:rPr>
            </w:pPr>
            <w:r>
              <w:rPr>
                <w:b/>
                <w:color w:val="000000"/>
                <w:sz w:val="18"/>
                <w:szCs w:val="18"/>
              </w:rPr>
              <w:t>PERMANOVA</w:t>
            </w:r>
          </w:p>
        </w:tc>
        <w:tc>
          <w:tcPr>
            <w:tcW w:w="947" w:type="pct"/>
            <w:gridSpan w:val="2"/>
            <w:tcBorders>
              <w:top w:val="single" w:sz="4" w:space="0" w:color="000000"/>
              <w:left w:val="nil"/>
              <w:bottom w:val="single" w:sz="4" w:space="0" w:color="000000"/>
              <w:right w:val="single" w:sz="4" w:space="0" w:color="000000"/>
            </w:tcBorders>
          </w:tcPr>
          <w:p w14:paraId="58FE4BC7" w14:textId="6FE4ED2D" w:rsidR="00BD2024" w:rsidRDefault="00BD2024">
            <w:pPr>
              <w:spacing w:after="0" w:line="240" w:lineRule="auto"/>
              <w:jc w:val="center"/>
              <w:rPr>
                <w:b/>
                <w:color w:val="000000"/>
                <w:sz w:val="18"/>
                <w:szCs w:val="18"/>
              </w:rPr>
            </w:pPr>
            <w:r>
              <w:rPr>
                <w:b/>
                <w:color w:val="000000"/>
                <w:sz w:val="18"/>
                <w:szCs w:val="18"/>
              </w:rPr>
              <w:t>BETADISPER</w:t>
            </w:r>
          </w:p>
        </w:tc>
      </w:tr>
      <w:tr w:rsidR="00BD2024" w14:paraId="509C6F58" w14:textId="2EAE0775" w:rsidTr="00BD2024">
        <w:trPr>
          <w:trHeight w:val="328"/>
        </w:trPr>
        <w:tc>
          <w:tcPr>
            <w:tcW w:w="1098" w:type="pct"/>
            <w:tcBorders>
              <w:top w:val="single" w:sz="4" w:space="0" w:color="000000"/>
              <w:left w:val="single" w:sz="4" w:space="0" w:color="000000"/>
              <w:bottom w:val="single" w:sz="4" w:space="0" w:color="000000"/>
              <w:right w:val="single" w:sz="4" w:space="0" w:color="000000"/>
            </w:tcBorders>
            <w:vAlign w:val="center"/>
          </w:tcPr>
          <w:p w14:paraId="4373565C" w14:textId="77777777" w:rsidR="00BD2024" w:rsidRDefault="00BD2024">
            <w:pPr>
              <w:spacing w:after="0" w:line="240" w:lineRule="auto"/>
              <w:jc w:val="center"/>
              <w:rPr>
                <w:b/>
                <w:color w:val="000000"/>
                <w:sz w:val="18"/>
                <w:szCs w:val="18"/>
              </w:rPr>
            </w:pPr>
            <w:r>
              <w:rPr>
                <w:b/>
                <w:color w:val="000000"/>
                <w:sz w:val="18"/>
                <w:szCs w:val="18"/>
              </w:rPr>
              <w:t>CCA comparison</w:t>
            </w:r>
          </w:p>
        </w:tc>
        <w:tc>
          <w:tcPr>
            <w:tcW w:w="483" w:type="pct"/>
            <w:tcBorders>
              <w:top w:val="single" w:sz="4" w:space="0" w:color="000000"/>
              <w:left w:val="nil"/>
              <w:bottom w:val="single" w:sz="4" w:space="0" w:color="000000"/>
              <w:right w:val="single" w:sz="4" w:space="0" w:color="000000"/>
            </w:tcBorders>
            <w:vAlign w:val="center"/>
          </w:tcPr>
          <w:p w14:paraId="3AC4DD4A" w14:textId="77777777" w:rsidR="00BD2024" w:rsidRDefault="00BD2024">
            <w:pPr>
              <w:spacing w:after="0" w:line="240" w:lineRule="auto"/>
              <w:jc w:val="center"/>
              <w:rPr>
                <w:b/>
                <w:color w:val="000000"/>
                <w:sz w:val="18"/>
                <w:szCs w:val="18"/>
              </w:rPr>
            </w:pPr>
            <w:r>
              <w:rPr>
                <w:b/>
                <w:color w:val="000000"/>
                <w:sz w:val="18"/>
                <w:szCs w:val="18"/>
              </w:rPr>
              <w:t>Source</w:t>
            </w:r>
          </w:p>
        </w:tc>
        <w:tc>
          <w:tcPr>
            <w:tcW w:w="560" w:type="pct"/>
            <w:tcBorders>
              <w:top w:val="single" w:sz="4" w:space="0" w:color="000000"/>
              <w:left w:val="nil"/>
              <w:bottom w:val="single" w:sz="4" w:space="0" w:color="000000"/>
              <w:right w:val="single" w:sz="4" w:space="0" w:color="000000"/>
            </w:tcBorders>
            <w:vAlign w:val="center"/>
          </w:tcPr>
          <w:p w14:paraId="2D6A3FDE" w14:textId="77777777" w:rsidR="00BD2024" w:rsidRDefault="00BD2024">
            <w:pPr>
              <w:spacing w:after="0" w:line="240" w:lineRule="auto"/>
              <w:jc w:val="center"/>
              <w:rPr>
                <w:b/>
                <w:color w:val="000000"/>
                <w:sz w:val="18"/>
                <w:szCs w:val="18"/>
              </w:rPr>
            </w:pPr>
            <w:r>
              <w:rPr>
                <w:b/>
                <w:color w:val="000000"/>
                <w:sz w:val="18"/>
                <w:szCs w:val="18"/>
              </w:rPr>
              <w:t>Df</w:t>
            </w:r>
          </w:p>
        </w:tc>
        <w:tc>
          <w:tcPr>
            <w:tcW w:w="551" w:type="pct"/>
            <w:tcBorders>
              <w:top w:val="single" w:sz="4" w:space="0" w:color="000000"/>
              <w:left w:val="nil"/>
              <w:bottom w:val="single" w:sz="4" w:space="0" w:color="000000"/>
              <w:right w:val="single" w:sz="4" w:space="0" w:color="000000"/>
            </w:tcBorders>
            <w:vAlign w:val="center"/>
          </w:tcPr>
          <w:p w14:paraId="6020F546" w14:textId="77777777" w:rsidR="00BD2024" w:rsidRDefault="00BD2024">
            <w:pPr>
              <w:spacing w:after="0" w:line="240" w:lineRule="auto"/>
              <w:jc w:val="center"/>
              <w:rPr>
                <w:b/>
                <w:color w:val="000000"/>
                <w:sz w:val="18"/>
                <w:szCs w:val="18"/>
              </w:rPr>
            </w:pPr>
            <w:proofErr w:type="spellStart"/>
            <w:r>
              <w:rPr>
                <w:b/>
                <w:color w:val="000000"/>
                <w:sz w:val="18"/>
                <w:szCs w:val="18"/>
              </w:rPr>
              <w:t>SumsOfSqs</w:t>
            </w:r>
            <w:proofErr w:type="spellEnd"/>
          </w:p>
        </w:tc>
        <w:tc>
          <w:tcPr>
            <w:tcW w:w="444" w:type="pct"/>
            <w:tcBorders>
              <w:top w:val="single" w:sz="4" w:space="0" w:color="000000"/>
              <w:left w:val="nil"/>
              <w:bottom w:val="single" w:sz="4" w:space="0" w:color="000000"/>
              <w:right w:val="single" w:sz="4" w:space="0" w:color="000000"/>
            </w:tcBorders>
            <w:vAlign w:val="center"/>
          </w:tcPr>
          <w:p w14:paraId="6B6E5F29" w14:textId="77777777" w:rsidR="00BD2024" w:rsidRDefault="00BD2024">
            <w:pPr>
              <w:spacing w:after="0" w:line="240" w:lineRule="auto"/>
              <w:jc w:val="center"/>
              <w:rPr>
                <w:b/>
                <w:color w:val="000000"/>
                <w:sz w:val="18"/>
                <w:szCs w:val="18"/>
              </w:rPr>
            </w:pPr>
            <w:proofErr w:type="spellStart"/>
            <w:r>
              <w:rPr>
                <w:b/>
                <w:color w:val="000000"/>
                <w:sz w:val="18"/>
                <w:szCs w:val="18"/>
              </w:rPr>
              <w:t>F.Model</w:t>
            </w:r>
            <w:proofErr w:type="spellEnd"/>
          </w:p>
        </w:tc>
        <w:tc>
          <w:tcPr>
            <w:tcW w:w="444" w:type="pct"/>
            <w:tcBorders>
              <w:top w:val="single" w:sz="4" w:space="0" w:color="000000"/>
              <w:left w:val="nil"/>
              <w:bottom w:val="single" w:sz="4" w:space="0" w:color="000000"/>
              <w:right w:val="single" w:sz="4" w:space="0" w:color="000000"/>
            </w:tcBorders>
            <w:vAlign w:val="center"/>
          </w:tcPr>
          <w:p w14:paraId="044594D8" w14:textId="77777777" w:rsidR="00BD2024" w:rsidRDefault="00BD2024">
            <w:pPr>
              <w:spacing w:after="0" w:line="240" w:lineRule="auto"/>
              <w:jc w:val="center"/>
              <w:rPr>
                <w:b/>
                <w:color w:val="000000"/>
                <w:sz w:val="18"/>
                <w:szCs w:val="18"/>
              </w:rPr>
            </w:pPr>
            <w:r>
              <w:rPr>
                <w:b/>
                <w:color w:val="000000"/>
                <w:sz w:val="18"/>
                <w:szCs w:val="18"/>
              </w:rPr>
              <w:t>R2</w:t>
            </w:r>
          </w:p>
        </w:tc>
        <w:tc>
          <w:tcPr>
            <w:tcW w:w="473" w:type="pct"/>
            <w:tcBorders>
              <w:top w:val="single" w:sz="4" w:space="0" w:color="000000"/>
              <w:left w:val="nil"/>
              <w:bottom w:val="single" w:sz="4" w:space="0" w:color="000000"/>
              <w:right w:val="single" w:sz="4" w:space="0" w:color="000000"/>
            </w:tcBorders>
            <w:vAlign w:val="center"/>
          </w:tcPr>
          <w:p w14:paraId="7C6BDA23" w14:textId="77777777" w:rsidR="00BD2024" w:rsidRDefault="00BD2024">
            <w:pPr>
              <w:spacing w:after="0" w:line="240" w:lineRule="auto"/>
              <w:jc w:val="center"/>
              <w:rPr>
                <w:b/>
                <w:color w:val="000000"/>
                <w:sz w:val="18"/>
                <w:szCs w:val="18"/>
              </w:rPr>
            </w:pPr>
            <w:proofErr w:type="spellStart"/>
            <w:r>
              <w:rPr>
                <w:b/>
                <w:color w:val="000000"/>
                <w:sz w:val="18"/>
                <w:szCs w:val="18"/>
              </w:rPr>
              <w:t>Pr</w:t>
            </w:r>
            <w:proofErr w:type="spellEnd"/>
            <w:r>
              <w:rPr>
                <w:b/>
                <w:color w:val="000000"/>
                <w:sz w:val="18"/>
                <w:szCs w:val="18"/>
              </w:rPr>
              <w:t>(&gt;F)</w:t>
            </w:r>
          </w:p>
        </w:tc>
        <w:tc>
          <w:tcPr>
            <w:tcW w:w="473" w:type="pct"/>
            <w:tcBorders>
              <w:top w:val="single" w:sz="4" w:space="0" w:color="000000"/>
              <w:left w:val="nil"/>
              <w:bottom w:val="single" w:sz="4" w:space="0" w:color="000000"/>
              <w:right w:val="single" w:sz="4" w:space="0" w:color="000000"/>
            </w:tcBorders>
          </w:tcPr>
          <w:p w14:paraId="309D4238" w14:textId="7BE60A54" w:rsidR="00BD2024" w:rsidRDefault="00BD2024">
            <w:pPr>
              <w:spacing w:after="0" w:line="240" w:lineRule="auto"/>
              <w:jc w:val="center"/>
              <w:rPr>
                <w:b/>
                <w:color w:val="000000"/>
                <w:sz w:val="18"/>
                <w:szCs w:val="18"/>
              </w:rPr>
            </w:pPr>
            <w:proofErr w:type="spellStart"/>
            <w:r>
              <w:rPr>
                <w:b/>
                <w:color w:val="000000"/>
                <w:sz w:val="18"/>
                <w:szCs w:val="18"/>
              </w:rPr>
              <w:t>F.Model</w:t>
            </w:r>
            <w:proofErr w:type="spellEnd"/>
          </w:p>
        </w:tc>
        <w:tc>
          <w:tcPr>
            <w:tcW w:w="474" w:type="pct"/>
            <w:tcBorders>
              <w:top w:val="single" w:sz="4" w:space="0" w:color="000000"/>
              <w:left w:val="nil"/>
              <w:bottom w:val="single" w:sz="4" w:space="0" w:color="000000"/>
              <w:right w:val="single" w:sz="4" w:space="0" w:color="000000"/>
            </w:tcBorders>
          </w:tcPr>
          <w:p w14:paraId="6560D823" w14:textId="6210E5C7" w:rsidR="00BD2024" w:rsidRDefault="00BD2024">
            <w:pPr>
              <w:spacing w:after="0" w:line="240" w:lineRule="auto"/>
              <w:jc w:val="center"/>
              <w:rPr>
                <w:b/>
                <w:color w:val="000000"/>
                <w:sz w:val="18"/>
                <w:szCs w:val="18"/>
              </w:rPr>
            </w:pPr>
            <w:proofErr w:type="spellStart"/>
            <w:r>
              <w:rPr>
                <w:b/>
                <w:color w:val="000000"/>
                <w:sz w:val="18"/>
                <w:szCs w:val="18"/>
              </w:rPr>
              <w:t>Pr</w:t>
            </w:r>
            <w:proofErr w:type="spellEnd"/>
            <w:r>
              <w:rPr>
                <w:b/>
                <w:color w:val="000000"/>
                <w:sz w:val="18"/>
                <w:szCs w:val="18"/>
              </w:rPr>
              <w:t>(&gt;F)</w:t>
            </w:r>
          </w:p>
        </w:tc>
      </w:tr>
      <w:tr w:rsidR="00BD2024" w14:paraId="5B2DFA33" w14:textId="4F509F3D" w:rsidTr="00BD2024">
        <w:trPr>
          <w:trHeight w:val="361"/>
        </w:trPr>
        <w:tc>
          <w:tcPr>
            <w:tcW w:w="1098" w:type="pct"/>
            <w:tcBorders>
              <w:top w:val="nil"/>
              <w:left w:val="single" w:sz="4" w:space="0" w:color="000000"/>
              <w:bottom w:val="single" w:sz="4" w:space="0" w:color="000000"/>
              <w:right w:val="nil"/>
            </w:tcBorders>
            <w:vAlign w:val="bottom"/>
          </w:tcPr>
          <w:p w14:paraId="1C685BE9" w14:textId="77777777" w:rsidR="00BD2024" w:rsidRDefault="00BD2024">
            <w:pPr>
              <w:spacing w:after="0" w:line="240" w:lineRule="auto"/>
              <w:rPr>
                <w:color w:val="000000"/>
                <w:sz w:val="18"/>
                <w:szCs w:val="18"/>
              </w:rPr>
            </w:pPr>
            <w:r>
              <w:rPr>
                <w:color w:val="000000"/>
                <w:sz w:val="18"/>
                <w:szCs w:val="18"/>
              </w:rPr>
              <w:t xml:space="preserve">Between </w:t>
            </w:r>
            <w:r>
              <w:rPr>
                <w:i/>
                <w:color w:val="000000"/>
                <w:sz w:val="18"/>
                <w:szCs w:val="18"/>
              </w:rPr>
              <w:t xml:space="preserve">M. </w:t>
            </w:r>
            <w:proofErr w:type="spellStart"/>
            <w:r>
              <w:rPr>
                <w:i/>
                <w:color w:val="000000"/>
                <w:sz w:val="18"/>
                <w:szCs w:val="18"/>
              </w:rPr>
              <w:t>dendrospermum</w:t>
            </w:r>
            <w:proofErr w:type="spellEnd"/>
            <w:r>
              <w:rPr>
                <w:i/>
                <w:color w:val="000000"/>
                <w:sz w:val="18"/>
                <w:szCs w:val="18"/>
              </w:rPr>
              <w:t xml:space="preserve"> </w:t>
            </w:r>
            <w:r>
              <w:rPr>
                <w:color w:val="000000"/>
                <w:sz w:val="18"/>
                <w:szCs w:val="18"/>
              </w:rPr>
              <w:t>thalli under different experimental treatments</w:t>
            </w:r>
          </w:p>
        </w:tc>
        <w:tc>
          <w:tcPr>
            <w:tcW w:w="483" w:type="pct"/>
            <w:tcBorders>
              <w:top w:val="nil"/>
              <w:left w:val="single" w:sz="4" w:space="0" w:color="000000"/>
              <w:bottom w:val="single" w:sz="4" w:space="0" w:color="000000"/>
              <w:right w:val="single" w:sz="4" w:space="0" w:color="000000"/>
            </w:tcBorders>
            <w:vAlign w:val="center"/>
          </w:tcPr>
          <w:p w14:paraId="6A9AC46C" w14:textId="77777777" w:rsidR="00BD2024" w:rsidRDefault="00BD2024">
            <w:pPr>
              <w:spacing w:after="0" w:line="240" w:lineRule="auto"/>
              <w:rPr>
                <w:color w:val="000000"/>
                <w:sz w:val="18"/>
                <w:szCs w:val="18"/>
              </w:rPr>
            </w:pPr>
            <w:r>
              <w:rPr>
                <w:color w:val="000000"/>
                <w:sz w:val="18"/>
                <w:szCs w:val="18"/>
              </w:rPr>
              <w:t>Treatment</w:t>
            </w:r>
          </w:p>
        </w:tc>
        <w:tc>
          <w:tcPr>
            <w:tcW w:w="560" w:type="pct"/>
            <w:tcBorders>
              <w:top w:val="nil"/>
              <w:left w:val="nil"/>
              <w:bottom w:val="single" w:sz="4" w:space="0" w:color="000000"/>
              <w:right w:val="single" w:sz="4" w:space="0" w:color="000000"/>
            </w:tcBorders>
            <w:vAlign w:val="center"/>
          </w:tcPr>
          <w:p w14:paraId="4E6E47B6" w14:textId="77777777" w:rsidR="00BD2024" w:rsidRDefault="00BD2024">
            <w:pPr>
              <w:spacing w:after="0" w:line="240" w:lineRule="auto"/>
              <w:jc w:val="center"/>
              <w:rPr>
                <w:color w:val="000000"/>
                <w:sz w:val="18"/>
                <w:szCs w:val="18"/>
              </w:rPr>
            </w:pPr>
            <w:r>
              <w:rPr>
                <w:color w:val="000000"/>
                <w:sz w:val="18"/>
                <w:szCs w:val="18"/>
              </w:rPr>
              <w:t>2</w:t>
            </w:r>
          </w:p>
        </w:tc>
        <w:tc>
          <w:tcPr>
            <w:tcW w:w="551" w:type="pct"/>
            <w:tcBorders>
              <w:top w:val="nil"/>
              <w:left w:val="nil"/>
              <w:bottom w:val="single" w:sz="4" w:space="0" w:color="000000"/>
              <w:right w:val="single" w:sz="4" w:space="0" w:color="000000"/>
            </w:tcBorders>
            <w:vAlign w:val="center"/>
          </w:tcPr>
          <w:p w14:paraId="77C20135" w14:textId="77777777" w:rsidR="00BD2024" w:rsidRDefault="00BD2024">
            <w:pPr>
              <w:spacing w:after="0" w:line="240" w:lineRule="auto"/>
              <w:jc w:val="center"/>
              <w:rPr>
                <w:color w:val="000000"/>
                <w:sz w:val="18"/>
                <w:szCs w:val="18"/>
              </w:rPr>
            </w:pPr>
            <w:r>
              <w:rPr>
                <w:color w:val="000000"/>
                <w:sz w:val="18"/>
                <w:szCs w:val="18"/>
              </w:rPr>
              <w:t>0.72405</w:t>
            </w:r>
          </w:p>
        </w:tc>
        <w:tc>
          <w:tcPr>
            <w:tcW w:w="444" w:type="pct"/>
            <w:tcBorders>
              <w:top w:val="nil"/>
              <w:left w:val="nil"/>
              <w:bottom w:val="single" w:sz="4" w:space="0" w:color="000000"/>
              <w:right w:val="single" w:sz="4" w:space="0" w:color="000000"/>
            </w:tcBorders>
            <w:vAlign w:val="center"/>
          </w:tcPr>
          <w:p w14:paraId="68B54444" w14:textId="77777777" w:rsidR="00BD2024" w:rsidRDefault="00BD2024">
            <w:pPr>
              <w:spacing w:after="0" w:line="240" w:lineRule="auto"/>
              <w:jc w:val="center"/>
              <w:rPr>
                <w:color w:val="000000"/>
                <w:sz w:val="18"/>
                <w:szCs w:val="18"/>
              </w:rPr>
            </w:pPr>
            <w:r>
              <w:rPr>
                <w:color w:val="000000"/>
                <w:sz w:val="18"/>
                <w:szCs w:val="18"/>
              </w:rPr>
              <w:t>1.4542</w:t>
            </w:r>
          </w:p>
        </w:tc>
        <w:tc>
          <w:tcPr>
            <w:tcW w:w="444" w:type="pct"/>
            <w:tcBorders>
              <w:top w:val="nil"/>
              <w:left w:val="nil"/>
              <w:bottom w:val="single" w:sz="4" w:space="0" w:color="000000"/>
              <w:right w:val="single" w:sz="4" w:space="0" w:color="000000"/>
            </w:tcBorders>
            <w:vAlign w:val="center"/>
          </w:tcPr>
          <w:p w14:paraId="0D08C1D8" w14:textId="77777777" w:rsidR="00BD2024" w:rsidRDefault="00BD2024">
            <w:pPr>
              <w:spacing w:after="0" w:line="240" w:lineRule="auto"/>
              <w:jc w:val="center"/>
              <w:rPr>
                <w:color w:val="000000"/>
                <w:sz w:val="18"/>
                <w:szCs w:val="18"/>
              </w:rPr>
            </w:pPr>
            <w:r>
              <w:rPr>
                <w:color w:val="000000"/>
                <w:sz w:val="18"/>
                <w:szCs w:val="18"/>
              </w:rPr>
              <w:t>0.32648</w:t>
            </w:r>
          </w:p>
        </w:tc>
        <w:tc>
          <w:tcPr>
            <w:tcW w:w="473" w:type="pct"/>
            <w:tcBorders>
              <w:top w:val="nil"/>
              <w:left w:val="nil"/>
              <w:bottom w:val="single" w:sz="4" w:space="0" w:color="000000"/>
              <w:right w:val="single" w:sz="4" w:space="0" w:color="000000"/>
            </w:tcBorders>
            <w:vAlign w:val="center"/>
          </w:tcPr>
          <w:p w14:paraId="2401267B" w14:textId="77777777" w:rsidR="00BD2024" w:rsidRDefault="00BD2024">
            <w:pPr>
              <w:spacing w:after="0" w:line="240" w:lineRule="auto"/>
              <w:jc w:val="center"/>
              <w:rPr>
                <w:color w:val="000000"/>
                <w:sz w:val="18"/>
                <w:szCs w:val="18"/>
              </w:rPr>
            </w:pPr>
            <w:r>
              <w:rPr>
                <w:color w:val="000000"/>
                <w:sz w:val="18"/>
                <w:szCs w:val="18"/>
              </w:rPr>
              <w:t>0.0049**</w:t>
            </w:r>
          </w:p>
        </w:tc>
        <w:tc>
          <w:tcPr>
            <w:tcW w:w="473" w:type="pct"/>
            <w:tcBorders>
              <w:top w:val="nil"/>
              <w:left w:val="nil"/>
              <w:bottom w:val="single" w:sz="4" w:space="0" w:color="000000"/>
              <w:right w:val="single" w:sz="4" w:space="0" w:color="000000"/>
            </w:tcBorders>
          </w:tcPr>
          <w:p w14:paraId="1C3234C0" w14:textId="6C152921" w:rsidR="00BD2024" w:rsidRDefault="00BD2024">
            <w:pPr>
              <w:spacing w:after="0" w:line="240" w:lineRule="auto"/>
              <w:jc w:val="center"/>
              <w:rPr>
                <w:color w:val="000000"/>
                <w:sz w:val="18"/>
                <w:szCs w:val="18"/>
              </w:rPr>
            </w:pPr>
            <w:r>
              <w:rPr>
                <w:color w:val="000000"/>
                <w:sz w:val="18"/>
                <w:szCs w:val="18"/>
              </w:rPr>
              <w:t>1.2323</w:t>
            </w:r>
          </w:p>
        </w:tc>
        <w:tc>
          <w:tcPr>
            <w:tcW w:w="474" w:type="pct"/>
            <w:tcBorders>
              <w:top w:val="nil"/>
              <w:left w:val="nil"/>
              <w:bottom w:val="single" w:sz="4" w:space="0" w:color="000000"/>
              <w:right w:val="single" w:sz="4" w:space="0" w:color="000000"/>
            </w:tcBorders>
          </w:tcPr>
          <w:p w14:paraId="62F9CFE8" w14:textId="312C155B" w:rsidR="00BD2024" w:rsidRDefault="00BD2024">
            <w:pPr>
              <w:spacing w:after="0" w:line="240" w:lineRule="auto"/>
              <w:jc w:val="center"/>
              <w:rPr>
                <w:color w:val="000000"/>
                <w:sz w:val="18"/>
                <w:szCs w:val="18"/>
              </w:rPr>
            </w:pPr>
            <w:r>
              <w:rPr>
                <w:color w:val="000000"/>
                <w:sz w:val="18"/>
                <w:szCs w:val="18"/>
              </w:rPr>
              <w:t>0.3561</w:t>
            </w:r>
          </w:p>
        </w:tc>
      </w:tr>
      <w:tr w:rsidR="00BD2024" w14:paraId="3E72AF1E" w14:textId="24A9F4F0" w:rsidTr="00BD2024">
        <w:trPr>
          <w:trHeight w:val="328"/>
        </w:trPr>
        <w:tc>
          <w:tcPr>
            <w:tcW w:w="1098" w:type="pct"/>
            <w:tcBorders>
              <w:top w:val="nil"/>
              <w:left w:val="single" w:sz="4" w:space="0" w:color="000000"/>
              <w:bottom w:val="single" w:sz="4" w:space="0" w:color="000000"/>
              <w:right w:val="single" w:sz="4" w:space="0" w:color="000000"/>
            </w:tcBorders>
            <w:vAlign w:val="bottom"/>
          </w:tcPr>
          <w:p w14:paraId="0DE4553D" w14:textId="77777777" w:rsidR="00BD2024" w:rsidRDefault="00BD2024">
            <w:pPr>
              <w:spacing w:after="0" w:line="240" w:lineRule="auto"/>
              <w:rPr>
                <w:color w:val="000000"/>
                <w:sz w:val="18"/>
                <w:szCs w:val="18"/>
              </w:rPr>
            </w:pPr>
            <w:r>
              <w:rPr>
                <w:color w:val="000000"/>
                <w:sz w:val="18"/>
                <w:szCs w:val="18"/>
              </w:rPr>
              <w:t> </w:t>
            </w:r>
          </w:p>
        </w:tc>
        <w:tc>
          <w:tcPr>
            <w:tcW w:w="483" w:type="pct"/>
            <w:tcBorders>
              <w:top w:val="nil"/>
              <w:left w:val="nil"/>
              <w:bottom w:val="single" w:sz="4" w:space="0" w:color="000000"/>
              <w:right w:val="single" w:sz="4" w:space="0" w:color="000000"/>
            </w:tcBorders>
            <w:vAlign w:val="center"/>
          </w:tcPr>
          <w:p w14:paraId="0BA6CF6B" w14:textId="77777777" w:rsidR="00BD2024" w:rsidRDefault="00BD2024">
            <w:pPr>
              <w:spacing w:after="0" w:line="240" w:lineRule="auto"/>
              <w:rPr>
                <w:color w:val="000000"/>
                <w:sz w:val="18"/>
                <w:szCs w:val="18"/>
              </w:rPr>
            </w:pPr>
            <w:r>
              <w:rPr>
                <w:color w:val="000000"/>
                <w:sz w:val="18"/>
                <w:szCs w:val="18"/>
              </w:rPr>
              <w:t>Residuals</w:t>
            </w:r>
          </w:p>
        </w:tc>
        <w:tc>
          <w:tcPr>
            <w:tcW w:w="560" w:type="pct"/>
            <w:tcBorders>
              <w:top w:val="nil"/>
              <w:left w:val="nil"/>
              <w:bottom w:val="single" w:sz="4" w:space="0" w:color="000000"/>
              <w:right w:val="single" w:sz="4" w:space="0" w:color="000000"/>
            </w:tcBorders>
            <w:vAlign w:val="center"/>
          </w:tcPr>
          <w:p w14:paraId="196FEF93" w14:textId="77777777" w:rsidR="00BD2024" w:rsidRDefault="00BD2024">
            <w:pPr>
              <w:spacing w:after="0" w:line="240" w:lineRule="auto"/>
              <w:jc w:val="center"/>
              <w:rPr>
                <w:color w:val="000000"/>
                <w:sz w:val="18"/>
                <w:szCs w:val="18"/>
              </w:rPr>
            </w:pPr>
            <w:r>
              <w:rPr>
                <w:color w:val="000000"/>
                <w:sz w:val="18"/>
                <w:szCs w:val="18"/>
              </w:rPr>
              <w:t>6</w:t>
            </w:r>
          </w:p>
        </w:tc>
        <w:tc>
          <w:tcPr>
            <w:tcW w:w="551" w:type="pct"/>
            <w:tcBorders>
              <w:top w:val="nil"/>
              <w:left w:val="nil"/>
              <w:bottom w:val="single" w:sz="4" w:space="0" w:color="000000"/>
              <w:right w:val="single" w:sz="4" w:space="0" w:color="000000"/>
            </w:tcBorders>
            <w:vAlign w:val="center"/>
          </w:tcPr>
          <w:p w14:paraId="76469A9D" w14:textId="77777777" w:rsidR="00BD2024" w:rsidRDefault="00BD2024">
            <w:pPr>
              <w:spacing w:after="0" w:line="240" w:lineRule="auto"/>
              <w:jc w:val="center"/>
              <w:rPr>
                <w:color w:val="000000"/>
                <w:sz w:val="18"/>
                <w:szCs w:val="18"/>
              </w:rPr>
            </w:pPr>
            <w:r>
              <w:rPr>
                <w:color w:val="000000"/>
                <w:sz w:val="18"/>
                <w:szCs w:val="18"/>
              </w:rPr>
              <w:t>1.49370</w:t>
            </w:r>
          </w:p>
        </w:tc>
        <w:tc>
          <w:tcPr>
            <w:tcW w:w="444" w:type="pct"/>
            <w:tcBorders>
              <w:top w:val="nil"/>
              <w:left w:val="nil"/>
              <w:bottom w:val="single" w:sz="4" w:space="0" w:color="000000"/>
              <w:right w:val="single" w:sz="4" w:space="0" w:color="000000"/>
            </w:tcBorders>
            <w:vAlign w:val="bottom"/>
          </w:tcPr>
          <w:p w14:paraId="0DA66C6E" w14:textId="77777777" w:rsidR="00BD2024" w:rsidRDefault="00BD2024">
            <w:pPr>
              <w:spacing w:after="0" w:line="240" w:lineRule="auto"/>
              <w:rPr>
                <w:color w:val="000000"/>
                <w:sz w:val="18"/>
                <w:szCs w:val="18"/>
              </w:rPr>
            </w:pPr>
            <w:r>
              <w:rPr>
                <w:color w:val="000000"/>
                <w:sz w:val="18"/>
                <w:szCs w:val="18"/>
              </w:rPr>
              <w:t> </w:t>
            </w:r>
          </w:p>
        </w:tc>
        <w:tc>
          <w:tcPr>
            <w:tcW w:w="444" w:type="pct"/>
            <w:tcBorders>
              <w:top w:val="nil"/>
              <w:left w:val="nil"/>
              <w:bottom w:val="single" w:sz="4" w:space="0" w:color="000000"/>
              <w:right w:val="single" w:sz="4" w:space="0" w:color="000000"/>
            </w:tcBorders>
            <w:vAlign w:val="center"/>
          </w:tcPr>
          <w:p w14:paraId="449A60F2" w14:textId="77777777" w:rsidR="00BD2024" w:rsidRDefault="00BD2024">
            <w:pPr>
              <w:spacing w:after="0" w:line="240" w:lineRule="auto"/>
              <w:jc w:val="center"/>
              <w:rPr>
                <w:color w:val="000000"/>
                <w:sz w:val="18"/>
                <w:szCs w:val="18"/>
              </w:rPr>
            </w:pPr>
            <w:r>
              <w:rPr>
                <w:color w:val="000000"/>
                <w:sz w:val="18"/>
                <w:szCs w:val="18"/>
              </w:rPr>
              <w:t>0.67352</w:t>
            </w:r>
          </w:p>
        </w:tc>
        <w:tc>
          <w:tcPr>
            <w:tcW w:w="473" w:type="pct"/>
            <w:tcBorders>
              <w:top w:val="nil"/>
              <w:left w:val="nil"/>
              <w:bottom w:val="single" w:sz="4" w:space="0" w:color="000000"/>
              <w:right w:val="single" w:sz="4" w:space="0" w:color="000000"/>
            </w:tcBorders>
            <w:vAlign w:val="center"/>
          </w:tcPr>
          <w:p w14:paraId="71860B76" w14:textId="77777777" w:rsidR="00BD2024" w:rsidRDefault="00BD2024">
            <w:pPr>
              <w:spacing w:after="0" w:line="240" w:lineRule="auto"/>
              <w:jc w:val="center"/>
              <w:rPr>
                <w:color w:val="000000"/>
                <w:sz w:val="18"/>
                <w:szCs w:val="18"/>
              </w:rPr>
            </w:pPr>
            <w:r>
              <w:rPr>
                <w:color w:val="000000"/>
                <w:sz w:val="18"/>
                <w:szCs w:val="18"/>
              </w:rPr>
              <w:t> </w:t>
            </w:r>
          </w:p>
        </w:tc>
        <w:tc>
          <w:tcPr>
            <w:tcW w:w="473" w:type="pct"/>
            <w:tcBorders>
              <w:top w:val="nil"/>
              <w:left w:val="nil"/>
              <w:bottom w:val="single" w:sz="4" w:space="0" w:color="000000"/>
              <w:right w:val="single" w:sz="4" w:space="0" w:color="000000"/>
            </w:tcBorders>
          </w:tcPr>
          <w:p w14:paraId="20DA0C85" w14:textId="77777777" w:rsidR="00BD2024" w:rsidRDefault="00BD2024">
            <w:pPr>
              <w:spacing w:after="0" w:line="240" w:lineRule="auto"/>
              <w:jc w:val="center"/>
              <w:rPr>
                <w:color w:val="000000"/>
                <w:sz w:val="18"/>
                <w:szCs w:val="18"/>
              </w:rPr>
            </w:pPr>
          </w:p>
        </w:tc>
        <w:tc>
          <w:tcPr>
            <w:tcW w:w="474" w:type="pct"/>
            <w:tcBorders>
              <w:top w:val="nil"/>
              <w:left w:val="nil"/>
              <w:bottom w:val="single" w:sz="4" w:space="0" w:color="000000"/>
              <w:right w:val="single" w:sz="4" w:space="0" w:color="000000"/>
            </w:tcBorders>
          </w:tcPr>
          <w:p w14:paraId="2726661E" w14:textId="77777777" w:rsidR="00BD2024" w:rsidRDefault="00BD2024">
            <w:pPr>
              <w:spacing w:after="0" w:line="240" w:lineRule="auto"/>
              <w:jc w:val="center"/>
              <w:rPr>
                <w:color w:val="000000"/>
                <w:sz w:val="18"/>
                <w:szCs w:val="18"/>
              </w:rPr>
            </w:pPr>
          </w:p>
        </w:tc>
      </w:tr>
      <w:tr w:rsidR="00BD2024" w14:paraId="496FABD6" w14:textId="072858F4" w:rsidTr="00BD2024">
        <w:trPr>
          <w:trHeight w:val="328"/>
        </w:trPr>
        <w:tc>
          <w:tcPr>
            <w:tcW w:w="1098" w:type="pct"/>
            <w:tcBorders>
              <w:top w:val="nil"/>
              <w:left w:val="single" w:sz="4" w:space="0" w:color="000000"/>
              <w:bottom w:val="single" w:sz="4" w:space="0" w:color="000000"/>
              <w:right w:val="single" w:sz="4" w:space="0" w:color="000000"/>
            </w:tcBorders>
            <w:vAlign w:val="bottom"/>
          </w:tcPr>
          <w:p w14:paraId="50B4F879" w14:textId="77777777" w:rsidR="00BD2024" w:rsidRDefault="00BD2024">
            <w:pPr>
              <w:spacing w:after="0" w:line="240" w:lineRule="auto"/>
              <w:rPr>
                <w:color w:val="000000"/>
                <w:sz w:val="18"/>
                <w:szCs w:val="18"/>
              </w:rPr>
            </w:pPr>
            <w:r>
              <w:rPr>
                <w:color w:val="000000"/>
                <w:sz w:val="18"/>
                <w:szCs w:val="18"/>
              </w:rPr>
              <w:t> </w:t>
            </w:r>
          </w:p>
        </w:tc>
        <w:tc>
          <w:tcPr>
            <w:tcW w:w="483" w:type="pct"/>
            <w:tcBorders>
              <w:top w:val="nil"/>
              <w:left w:val="nil"/>
              <w:bottom w:val="single" w:sz="4" w:space="0" w:color="000000"/>
              <w:right w:val="single" w:sz="4" w:space="0" w:color="000000"/>
            </w:tcBorders>
            <w:vAlign w:val="center"/>
          </w:tcPr>
          <w:p w14:paraId="49AD2D59" w14:textId="77777777" w:rsidR="00BD2024" w:rsidRDefault="00BD2024">
            <w:pPr>
              <w:spacing w:after="0" w:line="240" w:lineRule="auto"/>
              <w:rPr>
                <w:color w:val="000000"/>
                <w:sz w:val="18"/>
                <w:szCs w:val="18"/>
              </w:rPr>
            </w:pPr>
            <w:r>
              <w:rPr>
                <w:color w:val="000000"/>
                <w:sz w:val="18"/>
                <w:szCs w:val="18"/>
              </w:rPr>
              <w:t>Total</w:t>
            </w:r>
          </w:p>
        </w:tc>
        <w:tc>
          <w:tcPr>
            <w:tcW w:w="560" w:type="pct"/>
            <w:tcBorders>
              <w:top w:val="nil"/>
              <w:left w:val="nil"/>
              <w:bottom w:val="single" w:sz="4" w:space="0" w:color="000000"/>
              <w:right w:val="single" w:sz="4" w:space="0" w:color="000000"/>
            </w:tcBorders>
            <w:vAlign w:val="center"/>
          </w:tcPr>
          <w:p w14:paraId="13B17EAF" w14:textId="77777777" w:rsidR="00BD2024" w:rsidRDefault="00BD2024">
            <w:pPr>
              <w:spacing w:after="0" w:line="240" w:lineRule="auto"/>
              <w:jc w:val="center"/>
              <w:rPr>
                <w:color w:val="000000"/>
                <w:sz w:val="18"/>
                <w:szCs w:val="18"/>
              </w:rPr>
            </w:pPr>
            <w:r>
              <w:rPr>
                <w:color w:val="000000"/>
                <w:sz w:val="18"/>
                <w:szCs w:val="18"/>
              </w:rPr>
              <w:t>8</w:t>
            </w:r>
          </w:p>
        </w:tc>
        <w:tc>
          <w:tcPr>
            <w:tcW w:w="551" w:type="pct"/>
            <w:tcBorders>
              <w:top w:val="nil"/>
              <w:left w:val="nil"/>
              <w:bottom w:val="single" w:sz="4" w:space="0" w:color="000000"/>
              <w:right w:val="single" w:sz="4" w:space="0" w:color="000000"/>
            </w:tcBorders>
            <w:vAlign w:val="center"/>
          </w:tcPr>
          <w:p w14:paraId="1B55C0C4" w14:textId="77777777" w:rsidR="00BD2024" w:rsidRDefault="00BD2024">
            <w:pPr>
              <w:spacing w:after="0" w:line="240" w:lineRule="auto"/>
              <w:jc w:val="center"/>
              <w:rPr>
                <w:color w:val="000000"/>
                <w:sz w:val="18"/>
                <w:szCs w:val="18"/>
              </w:rPr>
            </w:pPr>
            <w:r>
              <w:rPr>
                <w:color w:val="000000"/>
                <w:sz w:val="18"/>
                <w:szCs w:val="18"/>
              </w:rPr>
              <w:t>2.21774</w:t>
            </w:r>
          </w:p>
        </w:tc>
        <w:tc>
          <w:tcPr>
            <w:tcW w:w="444" w:type="pct"/>
            <w:tcBorders>
              <w:top w:val="nil"/>
              <w:left w:val="nil"/>
              <w:bottom w:val="single" w:sz="4" w:space="0" w:color="000000"/>
              <w:right w:val="single" w:sz="4" w:space="0" w:color="000000"/>
            </w:tcBorders>
            <w:vAlign w:val="bottom"/>
          </w:tcPr>
          <w:p w14:paraId="43D0D3BA" w14:textId="77777777" w:rsidR="00BD2024" w:rsidRDefault="00BD2024">
            <w:pPr>
              <w:spacing w:after="0" w:line="240" w:lineRule="auto"/>
              <w:rPr>
                <w:color w:val="000000"/>
                <w:sz w:val="18"/>
                <w:szCs w:val="18"/>
              </w:rPr>
            </w:pPr>
            <w:r>
              <w:rPr>
                <w:color w:val="000000"/>
                <w:sz w:val="18"/>
                <w:szCs w:val="18"/>
              </w:rPr>
              <w:t> </w:t>
            </w:r>
          </w:p>
        </w:tc>
        <w:tc>
          <w:tcPr>
            <w:tcW w:w="444" w:type="pct"/>
            <w:tcBorders>
              <w:top w:val="nil"/>
              <w:left w:val="nil"/>
              <w:bottom w:val="single" w:sz="4" w:space="0" w:color="000000"/>
              <w:right w:val="single" w:sz="4" w:space="0" w:color="000000"/>
            </w:tcBorders>
            <w:vAlign w:val="center"/>
          </w:tcPr>
          <w:p w14:paraId="3D576D13" w14:textId="77777777" w:rsidR="00BD2024" w:rsidRDefault="00BD2024">
            <w:pPr>
              <w:spacing w:after="0" w:line="240" w:lineRule="auto"/>
              <w:jc w:val="center"/>
              <w:rPr>
                <w:color w:val="000000"/>
                <w:sz w:val="18"/>
                <w:szCs w:val="18"/>
              </w:rPr>
            </w:pPr>
            <w:r>
              <w:rPr>
                <w:color w:val="000000"/>
                <w:sz w:val="18"/>
                <w:szCs w:val="18"/>
              </w:rPr>
              <w:t>1</w:t>
            </w:r>
          </w:p>
        </w:tc>
        <w:tc>
          <w:tcPr>
            <w:tcW w:w="473" w:type="pct"/>
            <w:tcBorders>
              <w:top w:val="nil"/>
              <w:left w:val="nil"/>
              <w:bottom w:val="single" w:sz="4" w:space="0" w:color="000000"/>
              <w:right w:val="single" w:sz="4" w:space="0" w:color="000000"/>
            </w:tcBorders>
            <w:vAlign w:val="center"/>
          </w:tcPr>
          <w:p w14:paraId="5E0037F5" w14:textId="77777777" w:rsidR="00BD2024" w:rsidRDefault="00BD2024">
            <w:pPr>
              <w:spacing w:after="0" w:line="240" w:lineRule="auto"/>
              <w:jc w:val="center"/>
              <w:rPr>
                <w:color w:val="000000"/>
                <w:sz w:val="18"/>
                <w:szCs w:val="18"/>
              </w:rPr>
            </w:pPr>
            <w:r>
              <w:rPr>
                <w:color w:val="000000"/>
                <w:sz w:val="18"/>
                <w:szCs w:val="18"/>
              </w:rPr>
              <w:t> </w:t>
            </w:r>
          </w:p>
        </w:tc>
        <w:tc>
          <w:tcPr>
            <w:tcW w:w="473" w:type="pct"/>
            <w:tcBorders>
              <w:top w:val="nil"/>
              <w:left w:val="nil"/>
              <w:bottom w:val="single" w:sz="4" w:space="0" w:color="000000"/>
              <w:right w:val="single" w:sz="4" w:space="0" w:color="000000"/>
            </w:tcBorders>
          </w:tcPr>
          <w:p w14:paraId="0B9E7C85" w14:textId="77777777" w:rsidR="00BD2024" w:rsidRDefault="00BD2024">
            <w:pPr>
              <w:spacing w:after="0" w:line="240" w:lineRule="auto"/>
              <w:jc w:val="center"/>
              <w:rPr>
                <w:color w:val="000000"/>
                <w:sz w:val="18"/>
                <w:szCs w:val="18"/>
              </w:rPr>
            </w:pPr>
          </w:p>
        </w:tc>
        <w:tc>
          <w:tcPr>
            <w:tcW w:w="474" w:type="pct"/>
            <w:tcBorders>
              <w:top w:val="nil"/>
              <w:left w:val="nil"/>
              <w:bottom w:val="single" w:sz="4" w:space="0" w:color="000000"/>
              <w:right w:val="single" w:sz="4" w:space="0" w:color="000000"/>
            </w:tcBorders>
          </w:tcPr>
          <w:p w14:paraId="31E94A21" w14:textId="77777777" w:rsidR="00BD2024" w:rsidRDefault="00BD2024">
            <w:pPr>
              <w:spacing w:after="0" w:line="240" w:lineRule="auto"/>
              <w:jc w:val="center"/>
              <w:rPr>
                <w:color w:val="000000"/>
                <w:sz w:val="18"/>
                <w:szCs w:val="18"/>
              </w:rPr>
            </w:pPr>
          </w:p>
        </w:tc>
      </w:tr>
      <w:tr w:rsidR="00BD2024" w14:paraId="243B42F1" w14:textId="5DCDA463" w:rsidTr="00BD2024">
        <w:trPr>
          <w:trHeight w:val="304"/>
        </w:trPr>
        <w:tc>
          <w:tcPr>
            <w:tcW w:w="1098" w:type="pct"/>
            <w:tcBorders>
              <w:top w:val="nil"/>
              <w:left w:val="single" w:sz="4" w:space="0" w:color="000000"/>
              <w:bottom w:val="single" w:sz="4" w:space="0" w:color="000000"/>
              <w:right w:val="single" w:sz="4" w:space="0" w:color="000000"/>
            </w:tcBorders>
            <w:vAlign w:val="bottom"/>
          </w:tcPr>
          <w:p w14:paraId="5C2017EB" w14:textId="77777777" w:rsidR="00BD2024" w:rsidRDefault="00BD2024">
            <w:pPr>
              <w:spacing w:after="0" w:line="240" w:lineRule="auto"/>
              <w:rPr>
                <w:color w:val="000000"/>
                <w:sz w:val="18"/>
                <w:szCs w:val="18"/>
              </w:rPr>
            </w:pPr>
            <w:r>
              <w:rPr>
                <w:color w:val="000000"/>
                <w:sz w:val="18"/>
                <w:szCs w:val="18"/>
              </w:rPr>
              <w:t xml:space="preserve">Between </w:t>
            </w:r>
            <w:proofErr w:type="spellStart"/>
            <w:r>
              <w:rPr>
                <w:i/>
                <w:color w:val="000000"/>
                <w:sz w:val="18"/>
                <w:szCs w:val="18"/>
              </w:rPr>
              <w:t>L.stictiforme</w:t>
            </w:r>
            <w:proofErr w:type="spellEnd"/>
            <w:r>
              <w:rPr>
                <w:color w:val="000000"/>
                <w:sz w:val="18"/>
                <w:szCs w:val="18"/>
              </w:rPr>
              <w:t xml:space="preserve"> thalli under different experimental treatments</w:t>
            </w:r>
          </w:p>
        </w:tc>
        <w:tc>
          <w:tcPr>
            <w:tcW w:w="483" w:type="pct"/>
            <w:tcBorders>
              <w:top w:val="nil"/>
              <w:left w:val="nil"/>
              <w:bottom w:val="single" w:sz="4" w:space="0" w:color="000000"/>
              <w:right w:val="single" w:sz="4" w:space="0" w:color="000000"/>
            </w:tcBorders>
            <w:vAlign w:val="center"/>
          </w:tcPr>
          <w:p w14:paraId="564270C8" w14:textId="77777777" w:rsidR="00BD2024" w:rsidRDefault="00BD2024">
            <w:pPr>
              <w:spacing w:after="0" w:line="240" w:lineRule="auto"/>
              <w:rPr>
                <w:color w:val="000000"/>
                <w:sz w:val="18"/>
                <w:szCs w:val="18"/>
              </w:rPr>
            </w:pPr>
            <w:r>
              <w:rPr>
                <w:color w:val="000000"/>
                <w:sz w:val="18"/>
                <w:szCs w:val="18"/>
              </w:rPr>
              <w:t>Treatment</w:t>
            </w:r>
          </w:p>
        </w:tc>
        <w:tc>
          <w:tcPr>
            <w:tcW w:w="560" w:type="pct"/>
            <w:tcBorders>
              <w:top w:val="nil"/>
              <w:left w:val="nil"/>
              <w:bottom w:val="single" w:sz="4" w:space="0" w:color="000000"/>
              <w:right w:val="single" w:sz="4" w:space="0" w:color="000000"/>
            </w:tcBorders>
            <w:vAlign w:val="center"/>
          </w:tcPr>
          <w:p w14:paraId="4DED7D66" w14:textId="77777777" w:rsidR="00BD2024" w:rsidRDefault="00BD2024">
            <w:pPr>
              <w:spacing w:after="0" w:line="240" w:lineRule="auto"/>
              <w:jc w:val="center"/>
              <w:rPr>
                <w:color w:val="000000"/>
                <w:sz w:val="18"/>
                <w:szCs w:val="18"/>
              </w:rPr>
            </w:pPr>
            <w:r>
              <w:rPr>
                <w:color w:val="000000"/>
                <w:sz w:val="18"/>
                <w:szCs w:val="18"/>
              </w:rPr>
              <w:t>2</w:t>
            </w:r>
          </w:p>
        </w:tc>
        <w:tc>
          <w:tcPr>
            <w:tcW w:w="551" w:type="pct"/>
            <w:tcBorders>
              <w:top w:val="nil"/>
              <w:left w:val="nil"/>
              <w:bottom w:val="single" w:sz="4" w:space="0" w:color="000000"/>
              <w:right w:val="single" w:sz="4" w:space="0" w:color="000000"/>
            </w:tcBorders>
            <w:vAlign w:val="center"/>
          </w:tcPr>
          <w:p w14:paraId="2AF09C9B" w14:textId="77777777" w:rsidR="00BD2024" w:rsidRDefault="00BD2024">
            <w:pPr>
              <w:spacing w:after="0" w:line="240" w:lineRule="auto"/>
              <w:jc w:val="center"/>
              <w:rPr>
                <w:color w:val="000000"/>
                <w:sz w:val="18"/>
                <w:szCs w:val="18"/>
              </w:rPr>
            </w:pPr>
            <w:r>
              <w:rPr>
                <w:color w:val="000000"/>
                <w:sz w:val="18"/>
                <w:szCs w:val="18"/>
              </w:rPr>
              <w:t>0.92791</w:t>
            </w:r>
          </w:p>
        </w:tc>
        <w:tc>
          <w:tcPr>
            <w:tcW w:w="444" w:type="pct"/>
            <w:tcBorders>
              <w:top w:val="nil"/>
              <w:left w:val="nil"/>
              <w:bottom w:val="single" w:sz="4" w:space="0" w:color="000000"/>
              <w:right w:val="single" w:sz="4" w:space="0" w:color="000000"/>
            </w:tcBorders>
            <w:vAlign w:val="center"/>
          </w:tcPr>
          <w:p w14:paraId="6BB4A505" w14:textId="77777777" w:rsidR="00BD2024" w:rsidRDefault="00BD2024">
            <w:pPr>
              <w:spacing w:after="0" w:line="240" w:lineRule="auto"/>
              <w:jc w:val="center"/>
              <w:rPr>
                <w:color w:val="000000"/>
                <w:sz w:val="18"/>
                <w:szCs w:val="18"/>
              </w:rPr>
            </w:pPr>
            <w:r>
              <w:rPr>
                <w:color w:val="000000"/>
                <w:sz w:val="18"/>
                <w:szCs w:val="18"/>
              </w:rPr>
              <w:t>2.0669</w:t>
            </w:r>
          </w:p>
        </w:tc>
        <w:tc>
          <w:tcPr>
            <w:tcW w:w="444" w:type="pct"/>
            <w:tcBorders>
              <w:top w:val="nil"/>
              <w:left w:val="nil"/>
              <w:bottom w:val="single" w:sz="4" w:space="0" w:color="000000"/>
              <w:right w:val="single" w:sz="4" w:space="0" w:color="000000"/>
            </w:tcBorders>
            <w:vAlign w:val="center"/>
          </w:tcPr>
          <w:p w14:paraId="0C2BB24C" w14:textId="77777777" w:rsidR="00BD2024" w:rsidRDefault="00BD2024">
            <w:pPr>
              <w:spacing w:after="0" w:line="240" w:lineRule="auto"/>
              <w:jc w:val="center"/>
              <w:rPr>
                <w:color w:val="000000"/>
                <w:sz w:val="18"/>
                <w:szCs w:val="18"/>
              </w:rPr>
            </w:pPr>
            <w:r>
              <w:rPr>
                <w:color w:val="000000"/>
                <w:sz w:val="18"/>
                <w:szCs w:val="18"/>
              </w:rPr>
              <w:t>0.40792</w:t>
            </w:r>
          </w:p>
        </w:tc>
        <w:tc>
          <w:tcPr>
            <w:tcW w:w="473" w:type="pct"/>
            <w:tcBorders>
              <w:top w:val="nil"/>
              <w:left w:val="nil"/>
              <w:bottom w:val="single" w:sz="4" w:space="0" w:color="000000"/>
              <w:right w:val="single" w:sz="4" w:space="0" w:color="000000"/>
            </w:tcBorders>
            <w:vAlign w:val="center"/>
          </w:tcPr>
          <w:p w14:paraId="0363BC4B" w14:textId="77777777" w:rsidR="00BD2024" w:rsidRDefault="00BD2024">
            <w:pPr>
              <w:spacing w:after="0" w:line="240" w:lineRule="auto"/>
              <w:jc w:val="center"/>
              <w:rPr>
                <w:color w:val="000000"/>
                <w:sz w:val="18"/>
                <w:szCs w:val="18"/>
              </w:rPr>
            </w:pPr>
            <w:r>
              <w:rPr>
                <w:color w:val="000000"/>
                <w:sz w:val="18"/>
                <w:szCs w:val="18"/>
              </w:rPr>
              <w:t>0.0046**</w:t>
            </w:r>
          </w:p>
        </w:tc>
        <w:tc>
          <w:tcPr>
            <w:tcW w:w="473" w:type="pct"/>
            <w:tcBorders>
              <w:top w:val="nil"/>
              <w:left w:val="nil"/>
              <w:bottom w:val="single" w:sz="4" w:space="0" w:color="000000"/>
              <w:right w:val="single" w:sz="4" w:space="0" w:color="000000"/>
            </w:tcBorders>
          </w:tcPr>
          <w:p w14:paraId="73F54A42" w14:textId="20BED263" w:rsidR="00BD2024" w:rsidRDefault="00BD2024">
            <w:pPr>
              <w:spacing w:after="0" w:line="240" w:lineRule="auto"/>
              <w:jc w:val="center"/>
              <w:rPr>
                <w:color w:val="000000"/>
                <w:sz w:val="18"/>
                <w:szCs w:val="18"/>
              </w:rPr>
            </w:pPr>
            <w:r>
              <w:rPr>
                <w:color w:val="000000"/>
                <w:sz w:val="18"/>
                <w:szCs w:val="18"/>
              </w:rPr>
              <w:t>0.2231</w:t>
            </w:r>
          </w:p>
        </w:tc>
        <w:tc>
          <w:tcPr>
            <w:tcW w:w="474" w:type="pct"/>
            <w:tcBorders>
              <w:top w:val="nil"/>
              <w:left w:val="nil"/>
              <w:bottom w:val="single" w:sz="4" w:space="0" w:color="000000"/>
              <w:right w:val="single" w:sz="4" w:space="0" w:color="000000"/>
            </w:tcBorders>
          </w:tcPr>
          <w:p w14:paraId="35283FFC" w14:textId="513EBE29" w:rsidR="00BD2024" w:rsidRDefault="00BD2024">
            <w:pPr>
              <w:spacing w:after="0" w:line="240" w:lineRule="auto"/>
              <w:jc w:val="center"/>
              <w:rPr>
                <w:color w:val="000000"/>
                <w:sz w:val="18"/>
                <w:szCs w:val="18"/>
              </w:rPr>
            </w:pPr>
            <w:r>
              <w:rPr>
                <w:color w:val="000000"/>
                <w:sz w:val="18"/>
                <w:szCs w:val="18"/>
              </w:rPr>
              <w:t>0.8064</w:t>
            </w:r>
          </w:p>
        </w:tc>
      </w:tr>
      <w:tr w:rsidR="00BD2024" w14:paraId="0A3DF7E3" w14:textId="642B6E1A" w:rsidTr="00BD2024">
        <w:trPr>
          <w:trHeight w:val="328"/>
        </w:trPr>
        <w:tc>
          <w:tcPr>
            <w:tcW w:w="1098" w:type="pct"/>
            <w:tcBorders>
              <w:top w:val="nil"/>
              <w:left w:val="single" w:sz="4" w:space="0" w:color="000000"/>
              <w:bottom w:val="single" w:sz="4" w:space="0" w:color="000000"/>
              <w:right w:val="single" w:sz="4" w:space="0" w:color="000000"/>
            </w:tcBorders>
            <w:vAlign w:val="bottom"/>
          </w:tcPr>
          <w:p w14:paraId="1083EC26" w14:textId="77777777" w:rsidR="00BD2024" w:rsidRDefault="00BD2024">
            <w:pPr>
              <w:spacing w:after="0" w:line="240" w:lineRule="auto"/>
              <w:rPr>
                <w:color w:val="000000"/>
                <w:sz w:val="18"/>
                <w:szCs w:val="18"/>
              </w:rPr>
            </w:pPr>
            <w:r>
              <w:rPr>
                <w:color w:val="000000"/>
                <w:sz w:val="18"/>
                <w:szCs w:val="18"/>
              </w:rPr>
              <w:t> </w:t>
            </w:r>
          </w:p>
        </w:tc>
        <w:tc>
          <w:tcPr>
            <w:tcW w:w="483" w:type="pct"/>
            <w:tcBorders>
              <w:top w:val="nil"/>
              <w:left w:val="nil"/>
              <w:bottom w:val="single" w:sz="4" w:space="0" w:color="000000"/>
              <w:right w:val="single" w:sz="4" w:space="0" w:color="000000"/>
            </w:tcBorders>
            <w:vAlign w:val="center"/>
          </w:tcPr>
          <w:p w14:paraId="3007240E" w14:textId="77777777" w:rsidR="00BD2024" w:rsidRDefault="00BD2024">
            <w:pPr>
              <w:spacing w:after="0" w:line="240" w:lineRule="auto"/>
              <w:rPr>
                <w:color w:val="000000"/>
                <w:sz w:val="18"/>
                <w:szCs w:val="18"/>
              </w:rPr>
            </w:pPr>
            <w:r>
              <w:rPr>
                <w:color w:val="000000"/>
                <w:sz w:val="18"/>
                <w:szCs w:val="18"/>
              </w:rPr>
              <w:t>Residuals</w:t>
            </w:r>
          </w:p>
        </w:tc>
        <w:tc>
          <w:tcPr>
            <w:tcW w:w="560" w:type="pct"/>
            <w:tcBorders>
              <w:top w:val="nil"/>
              <w:left w:val="nil"/>
              <w:bottom w:val="single" w:sz="4" w:space="0" w:color="000000"/>
              <w:right w:val="single" w:sz="4" w:space="0" w:color="000000"/>
            </w:tcBorders>
            <w:vAlign w:val="center"/>
          </w:tcPr>
          <w:p w14:paraId="1CFEF40C" w14:textId="77777777" w:rsidR="00BD2024" w:rsidRDefault="00BD2024">
            <w:pPr>
              <w:spacing w:after="0" w:line="240" w:lineRule="auto"/>
              <w:jc w:val="center"/>
              <w:rPr>
                <w:color w:val="000000"/>
                <w:sz w:val="18"/>
                <w:szCs w:val="18"/>
              </w:rPr>
            </w:pPr>
            <w:r>
              <w:rPr>
                <w:color w:val="000000"/>
                <w:sz w:val="18"/>
                <w:szCs w:val="18"/>
              </w:rPr>
              <w:t>6</w:t>
            </w:r>
          </w:p>
        </w:tc>
        <w:tc>
          <w:tcPr>
            <w:tcW w:w="551" w:type="pct"/>
            <w:tcBorders>
              <w:top w:val="nil"/>
              <w:left w:val="nil"/>
              <w:bottom w:val="single" w:sz="4" w:space="0" w:color="000000"/>
              <w:right w:val="single" w:sz="4" w:space="0" w:color="000000"/>
            </w:tcBorders>
            <w:vAlign w:val="center"/>
          </w:tcPr>
          <w:p w14:paraId="7BE5245B" w14:textId="77777777" w:rsidR="00BD2024" w:rsidRDefault="00BD2024">
            <w:pPr>
              <w:spacing w:after="0" w:line="240" w:lineRule="auto"/>
              <w:jc w:val="center"/>
              <w:rPr>
                <w:color w:val="000000"/>
                <w:sz w:val="18"/>
                <w:szCs w:val="18"/>
              </w:rPr>
            </w:pPr>
            <w:r>
              <w:rPr>
                <w:color w:val="000000"/>
                <w:sz w:val="18"/>
                <w:szCs w:val="18"/>
              </w:rPr>
              <w:t>1.34684</w:t>
            </w:r>
          </w:p>
        </w:tc>
        <w:tc>
          <w:tcPr>
            <w:tcW w:w="444" w:type="pct"/>
            <w:tcBorders>
              <w:top w:val="nil"/>
              <w:left w:val="nil"/>
              <w:bottom w:val="single" w:sz="4" w:space="0" w:color="000000"/>
              <w:right w:val="single" w:sz="4" w:space="0" w:color="000000"/>
            </w:tcBorders>
            <w:vAlign w:val="bottom"/>
          </w:tcPr>
          <w:p w14:paraId="20B0B983" w14:textId="77777777" w:rsidR="00BD2024" w:rsidRDefault="00BD2024">
            <w:pPr>
              <w:spacing w:after="0" w:line="240" w:lineRule="auto"/>
              <w:rPr>
                <w:color w:val="000000"/>
                <w:sz w:val="18"/>
                <w:szCs w:val="18"/>
              </w:rPr>
            </w:pPr>
            <w:r>
              <w:rPr>
                <w:color w:val="000000"/>
                <w:sz w:val="18"/>
                <w:szCs w:val="18"/>
              </w:rPr>
              <w:t> </w:t>
            </w:r>
          </w:p>
        </w:tc>
        <w:tc>
          <w:tcPr>
            <w:tcW w:w="444" w:type="pct"/>
            <w:tcBorders>
              <w:top w:val="nil"/>
              <w:left w:val="nil"/>
              <w:bottom w:val="single" w:sz="4" w:space="0" w:color="000000"/>
              <w:right w:val="single" w:sz="4" w:space="0" w:color="000000"/>
            </w:tcBorders>
            <w:vAlign w:val="center"/>
          </w:tcPr>
          <w:p w14:paraId="36C99335" w14:textId="77777777" w:rsidR="00BD2024" w:rsidRDefault="00BD2024">
            <w:pPr>
              <w:spacing w:after="0" w:line="240" w:lineRule="auto"/>
              <w:jc w:val="center"/>
              <w:rPr>
                <w:color w:val="000000"/>
                <w:sz w:val="18"/>
                <w:szCs w:val="18"/>
              </w:rPr>
            </w:pPr>
            <w:r>
              <w:rPr>
                <w:color w:val="000000"/>
                <w:sz w:val="18"/>
                <w:szCs w:val="18"/>
              </w:rPr>
              <w:t>0.59208</w:t>
            </w:r>
          </w:p>
        </w:tc>
        <w:tc>
          <w:tcPr>
            <w:tcW w:w="473" w:type="pct"/>
            <w:tcBorders>
              <w:top w:val="nil"/>
              <w:left w:val="nil"/>
              <w:bottom w:val="single" w:sz="4" w:space="0" w:color="000000"/>
              <w:right w:val="single" w:sz="4" w:space="0" w:color="000000"/>
            </w:tcBorders>
            <w:vAlign w:val="center"/>
          </w:tcPr>
          <w:p w14:paraId="6E213011" w14:textId="77777777" w:rsidR="00BD2024" w:rsidRDefault="00BD2024">
            <w:pPr>
              <w:spacing w:after="0" w:line="240" w:lineRule="auto"/>
              <w:jc w:val="center"/>
              <w:rPr>
                <w:color w:val="000000"/>
                <w:sz w:val="18"/>
                <w:szCs w:val="18"/>
              </w:rPr>
            </w:pPr>
            <w:r>
              <w:rPr>
                <w:color w:val="000000"/>
                <w:sz w:val="18"/>
                <w:szCs w:val="18"/>
              </w:rPr>
              <w:t> </w:t>
            </w:r>
          </w:p>
        </w:tc>
        <w:tc>
          <w:tcPr>
            <w:tcW w:w="473" w:type="pct"/>
            <w:tcBorders>
              <w:top w:val="nil"/>
              <w:left w:val="nil"/>
              <w:bottom w:val="single" w:sz="4" w:space="0" w:color="000000"/>
              <w:right w:val="single" w:sz="4" w:space="0" w:color="000000"/>
            </w:tcBorders>
          </w:tcPr>
          <w:p w14:paraId="30D4ABB4" w14:textId="77777777" w:rsidR="00BD2024" w:rsidRDefault="00BD2024">
            <w:pPr>
              <w:spacing w:after="0" w:line="240" w:lineRule="auto"/>
              <w:jc w:val="center"/>
              <w:rPr>
                <w:color w:val="000000"/>
                <w:sz w:val="18"/>
                <w:szCs w:val="18"/>
              </w:rPr>
            </w:pPr>
          </w:p>
        </w:tc>
        <w:tc>
          <w:tcPr>
            <w:tcW w:w="474" w:type="pct"/>
            <w:tcBorders>
              <w:top w:val="nil"/>
              <w:left w:val="nil"/>
              <w:bottom w:val="single" w:sz="4" w:space="0" w:color="000000"/>
              <w:right w:val="single" w:sz="4" w:space="0" w:color="000000"/>
            </w:tcBorders>
          </w:tcPr>
          <w:p w14:paraId="712BC731" w14:textId="77777777" w:rsidR="00BD2024" w:rsidRDefault="00BD2024">
            <w:pPr>
              <w:spacing w:after="0" w:line="240" w:lineRule="auto"/>
              <w:jc w:val="center"/>
              <w:rPr>
                <w:color w:val="000000"/>
                <w:sz w:val="18"/>
                <w:szCs w:val="18"/>
              </w:rPr>
            </w:pPr>
          </w:p>
        </w:tc>
      </w:tr>
      <w:tr w:rsidR="00BD2024" w14:paraId="449BFDDA" w14:textId="37858449" w:rsidTr="00BD2024">
        <w:trPr>
          <w:trHeight w:val="328"/>
        </w:trPr>
        <w:tc>
          <w:tcPr>
            <w:tcW w:w="1098" w:type="pct"/>
            <w:tcBorders>
              <w:top w:val="nil"/>
              <w:left w:val="single" w:sz="4" w:space="0" w:color="000000"/>
              <w:bottom w:val="single" w:sz="4" w:space="0" w:color="000000"/>
              <w:right w:val="single" w:sz="4" w:space="0" w:color="000000"/>
            </w:tcBorders>
            <w:vAlign w:val="bottom"/>
          </w:tcPr>
          <w:p w14:paraId="065B6EC0" w14:textId="77777777" w:rsidR="00BD2024" w:rsidRDefault="00BD2024">
            <w:pPr>
              <w:spacing w:after="0" w:line="240" w:lineRule="auto"/>
              <w:rPr>
                <w:color w:val="000000"/>
                <w:sz w:val="18"/>
                <w:szCs w:val="18"/>
              </w:rPr>
            </w:pPr>
            <w:r>
              <w:rPr>
                <w:color w:val="000000"/>
                <w:sz w:val="18"/>
                <w:szCs w:val="18"/>
              </w:rPr>
              <w:t> </w:t>
            </w:r>
          </w:p>
        </w:tc>
        <w:tc>
          <w:tcPr>
            <w:tcW w:w="483" w:type="pct"/>
            <w:tcBorders>
              <w:top w:val="nil"/>
              <w:left w:val="nil"/>
              <w:bottom w:val="single" w:sz="4" w:space="0" w:color="000000"/>
              <w:right w:val="single" w:sz="4" w:space="0" w:color="000000"/>
            </w:tcBorders>
            <w:vAlign w:val="center"/>
          </w:tcPr>
          <w:p w14:paraId="7CB46076" w14:textId="77777777" w:rsidR="00BD2024" w:rsidRDefault="00BD2024">
            <w:pPr>
              <w:spacing w:after="0" w:line="240" w:lineRule="auto"/>
              <w:rPr>
                <w:color w:val="000000"/>
                <w:sz w:val="18"/>
                <w:szCs w:val="18"/>
              </w:rPr>
            </w:pPr>
            <w:r>
              <w:rPr>
                <w:color w:val="000000"/>
                <w:sz w:val="18"/>
                <w:szCs w:val="18"/>
              </w:rPr>
              <w:t>Total</w:t>
            </w:r>
          </w:p>
        </w:tc>
        <w:tc>
          <w:tcPr>
            <w:tcW w:w="560" w:type="pct"/>
            <w:tcBorders>
              <w:top w:val="nil"/>
              <w:left w:val="nil"/>
              <w:bottom w:val="single" w:sz="4" w:space="0" w:color="000000"/>
              <w:right w:val="single" w:sz="4" w:space="0" w:color="000000"/>
            </w:tcBorders>
            <w:vAlign w:val="center"/>
          </w:tcPr>
          <w:p w14:paraId="2EE58F39" w14:textId="77777777" w:rsidR="00BD2024" w:rsidRDefault="00BD2024">
            <w:pPr>
              <w:spacing w:after="0" w:line="240" w:lineRule="auto"/>
              <w:jc w:val="center"/>
              <w:rPr>
                <w:color w:val="000000"/>
                <w:sz w:val="18"/>
                <w:szCs w:val="18"/>
              </w:rPr>
            </w:pPr>
            <w:r>
              <w:rPr>
                <w:color w:val="000000"/>
                <w:sz w:val="18"/>
                <w:szCs w:val="18"/>
              </w:rPr>
              <w:t>8</w:t>
            </w:r>
          </w:p>
        </w:tc>
        <w:tc>
          <w:tcPr>
            <w:tcW w:w="551" w:type="pct"/>
            <w:tcBorders>
              <w:top w:val="nil"/>
              <w:left w:val="nil"/>
              <w:bottom w:val="single" w:sz="4" w:space="0" w:color="000000"/>
              <w:right w:val="single" w:sz="4" w:space="0" w:color="000000"/>
            </w:tcBorders>
            <w:vAlign w:val="center"/>
          </w:tcPr>
          <w:p w14:paraId="37B43707" w14:textId="77777777" w:rsidR="00BD2024" w:rsidRDefault="00BD2024">
            <w:pPr>
              <w:spacing w:after="0" w:line="240" w:lineRule="auto"/>
              <w:jc w:val="center"/>
              <w:rPr>
                <w:color w:val="000000"/>
                <w:sz w:val="18"/>
                <w:szCs w:val="18"/>
              </w:rPr>
            </w:pPr>
            <w:r>
              <w:rPr>
                <w:color w:val="000000"/>
                <w:sz w:val="18"/>
                <w:szCs w:val="18"/>
              </w:rPr>
              <w:t>2.27475</w:t>
            </w:r>
          </w:p>
        </w:tc>
        <w:tc>
          <w:tcPr>
            <w:tcW w:w="444" w:type="pct"/>
            <w:tcBorders>
              <w:top w:val="nil"/>
              <w:left w:val="nil"/>
              <w:bottom w:val="single" w:sz="4" w:space="0" w:color="000000"/>
              <w:right w:val="single" w:sz="4" w:space="0" w:color="000000"/>
            </w:tcBorders>
            <w:vAlign w:val="bottom"/>
          </w:tcPr>
          <w:p w14:paraId="17AFDFA9" w14:textId="77777777" w:rsidR="00BD2024" w:rsidRDefault="00BD2024">
            <w:pPr>
              <w:spacing w:after="0" w:line="240" w:lineRule="auto"/>
              <w:rPr>
                <w:color w:val="000000"/>
                <w:sz w:val="18"/>
                <w:szCs w:val="18"/>
              </w:rPr>
            </w:pPr>
            <w:r>
              <w:rPr>
                <w:color w:val="000000"/>
                <w:sz w:val="18"/>
                <w:szCs w:val="18"/>
              </w:rPr>
              <w:t> </w:t>
            </w:r>
          </w:p>
        </w:tc>
        <w:tc>
          <w:tcPr>
            <w:tcW w:w="444" w:type="pct"/>
            <w:tcBorders>
              <w:top w:val="nil"/>
              <w:left w:val="nil"/>
              <w:bottom w:val="single" w:sz="4" w:space="0" w:color="000000"/>
              <w:right w:val="single" w:sz="4" w:space="0" w:color="000000"/>
            </w:tcBorders>
            <w:vAlign w:val="center"/>
          </w:tcPr>
          <w:p w14:paraId="5124213F" w14:textId="77777777" w:rsidR="00BD2024" w:rsidRDefault="00BD2024">
            <w:pPr>
              <w:spacing w:after="0" w:line="240" w:lineRule="auto"/>
              <w:jc w:val="center"/>
              <w:rPr>
                <w:color w:val="000000"/>
                <w:sz w:val="18"/>
                <w:szCs w:val="18"/>
              </w:rPr>
            </w:pPr>
            <w:r>
              <w:rPr>
                <w:color w:val="000000"/>
                <w:sz w:val="18"/>
                <w:szCs w:val="18"/>
              </w:rPr>
              <w:t>1</w:t>
            </w:r>
          </w:p>
        </w:tc>
        <w:tc>
          <w:tcPr>
            <w:tcW w:w="473" w:type="pct"/>
            <w:tcBorders>
              <w:top w:val="nil"/>
              <w:left w:val="nil"/>
              <w:bottom w:val="single" w:sz="4" w:space="0" w:color="000000"/>
              <w:right w:val="single" w:sz="4" w:space="0" w:color="000000"/>
            </w:tcBorders>
            <w:vAlign w:val="center"/>
          </w:tcPr>
          <w:p w14:paraId="721C5955" w14:textId="77777777" w:rsidR="00BD2024" w:rsidRDefault="00BD2024">
            <w:pPr>
              <w:spacing w:after="0" w:line="240" w:lineRule="auto"/>
              <w:jc w:val="center"/>
              <w:rPr>
                <w:color w:val="000000"/>
                <w:sz w:val="18"/>
                <w:szCs w:val="18"/>
              </w:rPr>
            </w:pPr>
            <w:r>
              <w:rPr>
                <w:color w:val="000000"/>
                <w:sz w:val="18"/>
                <w:szCs w:val="18"/>
              </w:rPr>
              <w:t> </w:t>
            </w:r>
          </w:p>
        </w:tc>
        <w:tc>
          <w:tcPr>
            <w:tcW w:w="473" w:type="pct"/>
            <w:tcBorders>
              <w:top w:val="nil"/>
              <w:left w:val="nil"/>
              <w:bottom w:val="single" w:sz="4" w:space="0" w:color="000000"/>
              <w:right w:val="single" w:sz="4" w:space="0" w:color="000000"/>
            </w:tcBorders>
          </w:tcPr>
          <w:p w14:paraId="4B69E909" w14:textId="77777777" w:rsidR="00BD2024" w:rsidRDefault="00BD2024">
            <w:pPr>
              <w:spacing w:after="0" w:line="240" w:lineRule="auto"/>
              <w:jc w:val="center"/>
              <w:rPr>
                <w:color w:val="000000"/>
                <w:sz w:val="18"/>
                <w:szCs w:val="18"/>
              </w:rPr>
            </w:pPr>
          </w:p>
        </w:tc>
        <w:tc>
          <w:tcPr>
            <w:tcW w:w="474" w:type="pct"/>
            <w:tcBorders>
              <w:top w:val="nil"/>
              <w:left w:val="nil"/>
              <w:bottom w:val="single" w:sz="4" w:space="0" w:color="000000"/>
              <w:right w:val="single" w:sz="4" w:space="0" w:color="000000"/>
            </w:tcBorders>
          </w:tcPr>
          <w:p w14:paraId="1830A423" w14:textId="77777777" w:rsidR="00BD2024" w:rsidRDefault="00BD2024">
            <w:pPr>
              <w:spacing w:after="0" w:line="240" w:lineRule="auto"/>
              <w:jc w:val="center"/>
              <w:rPr>
                <w:color w:val="000000"/>
                <w:sz w:val="18"/>
                <w:szCs w:val="18"/>
              </w:rPr>
            </w:pPr>
          </w:p>
        </w:tc>
      </w:tr>
    </w:tbl>
    <w:p w14:paraId="2F66644C" w14:textId="77777777" w:rsidR="00714B50" w:rsidRDefault="00714B50"/>
    <w:p w14:paraId="062271C2" w14:textId="77777777" w:rsidR="00714B50" w:rsidRDefault="00714B50">
      <w:pPr>
        <w:spacing w:after="0" w:line="276" w:lineRule="auto"/>
      </w:pPr>
    </w:p>
    <w:p w14:paraId="7272D127" w14:textId="77777777" w:rsidR="00714B50" w:rsidRDefault="0030138C">
      <w:pPr>
        <w:spacing w:after="0" w:line="276" w:lineRule="auto"/>
      </w:pPr>
      <w:r>
        <w:t>Table S11. Output of the pairwise comparison carried out on Bray Curtis matrix of Hellinger transformed ASV data to test for differences in composition of bacterial communities associated to CCAs, larvae, settlers on CCAs, and settlers on aquaria surface.</w:t>
      </w:r>
    </w:p>
    <w:p w14:paraId="39CEAF6B" w14:textId="77777777" w:rsidR="00714B50" w:rsidRDefault="00714B50">
      <w:pPr>
        <w:spacing w:after="0" w:line="276" w:lineRule="auto"/>
      </w:pPr>
    </w:p>
    <w:tbl>
      <w:tblPr>
        <w:tblStyle w:val="a4"/>
        <w:tblW w:w="9315" w:type="dxa"/>
        <w:tblInd w:w="0" w:type="dxa"/>
        <w:tblLayout w:type="fixed"/>
        <w:tblLook w:val="0400" w:firstRow="0" w:lastRow="0" w:firstColumn="0" w:lastColumn="0" w:noHBand="0" w:noVBand="1"/>
      </w:tblPr>
      <w:tblGrid>
        <w:gridCol w:w="2557"/>
        <w:gridCol w:w="1134"/>
        <w:gridCol w:w="1312"/>
        <w:gridCol w:w="1111"/>
        <w:gridCol w:w="1045"/>
        <w:gridCol w:w="1045"/>
        <w:gridCol w:w="1111"/>
      </w:tblGrid>
      <w:tr w:rsidR="00714B50" w14:paraId="12706442"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center"/>
          </w:tcPr>
          <w:p w14:paraId="492C653A" w14:textId="77777777" w:rsidR="00714B50" w:rsidRDefault="0030138C">
            <w:pPr>
              <w:spacing w:after="0" w:line="240" w:lineRule="auto"/>
              <w:jc w:val="center"/>
              <w:rPr>
                <w:b/>
                <w:i/>
                <w:color w:val="000000"/>
                <w:sz w:val="18"/>
                <w:szCs w:val="18"/>
              </w:rPr>
            </w:pPr>
            <w:proofErr w:type="spellStart"/>
            <w:r>
              <w:rPr>
                <w:b/>
                <w:i/>
                <w:color w:val="000000"/>
                <w:sz w:val="18"/>
                <w:szCs w:val="18"/>
              </w:rPr>
              <w:t>Macroblastum</w:t>
            </w:r>
            <w:proofErr w:type="spellEnd"/>
            <w:r>
              <w:rPr>
                <w:b/>
                <w:i/>
                <w:color w:val="000000"/>
                <w:sz w:val="18"/>
                <w:szCs w:val="18"/>
              </w:rPr>
              <w:t xml:space="preserve"> </w:t>
            </w:r>
            <w:proofErr w:type="spellStart"/>
            <w:r>
              <w:rPr>
                <w:b/>
                <w:i/>
                <w:color w:val="000000"/>
                <w:sz w:val="18"/>
                <w:szCs w:val="18"/>
              </w:rPr>
              <w:t>dendrospermum</w:t>
            </w:r>
            <w:proofErr w:type="spellEnd"/>
          </w:p>
        </w:tc>
        <w:tc>
          <w:tcPr>
            <w:tcW w:w="1134" w:type="dxa"/>
            <w:tcBorders>
              <w:top w:val="single" w:sz="4" w:space="0" w:color="000000"/>
              <w:left w:val="nil"/>
              <w:bottom w:val="single" w:sz="4" w:space="0" w:color="000000"/>
              <w:right w:val="single" w:sz="4" w:space="0" w:color="000000"/>
            </w:tcBorders>
            <w:vAlign w:val="center"/>
          </w:tcPr>
          <w:p w14:paraId="4734353E" w14:textId="77777777" w:rsidR="00714B50" w:rsidRDefault="0030138C">
            <w:pPr>
              <w:spacing w:after="0" w:line="240" w:lineRule="auto"/>
              <w:jc w:val="center"/>
              <w:rPr>
                <w:b/>
                <w:color w:val="000000"/>
                <w:sz w:val="18"/>
                <w:szCs w:val="18"/>
              </w:rPr>
            </w:pPr>
            <w:r>
              <w:rPr>
                <w:b/>
                <w:color w:val="000000"/>
                <w:sz w:val="18"/>
                <w:szCs w:val="18"/>
              </w:rPr>
              <w:t>Source</w:t>
            </w:r>
          </w:p>
        </w:tc>
        <w:tc>
          <w:tcPr>
            <w:tcW w:w="1312" w:type="dxa"/>
            <w:tcBorders>
              <w:top w:val="single" w:sz="4" w:space="0" w:color="000000"/>
              <w:left w:val="nil"/>
              <w:bottom w:val="single" w:sz="4" w:space="0" w:color="000000"/>
              <w:right w:val="single" w:sz="4" w:space="0" w:color="000000"/>
            </w:tcBorders>
            <w:vAlign w:val="center"/>
          </w:tcPr>
          <w:p w14:paraId="38EB56D4" w14:textId="77777777" w:rsidR="00714B50" w:rsidRDefault="0030138C">
            <w:pPr>
              <w:spacing w:after="0" w:line="240" w:lineRule="auto"/>
              <w:jc w:val="center"/>
              <w:rPr>
                <w:b/>
                <w:color w:val="000000"/>
                <w:sz w:val="18"/>
                <w:szCs w:val="18"/>
              </w:rPr>
            </w:pPr>
            <w:r>
              <w:rPr>
                <w:b/>
                <w:color w:val="000000"/>
                <w:sz w:val="18"/>
                <w:szCs w:val="18"/>
              </w:rPr>
              <w:t>Df</w:t>
            </w:r>
          </w:p>
        </w:tc>
        <w:tc>
          <w:tcPr>
            <w:tcW w:w="1111" w:type="dxa"/>
            <w:tcBorders>
              <w:top w:val="single" w:sz="4" w:space="0" w:color="000000"/>
              <w:left w:val="nil"/>
              <w:bottom w:val="single" w:sz="4" w:space="0" w:color="000000"/>
              <w:right w:val="single" w:sz="4" w:space="0" w:color="000000"/>
            </w:tcBorders>
            <w:vAlign w:val="center"/>
          </w:tcPr>
          <w:p w14:paraId="376ECB8C" w14:textId="77777777" w:rsidR="00714B50" w:rsidRDefault="0030138C">
            <w:pPr>
              <w:spacing w:after="0" w:line="240" w:lineRule="auto"/>
              <w:jc w:val="center"/>
              <w:rPr>
                <w:b/>
                <w:color w:val="000000"/>
                <w:sz w:val="18"/>
                <w:szCs w:val="18"/>
              </w:rPr>
            </w:pPr>
            <w:proofErr w:type="spellStart"/>
            <w:r>
              <w:rPr>
                <w:b/>
                <w:color w:val="000000"/>
                <w:sz w:val="18"/>
                <w:szCs w:val="18"/>
              </w:rPr>
              <w:t>SumsOfSqs</w:t>
            </w:r>
            <w:proofErr w:type="spellEnd"/>
          </w:p>
        </w:tc>
        <w:tc>
          <w:tcPr>
            <w:tcW w:w="1045" w:type="dxa"/>
            <w:tcBorders>
              <w:top w:val="single" w:sz="4" w:space="0" w:color="000000"/>
              <w:left w:val="nil"/>
              <w:bottom w:val="single" w:sz="4" w:space="0" w:color="000000"/>
              <w:right w:val="single" w:sz="4" w:space="0" w:color="000000"/>
            </w:tcBorders>
            <w:vAlign w:val="center"/>
          </w:tcPr>
          <w:p w14:paraId="30838D1B" w14:textId="77777777" w:rsidR="00714B50" w:rsidRDefault="0030138C">
            <w:pPr>
              <w:spacing w:after="0" w:line="240" w:lineRule="auto"/>
              <w:jc w:val="center"/>
              <w:rPr>
                <w:b/>
                <w:color w:val="000000"/>
                <w:sz w:val="18"/>
                <w:szCs w:val="18"/>
              </w:rPr>
            </w:pPr>
            <w:proofErr w:type="spellStart"/>
            <w:r>
              <w:rPr>
                <w:b/>
                <w:color w:val="000000"/>
                <w:sz w:val="18"/>
                <w:szCs w:val="18"/>
              </w:rPr>
              <w:t>F.Model</w:t>
            </w:r>
            <w:proofErr w:type="spellEnd"/>
          </w:p>
        </w:tc>
        <w:tc>
          <w:tcPr>
            <w:tcW w:w="1045" w:type="dxa"/>
            <w:tcBorders>
              <w:top w:val="single" w:sz="4" w:space="0" w:color="000000"/>
              <w:left w:val="nil"/>
              <w:bottom w:val="single" w:sz="4" w:space="0" w:color="000000"/>
              <w:right w:val="single" w:sz="4" w:space="0" w:color="000000"/>
            </w:tcBorders>
            <w:vAlign w:val="center"/>
          </w:tcPr>
          <w:p w14:paraId="41C91714" w14:textId="77777777" w:rsidR="00714B50" w:rsidRDefault="0030138C">
            <w:pPr>
              <w:spacing w:after="0" w:line="240" w:lineRule="auto"/>
              <w:jc w:val="center"/>
              <w:rPr>
                <w:b/>
                <w:color w:val="000000"/>
                <w:sz w:val="18"/>
                <w:szCs w:val="18"/>
              </w:rPr>
            </w:pPr>
            <w:r>
              <w:rPr>
                <w:b/>
                <w:color w:val="000000"/>
                <w:sz w:val="18"/>
                <w:szCs w:val="18"/>
              </w:rPr>
              <w:t>R2</w:t>
            </w:r>
          </w:p>
        </w:tc>
        <w:tc>
          <w:tcPr>
            <w:tcW w:w="1111" w:type="dxa"/>
            <w:tcBorders>
              <w:top w:val="single" w:sz="4" w:space="0" w:color="000000"/>
              <w:left w:val="nil"/>
              <w:bottom w:val="single" w:sz="4" w:space="0" w:color="000000"/>
              <w:right w:val="single" w:sz="4" w:space="0" w:color="000000"/>
            </w:tcBorders>
            <w:vAlign w:val="center"/>
          </w:tcPr>
          <w:p w14:paraId="5A87450A" w14:textId="77777777" w:rsidR="00714B50" w:rsidRDefault="0030138C">
            <w:pPr>
              <w:spacing w:after="0" w:line="240" w:lineRule="auto"/>
              <w:jc w:val="center"/>
              <w:rPr>
                <w:b/>
                <w:color w:val="000000"/>
                <w:sz w:val="18"/>
                <w:szCs w:val="18"/>
              </w:rPr>
            </w:pPr>
            <w:proofErr w:type="spellStart"/>
            <w:r>
              <w:rPr>
                <w:b/>
                <w:color w:val="000000"/>
                <w:sz w:val="18"/>
                <w:szCs w:val="18"/>
              </w:rPr>
              <w:t>Pr</w:t>
            </w:r>
            <w:proofErr w:type="spellEnd"/>
            <w:r>
              <w:rPr>
                <w:b/>
                <w:color w:val="000000"/>
                <w:sz w:val="18"/>
                <w:szCs w:val="18"/>
              </w:rPr>
              <w:t>(&gt;F)</w:t>
            </w:r>
          </w:p>
        </w:tc>
      </w:tr>
      <w:tr w:rsidR="00714B50" w14:paraId="3652D71E" w14:textId="77777777">
        <w:trPr>
          <w:trHeight w:val="325"/>
        </w:trPr>
        <w:tc>
          <w:tcPr>
            <w:tcW w:w="2557" w:type="dxa"/>
            <w:tcBorders>
              <w:top w:val="nil"/>
              <w:left w:val="single" w:sz="4" w:space="0" w:color="000000"/>
              <w:bottom w:val="single" w:sz="4" w:space="0" w:color="000000"/>
              <w:right w:val="single" w:sz="4" w:space="0" w:color="000000"/>
            </w:tcBorders>
            <w:vAlign w:val="center"/>
          </w:tcPr>
          <w:p w14:paraId="7CC2E05C" w14:textId="77777777" w:rsidR="00714B50" w:rsidRDefault="0030138C">
            <w:pPr>
              <w:spacing w:after="0" w:line="240" w:lineRule="auto"/>
              <w:rPr>
                <w:color w:val="000000"/>
                <w:sz w:val="18"/>
                <w:szCs w:val="18"/>
              </w:rPr>
            </w:pPr>
            <w:r>
              <w:rPr>
                <w:color w:val="000000"/>
                <w:sz w:val="18"/>
                <w:szCs w:val="18"/>
              </w:rPr>
              <w:t xml:space="preserve">Between larvae and CCA </w:t>
            </w:r>
          </w:p>
        </w:tc>
        <w:tc>
          <w:tcPr>
            <w:tcW w:w="1134" w:type="dxa"/>
            <w:tcBorders>
              <w:top w:val="nil"/>
              <w:left w:val="nil"/>
              <w:bottom w:val="single" w:sz="4" w:space="0" w:color="000000"/>
              <w:right w:val="single" w:sz="4" w:space="0" w:color="000000"/>
            </w:tcBorders>
            <w:vAlign w:val="center"/>
          </w:tcPr>
          <w:p w14:paraId="5B2625F4"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nil"/>
              <w:left w:val="nil"/>
              <w:bottom w:val="single" w:sz="4" w:space="0" w:color="000000"/>
              <w:right w:val="single" w:sz="4" w:space="0" w:color="000000"/>
            </w:tcBorders>
            <w:vAlign w:val="center"/>
          </w:tcPr>
          <w:p w14:paraId="618AD748"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nil"/>
              <w:left w:val="nil"/>
              <w:bottom w:val="single" w:sz="4" w:space="0" w:color="000000"/>
              <w:right w:val="single" w:sz="4" w:space="0" w:color="000000"/>
            </w:tcBorders>
            <w:vAlign w:val="center"/>
          </w:tcPr>
          <w:p w14:paraId="2671D699" w14:textId="77777777" w:rsidR="00714B50" w:rsidRDefault="0030138C">
            <w:pPr>
              <w:spacing w:after="0" w:line="240" w:lineRule="auto"/>
              <w:jc w:val="center"/>
              <w:rPr>
                <w:color w:val="000000"/>
                <w:sz w:val="18"/>
                <w:szCs w:val="18"/>
              </w:rPr>
            </w:pPr>
            <w:r>
              <w:rPr>
                <w:color w:val="000000"/>
                <w:sz w:val="18"/>
                <w:szCs w:val="18"/>
              </w:rPr>
              <w:t>1.9402</w:t>
            </w:r>
          </w:p>
        </w:tc>
        <w:tc>
          <w:tcPr>
            <w:tcW w:w="1045" w:type="dxa"/>
            <w:tcBorders>
              <w:top w:val="nil"/>
              <w:left w:val="nil"/>
              <w:bottom w:val="single" w:sz="4" w:space="0" w:color="000000"/>
              <w:right w:val="single" w:sz="4" w:space="0" w:color="000000"/>
            </w:tcBorders>
            <w:vAlign w:val="center"/>
          </w:tcPr>
          <w:p w14:paraId="78428591" w14:textId="77777777" w:rsidR="00714B50" w:rsidRDefault="0030138C">
            <w:pPr>
              <w:spacing w:after="0" w:line="240" w:lineRule="auto"/>
              <w:jc w:val="center"/>
              <w:rPr>
                <w:color w:val="000000"/>
                <w:sz w:val="18"/>
                <w:szCs w:val="18"/>
              </w:rPr>
            </w:pPr>
            <w:r>
              <w:rPr>
                <w:color w:val="000000"/>
                <w:sz w:val="18"/>
                <w:szCs w:val="18"/>
              </w:rPr>
              <w:t>11.383</w:t>
            </w:r>
          </w:p>
        </w:tc>
        <w:tc>
          <w:tcPr>
            <w:tcW w:w="1045" w:type="dxa"/>
            <w:tcBorders>
              <w:top w:val="nil"/>
              <w:left w:val="nil"/>
              <w:bottom w:val="single" w:sz="4" w:space="0" w:color="000000"/>
              <w:right w:val="single" w:sz="4" w:space="0" w:color="000000"/>
            </w:tcBorders>
            <w:vAlign w:val="center"/>
          </w:tcPr>
          <w:p w14:paraId="2B0B11A6" w14:textId="77777777" w:rsidR="00714B50" w:rsidRDefault="0030138C">
            <w:pPr>
              <w:spacing w:after="0" w:line="240" w:lineRule="auto"/>
              <w:jc w:val="center"/>
              <w:rPr>
                <w:color w:val="000000"/>
                <w:sz w:val="18"/>
                <w:szCs w:val="18"/>
              </w:rPr>
            </w:pPr>
            <w:r>
              <w:rPr>
                <w:color w:val="000000"/>
                <w:sz w:val="18"/>
                <w:szCs w:val="18"/>
              </w:rPr>
              <w:t>0.50856</w:t>
            </w:r>
          </w:p>
        </w:tc>
        <w:tc>
          <w:tcPr>
            <w:tcW w:w="1111" w:type="dxa"/>
            <w:tcBorders>
              <w:top w:val="nil"/>
              <w:left w:val="nil"/>
              <w:bottom w:val="single" w:sz="4" w:space="0" w:color="000000"/>
              <w:right w:val="single" w:sz="4" w:space="0" w:color="000000"/>
            </w:tcBorders>
            <w:vAlign w:val="center"/>
          </w:tcPr>
          <w:p w14:paraId="62B0DE73" w14:textId="77777777" w:rsidR="00714B50" w:rsidRDefault="0030138C">
            <w:pPr>
              <w:spacing w:after="0" w:line="240" w:lineRule="auto"/>
              <w:jc w:val="center"/>
              <w:rPr>
                <w:color w:val="000000"/>
                <w:sz w:val="18"/>
                <w:szCs w:val="18"/>
              </w:rPr>
            </w:pPr>
            <w:r>
              <w:rPr>
                <w:color w:val="000000"/>
                <w:sz w:val="18"/>
                <w:szCs w:val="18"/>
              </w:rPr>
              <w:t>0.0014***</w:t>
            </w:r>
          </w:p>
        </w:tc>
      </w:tr>
      <w:tr w:rsidR="00714B50" w14:paraId="2F7B8299" w14:textId="77777777">
        <w:trPr>
          <w:trHeight w:val="325"/>
        </w:trPr>
        <w:tc>
          <w:tcPr>
            <w:tcW w:w="2557" w:type="dxa"/>
            <w:tcBorders>
              <w:top w:val="nil"/>
              <w:left w:val="single" w:sz="4" w:space="0" w:color="000000"/>
              <w:bottom w:val="single" w:sz="4" w:space="0" w:color="000000"/>
              <w:right w:val="single" w:sz="4" w:space="0" w:color="000000"/>
            </w:tcBorders>
            <w:vAlign w:val="bottom"/>
          </w:tcPr>
          <w:p w14:paraId="23135E9C" w14:textId="77777777" w:rsidR="00714B50" w:rsidRDefault="0030138C">
            <w:pPr>
              <w:spacing w:after="0" w:line="240" w:lineRule="auto"/>
              <w:rPr>
                <w:color w:val="000000"/>
                <w:sz w:val="18"/>
                <w:szCs w:val="18"/>
              </w:rPr>
            </w:pPr>
            <w:r>
              <w:rPr>
                <w:color w:val="000000"/>
                <w:sz w:val="18"/>
                <w:szCs w:val="18"/>
              </w:rPr>
              <w:t> </w:t>
            </w:r>
          </w:p>
        </w:tc>
        <w:tc>
          <w:tcPr>
            <w:tcW w:w="1134" w:type="dxa"/>
            <w:tcBorders>
              <w:top w:val="nil"/>
              <w:left w:val="nil"/>
              <w:bottom w:val="single" w:sz="4" w:space="0" w:color="000000"/>
              <w:right w:val="single" w:sz="4" w:space="0" w:color="000000"/>
            </w:tcBorders>
            <w:vAlign w:val="center"/>
          </w:tcPr>
          <w:p w14:paraId="39214FCD"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nil"/>
              <w:left w:val="nil"/>
              <w:bottom w:val="single" w:sz="4" w:space="0" w:color="000000"/>
              <w:right w:val="single" w:sz="4" w:space="0" w:color="000000"/>
            </w:tcBorders>
            <w:vAlign w:val="center"/>
          </w:tcPr>
          <w:p w14:paraId="4DFF501A" w14:textId="77777777" w:rsidR="00714B50" w:rsidRDefault="0030138C">
            <w:pPr>
              <w:spacing w:after="0" w:line="240" w:lineRule="auto"/>
              <w:jc w:val="center"/>
              <w:rPr>
                <w:color w:val="000000"/>
                <w:sz w:val="18"/>
                <w:szCs w:val="18"/>
              </w:rPr>
            </w:pPr>
            <w:r>
              <w:rPr>
                <w:color w:val="000000"/>
                <w:sz w:val="18"/>
                <w:szCs w:val="18"/>
              </w:rPr>
              <w:t>11</w:t>
            </w:r>
          </w:p>
        </w:tc>
        <w:tc>
          <w:tcPr>
            <w:tcW w:w="1111" w:type="dxa"/>
            <w:tcBorders>
              <w:top w:val="nil"/>
              <w:left w:val="nil"/>
              <w:bottom w:val="single" w:sz="4" w:space="0" w:color="000000"/>
              <w:right w:val="single" w:sz="4" w:space="0" w:color="000000"/>
            </w:tcBorders>
            <w:vAlign w:val="center"/>
          </w:tcPr>
          <w:p w14:paraId="56B0CD1C" w14:textId="77777777" w:rsidR="00714B50" w:rsidRDefault="0030138C">
            <w:pPr>
              <w:spacing w:after="0" w:line="240" w:lineRule="auto"/>
              <w:jc w:val="center"/>
              <w:rPr>
                <w:color w:val="000000"/>
                <w:sz w:val="18"/>
                <w:szCs w:val="18"/>
              </w:rPr>
            </w:pPr>
            <w:r>
              <w:rPr>
                <w:color w:val="000000"/>
                <w:sz w:val="18"/>
                <w:szCs w:val="18"/>
              </w:rPr>
              <w:t>1.8749</w:t>
            </w:r>
          </w:p>
        </w:tc>
        <w:tc>
          <w:tcPr>
            <w:tcW w:w="1045" w:type="dxa"/>
            <w:tcBorders>
              <w:top w:val="nil"/>
              <w:left w:val="nil"/>
              <w:bottom w:val="single" w:sz="4" w:space="0" w:color="000000"/>
              <w:right w:val="single" w:sz="4" w:space="0" w:color="000000"/>
            </w:tcBorders>
            <w:vAlign w:val="bottom"/>
          </w:tcPr>
          <w:p w14:paraId="57B998F1" w14:textId="77777777" w:rsidR="00714B50" w:rsidRDefault="0030138C">
            <w:pPr>
              <w:spacing w:after="0" w:line="240" w:lineRule="auto"/>
              <w:rPr>
                <w:color w:val="000000"/>
                <w:sz w:val="18"/>
                <w:szCs w:val="18"/>
              </w:rPr>
            </w:pPr>
            <w:r>
              <w:rPr>
                <w:color w:val="000000"/>
                <w:sz w:val="18"/>
                <w:szCs w:val="18"/>
              </w:rPr>
              <w:t> </w:t>
            </w:r>
          </w:p>
        </w:tc>
        <w:tc>
          <w:tcPr>
            <w:tcW w:w="1045" w:type="dxa"/>
            <w:tcBorders>
              <w:top w:val="nil"/>
              <w:left w:val="nil"/>
              <w:bottom w:val="single" w:sz="4" w:space="0" w:color="000000"/>
              <w:right w:val="single" w:sz="4" w:space="0" w:color="000000"/>
            </w:tcBorders>
            <w:vAlign w:val="center"/>
          </w:tcPr>
          <w:p w14:paraId="062D335D" w14:textId="77777777" w:rsidR="00714B50" w:rsidRDefault="0030138C">
            <w:pPr>
              <w:spacing w:after="0" w:line="240" w:lineRule="auto"/>
              <w:jc w:val="center"/>
              <w:rPr>
                <w:color w:val="000000"/>
                <w:sz w:val="18"/>
                <w:szCs w:val="18"/>
              </w:rPr>
            </w:pPr>
            <w:r>
              <w:rPr>
                <w:color w:val="000000"/>
                <w:sz w:val="18"/>
                <w:szCs w:val="18"/>
              </w:rPr>
              <w:t>0.49144</w:t>
            </w:r>
          </w:p>
        </w:tc>
        <w:tc>
          <w:tcPr>
            <w:tcW w:w="1111" w:type="dxa"/>
            <w:tcBorders>
              <w:top w:val="nil"/>
              <w:left w:val="nil"/>
              <w:bottom w:val="single" w:sz="4" w:space="0" w:color="000000"/>
              <w:right w:val="single" w:sz="4" w:space="0" w:color="000000"/>
            </w:tcBorders>
            <w:vAlign w:val="center"/>
          </w:tcPr>
          <w:p w14:paraId="0F183A26" w14:textId="77777777" w:rsidR="00714B50" w:rsidRDefault="0030138C">
            <w:pPr>
              <w:spacing w:after="0" w:line="240" w:lineRule="auto"/>
              <w:jc w:val="center"/>
              <w:rPr>
                <w:color w:val="000000"/>
                <w:sz w:val="18"/>
                <w:szCs w:val="18"/>
              </w:rPr>
            </w:pPr>
            <w:r>
              <w:rPr>
                <w:color w:val="000000"/>
                <w:sz w:val="18"/>
                <w:szCs w:val="18"/>
              </w:rPr>
              <w:t> </w:t>
            </w:r>
          </w:p>
        </w:tc>
      </w:tr>
      <w:tr w:rsidR="00714B50" w14:paraId="0629142E" w14:textId="77777777">
        <w:trPr>
          <w:trHeight w:val="325"/>
        </w:trPr>
        <w:tc>
          <w:tcPr>
            <w:tcW w:w="2557" w:type="dxa"/>
            <w:tcBorders>
              <w:top w:val="nil"/>
              <w:left w:val="single" w:sz="4" w:space="0" w:color="000000"/>
              <w:bottom w:val="single" w:sz="4" w:space="0" w:color="000000"/>
              <w:right w:val="single" w:sz="4" w:space="0" w:color="000000"/>
            </w:tcBorders>
            <w:vAlign w:val="bottom"/>
          </w:tcPr>
          <w:p w14:paraId="304DE34D" w14:textId="77777777" w:rsidR="00714B50" w:rsidRDefault="0030138C">
            <w:pPr>
              <w:spacing w:after="0" w:line="240" w:lineRule="auto"/>
              <w:rPr>
                <w:color w:val="000000"/>
                <w:sz w:val="18"/>
                <w:szCs w:val="18"/>
              </w:rPr>
            </w:pPr>
            <w:r>
              <w:rPr>
                <w:color w:val="000000"/>
                <w:sz w:val="18"/>
                <w:szCs w:val="18"/>
              </w:rPr>
              <w:t> </w:t>
            </w:r>
          </w:p>
        </w:tc>
        <w:tc>
          <w:tcPr>
            <w:tcW w:w="1134" w:type="dxa"/>
            <w:tcBorders>
              <w:top w:val="nil"/>
              <w:left w:val="nil"/>
              <w:bottom w:val="single" w:sz="4" w:space="0" w:color="000000"/>
              <w:right w:val="single" w:sz="4" w:space="0" w:color="000000"/>
            </w:tcBorders>
            <w:vAlign w:val="center"/>
          </w:tcPr>
          <w:p w14:paraId="3715D1E5"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nil"/>
              <w:left w:val="nil"/>
              <w:bottom w:val="single" w:sz="4" w:space="0" w:color="000000"/>
              <w:right w:val="single" w:sz="4" w:space="0" w:color="000000"/>
            </w:tcBorders>
            <w:vAlign w:val="center"/>
          </w:tcPr>
          <w:p w14:paraId="5B221E9F" w14:textId="77777777" w:rsidR="00714B50" w:rsidRDefault="0030138C">
            <w:pPr>
              <w:spacing w:after="0" w:line="240" w:lineRule="auto"/>
              <w:jc w:val="center"/>
              <w:rPr>
                <w:color w:val="000000"/>
                <w:sz w:val="18"/>
                <w:szCs w:val="18"/>
              </w:rPr>
            </w:pPr>
            <w:r>
              <w:rPr>
                <w:color w:val="000000"/>
                <w:sz w:val="18"/>
                <w:szCs w:val="18"/>
              </w:rPr>
              <w:t>12</w:t>
            </w:r>
          </w:p>
        </w:tc>
        <w:tc>
          <w:tcPr>
            <w:tcW w:w="1111" w:type="dxa"/>
            <w:tcBorders>
              <w:top w:val="nil"/>
              <w:left w:val="nil"/>
              <w:bottom w:val="single" w:sz="4" w:space="0" w:color="000000"/>
              <w:right w:val="single" w:sz="4" w:space="0" w:color="000000"/>
            </w:tcBorders>
            <w:vAlign w:val="center"/>
          </w:tcPr>
          <w:p w14:paraId="46FDB133" w14:textId="77777777" w:rsidR="00714B50" w:rsidRDefault="0030138C">
            <w:pPr>
              <w:spacing w:after="0" w:line="240" w:lineRule="auto"/>
              <w:jc w:val="center"/>
              <w:rPr>
                <w:color w:val="000000"/>
                <w:sz w:val="18"/>
                <w:szCs w:val="18"/>
              </w:rPr>
            </w:pPr>
            <w:r>
              <w:rPr>
                <w:color w:val="000000"/>
                <w:sz w:val="18"/>
                <w:szCs w:val="18"/>
              </w:rPr>
              <w:t>3.8151</w:t>
            </w:r>
          </w:p>
        </w:tc>
        <w:tc>
          <w:tcPr>
            <w:tcW w:w="1045" w:type="dxa"/>
            <w:tcBorders>
              <w:top w:val="nil"/>
              <w:left w:val="nil"/>
              <w:bottom w:val="single" w:sz="4" w:space="0" w:color="000000"/>
              <w:right w:val="single" w:sz="4" w:space="0" w:color="000000"/>
            </w:tcBorders>
            <w:vAlign w:val="bottom"/>
          </w:tcPr>
          <w:p w14:paraId="0D83B989" w14:textId="77777777" w:rsidR="00714B50" w:rsidRDefault="0030138C">
            <w:pPr>
              <w:spacing w:after="0" w:line="240" w:lineRule="auto"/>
              <w:rPr>
                <w:color w:val="000000"/>
                <w:sz w:val="18"/>
                <w:szCs w:val="18"/>
              </w:rPr>
            </w:pPr>
            <w:r>
              <w:rPr>
                <w:color w:val="000000"/>
                <w:sz w:val="18"/>
                <w:szCs w:val="18"/>
              </w:rPr>
              <w:t> </w:t>
            </w:r>
          </w:p>
        </w:tc>
        <w:tc>
          <w:tcPr>
            <w:tcW w:w="1045" w:type="dxa"/>
            <w:tcBorders>
              <w:top w:val="nil"/>
              <w:left w:val="nil"/>
              <w:bottom w:val="single" w:sz="4" w:space="0" w:color="000000"/>
              <w:right w:val="single" w:sz="4" w:space="0" w:color="000000"/>
            </w:tcBorders>
            <w:vAlign w:val="center"/>
          </w:tcPr>
          <w:p w14:paraId="1171859A"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nil"/>
              <w:left w:val="nil"/>
              <w:bottom w:val="single" w:sz="4" w:space="0" w:color="000000"/>
              <w:right w:val="single" w:sz="4" w:space="0" w:color="000000"/>
            </w:tcBorders>
            <w:vAlign w:val="center"/>
          </w:tcPr>
          <w:p w14:paraId="4B1F2DB3" w14:textId="77777777" w:rsidR="00714B50" w:rsidRDefault="0030138C">
            <w:pPr>
              <w:spacing w:after="0" w:line="240" w:lineRule="auto"/>
              <w:jc w:val="center"/>
              <w:rPr>
                <w:color w:val="000000"/>
                <w:sz w:val="18"/>
                <w:szCs w:val="18"/>
              </w:rPr>
            </w:pPr>
            <w:r>
              <w:rPr>
                <w:color w:val="000000"/>
                <w:sz w:val="18"/>
                <w:szCs w:val="18"/>
              </w:rPr>
              <w:t> </w:t>
            </w:r>
          </w:p>
        </w:tc>
      </w:tr>
      <w:tr w:rsidR="00714B50" w14:paraId="0AE90FCD" w14:textId="77777777">
        <w:trPr>
          <w:trHeight w:val="358"/>
        </w:trPr>
        <w:tc>
          <w:tcPr>
            <w:tcW w:w="2557" w:type="dxa"/>
            <w:tcBorders>
              <w:top w:val="nil"/>
              <w:left w:val="single" w:sz="4" w:space="0" w:color="000000"/>
              <w:bottom w:val="single" w:sz="4" w:space="0" w:color="000000"/>
              <w:right w:val="nil"/>
            </w:tcBorders>
            <w:vAlign w:val="bottom"/>
          </w:tcPr>
          <w:p w14:paraId="70F7EE9E" w14:textId="77777777" w:rsidR="00714B50" w:rsidRDefault="0030138C">
            <w:pPr>
              <w:spacing w:after="0" w:line="240" w:lineRule="auto"/>
              <w:rPr>
                <w:color w:val="000000"/>
                <w:sz w:val="18"/>
                <w:szCs w:val="18"/>
              </w:rPr>
            </w:pPr>
            <w:r>
              <w:rPr>
                <w:color w:val="000000"/>
                <w:sz w:val="18"/>
                <w:szCs w:val="18"/>
              </w:rPr>
              <w:t>Between larvae and settlers on the aquarium</w:t>
            </w:r>
          </w:p>
        </w:tc>
        <w:tc>
          <w:tcPr>
            <w:tcW w:w="1134" w:type="dxa"/>
            <w:tcBorders>
              <w:top w:val="nil"/>
              <w:left w:val="single" w:sz="4" w:space="0" w:color="000000"/>
              <w:bottom w:val="single" w:sz="4" w:space="0" w:color="000000"/>
              <w:right w:val="single" w:sz="4" w:space="0" w:color="000000"/>
            </w:tcBorders>
            <w:vAlign w:val="center"/>
          </w:tcPr>
          <w:p w14:paraId="728A0F4B"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nil"/>
              <w:left w:val="nil"/>
              <w:bottom w:val="single" w:sz="4" w:space="0" w:color="000000"/>
              <w:right w:val="single" w:sz="4" w:space="0" w:color="000000"/>
            </w:tcBorders>
            <w:vAlign w:val="center"/>
          </w:tcPr>
          <w:p w14:paraId="35799FAA"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nil"/>
              <w:left w:val="nil"/>
              <w:bottom w:val="single" w:sz="4" w:space="0" w:color="000000"/>
              <w:right w:val="single" w:sz="4" w:space="0" w:color="000000"/>
            </w:tcBorders>
            <w:vAlign w:val="center"/>
          </w:tcPr>
          <w:p w14:paraId="15EF1A7F" w14:textId="77777777" w:rsidR="00714B50" w:rsidRDefault="0030138C">
            <w:pPr>
              <w:spacing w:after="0" w:line="240" w:lineRule="auto"/>
              <w:jc w:val="center"/>
              <w:rPr>
                <w:color w:val="000000"/>
                <w:sz w:val="18"/>
                <w:szCs w:val="18"/>
              </w:rPr>
            </w:pPr>
            <w:r>
              <w:rPr>
                <w:color w:val="000000"/>
                <w:sz w:val="18"/>
                <w:szCs w:val="18"/>
              </w:rPr>
              <w:t>0.6069</w:t>
            </w:r>
          </w:p>
        </w:tc>
        <w:tc>
          <w:tcPr>
            <w:tcW w:w="1045" w:type="dxa"/>
            <w:tcBorders>
              <w:top w:val="nil"/>
              <w:left w:val="nil"/>
              <w:bottom w:val="single" w:sz="4" w:space="0" w:color="000000"/>
              <w:right w:val="single" w:sz="4" w:space="0" w:color="000000"/>
            </w:tcBorders>
            <w:vAlign w:val="center"/>
          </w:tcPr>
          <w:p w14:paraId="10D83688" w14:textId="77777777" w:rsidR="00714B50" w:rsidRDefault="0030138C">
            <w:pPr>
              <w:spacing w:after="0" w:line="240" w:lineRule="auto"/>
              <w:jc w:val="center"/>
              <w:rPr>
                <w:color w:val="000000"/>
                <w:sz w:val="18"/>
                <w:szCs w:val="18"/>
              </w:rPr>
            </w:pPr>
            <w:r>
              <w:rPr>
                <w:color w:val="000000"/>
                <w:sz w:val="18"/>
                <w:szCs w:val="18"/>
              </w:rPr>
              <w:t>3.3904</w:t>
            </w:r>
          </w:p>
        </w:tc>
        <w:tc>
          <w:tcPr>
            <w:tcW w:w="1045" w:type="dxa"/>
            <w:tcBorders>
              <w:top w:val="nil"/>
              <w:left w:val="nil"/>
              <w:bottom w:val="single" w:sz="4" w:space="0" w:color="000000"/>
              <w:right w:val="single" w:sz="4" w:space="0" w:color="000000"/>
            </w:tcBorders>
            <w:vAlign w:val="center"/>
          </w:tcPr>
          <w:p w14:paraId="51B0C251" w14:textId="77777777" w:rsidR="00714B50" w:rsidRDefault="0030138C">
            <w:pPr>
              <w:spacing w:after="0" w:line="240" w:lineRule="auto"/>
              <w:jc w:val="center"/>
              <w:rPr>
                <w:color w:val="000000"/>
                <w:sz w:val="18"/>
                <w:szCs w:val="18"/>
              </w:rPr>
            </w:pPr>
            <w:r>
              <w:rPr>
                <w:color w:val="000000"/>
                <w:sz w:val="18"/>
                <w:szCs w:val="18"/>
              </w:rPr>
              <w:t>0.14495</w:t>
            </w:r>
          </w:p>
        </w:tc>
        <w:tc>
          <w:tcPr>
            <w:tcW w:w="1111" w:type="dxa"/>
            <w:tcBorders>
              <w:top w:val="nil"/>
              <w:left w:val="nil"/>
              <w:bottom w:val="single" w:sz="4" w:space="0" w:color="000000"/>
              <w:right w:val="single" w:sz="4" w:space="0" w:color="000000"/>
            </w:tcBorders>
            <w:vAlign w:val="center"/>
          </w:tcPr>
          <w:p w14:paraId="051B7F23" w14:textId="77777777" w:rsidR="00714B50" w:rsidRDefault="0030138C">
            <w:pPr>
              <w:spacing w:after="0" w:line="240" w:lineRule="auto"/>
              <w:jc w:val="center"/>
              <w:rPr>
                <w:color w:val="000000"/>
                <w:sz w:val="18"/>
                <w:szCs w:val="18"/>
              </w:rPr>
            </w:pPr>
            <w:r>
              <w:rPr>
                <w:color w:val="000000"/>
                <w:sz w:val="18"/>
                <w:szCs w:val="18"/>
              </w:rPr>
              <w:t>0.00006***</w:t>
            </w:r>
          </w:p>
        </w:tc>
      </w:tr>
      <w:tr w:rsidR="00714B50" w14:paraId="6AB71EFF" w14:textId="77777777">
        <w:trPr>
          <w:trHeight w:val="325"/>
        </w:trPr>
        <w:tc>
          <w:tcPr>
            <w:tcW w:w="2557" w:type="dxa"/>
            <w:tcBorders>
              <w:top w:val="nil"/>
              <w:left w:val="single" w:sz="4" w:space="0" w:color="000000"/>
              <w:bottom w:val="single" w:sz="4" w:space="0" w:color="000000"/>
              <w:right w:val="single" w:sz="4" w:space="0" w:color="000000"/>
            </w:tcBorders>
            <w:vAlign w:val="bottom"/>
          </w:tcPr>
          <w:p w14:paraId="2A0FD3C9" w14:textId="77777777" w:rsidR="00714B50" w:rsidRDefault="0030138C">
            <w:pPr>
              <w:spacing w:after="0" w:line="240" w:lineRule="auto"/>
              <w:rPr>
                <w:color w:val="000000"/>
                <w:sz w:val="18"/>
                <w:szCs w:val="18"/>
              </w:rPr>
            </w:pPr>
            <w:r>
              <w:rPr>
                <w:color w:val="000000"/>
                <w:sz w:val="18"/>
                <w:szCs w:val="18"/>
              </w:rPr>
              <w:t> </w:t>
            </w:r>
          </w:p>
        </w:tc>
        <w:tc>
          <w:tcPr>
            <w:tcW w:w="1134" w:type="dxa"/>
            <w:tcBorders>
              <w:top w:val="nil"/>
              <w:left w:val="nil"/>
              <w:bottom w:val="single" w:sz="4" w:space="0" w:color="000000"/>
              <w:right w:val="single" w:sz="4" w:space="0" w:color="000000"/>
            </w:tcBorders>
            <w:vAlign w:val="center"/>
          </w:tcPr>
          <w:p w14:paraId="3C3C9538"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nil"/>
              <w:left w:val="nil"/>
              <w:bottom w:val="single" w:sz="4" w:space="0" w:color="000000"/>
              <w:right w:val="single" w:sz="4" w:space="0" w:color="000000"/>
            </w:tcBorders>
            <w:vAlign w:val="center"/>
          </w:tcPr>
          <w:p w14:paraId="7B355EF4" w14:textId="77777777" w:rsidR="00714B50" w:rsidRDefault="0030138C">
            <w:pPr>
              <w:spacing w:after="0" w:line="240" w:lineRule="auto"/>
              <w:jc w:val="center"/>
              <w:rPr>
                <w:color w:val="000000"/>
                <w:sz w:val="18"/>
                <w:szCs w:val="18"/>
              </w:rPr>
            </w:pPr>
            <w:r>
              <w:rPr>
                <w:color w:val="000000"/>
                <w:sz w:val="18"/>
                <w:szCs w:val="18"/>
              </w:rPr>
              <w:t>20</w:t>
            </w:r>
          </w:p>
        </w:tc>
        <w:tc>
          <w:tcPr>
            <w:tcW w:w="1111" w:type="dxa"/>
            <w:tcBorders>
              <w:top w:val="nil"/>
              <w:left w:val="nil"/>
              <w:bottom w:val="single" w:sz="4" w:space="0" w:color="000000"/>
              <w:right w:val="single" w:sz="4" w:space="0" w:color="000000"/>
            </w:tcBorders>
            <w:vAlign w:val="center"/>
          </w:tcPr>
          <w:p w14:paraId="4988C022" w14:textId="77777777" w:rsidR="00714B50" w:rsidRDefault="0030138C">
            <w:pPr>
              <w:spacing w:after="0" w:line="240" w:lineRule="auto"/>
              <w:jc w:val="center"/>
              <w:rPr>
                <w:color w:val="000000"/>
                <w:sz w:val="18"/>
                <w:szCs w:val="18"/>
              </w:rPr>
            </w:pPr>
            <w:r>
              <w:rPr>
                <w:color w:val="000000"/>
                <w:sz w:val="18"/>
                <w:szCs w:val="18"/>
              </w:rPr>
              <w:t>3.5799</w:t>
            </w:r>
          </w:p>
        </w:tc>
        <w:tc>
          <w:tcPr>
            <w:tcW w:w="1045" w:type="dxa"/>
            <w:tcBorders>
              <w:top w:val="nil"/>
              <w:left w:val="nil"/>
              <w:bottom w:val="single" w:sz="4" w:space="0" w:color="000000"/>
              <w:right w:val="single" w:sz="4" w:space="0" w:color="000000"/>
            </w:tcBorders>
            <w:vAlign w:val="bottom"/>
          </w:tcPr>
          <w:p w14:paraId="1E3FBE2E" w14:textId="77777777" w:rsidR="00714B50" w:rsidRDefault="0030138C">
            <w:pPr>
              <w:spacing w:after="0" w:line="240" w:lineRule="auto"/>
              <w:rPr>
                <w:color w:val="000000"/>
                <w:sz w:val="18"/>
                <w:szCs w:val="18"/>
              </w:rPr>
            </w:pPr>
            <w:r>
              <w:rPr>
                <w:color w:val="000000"/>
                <w:sz w:val="18"/>
                <w:szCs w:val="18"/>
              </w:rPr>
              <w:t> </w:t>
            </w:r>
          </w:p>
        </w:tc>
        <w:tc>
          <w:tcPr>
            <w:tcW w:w="1045" w:type="dxa"/>
            <w:tcBorders>
              <w:top w:val="nil"/>
              <w:left w:val="nil"/>
              <w:bottom w:val="single" w:sz="4" w:space="0" w:color="000000"/>
              <w:right w:val="single" w:sz="4" w:space="0" w:color="000000"/>
            </w:tcBorders>
            <w:vAlign w:val="center"/>
          </w:tcPr>
          <w:p w14:paraId="0E6FBEC9" w14:textId="77777777" w:rsidR="00714B50" w:rsidRDefault="0030138C">
            <w:pPr>
              <w:spacing w:after="0" w:line="240" w:lineRule="auto"/>
              <w:jc w:val="center"/>
              <w:rPr>
                <w:color w:val="000000"/>
                <w:sz w:val="18"/>
                <w:szCs w:val="18"/>
              </w:rPr>
            </w:pPr>
            <w:r>
              <w:rPr>
                <w:color w:val="000000"/>
                <w:sz w:val="18"/>
                <w:szCs w:val="18"/>
              </w:rPr>
              <w:t>0.85505</w:t>
            </w:r>
          </w:p>
        </w:tc>
        <w:tc>
          <w:tcPr>
            <w:tcW w:w="1111" w:type="dxa"/>
            <w:tcBorders>
              <w:top w:val="nil"/>
              <w:left w:val="nil"/>
              <w:bottom w:val="single" w:sz="4" w:space="0" w:color="000000"/>
              <w:right w:val="single" w:sz="4" w:space="0" w:color="000000"/>
            </w:tcBorders>
            <w:vAlign w:val="center"/>
          </w:tcPr>
          <w:p w14:paraId="6FF6D0DA" w14:textId="77777777" w:rsidR="00714B50" w:rsidRDefault="0030138C">
            <w:pPr>
              <w:spacing w:after="0" w:line="240" w:lineRule="auto"/>
              <w:jc w:val="center"/>
              <w:rPr>
                <w:color w:val="000000"/>
                <w:sz w:val="18"/>
                <w:szCs w:val="18"/>
              </w:rPr>
            </w:pPr>
            <w:r>
              <w:rPr>
                <w:color w:val="000000"/>
                <w:sz w:val="18"/>
                <w:szCs w:val="18"/>
              </w:rPr>
              <w:t> </w:t>
            </w:r>
          </w:p>
        </w:tc>
      </w:tr>
      <w:tr w:rsidR="00714B50" w14:paraId="1E4021C5" w14:textId="77777777">
        <w:trPr>
          <w:trHeight w:val="325"/>
        </w:trPr>
        <w:tc>
          <w:tcPr>
            <w:tcW w:w="2557" w:type="dxa"/>
            <w:tcBorders>
              <w:top w:val="nil"/>
              <w:left w:val="single" w:sz="4" w:space="0" w:color="000000"/>
              <w:bottom w:val="single" w:sz="4" w:space="0" w:color="000000"/>
              <w:right w:val="single" w:sz="4" w:space="0" w:color="000000"/>
            </w:tcBorders>
            <w:vAlign w:val="bottom"/>
          </w:tcPr>
          <w:p w14:paraId="0E2D1ABF" w14:textId="77777777" w:rsidR="00714B50" w:rsidRDefault="0030138C">
            <w:pPr>
              <w:spacing w:after="0" w:line="240" w:lineRule="auto"/>
              <w:rPr>
                <w:color w:val="000000"/>
                <w:sz w:val="18"/>
                <w:szCs w:val="18"/>
              </w:rPr>
            </w:pPr>
            <w:r>
              <w:rPr>
                <w:color w:val="000000"/>
                <w:sz w:val="18"/>
                <w:szCs w:val="18"/>
              </w:rPr>
              <w:t> </w:t>
            </w:r>
          </w:p>
        </w:tc>
        <w:tc>
          <w:tcPr>
            <w:tcW w:w="1134" w:type="dxa"/>
            <w:tcBorders>
              <w:top w:val="nil"/>
              <w:left w:val="nil"/>
              <w:bottom w:val="single" w:sz="4" w:space="0" w:color="000000"/>
              <w:right w:val="single" w:sz="4" w:space="0" w:color="000000"/>
            </w:tcBorders>
            <w:vAlign w:val="center"/>
          </w:tcPr>
          <w:p w14:paraId="7367B965"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nil"/>
              <w:left w:val="nil"/>
              <w:bottom w:val="single" w:sz="4" w:space="0" w:color="000000"/>
              <w:right w:val="single" w:sz="4" w:space="0" w:color="000000"/>
            </w:tcBorders>
            <w:vAlign w:val="center"/>
          </w:tcPr>
          <w:p w14:paraId="6D4057BE" w14:textId="77777777" w:rsidR="00714B50" w:rsidRDefault="0030138C">
            <w:pPr>
              <w:spacing w:after="0" w:line="240" w:lineRule="auto"/>
              <w:jc w:val="center"/>
              <w:rPr>
                <w:color w:val="000000"/>
                <w:sz w:val="18"/>
                <w:szCs w:val="18"/>
              </w:rPr>
            </w:pPr>
            <w:r>
              <w:rPr>
                <w:color w:val="000000"/>
                <w:sz w:val="18"/>
                <w:szCs w:val="18"/>
              </w:rPr>
              <w:t>21</w:t>
            </w:r>
          </w:p>
        </w:tc>
        <w:tc>
          <w:tcPr>
            <w:tcW w:w="1111" w:type="dxa"/>
            <w:tcBorders>
              <w:top w:val="nil"/>
              <w:left w:val="nil"/>
              <w:bottom w:val="single" w:sz="4" w:space="0" w:color="000000"/>
              <w:right w:val="single" w:sz="4" w:space="0" w:color="000000"/>
            </w:tcBorders>
            <w:vAlign w:val="center"/>
          </w:tcPr>
          <w:p w14:paraId="5872FE32" w14:textId="77777777" w:rsidR="00714B50" w:rsidRDefault="0030138C">
            <w:pPr>
              <w:spacing w:after="0" w:line="240" w:lineRule="auto"/>
              <w:jc w:val="center"/>
              <w:rPr>
                <w:color w:val="000000"/>
                <w:sz w:val="18"/>
                <w:szCs w:val="18"/>
              </w:rPr>
            </w:pPr>
            <w:r>
              <w:rPr>
                <w:color w:val="000000"/>
                <w:sz w:val="18"/>
                <w:szCs w:val="18"/>
              </w:rPr>
              <w:t>4.1868</w:t>
            </w:r>
          </w:p>
        </w:tc>
        <w:tc>
          <w:tcPr>
            <w:tcW w:w="1045" w:type="dxa"/>
            <w:tcBorders>
              <w:top w:val="nil"/>
              <w:left w:val="nil"/>
              <w:bottom w:val="single" w:sz="4" w:space="0" w:color="000000"/>
              <w:right w:val="single" w:sz="4" w:space="0" w:color="000000"/>
            </w:tcBorders>
            <w:vAlign w:val="bottom"/>
          </w:tcPr>
          <w:p w14:paraId="4E8EACD7" w14:textId="77777777" w:rsidR="00714B50" w:rsidRDefault="0030138C">
            <w:pPr>
              <w:spacing w:after="0" w:line="240" w:lineRule="auto"/>
              <w:rPr>
                <w:color w:val="000000"/>
                <w:sz w:val="18"/>
                <w:szCs w:val="18"/>
              </w:rPr>
            </w:pPr>
            <w:r>
              <w:rPr>
                <w:color w:val="000000"/>
                <w:sz w:val="18"/>
                <w:szCs w:val="18"/>
              </w:rPr>
              <w:t> </w:t>
            </w:r>
          </w:p>
        </w:tc>
        <w:tc>
          <w:tcPr>
            <w:tcW w:w="1045" w:type="dxa"/>
            <w:tcBorders>
              <w:top w:val="nil"/>
              <w:left w:val="nil"/>
              <w:bottom w:val="single" w:sz="4" w:space="0" w:color="000000"/>
              <w:right w:val="single" w:sz="4" w:space="0" w:color="000000"/>
            </w:tcBorders>
            <w:vAlign w:val="center"/>
          </w:tcPr>
          <w:p w14:paraId="5289846E"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nil"/>
              <w:left w:val="nil"/>
              <w:bottom w:val="single" w:sz="4" w:space="0" w:color="000000"/>
              <w:right w:val="single" w:sz="4" w:space="0" w:color="000000"/>
            </w:tcBorders>
            <w:vAlign w:val="center"/>
          </w:tcPr>
          <w:p w14:paraId="00AA3F04" w14:textId="77777777" w:rsidR="00714B50" w:rsidRDefault="0030138C">
            <w:pPr>
              <w:spacing w:after="0" w:line="240" w:lineRule="auto"/>
              <w:jc w:val="center"/>
              <w:rPr>
                <w:color w:val="000000"/>
                <w:sz w:val="18"/>
                <w:szCs w:val="18"/>
              </w:rPr>
            </w:pPr>
            <w:r>
              <w:rPr>
                <w:color w:val="000000"/>
                <w:sz w:val="18"/>
                <w:szCs w:val="18"/>
              </w:rPr>
              <w:t> </w:t>
            </w:r>
          </w:p>
        </w:tc>
      </w:tr>
      <w:tr w:rsidR="00714B50" w14:paraId="72E48C13" w14:textId="77777777">
        <w:trPr>
          <w:trHeight w:val="301"/>
        </w:trPr>
        <w:tc>
          <w:tcPr>
            <w:tcW w:w="2557" w:type="dxa"/>
            <w:tcBorders>
              <w:top w:val="nil"/>
              <w:left w:val="single" w:sz="4" w:space="0" w:color="000000"/>
              <w:bottom w:val="single" w:sz="4" w:space="0" w:color="000000"/>
              <w:right w:val="single" w:sz="4" w:space="0" w:color="000000"/>
            </w:tcBorders>
            <w:vAlign w:val="bottom"/>
          </w:tcPr>
          <w:p w14:paraId="1D5C4794" w14:textId="77777777" w:rsidR="00714B50" w:rsidRDefault="0030138C">
            <w:pPr>
              <w:spacing w:after="0" w:line="240" w:lineRule="auto"/>
              <w:rPr>
                <w:color w:val="000000"/>
                <w:sz w:val="18"/>
                <w:szCs w:val="18"/>
              </w:rPr>
            </w:pPr>
            <w:r>
              <w:rPr>
                <w:color w:val="000000"/>
                <w:sz w:val="18"/>
                <w:szCs w:val="18"/>
              </w:rPr>
              <w:t>Between larvae and settlers on CCA</w:t>
            </w:r>
          </w:p>
        </w:tc>
        <w:tc>
          <w:tcPr>
            <w:tcW w:w="1134" w:type="dxa"/>
            <w:tcBorders>
              <w:top w:val="nil"/>
              <w:left w:val="nil"/>
              <w:bottom w:val="single" w:sz="4" w:space="0" w:color="000000"/>
              <w:right w:val="single" w:sz="4" w:space="0" w:color="000000"/>
            </w:tcBorders>
            <w:vAlign w:val="center"/>
          </w:tcPr>
          <w:p w14:paraId="7832C2E7"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nil"/>
              <w:left w:val="nil"/>
              <w:bottom w:val="single" w:sz="4" w:space="0" w:color="000000"/>
              <w:right w:val="single" w:sz="4" w:space="0" w:color="000000"/>
            </w:tcBorders>
            <w:vAlign w:val="center"/>
          </w:tcPr>
          <w:p w14:paraId="4E6C2113"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nil"/>
              <w:left w:val="nil"/>
              <w:bottom w:val="single" w:sz="4" w:space="0" w:color="000000"/>
              <w:right w:val="single" w:sz="4" w:space="0" w:color="000000"/>
            </w:tcBorders>
            <w:vAlign w:val="center"/>
          </w:tcPr>
          <w:p w14:paraId="253DAF98" w14:textId="77777777" w:rsidR="00714B50" w:rsidRDefault="0030138C">
            <w:pPr>
              <w:spacing w:after="0" w:line="240" w:lineRule="auto"/>
              <w:jc w:val="center"/>
              <w:rPr>
                <w:color w:val="000000"/>
                <w:sz w:val="18"/>
                <w:szCs w:val="18"/>
              </w:rPr>
            </w:pPr>
            <w:r>
              <w:rPr>
                <w:color w:val="000000"/>
                <w:sz w:val="18"/>
                <w:szCs w:val="18"/>
              </w:rPr>
              <w:t>1.5576</w:t>
            </w:r>
          </w:p>
        </w:tc>
        <w:tc>
          <w:tcPr>
            <w:tcW w:w="1045" w:type="dxa"/>
            <w:tcBorders>
              <w:top w:val="nil"/>
              <w:left w:val="nil"/>
              <w:bottom w:val="single" w:sz="4" w:space="0" w:color="000000"/>
              <w:right w:val="single" w:sz="4" w:space="0" w:color="000000"/>
            </w:tcBorders>
            <w:vAlign w:val="center"/>
          </w:tcPr>
          <w:p w14:paraId="4A861DF4" w14:textId="77777777" w:rsidR="00714B50" w:rsidRDefault="0030138C">
            <w:pPr>
              <w:spacing w:after="0" w:line="240" w:lineRule="auto"/>
              <w:jc w:val="center"/>
              <w:rPr>
                <w:color w:val="000000"/>
                <w:sz w:val="18"/>
                <w:szCs w:val="18"/>
              </w:rPr>
            </w:pPr>
            <w:r>
              <w:rPr>
                <w:color w:val="000000"/>
                <w:sz w:val="18"/>
                <w:szCs w:val="18"/>
              </w:rPr>
              <w:t>5.4099</w:t>
            </w:r>
          </w:p>
        </w:tc>
        <w:tc>
          <w:tcPr>
            <w:tcW w:w="1045" w:type="dxa"/>
            <w:tcBorders>
              <w:top w:val="nil"/>
              <w:left w:val="nil"/>
              <w:bottom w:val="single" w:sz="4" w:space="0" w:color="000000"/>
              <w:right w:val="single" w:sz="4" w:space="0" w:color="000000"/>
            </w:tcBorders>
            <w:vAlign w:val="center"/>
          </w:tcPr>
          <w:p w14:paraId="1637FB46" w14:textId="77777777" w:rsidR="00714B50" w:rsidRDefault="0030138C">
            <w:pPr>
              <w:spacing w:after="0" w:line="240" w:lineRule="auto"/>
              <w:jc w:val="center"/>
              <w:rPr>
                <w:color w:val="000000"/>
                <w:sz w:val="18"/>
                <w:szCs w:val="18"/>
              </w:rPr>
            </w:pPr>
            <w:r>
              <w:rPr>
                <w:color w:val="000000"/>
                <w:sz w:val="18"/>
                <w:szCs w:val="18"/>
              </w:rPr>
              <w:t>0.2129</w:t>
            </w:r>
          </w:p>
        </w:tc>
        <w:tc>
          <w:tcPr>
            <w:tcW w:w="1111" w:type="dxa"/>
            <w:tcBorders>
              <w:top w:val="nil"/>
              <w:left w:val="nil"/>
              <w:bottom w:val="single" w:sz="4" w:space="0" w:color="000000"/>
              <w:right w:val="single" w:sz="4" w:space="0" w:color="000000"/>
            </w:tcBorders>
            <w:vAlign w:val="center"/>
          </w:tcPr>
          <w:p w14:paraId="7CAF79E7" w14:textId="77777777" w:rsidR="00714B50" w:rsidRDefault="0030138C">
            <w:pPr>
              <w:spacing w:after="0" w:line="240" w:lineRule="auto"/>
              <w:jc w:val="center"/>
              <w:rPr>
                <w:color w:val="000000"/>
                <w:sz w:val="18"/>
                <w:szCs w:val="18"/>
              </w:rPr>
            </w:pPr>
            <w:r>
              <w:rPr>
                <w:color w:val="000000"/>
                <w:sz w:val="18"/>
                <w:szCs w:val="18"/>
              </w:rPr>
              <w:t>0.00001***</w:t>
            </w:r>
          </w:p>
        </w:tc>
      </w:tr>
      <w:tr w:rsidR="00714B50" w14:paraId="46BC7F01" w14:textId="77777777">
        <w:trPr>
          <w:trHeight w:val="325"/>
        </w:trPr>
        <w:tc>
          <w:tcPr>
            <w:tcW w:w="2557" w:type="dxa"/>
            <w:tcBorders>
              <w:top w:val="nil"/>
              <w:left w:val="single" w:sz="4" w:space="0" w:color="000000"/>
              <w:bottom w:val="single" w:sz="4" w:space="0" w:color="000000"/>
              <w:right w:val="single" w:sz="4" w:space="0" w:color="000000"/>
            </w:tcBorders>
            <w:vAlign w:val="bottom"/>
          </w:tcPr>
          <w:p w14:paraId="44DEAA2A" w14:textId="77777777" w:rsidR="00714B50" w:rsidRDefault="0030138C">
            <w:pPr>
              <w:spacing w:after="0" w:line="240" w:lineRule="auto"/>
              <w:rPr>
                <w:color w:val="000000"/>
                <w:sz w:val="18"/>
                <w:szCs w:val="18"/>
              </w:rPr>
            </w:pPr>
            <w:r>
              <w:rPr>
                <w:color w:val="000000"/>
                <w:sz w:val="18"/>
                <w:szCs w:val="18"/>
              </w:rPr>
              <w:t> </w:t>
            </w:r>
          </w:p>
        </w:tc>
        <w:tc>
          <w:tcPr>
            <w:tcW w:w="1134" w:type="dxa"/>
            <w:tcBorders>
              <w:top w:val="nil"/>
              <w:left w:val="nil"/>
              <w:bottom w:val="single" w:sz="4" w:space="0" w:color="000000"/>
              <w:right w:val="single" w:sz="4" w:space="0" w:color="000000"/>
            </w:tcBorders>
            <w:vAlign w:val="center"/>
          </w:tcPr>
          <w:p w14:paraId="2D32F170"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nil"/>
              <w:left w:val="nil"/>
              <w:bottom w:val="single" w:sz="4" w:space="0" w:color="000000"/>
              <w:right w:val="single" w:sz="4" w:space="0" w:color="000000"/>
            </w:tcBorders>
            <w:vAlign w:val="center"/>
          </w:tcPr>
          <w:p w14:paraId="166529E9" w14:textId="77777777" w:rsidR="00714B50" w:rsidRDefault="0030138C">
            <w:pPr>
              <w:spacing w:after="0" w:line="240" w:lineRule="auto"/>
              <w:jc w:val="center"/>
              <w:rPr>
                <w:color w:val="000000"/>
                <w:sz w:val="18"/>
                <w:szCs w:val="18"/>
              </w:rPr>
            </w:pPr>
            <w:r>
              <w:rPr>
                <w:color w:val="000000"/>
                <w:sz w:val="18"/>
                <w:szCs w:val="18"/>
              </w:rPr>
              <w:t>20</w:t>
            </w:r>
          </w:p>
        </w:tc>
        <w:tc>
          <w:tcPr>
            <w:tcW w:w="1111" w:type="dxa"/>
            <w:tcBorders>
              <w:top w:val="nil"/>
              <w:left w:val="nil"/>
              <w:bottom w:val="single" w:sz="4" w:space="0" w:color="000000"/>
              <w:right w:val="single" w:sz="4" w:space="0" w:color="000000"/>
            </w:tcBorders>
            <w:vAlign w:val="center"/>
          </w:tcPr>
          <w:p w14:paraId="4205896A" w14:textId="77777777" w:rsidR="00714B50" w:rsidRDefault="0030138C">
            <w:pPr>
              <w:spacing w:after="0" w:line="240" w:lineRule="auto"/>
              <w:jc w:val="center"/>
              <w:rPr>
                <w:color w:val="000000"/>
                <w:sz w:val="18"/>
                <w:szCs w:val="18"/>
              </w:rPr>
            </w:pPr>
            <w:r>
              <w:rPr>
                <w:color w:val="000000"/>
                <w:sz w:val="18"/>
                <w:szCs w:val="18"/>
              </w:rPr>
              <w:t>5.7585</w:t>
            </w:r>
          </w:p>
        </w:tc>
        <w:tc>
          <w:tcPr>
            <w:tcW w:w="1045" w:type="dxa"/>
            <w:tcBorders>
              <w:top w:val="nil"/>
              <w:left w:val="nil"/>
              <w:bottom w:val="single" w:sz="4" w:space="0" w:color="000000"/>
              <w:right w:val="single" w:sz="4" w:space="0" w:color="000000"/>
            </w:tcBorders>
            <w:vAlign w:val="bottom"/>
          </w:tcPr>
          <w:p w14:paraId="69758311" w14:textId="77777777" w:rsidR="00714B50" w:rsidRDefault="0030138C">
            <w:pPr>
              <w:spacing w:after="0" w:line="240" w:lineRule="auto"/>
              <w:rPr>
                <w:color w:val="000000"/>
                <w:sz w:val="18"/>
                <w:szCs w:val="18"/>
              </w:rPr>
            </w:pPr>
            <w:r>
              <w:rPr>
                <w:color w:val="000000"/>
                <w:sz w:val="18"/>
                <w:szCs w:val="18"/>
              </w:rPr>
              <w:t> </w:t>
            </w:r>
          </w:p>
        </w:tc>
        <w:tc>
          <w:tcPr>
            <w:tcW w:w="1045" w:type="dxa"/>
            <w:tcBorders>
              <w:top w:val="nil"/>
              <w:left w:val="nil"/>
              <w:bottom w:val="single" w:sz="4" w:space="0" w:color="000000"/>
              <w:right w:val="single" w:sz="4" w:space="0" w:color="000000"/>
            </w:tcBorders>
            <w:vAlign w:val="center"/>
          </w:tcPr>
          <w:p w14:paraId="5C322207" w14:textId="77777777" w:rsidR="00714B50" w:rsidRDefault="0030138C">
            <w:pPr>
              <w:spacing w:after="0" w:line="240" w:lineRule="auto"/>
              <w:jc w:val="center"/>
              <w:rPr>
                <w:color w:val="000000"/>
                <w:sz w:val="18"/>
                <w:szCs w:val="18"/>
              </w:rPr>
            </w:pPr>
            <w:r>
              <w:rPr>
                <w:color w:val="000000"/>
                <w:sz w:val="18"/>
                <w:szCs w:val="18"/>
              </w:rPr>
              <w:t>0.7871</w:t>
            </w:r>
          </w:p>
        </w:tc>
        <w:tc>
          <w:tcPr>
            <w:tcW w:w="1111" w:type="dxa"/>
            <w:tcBorders>
              <w:top w:val="nil"/>
              <w:left w:val="nil"/>
              <w:bottom w:val="single" w:sz="4" w:space="0" w:color="000000"/>
              <w:right w:val="single" w:sz="4" w:space="0" w:color="000000"/>
            </w:tcBorders>
            <w:vAlign w:val="center"/>
          </w:tcPr>
          <w:p w14:paraId="0A50543E" w14:textId="77777777" w:rsidR="00714B50" w:rsidRDefault="0030138C">
            <w:pPr>
              <w:spacing w:after="0" w:line="240" w:lineRule="auto"/>
              <w:jc w:val="center"/>
              <w:rPr>
                <w:color w:val="000000"/>
                <w:sz w:val="18"/>
                <w:szCs w:val="18"/>
              </w:rPr>
            </w:pPr>
            <w:r>
              <w:rPr>
                <w:color w:val="000000"/>
                <w:sz w:val="18"/>
                <w:szCs w:val="18"/>
              </w:rPr>
              <w:t> </w:t>
            </w:r>
          </w:p>
        </w:tc>
      </w:tr>
      <w:tr w:rsidR="00714B50" w14:paraId="3851724B"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486110D8" w14:textId="77777777" w:rsidR="00714B50" w:rsidRDefault="0030138C">
            <w:pPr>
              <w:spacing w:after="0" w:line="240" w:lineRule="auto"/>
              <w:rPr>
                <w:color w:val="000000"/>
                <w:sz w:val="18"/>
                <w:szCs w:val="18"/>
              </w:rPr>
            </w:pPr>
            <w:r>
              <w:rPr>
                <w:color w:val="000000"/>
                <w:sz w:val="18"/>
                <w:szCs w:val="18"/>
              </w:rPr>
              <w:t> </w:t>
            </w:r>
          </w:p>
        </w:tc>
        <w:tc>
          <w:tcPr>
            <w:tcW w:w="1134" w:type="dxa"/>
            <w:tcBorders>
              <w:top w:val="single" w:sz="4" w:space="0" w:color="000000"/>
              <w:left w:val="nil"/>
              <w:bottom w:val="single" w:sz="4" w:space="0" w:color="000000"/>
              <w:right w:val="single" w:sz="4" w:space="0" w:color="000000"/>
            </w:tcBorders>
            <w:vAlign w:val="center"/>
          </w:tcPr>
          <w:p w14:paraId="4ED0133F"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1F7F3D7E" w14:textId="77777777" w:rsidR="00714B50" w:rsidRDefault="0030138C">
            <w:pPr>
              <w:spacing w:after="0" w:line="240" w:lineRule="auto"/>
              <w:jc w:val="center"/>
              <w:rPr>
                <w:color w:val="000000"/>
                <w:sz w:val="18"/>
                <w:szCs w:val="18"/>
              </w:rPr>
            </w:pPr>
            <w:r>
              <w:rPr>
                <w:color w:val="000000"/>
                <w:sz w:val="18"/>
                <w:szCs w:val="18"/>
              </w:rPr>
              <w:t>21</w:t>
            </w:r>
          </w:p>
        </w:tc>
        <w:tc>
          <w:tcPr>
            <w:tcW w:w="1111" w:type="dxa"/>
            <w:tcBorders>
              <w:top w:val="single" w:sz="4" w:space="0" w:color="000000"/>
              <w:left w:val="nil"/>
              <w:bottom w:val="single" w:sz="4" w:space="0" w:color="000000"/>
              <w:right w:val="single" w:sz="4" w:space="0" w:color="000000"/>
            </w:tcBorders>
            <w:vAlign w:val="center"/>
          </w:tcPr>
          <w:p w14:paraId="6F66C9EF" w14:textId="77777777" w:rsidR="00714B50" w:rsidRDefault="0030138C">
            <w:pPr>
              <w:spacing w:after="0" w:line="240" w:lineRule="auto"/>
              <w:jc w:val="center"/>
              <w:rPr>
                <w:color w:val="000000"/>
                <w:sz w:val="18"/>
                <w:szCs w:val="18"/>
              </w:rPr>
            </w:pPr>
            <w:r>
              <w:rPr>
                <w:color w:val="000000"/>
                <w:sz w:val="18"/>
                <w:szCs w:val="18"/>
              </w:rPr>
              <w:t>7.3161</w:t>
            </w:r>
          </w:p>
        </w:tc>
        <w:tc>
          <w:tcPr>
            <w:tcW w:w="1045" w:type="dxa"/>
            <w:tcBorders>
              <w:top w:val="single" w:sz="4" w:space="0" w:color="000000"/>
              <w:left w:val="nil"/>
              <w:bottom w:val="single" w:sz="4" w:space="0" w:color="000000"/>
              <w:right w:val="single" w:sz="4" w:space="0" w:color="000000"/>
            </w:tcBorders>
            <w:vAlign w:val="bottom"/>
          </w:tcPr>
          <w:p w14:paraId="555DDABF" w14:textId="77777777" w:rsidR="00714B50" w:rsidRDefault="0030138C">
            <w:pPr>
              <w:spacing w:after="0" w:line="240" w:lineRule="auto"/>
              <w:rPr>
                <w:color w:val="000000"/>
                <w:sz w:val="18"/>
                <w:szCs w:val="18"/>
              </w:rPr>
            </w:pPr>
            <w:r>
              <w:rPr>
                <w:color w:val="000000"/>
                <w:sz w:val="18"/>
                <w:szCs w:val="18"/>
              </w:rPr>
              <w:t> </w:t>
            </w:r>
          </w:p>
        </w:tc>
        <w:tc>
          <w:tcPr>
            <w:tcW w:w="1045" w:type="dxa"/>
            <w:tcBorders>
              <w:top w:val="single" w:sz="4" w:space="0" w:color="000000"/>
              <w:left w:val="nil"/>
              <w:bottom w:val="single" w:sz="4" w:space="0" w:color="000000"/>
              <w:right w:val="single" w:sz="4" w:space="0" w:color="000000"/>
            </w:tcBorders>
            <w:vAlign w:val="center"/>
          </w:tcPr>
          <w:p w14:paraId="0C9DB438"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1917923A" w14:textId="77777777" w:rsidR="00714B50" w:rsidRDefault="0030138C">
            <w:pPr>
              <w:spacing w:after="0" w:line="240" w:lineRule="auto"/>
              <w:jc w:val="center"/>
              <w:rPr>
                <w:color w:val="000000"/>
                <w:sz w:val="18"/>
                <w:szCs w:val="18"/>
              </w:rPr>
            </w:pPr>
            <w:r>
              <w:rPr>
                <w:color w:val="000000"/>
                <w:sz w:val="18"/>
                <w:szCs w:val="18"/>
              </w:rPr>
              <w:t> </w:t>
            </w:r>
          </w:p>
        </w:tc>
      </w:tr>
      <w:tr w:rsidR="00714B50" w14:paraId="4099FB1A"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279A7C11" w14:textId="77777777" w:rsidR="00714B50" w:rsidRDefault="0030138C">
            <w:pPr>
              <w:spacing w:after="0" w:line="240" w:lineRule="auto"/>
              <w:rPr>
                <w:color w:val="000000"/>
                <w:sz w:val="18"/>
                <w:szCs w:val="18"/>
              </w:rPr>
            </w:pPr>
            <w:r>
              <w:rPr>
                <w:color w:val="000000"/>
                <w:sz w:val="18"/>
                <w:szCs w:val="18"/>
              </w:rPr>
              <w:t>Between settlers on the aquarium and CCA</w:t>
            </w:r>
          </w:p>
        </w:tc>
        <w:tc>
          <w:tcPr>
            <w:tcW w:w="1134" w:type="dxa"/>
            <w:tcBorders>
              <w:top w:val="single" w:sz="4" w:space="0" w:color="000000"/>
              <w:left w:val="nil"/>
              <w:bottom w:val="single" w:sz="4" w:space="0" w:color="000000"/>
              <w:right w:val="single" w:sz="4" w:space="0" w:color="000000"/>
            </w:tcBorders>
            <w:vAlign w:val="center"/>
          </w:tcPr>
          <w:p w14:paraId="6C966354"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single" w:sz="4" w:space="0" w:color="000000"/>
              <w:left w:val="nil"/>
              <w:bottom w:val="single" w:sz="4" w:space="0" w:color="000000"/>
              <w:right w:val="single" w:sz="4" w:space="0" w:color="000000"/>
            </w:tcBorders>
            <w:vAlign w:val="center"/>
          </w:tcPr>
          <w:p w14:paraId="606D6E79"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6133F398" w14:textId="77777777" w:rsidR="00714B50" w:rsidRDefault="0030138C">
            <w:pPr>
              <w:spacing w:after="0" w:line="240" w:lineRule="auto"/>
              <w:jc w:val="center"/>
              <w:rPr>
                <w:color w:val="000000"/>
                <w:sz w:val="18"/>
                <w:szCs w:val="18"/>
              </w:rPr>
            </w:pPr>
            <w:r>
              <w:rPr>
                <w:color w:val="000000"/>
                <w:sz w:val="18"/>
                <w:szCs w:val="18"/>
              </w:rPr>
              <w:t>2.0494</w:t>
            </w:r>
          </w:p>
        </w:tc>
        <w:tc>
          <w:tcPr>
            <w:tcW w:w="1045" w:type="dxa"/>
            <w:tcBorders>
              <w:top w:val="single" w:sz="4" w:space="0" w:color="000000"/>
              <w:left w:val="nil"/>
              <w:bottom w:val="single" w:sz="4" w:space="0" w:color="000000"/>
              <w:right w:val="single" w:sz="4" w:space="0" w:color="000000"/>
            </w:tcBorders>
            <w:vAlign w:val="center"/>
          </w:tcPr>
          <w:p w14:paraId="2114EDAE" w14:textId="77777777" w:rsidR="00714B50" w:rsidRDefault="0030138C">
            <w:pPr>
              <w:spacing w:after="0" w:line="240" w:lineRule="auto"/>
              <w:jc w:val="center"/>
              <w:rPr>
                <w:color w:val="000000"/>
                <w:sz w:val="18"/>
                <w:szCs w:val="18"/>
              </w:rPr>
            </w:pPr>
            <w:r>
              <w:rPr>
                <w:color w:val="000000"/>
                <w:sz w:val="18"/>
                <w:szCs w:val="18"/>
              </w:rPr>
              <w:t>11.176</w:t>
            </w:r>
          </w:p>
        </w:tc>
        <w:tc>
          <w:tcPr>
            <w:tcW w:w="1045" w:type="dxa"/>
            <w:tcBorders>
              <w:top w:val="single" w:sz="4" w:space="0" w:color="000000"/>
              <w:left w:val="nil"/>
              <w:bottom w:val="single" w:sz="4" w:space="0" w:color="000000"/>
              <w:right w:val="single" w:sz="4" w:space="0" w:color="000000"/>
            </w:tcBorders>
            <w:vAlign w:val="center"/>
          </w:tcPr>
          <w:p w14:paraId="3AEEEF6C" w14:textId="77777777" w:rsidR="00714B50" w:rsidRDefault="0030138C">
            <w:pPr>
              <w:spacing w:after="0" w:line="240" w:lineRule="auto"/>
              <w:jc w:val="center"/>
              <w:rPr>
                <w:color w:val="000000"/>
                <w:sz w:val="18"/>
                <w:szCs w:val="18"/>
              </w:rPr>
            </w:pPr>
            <w:r>
              <w:rPr>
                <w:color w:val="000000"/>
                <w:sz w:val="18"/>
                <w:szCs w:val="18"/>
              </w:rPr>
              <w:t>0.42696</w:t>
            </w:r>
          </w:p>
        </w:tc>
        <w:tc>
          <w:tcPr>
            <w:tcW w:w="1111" w:type="dxa"/>
            <w:tcBorders>
              <w:top w:val="single" w:sz="4" w:space="0" w:color="000000"/>
              <w:left w:val="nil"/>
              <w:bottom w:val="single" w:sz="4" w:space="0" w:color="000000"/>
              <w:right w:val="single" w:sz="4" w:space="0" w:color="000000"/>
            </w:tcBorders>
            <w:vAlign w:val="center"/>
          </w:tcPr>
          <w:p w14:paraId="7B63D973" w14:textId="77777777" w:rsidR="00714B50" w:rsidRDefault="0030138C">
            <w:pPr>
              <w:spacing w:after="0" w:line="240" w:lineRule="auto"/>
              <w:jc w:val="center"/>
              <w:rPr>
                <w:color w:val="000000"/>
                <w:sz w:val="18"/>
                <w:szCs w:val="18"/>
              </w:rPr>
            </w:pPr>
            <w:r>
              <w:rPr>
                <w:color w:val="000000"/>
                <w:sz w:val="18"/>
                <w:szCs w:val="18"/>
              </w:rPr>
              <w:t>0.00009***</w:t>
            </w:r>
          </w:p>
        </w:tc>
      </w:tr>
      <w:tr w:rsidR="00714B50" w14:paraId="59B2B9F0"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6E42E4B1"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174C48BF"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single" w:sz="4" w:space="0" w:color="000000"/>
              <w:left w:val="nil"/>
              <w:bottom w:val="single" w:sz="4" w:space="0" w:color="000000"/>
              <w:right w:val="single" w:sz="4" w:space="0" w:color="000000"/>
            </w:tcBorders>
            <w:vAlign w:val="center"/>
          </w:tcPr>
          <w:p w14:paraId="648F9755" w14:textId="77777777" w:rsidR="00714B50" w:rsidRDefault="0030138C">
            <w:pPr>
              <w:spacing w:after="0" w:line="240" w:lineRule="auto"/>
              <w:jc w:val="center"/>
              <w:rPr>
                <w:color w:val="000000"/>
                <w:sz w:val="18"/>
                <w:szCs w:val="18"/>
              </w:rPr>
            </w:pPr>
            <w:r>
              <w:rPr>
                <w:color w:val="000000"/>
                <w:sz w:val="18"/>
                <w:szCs w:val="18"/>
              </w:rPr>
              <w:t>15</w:t>
            </w:r>
          </w:p>
        </w:tc>
        <w:tc>
          <w:tcPr>
            <w:tcW w:w="1111" w:type="dxa"/>
            <w:tcBorders>
              <w:top w:val="single" w:sz="4" w:space="0" w:color="000000"/>
              <w:left w:val="nil"/>
              <w:bottom w:val="single" w:sz="4" w:space="0" w:color="000000"/>
              <w:right w:val="single" w:sz="4" w:space="0" w:color="000000"/>
            </w:tcBorders>
            <w:vAlign w:val="center"/>
          </w:tcPr>
          <w:p w14:paraId="73AD90CF" w14:textId="77777777" w:rsidR="00714B50" w:rsidRDefault="0030138C">
            <w:pPr>
              <w:spacing w:after="0" w:line="240" w:lineRule="auto"/>
              <w:jc w:val="center"/>
              <w:rPr>
                <w:color w:val="000000"/>
                <w:sz w:val="18"/>
                <w:szCs w:val="18"/>
              </w:rPr>
            </w:pPr>
            <w:r>
              <w:rPr>
                <w:color w:val="000000"/>
                <w:sz w:val="18"/>
                <w:szCs w:val="18"/>
              </w:rPr>
              <w:t>2.7506</w:t>
            </w:r>
          </w:p>
        </w:tc>
        <w:tc>
          <w:tcPr>
            <w:tcW w:w="1045" w:type="dxa"/>
            <w:tcBorders>
              <w:top w:val="single" w:sz="4" w:space="0" w:color="000000"/>
              <w:left w:val="nil"/>
              <w:bottom w:val="single" w:sz="4" w:space="0" w:color="000000"/>
              <w:right w:val="single" w:sz="4" w:space="0" w:color="000000"/>
            </w:tcBorders>
            <w:vAlign w:val="center"/>
          </w:tcPr>
          <w:p w14:paraId="64995BD8"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6A65570A" w14:textId="77777777" w:rsidR="00714B50" w:rsidRDefault="0030138C">
            <w:pPr>
              <w:spacing w:after="0" w:line="240" w:lineRule="auto"/>
              <w:jc w:val="center"/>
              <w:rPr>
                <w:color w:val="000000"/>
                <w:sz w:val="18"/>
                <w:szCs w:val="18"/>
              </w:rPr>
            </w:pPr>
            <w:r>
              <w:rPr>
                <w:color w:val="000000"/>
                <w:sz w:val="18"/>
                <w:szCs w:val="18"/>
              </w:rPr>
              <w:t>0.57304</w:t>
            </w:r>
          </w:p>
        </w:tc>
        <w:tc>
          <w:tcPr>
            <w:tcW w:w="1111" w:type="dxa"/>
            <w:tcBorders>
              <w:top w:val="single" w:sz="4" w:space="0" w:color="000000"/>
              <w:left w:val="nil"/>
              <w:bottom w:val="single" w:sz="4" w:space="0" w:color="000000"/>
              <w:right w:val="single" w:sz="4" w:space="0" w:color="000000"/>
            </w:tcBorders>
            <w:vAlign w:val="center"/>
          </w:tcPr>
          <w:p w14:paraId="4CC91836" w14:textId="77777777" w:rsidR="00714B50" w:rsidRDefault="00714B50">
            <w:pPr>
              <w:spacing w:after="0" w:line="240" w:lineRule="auto"/>
              <w:jc w:val="center"/>
              <w:rPr>
                <w:color w:val="000000"/>
                <w:sz w:val="18"/>
                <w:szCs w:val="18"/>
              </w:rPr>
            </w:pPr>
          </w:p>
        </w:tc>
      </w:tr>
      <w:tr w:rsidR="00714B50" w14:paraId="1AE48A88"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389422BA"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2604FAAF"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2811DF7F" w14:textId="77777777" w:rsidR="00714B50" w:rsidRDefault="0030138C">
            <w:pPr>
              <w:spacing w:after="0" w:line="240" w:lineRule="auto"/>
              <w:jc w:val="center"/>
              <w:rPr>
                <w:color w:val="000000"/>
                <w:sz w:val="18"/>
                <w:szCs w:val="18"/>
              </w:rPr>
            </w:pPr>
            <w:r>
              <w:rPr>
                <w:color w:val="000000"/>
                <w:sz w:val="18"/>
                <w:szCs w:val="18"/>
              </w:rPr>
              <w:t>16</w:t>
            </w:r>
          </w:p>
        </w:tc>
        <w:tc>
          <w:tcPr>
            <w:tcW w:w="1111" w:type="dxa"/>
            <w:tcBorders>
              <w:top w:val="single" w:sz="4" w:space="0" w:color="000000"/>
              <w:left w:val="nil"/>
              <w:bottom w:val="single" w:sz="4" w:space="0" w:color="000000"/>
              <w:right w:val="single" w:sz="4" w:space="0" w:color="000000"/>
            </w:tcBorders>
            <w:vAlign w:val="center"/>
          </w:tcPr>
          <w:p w14:paraId="50B7CF65" w14:textId="77777777" w:rsidR="00714B50" w:rsidRDefault="0030138C">
            <w:pPr>
              <w:spacing w:after="0" w:line="240" w:lineRule="auto"/>
              <w:jc w:val="center"/>
              <w:rPr>
                <w:color w:val="000000"/>
                <w:sz w:val="18"/>
                <w:szCs w:val="18"/>
              </w:rPr>
            </w:pPr>
            <w:r>
              <w:rPr>
                <w:color w:val="000000"/>
                <w:sz w:val="18"/>
                <w:szCs w:val="18"/>
              </w:rPr>
              <w:t>4.8</w:t>
            </w:r>
          </w:p>
        </w:tc>
        <w:tc>
          <w:tcPr>
            <w:tcW w:w="1045" w:type="dxa"/>
            <w:tcBorders>
              <w:top w:val="single" w:sz="4" w:space="0" w:color="000000"/>
              <w:left w:val="nil"/>
              <w:bottom w:val="single" w:sz="4" w:space="0" w:color="000000"/>
              <w:right w:val="single" w:sz="4" w:space="0" w:color="000000"/>
            </w:tcBorders>
            <w:vAlign w:val="center"/>
          </w:tcPr>
          <w:p w14:paraId="369C41BD"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2392C6A7"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50DBCA16" w14:textId="77777777" w:rsidR="00714B50" w:rsidRDefault="00714B50">
            <w:pPr>
              <w:spacing w:after="0" w:line="240" w:lineRule="auto"/>
              <w:jc w:val="center"/>
              <w:rPr>
                <w:color w:val="000000"/>
                <w:sz w:val="18"/>
                <w:szCs w:val="18"/>
              </w:rPr>
            </w:pPr>
          </w:p>
        </w:tc>
      </w:tr>
      <w:tr w:rsidR="00714B50" w14:paraId="1B7D3A1B"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4CA34365" w14:textId="77777777" w:rsidR="00714B50" w:rsidRDefault="0030138C">
            <w:pPr>
              <w:spacing w:after="0" w:line="240" w:lineRule="auto"/>
              <w:rPr>
                <w:color w:val="000000"/>
                <w:sz w:val="18"/>
                <w:szCs w:val="18"/>
              </w:rPr>
            </w:pPr>
            <w:r>
              <w:rPr>
                <w:color w:val="000000"/>
                <w:sz w:val="18"/>
                <w:szCs w:val="18"/>
              </w:rPr>
              <w:t>Between settlers on CCA and CCA</w:t>
            </w:r>
          </w:p>
        </w:tc>
        <w:tc>
          <w:tcPr>
            <w:tcW w:w="1134" w:type="dxa"/>
            <w:tcBorders>
              <w:top w:val="single" w:sz="4" w:space="0" w:color="000000"/>
              <w:left w:val="nil"/>
              <w:bottom w:val="single" w:sz="4" w:space="0" w:color="000000"/>
              <w:right w:val="single" w:sz="4" w:space="0" w:color="000000"/>
            </w:tcBorders>
            <w:vAlign w:val="center"/>
          </w:tcPr>
          <w:p w14:paraId="2E5D582D"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single" w:sz="4" w:space="0" w:color="000000"/>
              <w:left w:val="nil"/>
              <w:bottom w:val="single" w:sz="4" w:space="0" w:color="000000"/>
              <w:right w:val="single" w:sz="4" w:space="0" w:color="000000"/>
            </w:tcBorders>
            <w:vAlign w:val="center"/>
          </w:tcPr>
          <w:p w14:paraId="4E0C920F"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534C2FE0" w14:textId="77777777" w:rsidR="00714B50" w:rsidRDefault="0030138C">
            <w:pPr>
              <w:spacing w:after="0" w:line="240" w:lineRule="auto"/>
              <w:jc w:val="center"/>
              <w:rPr>
                <w:color w:val="000000"/>
                <w:sz w:val="18"/>
                <w:szCs w:val="18"/>
              </w:rPr>
            </w:pPr>
            <w:r>
              <w:rPr>
                <w:color w:val="000000"/>
                <w:sz w:val="18"/>
                <w:szCs w:val="18"/>
              </w:rPr>
              <w:t>1.4646</w:t>
            </w:r>
          </w:p>
        </w:tc>
        <w:tc>
          <w:tcPr>
            <w:tcW w:w="1045" w:type="dxa"/>
            <w:tcBorders>
              <w:top w:val="single" w:sz="4" w:space="0" w:color="000000"/>
              <w:left w:val="nil"/>
              <w:bottom w:val="single" w:sz="4" w:space="0" w:color="000000"/>
              <w:right w:val="single" w:sz="4" w:space="0" w:color="000000"/>
            </w:tcBorders>
            <w:vAlign w:val="center"/>
          </w:tcPr>
          <w:p w14:paraId="2CD589D4" w14:textId="77777777" w:rsidR="00714B50" w:rsidRDefault="0030138C">
            <w:pPr>
              <w:spacing w:after="0" w:line="240" w:lineRule="auto"/>
              <w:jc w:val="center"/>
              <w:rPr>
                <w:color w:val="000000"/>
                <w:sz w:val="18"/>
                <w:szCs w:val="18"/>
              </w:rPr>
            </w:pPr>
            <w:r>
              <w:rPr>
                <w:color w:val="000000"/>
                <w:sz w:val="18"/>
                <w:szCs w:val="18"/>
              </w:rPr>
              <w:t>4.457</w:t>
            </w:r>
          </w:p>
        </w:tc>
        <w:tc>
          <w:tcPr>
            <w:tcW w:w="1045" w:type="dxa"/>
            <w:tcBorders>
              <w:top w:val="single" w:sz="4" w:space="0" w:color="000000"/>
              <w:left w:val="nil"/>
              <w:bottom w:val="single" w:sz="4" w:space="0" w:color="000000"/>
              <w:right w:val="single" w:sz="4" w:space="0" w:color="000000"/>
            </w:tcBorders>
            <w:vAlign w:val="center"/>
          </w:tcPr>
          <w:p w14:paraId="1715619C" w14:textId="77777777" w:rsidR="00714B50" w:rsidRDefault="0030138C">
            <w:pPr>
              <w:spacing w:after="0" w:line="240" w:lineRule="auto"/>
              <w:jc w:val="center"/>
              <w:rPr>
                <w:color w:val="000000"/>
                <w:sz w:val="18"/>
                <w:szCs w:val="18"/>
              </w:rPr>
            </w:pPr>
            <w:r>
              <w:rPr>
                <w:color w:val="000000"/>
                <w:sz w:val="18"/>
                <w:szCs w:val="18"/>
              </w:rPr>
              <w:t>0.22907</w:t>
            </w:r>
          </w:p>
        </w:tc>
        <w:tc>
          <w:tcPr>
            <w:tcW w:w="1111" w:type="dxa"/>
            <w:tcBorders>
              <w:top w:val="single" w:sz="4" w:space="0" w:color="000000"/>
              <w:left w:val="nil"/>
              <w:bottom w:val="single" w:sz="4" w:space="0" w:color="000000"/>
              <w:right w:val="single" w:sz="4" w:space="0" w:color="000000"/>
            </w:tcBorders>
            <w:vAlign w:val="center"/>
          </w:tcPr>
          <w:p w14:paraId="2A4E5E1D" w14:textId="77777777" w:rsidR="00714B50" w:rsidRDefault="0030138C">
            <w:pPr>
              <w:spacing w:after="0" w:line="240" w:lineRule="auto"/>
              <w:jc w:val="center"/>
              <w:rPr>
                <w:color w:val="000000"/>
                <w:sz w:val="18"/>
                <w:szCs w:val="18"/>
              </w:rPr>
            </w:pPr>
            <w:r>
              <w:rPr>
                <w:color w:val="000000"/>
                <w:sz w:val="18"/>
                <w:szCs w:val="18"/>
              </w:rPr>
              <w:t>0.00005***</w:t>
            </w:r>
          </w:p>
        </w:tc>
      </w:tr>
      <w:tr w:rsidR="00714B50" w14:paraId="648202AD"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2E2AE0CC"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3DFEB46C"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single" w:sz="4" w:space="0" w:color="000000"/>
              <w:left w:val="nil"/>
              <w:bottom w:val="single" w:sz="4" w:space="0" w:color="000000"/>
              <w:right w:val="single" w:sz="4" w:space="0" w:color="000000"/>
            </w:tcBorders>
            <w:vAlign w:val="center"/>
          </w:tcPr>
          <w:p w14:paraId="6F5C638E" w14:textId="77777777" w:rsidR="00714B50" w:rsidRDefault="0030138C">
            <w:pPr>
              <w:spacing w:after="0" w:line="240" w:lineRule="auto"/>
              <w:jc w:val="center"/>
              <w:rPr>
                <w:color w:val="000000"/>
                <w:sz w:val="18"/>
                <w:szCs w:val="18"/>
              </w:rPr>
            </w:pPr>
            <w:r>
              <w:rPr>
                <w:color w:val="000000"/>
                <w:sz w:val="18"/>
                <w:szCs w:val="18"/>
              </w:rPr>
              <w:t>15</w:t>
            </w:r>
          </w:p>
        </w:tc>
        <w:tc>
          <w:tcPr>
            <w:tcW w:w="1111" w:type="dxa"/>
            <w:tcBorders>
              <w:top w:val="single" w:sz="4" w:space="0" w:color="000000"/>
              <w:left w:val="nil"/>
              <w:bottom w:val="single" w:sz="4" w:space="0" w:color="000000"/>
              <w:right w:val="single" w:sz="4" w:space="0" w:color="000000"/>
            </w:tcBorders>
            <w:vAlign w:val="center"/>
          </w:tcPr>
          <w:p w14:paraId="46643400" w14:textId="77777777" w:rsidR="00714B50" w:rsidRDefault="0030138C">
            <w:pPr>
              <w:spacing w:after="0" w:line="240" w:lineRule="auto"/>
              <w:jc w:val="center"/>
              <w:rPr>
                <w:color w:val="000000"/>
                <w:sz w:val="18"/>
                <w:szCs w:val="18"/>
              </w:rPr>
            </w:pPr>
            <w:r>
              <w:rPr>
                <w:color w:val="000000"/>
                <w:sz w:val="18"/>
                <w:szCs w:val="18"/>
              </w:rPr>
              <w:t>4.9291</w:t>
            </w:r>
          </w:p>
        </w:tc>
        <w:tc>
          <w:tcPr>
            <w:tcW w:w="1045" w:type="dxa"/>
            <w:tcBorders>
              <w:top w:val="single" w:sz="4" w:space="0" w:color="000000"/>
              <w:left w:val="nil"/>
              <w:bottom w:val="single" w:sz="4" w:space="0" w:color="000000"/>
              <w:right w:val="single" w:sz="4" w:space="0" w:color="000000"/>
            </w:tcBorders>
            <w:vAlign w:val="center"/>
          </w:tcPr>
          <w:p w14:paraId="0D2BAFC2"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60024B17" w14:textId="77777777" w:rsidR="00714B50" w:rsidRDefault="0030138C">
            <w:pPr>
              <w:spacing w:after="0" w:line="240" w:lineRule="auto"/>
              <w:jc w:val="center"/>
              <w:rPr>
                <w:color w:val="000000"/>
                <w:sz w:val="18"/>
                <w:szCs w:val="18"/>
              </w:rPr>
            </w:pPr>
            <w:r>
              <w:rPr>
                <w:color w:val="000000"/>
                <w:sz w:val="18"/>
                <w:szCs w:val="18"/>
              </w:rPr>
              <w:t>0.77093</w:t>
            </w:r>
          </w:p>
        </w:tc>
        <w:tc>
          <w:tcPr>
            <w:tcW w:w="1111" w:type="dxa"/>
            <w:tcBorders>
              <w:top w:val="single" w:sz="4" w:space="0" w:color="000000"/>
              <w:left w:val="nil"/>
              <w:bottom w:val="single" w:sz="4" w:space="0" w:color="000000"/>
              <w:right w:val="single" w:sz="4" w:space="0" w:color="000000"/>
            </w:tcBorders>
            <w:vAlign w:val="center"/>
          </w:tcPr>
          <w:p w14:paraId="5307923D" w14:textId="77777777" w:rsidR="00714B50" w:rsidRDefault="00714B50">
            <w:pPr>
              <w:spacing w:after="0" w:line="240" w:lineRule="auto"/>
              <w:jc w:val="center"/>
              <w:rPr>
                <w:color w:val="000000"/>
                <w:sz w:val="18"/>
                <w:szCs w:val="18"/>
              </w:rPr>
            </w:pPr>
          </w:p>
        </w:tc>
      </w:tr>
      <w:tr w:rsidR="00714B50" w14:paraId="60CE10C7"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6AADA2DA"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224D76A4"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10CD2535" w14:textId="77777777" w:rsidR="00714B50" w:rsidRDefault="0030138C">
            <w:pPr>
              <w:spacing w:after="0" w:line="240" w:lineRule="auto"/>
              <w:jc w:val="center"/>
              <w:rPr>
                <w:color w:val="000000"/>
                <w:sz w:val="18"/>
                <w:szCs w:val="18"/>
              </w:rPr>
            </w:pPr>
            <w:r>
              <w:rPr>
                <w:color w:val="000000"/>
                <w:sz w:val="18"/>
                <w:szCs w:val="18"/>
              </w:rPr>
              <w:t>16</w:t>
            </w:r>
          </w:p>
        </w:tc>
        <w:tc>
          <w:tcPr>
            <w:tcW w:w="1111" w:type="dxa"/>
            <w:tcBorders>
              <w:top w:val="single" w:sz="4" w:space="0" w:color="000000"/>
              <w:left w:val="nil"/>
              <w:bottom w:val="single" w:sz="4" w:space="0" w:color="000000"/>
              <w:right w:val="single" w:sz="4" w:space="0" w:color="000000"/>
            </w:tcBorders>
            <w:vAlign w:val="center"/>
          </w:tcPr>
          <w:p w14:paraId="29191B80" w14:textId="77777777" w:rsidR="00714B50" w:rsidRDefault="0030138C">
            <w:pPr>
              <w:spacing w:after="0" w:line="240" w:lineRule="auto"/>
              <w:jc w:val="center"/>
              <w:rPr>
                <w:color w:val="000000"/>
                <w:sz w:val="18"/>
                <w:szCs w:val="18"/>
              </w:rPr>
            </w:pPr>
            <w:r>
              <w:rPr>
                <w:color w:val="000000"/>
                <w:sz w:val="18"/>
                <w:szCs w:val="18"/>
              </w:rPr>
              <w:t>6.3938</w:t>
            </w:r>
          </w:p>
        </w:tc>
        <w:tc>
          <w:tcPr>
            <w:tcW w:w="1045" w:type="dxa"/>
            <w:tcBorders>
              <w:top w:val="single" w:sz="4" w:space="0" w:color="000000"/>
              <w:left w:val="nil"/>
              <w:bottom w:val="single" w:sz="4" w:space="0" w:color="000000"/>
              <w:right w:val="single" w:sz="4" w:space="0" w:color="000000"/>
            </w:tcBorders>
            <w:vAlign w:val="center"/>
          </w:tcPr>
          <w:p w14:paraId="4340CEA6"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28448548"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67B9DFDD" w14:textId="77777777" w:rsidR="00714B50" w:rsidRDefault="00714B50">
            <w:pPr>
              <w:spacing w:after="0" w:line="240" w:lineRule="auto"/>
              <w:jc w:val="center"/>
              <w:rPr>
                <w:color w:val="000000"/>
                <w:sz w:val="18"/>
                <w:szCs w:val="18"/>
              </w:rPr>
            </w:pPr>
          </w:p>
        </w:tc>
      </w:tr>
      <w:tr w:rsidR="00714B50" w14:paraId="38BE8903"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5C6686EC" w14:textId="77777777" w:rsidR="00714B50" w:rsidRDefault="0030138C">
            <w:pPr>
              <w:spacing w:after="0" w:line="240" w:lineRule="auto"/>
              <w:rPr>
                <w:color w:val="000000"/>
                <w:sz w:val="18"/>
                <w:szCs w:val="18"/>
              </w:rPr>
            </w:pPr>
            <w:r>
              <w:rPr>
                <w:color w:val="000000"/>
                <w:sz w:val="18"/>
                <w:szCs w:val="18"/>
              </w:rPr>
              <w:t>Between settlers on CCA and settlers on the aquarium</w:t>
            </w:r>
          </w:p>
        </w:tc>
        <w:tc>
          <w:tcPr>
            <w:tcW w:w="1134" w:type="dxa"/>
            <w:tcBorders>
              <w:top w:val="single" w:sz="4" w:space="0" w:color="000000"/>
              <w:left w:val="nil"/>
              <w:bottom w:val="single" w:sz="4" w:space="0" w:color="000000"/>
              <w:right w:val="single" w:sz="4" w:space="0" w:color="000000"/>
            </w:tcBorders>
            <w:vAlign w:val="center"/>
          </w:tcPr>
          <w:p w14:paraId="6452E366"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single" w:sz="4" w:space="0" w:color="000000"/>
              <w:left w:val="nil"/>
              <w:bottom w:val="single" w:sz="4" w:space="0" w:color="000000"/>
              <w:right w:val="single" w:sz="4" w:space="0" w:color="000000"/>
            </w:tcBorders>
            <w:vAlign w:val="center"/>
          </w:tcPr>
          <w:p w14:paraId="5AEAADD3"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781B5576" w14:textId="77777777" w:rsidR="00714B50" w:rsidRDefault="0030138C">
            <w:pPr>
              <w:spacing w:after="0" w:line="240" w:lineRule="auto"/>
              <w:jc w:val="center"/>
              <w:rPr>
                <w:color w:val="000000"/>
                <w:sz w:val="18"/>
                <w:szCs w:val="18"/>
              </w:rPr>
            </w:pPr>
            <w:r>
              <w:rPr>
                <w:color w:val="000000"/>
                <w:sz w:val="18"/>
                <w:szCs w:val="18"/>
              </w:rPr>
              <w:t>1.9304</w:t>
            </w:r>
          </w:p>
        </w:tc>
        <w:tc>
          <w:tcPr>
            <w:tcW w:w="1045" w:type="dxa"/>
            <w:tcBorders>
              <w:top w:val="single" w:sz="4" w:space="0" w:color="000000"/>
              <w:left w:val="nil"/>
              <w:bottom w:val="single" w:sz="4" w:space="0" w:color="000000"/>
              <w:right w:val="single" w:sz="4" w:space="0" w:color="000000"/>
            </w:tcBorders>
            <w:vAlign w:val="center"/>
          </w:tcPr>
          <w:p w14:paraId="4BAA7997" w14:textId="77777777" w:rsidR="00714B50" w:rsidRDefault="0030138C">
            <w:pPr>
              <w:spacing w:after="0" w:line="240" w:lineRule="auto"/>
              <w:jc w:val="center"/>
              <w:rPr>
                <w:color w:val="000000"/>
                <w:sz w:val="18"/>
                <w:szCs w:val="18"/>
              </w:rPr>
            </w:pPr>
            <w:r>
              <w:rPr>
                <w:color w:val="000000"/>
                <w:sz w:val="18"/>
                <w:szCs w:val="18"/>
              </w:rPr>
              <w:t>6.983</w:t>
            </w:r>
          </w:p>
        </w:tc>
        <w:tc>
          <w:tcPr>
            <w:tcW w:w="1045" w:type="dxa"/>
            <w:tcBorders>
              <w:top w:val="single" w:sz="4" w:space="0" w:color="000000"/>
              <w:left w:val="nil"/>
              <w:bottom w:val="single" w:sz="4" w:space="0" w:color="000000"/>
              <w:right w:val="single" w:sz="4" w:space="0" w:color="000000"/>
            </w:tcBorders>
            <w:vAlign w:val="center"/>
          </w:tcPr>
          <w:p w14:paraId="66077B15" w14:textId="77777777" w:rsidR="00714B50" w:rsidRDefault="0030138C">
            <w:pPr>
              <w:spacing w:after="0" w:line="240" w:lineRule="auto"/>
              <w:jc w:val="center"/>
              <w:rPr>
                <w:color w:val="000000"/>
                <w:sz w:val="18"/>
                <w:szCs w:val="18"/>
              </w:rPr>
            </w:pPr>
            <w:r>
              <w:rPr>
                <w:color w:val="000000"/>
                <w:sz w:val="18"/>
                <w:szCs w:val="18"/>
              </w:rPr>
              <w:t>0.2254</w:t>
            </w:r>
          </w:p>
        </w:tc>
        <w:tc>
          <w:tcPr>
            <w:tcW w:w="1111" w:type="dxa"/>
            <w:tcBorders>
              <w:top w:val="single" w:sz="4" w:space="0" w:color="000000"/>
              <w:left w:val="nil"/>
              <w:bottom w:val="single" w:sz="4" w:space="0" w:color="000000"/>
              <w:right w:val="single" w:sz="4" w:space="0" w:color="000000"/>
            </w:tcBorders>
            <w:vAlign w:val="center"/>
          </w:tcPr>
          <w:p w14:paraId="4809BDAE" w14:textId="77777777" w:rsidR="00714B50" w:rsidRDefault="0030138C">
            <w:pPr>
              <w:spacing w:after="0" w:line="240" w:lineRule="auto"/>
              <w:jc w:val="center"/>
              <w:rPr>
                <w:color w:val="000000"/>
                <w:sz w:val="18"/>
                <w:szCs w:val="18"/>
              </w:rPr>
            </w:pPr>
            <w:r>
              <w:rPr>
                <w:color w:val="000000"/>
                <w:sz w:val="18"/>
                <w:szCs w:val="18"/>
              </w:rPr>
              <w:t>0.00001***</w:t>
            </w:r>
          </w:p>
        </w:tc>
      </w:tr>
      <w:tr w:rsidR="00714B50" w14:paraId="1103A13D"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009B18E7"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5916FD1B"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single" w:sz="4" w:space="0" w:color="000000"/>
              <w:left w:val="nil"/>
              <w:bottom w:val="single" w:sz="4" w:space="0" w:color="000000"/>
              <w:right w:val="single" w:sz="4" w:space="0" w:color="000000"/>
            </w:tcBorders>
            <w:vAlign w:val="center"/>
          </w:tcPr>
          <w:p w14:paraId="61F8CE92" w14:textId="77777777" w:rsidR="00714B50" w:rsidRDefault="0030138C">
            <w:pPr>
              <w:spacing w:after="0" w:line="240" w:lineRule="auto"/>
              <w:jc w:val="center"/>
              <w:rPr>
                <w:color w:val="000000"/>
                <w:sz w:val="18"/>
                <w:szCs w:val="18"/>
              </w:rPr>
            </w:pPr>
            <w:r>
              <w:rPr>
                <w:color w:val="000000"/>
                <w:sz w:val="18"/>
                <w:szCs w:val="18"/>
              </w:rPr>
              <w:t>24</w:t>
            </w:r>
          </w:p>
        </w:tc>
        <w:tc>
          <w:tcPr>
            <w:tcW w:w="1111" w:type="dxa"/>
            <w:tcBorders>
              <w:top w:val="single" w:sz="4" w:space="0" w:color="000000"/>
              <w:left w:val="nil"/>
              <w:bottom w:val="single" w:sz="4" w:space="0" w:color="000000"/>
              <w:right w:val="single" w:sz="4" w:space="0" w:color="000000"/>
            </w:tcBorders>
            <w:vAlign w:val="center"/>
          </w:tcPr>
          <w:p w14:paraId="2119B392" w14:textId="77777777" w:rsidR="00714B50" w:rsidRDefault="0030138C">
            <w:pPr>
              <w:spacing w:after="0" w:line="240" w:lineRule="auto"/>
              <w:jc w:val="center"/>
              <w:rPr>
                <w:color w:val="000000"/>
                <w:sz w:val="18"/>
                <w:szCs w:val="18"/>
              </w:rPr>
            </w:pPr>
            <w:r>
              <w:rPr>
                <w:color w:val="000000"/>
                <w:sz w:val="18"/>
                <w:szCs w:val="18"/>
              </w:rPr>
              <w:t>6.6342</w:t>
            </w:r>
          </w:p>
        </w:tc>
        <w:tc>
          <w:tcPr>
            <w:tcW w:w="1045" w:type="dxa"/>
            <w:tcBorders>
              <w:top w:val="single" w:sz="4" w:space="0" w:color="000000"/>
              <w:left w:val="nil"/>
              <w:bottom w:val="single" w:sz="4" w:space="0" w:color="000000"/>
              <w:right w:val="single" w:sz="4" w:space="0" w:color="000000"/>
            </w:tcBorders>
            <w:vAlign w:val="center"/>
          </w:tcPr>
          <w:p w14:paraId="720ABD88"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2115EDEA" w14:textId="77777777" w:rsidR="00714B50" w:rsidRDefault="0030138C">
            <w:pPr>
              <w:spacing w:after="0" w:line="240" w:lineRule="auto"/>
              <w:jc w:val="center"/>
              <w:rPr>
                <w:color w:val="000000"/>
                <w:sz w:val="18"/>
                <w:szCs w:val="18"/>
              </w:rPr>
            </w:pPr>
            <w:r>
              <w:rPr>
                <w:color w:val="000000"/>
                <w:sz w:val="18"/>
                <w:szCs w:val="18"/>
              </w:rPr>
              <w:t>0.7746</w:t>
            </w:r>
          </w:p>
        </w:tc>
        <w:tc>
          <w:tcPr>
            <w:tcW w:w="1111" w:type="dxa"/>
            <w:tcBorders>
              <w:top w:val="single" w:sz="4" w:space="0" w:color="000000"/>
              <w:left w:val="nil"/>
              <w:bottom w:val="single" w:sz="4" w:space="0" w:color="000000"/>
              <w:right w:val="single" w:sz="4" w:space="0" w:color="000000"/>
            </w:tcBorders>
            <w:vAlign w:val="center"/>
          </w:tcPr>
          <w:p w14:paraId="6154E5E0" w14:textId="77777777" w:rsidR="00714B50" w:rsidRDefault="00714B50">
            <w:pPr>
              <w:spacing w:after="0" w:line="240" w:lineRule="auto"/>
              <w:jc w:val="center"/>
              <w:rPr>
                <w:color w:val="000000"/>
                <w:sz w:val="18"/>
                <w:szCs w:val="18"/>
              </w:rPr>
            </w:pPr>
          </w:p>
        </w:tc>
      </w:tr>
      <w:tr w:rsidR="00714B50" w14:paraId="73D3F95B"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534D52FD"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587585BB"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2F983E43" w14:textId="77777777" w:rsidR="00714B50" w:rsidRDefault="0030138C">
            <w:pPr>
              <w:spacing w:after="0" w:line="240" w:lineRule="auto"/>
              <w:jc w:val="center"/>
              <w:rPr>
                <w:color w:val="000000"/>
                <w:sz w:val="18"/>
                <w:szCs w:val="18"/>
              </w:rPr>
            </w:pPr>
            <w:r>
              <w:rPr>
                <w:color w:val="000000"/>
                <w:sz w:val="18"/>
                <w:szCs w:val="18"/>
              </w:rPr>
              <w:t>25</w:t>
            </w:r>
          </w:p>
        </w:tc>
        <w:tc>
          <w:tcPr>
            <w:tcW w:w="1111" w:type="dxa"/>
            <w:tcBorders>
              <w:top w:val="single" w:sz="4" w:space="0" w:color="000000"/>
              <w:left w:val="nil"/>
              <w:bottom w:val="single" w:sz="4" w:space="0" w:color="000000"/>
              <w:right w:val="single" w:sz="4" w:space="0" w:color="000000"/>
            </w:tcBorders>
            <w:vAlign w:val="center"/>
          </w:tcPr>
          <w:p w14:paraId="7E995652" w14:textId="77777777" w:rsidR="00714B50" w:rsidRDefault="0030138C">
            <w:pPr>
              <w:spacing w:after="0" w:line="240" w:lineRule="auto"/>
              <w:jc w:val="center"/>
              <w:rPr>
                <w:color w:val="000000"/>
                <w:sz w:val="18"/>
                <w:szCs w:val="18"/>
              </w:rPr>
            </w:pPr>
            <w:r>
              <w:rPr>
                <w:color w:val="000000"/>
                <w:sz w:val="18"/>
                <w:szCs w:val="18"/>
              </w:rPr>
              <w:t>8.5646</w:t>
            </w:r>
          </w:p>
        </w:tc>
        <w:tc>
          <w:tcPr>
            <w:tcW w:w="1045" w:type="dxa"/>
            <w:tcBorders>
              <w:top w:val="single" w:sz="4" w:space="0" w:color="000000"/>
              <w:left w:val="nil"/>
              <w:bottom w:val="single" w:sz="4" w:space="0" w:color="000000"/>
              <w:right w:val="single" w:sz="4" w:space="0" w:color="000000"/>
            </w:tcBorders>
            <w:vAlign w:val="center"/>
          </w:tcPr>
          <w:p w14:paraId="5B917AA7"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771B440A"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6C0E18A2" w14:textId="77777777" w:rsidR="00714B50" w:rsidRDefault="00714B50">
            <w:pPr>
              <w:spacing w:after="0" w:line="240" w:lineRule="auto"/>
              <w:jc w:val="center"/>
              <w:rPr>
                <w:color w:val="000000"/>
                <w:sz w:val="18"/>
                <w:szCs w:val="18"/>
              </w:rPr>
            </w:pPr>
          </w:p>
        </w:tc>
      </w:tr>
      <w:tr w:rsidR="00714B50" w14:paraId="0E0030AD"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261217AA" w14:textId="77777777" w:rsidR="00714B50" w:rsidRDefault="0030138C">
            <w:pPr>
              <w:spacing w:after="0" w:line="240" w:lineRule="auto"/>
              <w:rPr>
                <w:color w:val="000000"/>
                <w:sz w:val="18"/>
                <w:szCs w:val="18"/>
              </w:rPr>
            </w:pPr>
            <w:proofErr w:type="spellStart"/>
            <w:r>
              <w:rPr>
                <w:b/>
                <w:i/>
                <w:color w:val="000000"/>
                <w:sz w:val="18"/>
                <w:szCs w:val="18"/>
              </w:rPr>
              <w:t>Lithophyllum</w:t>
            </w:r>
            <w:proofErr w:type="spellEnd"/>
            <w:r>
              <w:rPr>
                <w:b/>
                <w:i/>
                <w:color w:val="000000"/>
                <w:sz w:val="18"/>
                <w:szCs w:val="18"/>
              </w:rPr>
              <w:t xml:space="preserve"> </w:t>
            </w:r>
            <w:proofErr w:type="spellStart"/>
            <w:r>
              <w:rPr>
                <w:b/>
                <w:i/>
                <w:color w:val="000000"/>
                <w:sz w:val="18"/>
                <w:szCs w:val="18"/>
              </w:rPr>
              <w:t>stictiforme</w:t>
            </w:r>
            <w:proofErr w:type="spellEnd"/>
          </w:p>
        </w:tc>
        <w:tc>
          <w:tcPr>
            <w:tcW w:w="1134" w:type="dxa"/>
            <w:tcBorders>
              <w:top w:val="single" w:sz="4" w:space="0" w:color="000000"/>
              <w:left w:val="nil"/>
              <w:bottom w:val="single" w:sz="4" w:space="0" w:color="000000"/>
              <w:right w:val="single" w:sz="4" w:space="0" w:color="000000"/>
            </w:tcBorders>
            <w:vAlign w:val="center"/>
          </w:tcPr>
          <w:p w14:paraId="1F229520" w14:textId="77777777" w:rsidR="00714B50" w:rsidRDefault="00714B50">
            <w:pPr>
              <w:spacing w:after="0" w:line="240" w:lineRule="auto"/>
              <w:rPr>
                <w:color w:val="000000"/>
                <w:sz w:val="18"/>
                <w:szCs w:val="18"/>
              </w:rPr>
            </w:pPr>
          </w:p>
        </w:tc>
        <w:tc>
          <w:tcPr>
            <w:tcW w:w="1312" w:type="dxa"/>
            <w:tcBorders>
              <w:top w:val="single" w:sz="4" w:space="0" w:color="000000"/>
              <w:left w:val="nil"/>
              <w:bottom w:val="single" w:sz="4" w:space="0" w:color="000000"/>
              <w:right w:val="single" w:sz="4" w:space="0" w:color="000000"/>
            </w:tcBorders>
            <w:vAlign w:val="center"/>
          </w:tcPr>
          <w:p w14:paraId="0CBFA13A" w14:textId="77777777" w:rsidR="00714B50" w:rsidRDefault="00714B50">
            <w:pPr>
              <w:spacing w:after="0" w:line="240" w:lineRule="auto"/>
              <w:jc w:val="center"/>
              <w:rPr>
                <w:color w:val="000000"/>
                <w:sz w:val="18"/>
                <w:szCs w:val="18"/>
              </w:rPr>
            </w:pPr>
          </w:p>
        </w:tc>
        <w:tc>
          <w:tcPr>
            <w:tcW w:w="1111" w:type="dxa"/>
            <w:tcBorders>
              <w:top w:val="single" w:sz="4" w:space="0" w:color="000000"/>
              <w:left w:val="nil"/>
              <w:bottom w:val="single" w:sz="4" w:space="0" w:color="000000"/>
              <w:right w:val="single" w:sz="4" w:space="0" w:color="000000"/>
            </w:tcBorders>
            <w:vAlign w:val="center"/>
          </w:tcPr>
          <w:p w14:paraId="2E98F52E"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3D02A7A6"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29E65F27" w14:textId="77777777" w:rsidR="00714B50" w:rsidRDefault="00714B50">
            <w:pPr>
              <w:spacing w:after="0" w:line="240" w:lineRule="auto"/>
              <w:jc w:val="center"/>
              <w:rPr>
                <w:color w:val="000000"/>
                <w:sz w:val="18"/>
                <w:szCs w:val="18"/>
              </w:rPr>
            </w:pPr>
          </w:p>
        </w:tc>
        <w:tc>
          <w:tcPr>
            <w:tcW w:w="1111" w:type="dxa"/>
            <w:tcBorders>
              <w:top w:val="single" w:sz="4" w:space="0" w:color="000000"/>
              <w:left w:val="nil"/>
              <w:bottom w:val="single" w:sz="4" w:space="0" w:color="000000"/>
              <w:right w:val="single" w:sz="4" w:space="0" w:color="000000"/>
            </w:tcBorders>
            <w:vAlign w:val="center"/>
          </w:tcPr>
          <w:p w14:paraId="05DD1877" w14:textId="77777777" w:rsidR="00714B50" w:rsidRDefault="00714B50">
            <w:pPr>
              <w:spacing w:after="0" w:line="240" w:lineRule="auto"/>
              <w:jc w:val="center"/>
              <w:rPr>
                <w:color w:val="000000"/>
                <w:sz w:val="18"/>
                <w:szCs w:val="18"/>
              </w:rPr>
            </w:pPr>
          </w:p>
        </w:tc>
      </w:tr>
      <w:tr w:rsidR="00714B50" w14:paraId="7F13F563"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38580D1A" w14:textId="77777777" w:rsidR="00714B50" w:rsidRDefault="0030138C">
            <w:pPr>
              <w:spacing w:after="0" w:line="240" w:lineRule="auto"/>
              <w:rPr>
                <w:color w:val="000000"/>
                <w:sz w:val="18"/>
                <w:szCs w:val="18"/>
              </w:rPr>
            </w:pPr>
            <w:r>
              <w:rPr>
                <w:color w:val="000000"/>
                <w:sz w:val="18"/>
                <w:szCs w:val="18"/>
              </w:rPr>
              <w:t>Between larvae and CCA</w:t>
            </w:r>
          </w:p>
        </w:tc>
        <w:tc>
          <w:tcPr>
            <w:tcW w:w="1134" w:type="dxa"/>
            <w:tcBorders>
              <w:top w:val="single" w:sz="4" w:space="0" w:color="000000"/>
              <w:left w:val="nil"/>
              <w:bottom w:val="single" w:sz="4" w:space="0" w:color="000000"/>
              <w:right w:val="single" w:sz="4" w:space="0" w:color="000000"/>
            </w:tcBorders>
            <w:vAlign w:val="center"/>
          </w:tcPr>
          <w:p w14:paraId="24FB7763"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single" w:sz="4" w:space="0" w:color="000000"/>
              <w:left w:val="nil"/>
              <w:bottom w:val="single" w:sz="4" w:space="0" w:color="000000"/>
              <w:right w:val="single" w:sz="4" w:space="0" w:color="000000"/>
            </w:tcBorders>
            <w:vAlign w:val="center"/>
          </w:tcPr>
          <w:p w14:paraId="5E1FDBBE"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073DEC82" w14:textId="77777777" w:rsidR="00714B50" w:rsidRDefault="0030138C">
            <w:pPr>
              <w:spacing w:after="0" w:line="240" w:lineRule="auto"/>
              <w:jc w:val="center"/>
              <w:rPr>
                <w:color w:val="000000"/>
                <w:sz w:val="18"/>
                <w:szCs w:val="18"/>
              </w:rPr>
            </w:pPr>
            <w:r>
              <w:rPr>
                <w:color w:val="000000"/>
                <w:sz w:val="18"/>
                <w:szCs w:val="18"/>
              </w:rPr>
              <w:t>1.9521</w:t>
            </w:r>
          </w:p>
        </w:tc>
        <w:tc>
          <w:tcPr>
            <w:tcW w:w="1045" w:type="dxa"/>
            <w:tcBorders>
              <w:top w:val="single" w:sz="4" w:space="0" w:color="000000"/>
              <w:left w:val="nil"/>
              <w:bottom w:val="single" w:sz="4" w:space="0" w:color="000000"/>
              <w:right w:val="single" w:sz="4" w:space="0" w:color="000000"/>
            </w:tcBorders>
            <w:vAlign w:val="center"/>
          </w:tcPr>
          <w:p w14:paraId="6DA6DA97" w14:textId="77777777" w:rsidR="00714B50" w:rsidRDefault="0030138C">
            <w:pPr>
              <w:spacing w:after="0" w:line="240" w:lineRule="auto"/>
              <w:jc w:val="center"/>
              <w:rPr>
                <w:color w:val="000000"/>
                <w:sz w:val="18"/>
                <w:szCs w:val="18"/>
              </w:rPr>
            </w:pPr>
            <w:r>
              <w:rPr>
                <w:color w:val="000000"/>
                <w:sz w:val="18"/>
                <w:szCs w:val="18"/>
              </w:rPr>
              <w:t>15.049</w:t>
            </w:r>
          </w:p>
        </w:tc>
        <w:tc>
          <w:tcPr>
            <w:tcW w:w="1045" w:type="dxa"/>
            <w:tcBorders>
              <w:top w:val="single" w:sz="4" w:space="0" w:color="000000"/>
              <w:left w:val="nil"/>
              <w:bottom w:val="single" w:sz="4" w:space="0" w:color="000000"/>
              <w:right w:val="single" w:sz="4" w:space="0" w:color="000000"/>
            </w:tcBorders>
            <w:vAlign w:val="center"/>
          </w:tcPr>
          <w:p w14:paraId="351CC8DE" w14:textId="77777777" w:rsidR="00714B50" w:rsidRDefault="0030138C">
            <w:pPr>
              <w:spacing w:after="0" w:line="240" w:lineRule="auto"/>
              <w:jc w:val="center"/>
              <w:rPr>
                <w:color w:val="000000"/>
                <w:sz w:val="18"/>
                <w:szCs w:val="18"/>
              </w:rPr>
            </w:pPr>
            <w:r>
              <w:rPr>
                <w:color w:val="000000"/>
                <w:sz w:val="18"/>
                <w:szCs w:val="18"/>
              </w:rPr>
              <w:t>0.60078</w:t>
            </w:r>
          </w:p>
        </w:tc>
        <w:tc>
          <w:tcPr>
            <w:tcW w:w="1111" w:type="dxa"/>
            <w:tcBorders>
              <w:top w:val="single" w:sz="4" w:space="0" w:color="000000"/>
              <w:left w:val="nil"/>
              <w:bottom w:val="single" w:sz="4" w:space="0" w:color="000000"/>
              <w:right w:val="single" w:sz="4" w:space="0" w:color="000000"/>
            </w:tcBorders>
            <w:vAlign w:val="center"/>
          </w:tcPr>
          <w:p w14:paraId="2C52C9C9" w14:textId="77777777" w:rsidR="00714B50" w:rsidRDefault="0030138C">
            <w:pPr>
              <w:spacing w:after="0" w:line="240" w:lineRule="auto"/>
              <w:jc w:val="center"/>
              <w:rPr>
                <w:color w:val="000000"/>
                <w:sz w:val="18"/>
                <w:szCs w:val="18"/>
              </w:rPr>
            </w:pPr>
            <w:r>
              <w:rPr>
                <w:color w:val="000000"/>
                <w:sz w:val="18"/>
                <w:szCs w:val="18"/>
              </w:rPr>
              <w:t>0.002**</w:t>
            </w:r>
          </w:p>
        </w:tc>
      </w:tr>
      <w:tr w:rsidR="00714B50" w14:paraId="575E5CC8"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3BB9E135"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65018D09"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single" w:sz="4" w:space="0" w:color="000000"/>
              <w:left w:val="nil"/>
              <w:bottom w:val="single" w:sz="4" w:space="0" w:color="000000"/>
              <w:right w:val="single" w:sz="4" w:space="0" w:color="000000"/>
            </w:tcBorders>
            <w:vAlign w:val="center"/>
          </w:tcPr>
          <w:p w14:paraId="078C89DC" w14:textId="77777777" w:rsidR="00714B50" w:rsidRDefault="0030138C">
            <w:pPr>
              <w:spacing w:after="0" w:line="240" w:lineRule="auto"/>
              <w:jc w:val="center"/>
              <w:rPr>
                <w:color w:val="000000"/>
                <w:sz w:val="18"/>
                <w:szCs w:val="18"/>
              </w:rPr>
            </w:pPr>
            <w:r>
              <w:rPr>
                <w:color w:val="000000"/>
                <w:sz w:val="18"/>
                <w:szCs w:val="18"/>
              </w:rPr>
              <w:t>10</w:t>
            </w:r>
          </w:p>
        </w:tc>
        <w:tc>
          <w:tcPr>
            <w:tcW w:w="1111" w:type="dxa"/>
            <w:tcBorders>
              <w:top w:val="single" w:sz="4" w:space="0" w:color="000000"/>
              <w:left w:val="nil"/>
              <w:bottom w:val="single" w:sz="4" w:space="0" w:color="000000"/>
              <w:right w:val="single" w:sz="4" w:space="0" w:color="000000"/>
            </w:tcBorders>
            <w:vAlign w:val="center"/>
          </w:tcPr>
          <w:p w14:paraId="35916C81" w14:textId="77777777" w:rsidR="00714B50" w:rsidRDefault="0030138C">
            <w:pPr>
              <w:spacing w:after="0" w:line="240" w:lineRule="auto"/>
              <w:jc w:val="center"/>
              <w:rPr>
                <w:color w:val="000000"/>
                <w:sz w:val="18"/>
                <w:szCs w:val="18"/>
              </w:rPr>
            </w:pPr>
            <w:r>
              <w:rPr>
                <w:color w:val="000000"/>
                <w:sz w:val="18"/>
                <w:szCs w:val="18"/>
              </w:rPr>
              <w:t>1.2972</w:t>
            </w:r>
          </w:p>
        </w:tc>
        <w:tc>
          <w:tcPr>
            <w:tcW w:w="1045" w:type="dxa"/>
            <w:tcBorders>
              <w:top w:val="single" w:sz="4" w:space="0" w:color="000000"/>
              <w:left w:val="nil"/>
              <w:bottom w:val="single" w:sz="4" w:space="0" w:color="000000"/>
              <w:right w:val="single" w:sz="4" w:space="0" w:color="000000"/>
            </w:tcBorders>
            <w:vAlign w:val="center"/>
          </w:tcPr>
          <w:p w14:paraId="26FC5174"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38CD98A5" w14:textId="77777777" w:rsidR="00714B50" w:rsidRDefault="0030138C">
            <w:pPr>
              <w:spacing w:after="0" w:line="240" w:lineRule="auto"/>
              <w:jc w:val="center"/>
              <w:rPr>
                <w:color w:val="000000"/>
                <w:sz w:val="18"/>
                <w:szCs w:val="18"/>
              </w:rPr>
            </w:pPr>
            <w:r>
              <w:rPr>
                <w:color w:val="000000"/>
                <w:sz w:val="18"/>
                <w:szCs w:val="18"/>
              </w:rPr>
              <w:t>0.39922</w:t>
            </w:r>
          </w:p>
        </w:tc>
        <w:tc>
          <w:tcPr>
            <w:tcW w:w="1111" w:type="dxa"/>
            <w:tcBorders>
              <w:top w:val="single" w:sz="4" w:space="0" w:color="000000"/>
              <w:left w:val="nil"/>
              <w:bottom w:val="single" w:sz="4" w:space="0" w:color="000000"/>
              <w:right w:val="single" w:sz="4" w:space="0" w:color="000000"/>
            </w:tcBorders>
            <w:vAlign w:val="center"/>
          </w:tcPr>
          <w:p w14:paraId="4265D30C" w14:textId="77777777" w:rsidR="00714B50" w:rsidRDefault="00714B50">
            <w:pPr>
              <w:spacing w:after="0" w:line="240" w:lineRule="auto"/>
              <w:jc w:val="center"/>
              <w:rPr>
                <w:color w:val="000000"/>
                <w:sz w:val="18"/>
                <w:szCs w:val="18"/>
              </w:rPr>
            </w:pPr>
          </w:p>
        </w:tc>
      </w:tr>
      <w:tr w:rsidR="00714B50" w14:paraId="40B20F72"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5A1A544C"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3F20DA2D"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6A5EBFC5" w14:textId="77777777" w:rsidR="00714B50" w:rsidRDefault="0030138C">
            <w:pPr>
              <w:spacing w:after="0" w:line="240" w:lineRule="auto"/>
              <w:jc w:val="center"/>
              <w:rPr>
                <w:color w:val="000000"/>
                <w:sz w:val="18"/>
                <w:szCs w:val="18"/>
              </w:rPr>
            </w:pPr>
            <w:r>
              <w:rPr>
                <w:color w:val="000000"/>
                <w:sz w:val="18"/>
                <w:szCs w:val="18"/>
              </w:rPr>
              <w:t>11</w:t>
            </w:r>
          </w:p>
        </w:tc>
        <w:tc>
          <w:tcPr>
            <w:tcW w:w="1111" w:type="dxa"/>
            <w:tcBorders>
              <w:top w:val="single" w:sz="4" w:space="0" w:color="000000"/>
              <w:left w:val="nil"/>
              <w:bottom w:val="single" w:sz="4" w:space="0" w:color="000000"/>
              <w:right w:val="single" w:sz="4" w:space="0" w:color="000000"/>
            </w:tcBorders>
            <w:vAlign w:val="center"/>
          </w:tcPr>
          <w:p w14:paraId="4FEFD716" w14:textId="77777777" w:rsidR="00714B50" w:rsidRDefault="0030138C">
            <w:pPr>
              <w:spacing w:after="0" w:line="240" w:lineRule="auto"/>
              <w:jc w:val="center"/>
              <w:rPr>
                <w:color w:val="000000"/>
                <w:sz w:val="18"/>
                <w:szCs w:val="18"/>
              </w:rPr>
            </w:pPr>
            <w:r>
              <w:rPr>
                <w:color w:val="000000"/>
                <w:sz w:val="18"/>
                <w:szCs w:val="18"/>
              </w:rPr>
              <w:t>3.2493</w:t>
            </w:r>
          </w:p>
        </w:tc>
        <w:tc>
          <w:tcPr>
            <w:tcW w:w="1045" w:type="dxa"/>
            <w:tcBorders>
              <w:top w:val="single" w:sz="4" w:space="0" w:color="000000"/>
              <w:left w:val="nil"/>
              <w:bottom w:val="single" w:sz="4" w:space="0" w:color="000000"/>
              <w:right w:val="single" w:sz="4" w:space="0" w:color="000000"/>
            </w:tcBorders>
            <w:vAlign w:val="center"/>
          </w:tcPr>
          <w:p w14:paraId="3F1B3DC2"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131D225B"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5FBBBF98" w14:textId="77777777" w:rsidR="00714B50" w:rsidRDefault="00714B50">
            <w:pPr>
              <w:spacing w:after="0" w:line="240" w:lineRule="auto"/>
              <w:jc w:val="center"/>
              <w:rPr>
                <w:color w:val="000000"/>
                <w:sz w:val="18"/>
                <w:szCs w:val="18"/>
              </w:rPr>
            </w:pPr>
          </w:p>
        </w:tc>
      </w:tr>
      <w:tr w:rsidR="00714B50" w14:paraId="5F583EE8"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0A077178" w14:textId="77777777" w:rsidR="00714B50" w:rsidRDefault="0030138C">
            <w:pPr>
              <w:spacing w:after="0" w:line="240" w:lineRule="auto"/>
              <w:rPr>
                <w:color w:val="000000"/>
                <w:sz w:val="18"/>
                <w:szCs w:val="18"/>
              </w:rPr>
            </w:pPr>
            <w:r>
              <w:rPr>
                <w:color w:val="000000"/>
                <w:sz w:val="18"/>
                <w:szCs w:val="18"/>
              </w:rPr>
              <w:t>Between larvae and settlers on the aquarium</w:t>
            </w:r>
          </w:p>
        </w:tc>
        <w:tc>
          <w:tcPr>
            <w:tcW w:w="1134" w:type="dxa"/>
            <w:tcBorders>
              <w:top w:val="single" w:sz="4" w:space="0" w:color="000000"/>
              <w:left w:val="nil"/>
              <w:bottom w:val="single" w:sz="4" w:space="0" w:color="000000"/>
              <w:right w:val="single" w:sz="4" w:space="0" w:color="000000"/>
            </w:tcBorders>
            <w:vAlign w:val="center"/>
          </w:tcPr>
          <w:p w14:paraId="5A98AF08"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single" w:sz="4" w:space="0" w:color="000000"/>
              <w:left w:val="nil"/>
              <w:bottom w:val="single" w:sz="4" w:space="0" w:color="000000"/>
              <w:right w:val="single" w:sz="4" w:space="0" w:color="000000"/>
            </w:tcBorders>
            <w:vAlign w:val="center"/>
          </w:tcPr>
          <w:p w14:paraId="2E7FA6B7"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722B8807" w14:textId="77777777" w:rsidR="00714B50" w:rsidRDefault="0030138C">
            <w:pPr>
              <w:spacing w:after="0" w:line="240" w:lineRule="auto"/>
              <w:jc w:val="center"/>
              <w:rPr>
                <w:color w:val="000000"/>
                <w:sz w:val="18"/>
                <w:szCs w:val="18"/>
              </w:rPr>
            </w:pPr>
            <w:r>
              <w:rPr>
                <w:color w:val="000000"/>
                <w:sz w:val="18"/>
                <w:szCs w:val="18"/>
              </w:rPr>
              <w:t>0.43677</w:t>
            </w:r>
          </w:p>
        </w:tc>
        <w:tc>
          <w:tcPr>
            <w:tcW w:w="1045" w:type="dxa"/>
            <w:tcBorders>
              <w:top w:val="single" w:sz="4" w:space="0" w:color="000000"/>
              <w:left w:val="nil"/>
              <w:bottom w:val="single" w:sz="4" w:space="0" w:color="000000"/>
              <w:right w:val="single" w:sz="4" w:space="0" w:color="000000"/>
            </w:tcBorders>
            <w:vAlign w:val="center"/>
          </w:tcPr>
          <w:p w14:paraId="0B0E74AD" w14:textId="77777777" w:rsidR="00714B50" w:rsidRDefault="0030138C">
            <w:pPr>
              <w:spacing w:after="0" w:line="240" w:lineRule="auto"/>
              <w:jc w:val="center"/>
              <w:rPr>
                <w:color w:val="000000"/>
                <w:sz w:val="18"/>
                <w:szCs w:val="18"/>
              </w:rPr>
            </w:pPr>
            <w:r>
              <w:rPr>
                <w:color w:val="000000"/>
                <w:sz w:val="18"/>
                <w:szCs w:val="18"/>
              </w:rPr>
              <w:t>3.4799</w:t>
            </w:r>
          </w:p>
        </w:tc>
        <w:tc>
          <w:tcPr>
            <w:tcW w:w="1045" w:type="dxa"/>
            <w:tcBorders>
              <w:top w:val="single" w:sz="4" w:space="0" w:color="000000"/>
              <w:left w:val="nil"/>
              <w:bottom w:val="single" w:sz="4" w:space="0" w:color="000000"/>
              <w:right w:val="single" w:sz="4" w:space="0" w:color="000000"/>
            </w:tcBorders>
            <w:vAlign w:val="center"/>
          </w:tcPr>
          <w:p w14:paraId="449EB556" w14:textId="77777777" w:rsidR="00714B50" w:rsidRDefault="0030138C">
            <w:pPr>
              <w:spacing w:after="0" w:line="240" w:lineRule="auto"/>
              <w:jc w:val="center"/>
              <w:rPr>
                <w:color w:val="000000"/>
                <w:sz w:val="18"/>
                <w:szCs w:val="18"/>
              </w:rPr>
            </w:pPr>
            <w:r>
              <w:rPr>
                <w:color w:val="000000"/>
                <w:sz w:val="18"/>
                <w:szCs w:val="18"/>
              </w:rPr>
              <w:t>0.16992</w:t>
            </w:r>
          </w:p>
        </w:tc>
        <w:tc>
          <w:tcPr>
            <w:tcW w:w="1111" w:type="dxa"/>
            <w:tcBorders>
              <w:top w:val="single" w:sz="4" w:space="0" w:color="000000"/>
              <w:left w:val="nil"/>
              <w:bottom w:val="single" w:sz="4" w:space="0" w:color="000000"/>
              <w:right w:val="single" w:sz="4" w:space="0" w:color="000000"/>
            </w:tcBorders>
            <w:vAlign w:val="center"/>
          </w:tcPr>
          <w:p w14:paraId="179F8FB1" w14:textId="77777777" w:rsidR="00714B50" w:rsidRDefault="0030138C">
            <w:pPr>
              <w:spacing w:after="0" w:line="240" w:lineRule="auto"/>
              <w:jc w:val="center"/>
              <w:rPr>
                <w:color w:val="000000"/>
                <w:sz w:val="18"/>
                <w:szCs w:val="18"/>
              </w:rPr>
            </w:pPr>
            <w:r>
              <w:rPr>
                <w:color w:val="000000"/>
                <w:sz w:val="18"/>
                <w:szCs w:val="18"/>
              </w:rPr>
              <w:t>0.00007***</w:t>
            </w:r>
          </w:p>
        </w:tc>
      </w:tr>
      <w:tr w:rsidR="00714B50" w14:paraId="7F9360DA"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577240AB"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5527B9A9"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single" w:sz="4" w:space="0" w:color="000000"/>
              <w:left w:val="nil"/>
              <w:bottom w:val="single" w:sz="4" w:space="0" w:color="000000"/>
              <w:right w:val="single" w:sz="4" w:space="0" w:color="000000"/>
            </w:tcBorders>
            <w:vAlign w:val="center"/>
          </w:tcPr>
          <w:p w14:paraId="700A648E" w14:textId="77777777" w:rsidR="00714B50" w:rsidRDefault="0030138C">
            <w:pPr>
              <w:spacing w:after="0" w:line="240" w:lineRule="auto"/>
              <w:jc w:val="center"/>
              <w:rPr>
                <w:color w:val="000000"/>
                <w:sz w:val="18"/>
                <w:szCs w:val="18"/>
              </w:rPr>
            </w:pPr>
            <w:r>
              <w:rPr>
                <w:color w:val="000000"/>
                <w:sz w:val="18"/>
                <w:szCs w:val="18"/>
              </w:rPr>
              <w:t>17</w:t>
            </w:r>
          </w:p>
        </w:tc>
        <w:tc>
          <w:tcPr>
            <w:tcW w:w="1111" w:type="dxa"/>
            <w:tcBorders>
              <w:top w:val="single" w:sz="4" w:space="0" w:color="000000"/>
              <w:left w:val="nil"/>
              <w:bottom w:val="single" w:sz="4" w:space="0" w:color="000000"/>
              <w:right w:val="single" w:sz="4" w:space="0" w:color="000000"/>
            </w:tcBorders>
            <w:vAlign w:val="center"/>
          </w:tcPr>
          <w:p w14:paraId="59C08575" w14:textId="77777777" w:rsidR="00714B50" w:rsidRDefault="0030138C">
            <w:pPr>
              <w:spacing w:after="0" w:line="240" w:lineRule="auto"/>
              <w:jc w:val="center"/>
              <w:rPr>
                <w:color w:val="000000"/>
                <w:sz w:val="18"/>
                <w:szCs w:val="18"/>
              </w:rPr>
            </w:pPr>
            <w:r>
              <w:rPr>
                <w:color w:val="000000"/>
                <w:sz w:val="18"/>
                <w:szCs w:val="18"/>
              </w:rPr>
              <w:t>2.13369</w:t>
            </w:r>
          </w:p>
        </w:tc>
        <w:tc>
          <w:tcPr>
            <w:tcW w:w="1045" w:type="dxa"/>
            <w:tcBorders>
              <w:top w:val="single" w:sz="4" w:space="0" w:color="000000"/>
              <w:left w:val="nil"/>
              <w:bottom w:val="single" w:sz="4" w:space="0" w:color="000000"/>
              <w:right w:val="single" w:sz="4" w:space="0" w:color="000000"/>
            </w:tcBorders>
            <w:vAlign w:val="center"/>
          </w:tcPr>
          <w:p w14:paraId="49CCCCAB"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50D49CEE" w14:textId="77777777" w:rsidR="00714B50" w:rsidRDefault="0030138C">
            <w:pPr>
              <w:spacing w:after="0" w:line="240" w:lineRule="auto"/>
              <w:jc w:val="center"/>
              <w:rPr>
                <w:color w:val="000000"/>
                <w:sz w:val="18"/>
                <w:szCs w:val="18"/>
              </w:rPr>
            </w:pPr>
            <w:r>
              <w:rPr>
                <w:color w:val="000000"/>
                <w:sz w:val="18"/>
                <w:szCs w:val="18"/>
              </w:rPr>
              <w:t>0.83008</w:t>
            </w:r>
          </w:p>
        </w:tc>
        <w:tc>
          <w:tcPr>
            <w:tcW w:w="1111" w:type="dxa"/>
            <w:tcBorders>
              <w:top w:val="single" w:sz="4" w:space="0" w:color="000000"/>
              <w:left w:val="nil"/>
              <w:bottom w:val="single" w:sz="4" w:space="0" w:color="000000"/>
              <w:right w:val="single" w:sz="4" w:space="0" w:color="000000"/>
            </w:tcBorders>
            <w:vAlign w:val="center"/>
          </w:tcPr>
          <w:p w14:paraId="07952404" w14:textId="77777777" w:rsidR="00714B50" w:rsidRDefault="00714B50">
            <w:pPr>
              <w:spacing w:after="0" w:line="240" w:lineRule="auto"/>
              <w:jc w:val="center"/>
              <w:rPr>
                <w:color w:val="000000"/>
                <w:sz w:val="18"/>
                <w:szCs w:val="18"/>
              </w:rPr>
            </w:pPr>
          </w:p>
        </w:tc>
      </w:tr>
      <w:tr w:rsidR="00714B50" w14:paraId="530EADCE"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53F77C43"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5866F3ED"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00A89FEC" w14:textId="77777777" w:rsidR="00714B50" w:rsidRDefault="0030138C">
            <w:pPr>
              <w:spacing w:after="0" w:line="240" w:lineRule="auto"/>
              <w:jc w:val="center"/>
              <w:rPr>
                <w:color w:val="000000"/>
                <w:sz w:val="18"/>
                <w:szCs w:val="18"/>
              </w:rPr>
            </w:pPr>
            <w:r>
              <w:rPr>
                <w:color w:val="000000"/>
                <w:sz w:val="18"/>
                <w:szCs w:val="18"/>
              </w:rPr>
              <w:t>18</w:t>
            </w:r>
          </w:p>
        </w:tc>
        <w:tc>
          <w:tcPr>
            <w:tcW w:w="1111" w:type="dxa"/>
            <w:tcBorders>
              <w:top w:val="single" w:sz="4" w:space="0" w:color="000000"/>
              <w:left w:val="nil"/>
              <w:bottom w:val="single" w:sz="4" w:space="0" w:color="000000"/>
              <w:right w:val="single" w:sz="4" w:space="0" w:color="000000"/>
            </w:tcBorders>
            <w:vAlign w:val="center"/>
          </w:tcPr>
          <w:p w14:paraId="600BC586" w14:textId="77777777" w:rsidR="00714B50" w:rsidRDefault="0030138C">
            <w:pPr>
              <w:spacing w:after="0" w:line="240" w:lineRule="auto"/>
              <w:jc w:val="center"/>
              <w:rPr>
                <w:color w:val="000000"/>
                <w:sz w:val="18"/>
                <w:szCs w:val="18"/>
              </w:rPr>
            </w:pPr>
            <w:r>
              <w:rPr>
                <w:color w:val="000000"/>
                <w:sz w:val="18"/>
                <w:szCs w:val="18"/>
              </w:rPr>
              <w:t>2.57046</w:t>
            </w:r>
          </w:p>
        </w:tc>
        <w:tc>
          <w:tcPr>
            <w:tcW w:w="1045" w:type="dxa"/>
            <w:tcBorders>
              <w:top w:val="single" w:sz="4" w:space="0" w:color="000000"/>
              <w:left w:val="nil"/>
              <w:bottom w:val="single" w:sz="4" w:space="0" w:color="000000"/>
              <w:right w:val="single" w:sz="4" w:space="0" w:color="000000"/>
            </w:tcBorders>
            <w:vAlign w:val="center"/>
          </w:tcPr>
          <w:p w14:paraId="3EA586A3"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6F2B022A"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5FFEF520" w14:textId="77777777" w:rsidR="00714B50" w:rsidRDefault="00714B50">
            <w:pPr>
              <w:spacing w:after="0" w:line="240" w:lineRule="auto"/>
              <w:jc w:val="center"/>
              <w:rPr>
                <w:color w:val="000000"/>
                <w:sz w:val="18"/>
                <w:szCs w:val="18"/>
              </w:rPr>
            </w:pPr>
          </w:p>
        </w:tc>
      </w:tr>
      <w:tr w:rsidR="00714B50" w14:paraId="71A3B8C3"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752EA83A" w14:textId="77777777" w:rsidR="00714B50" w:rsidRDefault="0030138C">
            <w:pPr>
              <w:spacing w:after="0" w:line="240" w:lineRule="auto"/>
              <w:rPr>
                <w:color w:val="000000"/>
                <w:sz w:val="18"/>
                <w:szCs w:val="18"/>
              </w:rPr>
            </w:pPr>
            <w:r>
              <w:rPr>
                <w:color w:val="000000"/>
                <w:sz w:val="18"/>
                <w:szCs w:val="18"/>
              </w:rPr>
              <w:t>Between larvae and settlers on CCA</w:t>
            </w:r>
          </w:p>
        </w:tc>
        <w:tc>
          <w:tcPr>
            <w:tcW w:w="1134" w:type="dxa"/>
            <w:tcBorders>
              <w:top w:val="single" w:sz="4" w:space="0" w:color="000000"/>
              <w:left w:val="nil"/>
              <w:bottom w:val="single" w:sz="4" w:space="0" w:color="000000"/>
              <w:right w:val="single" w:sz="4" w:space="0" w:color="000000"/>
            </w:tcBorders>
            <w:vAlign w:val="center"/>
          </w:tcPr>
          <w:p w14:paraId="19F8A498"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single" w:sz="4" w:space="0" w:color="000000"/>
              <w:left w:val="nil"/>
              <w:bottom w:val="single" w:sz="4" w:space="0" w:color="000000"/>
              <w:right w:val="single" w:sz="4" w:space="0" w:color="000000"/>
            </w:tcBorders>
            <w:vAlign w:val="center"/>
          </w:tcPr>
          <w:p w14:paraId="72CF27DE"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103968E3" w14:textId="77777777" w:rsidR="00714B50" w:rsidRDefault="0030138C">
            <w:pPr>
              <w:spacing w:after="0" w:line="240" w:lineRule="auto"/>
              <w:jc w:val="center"/>
              <w:rPr>
                <w:color w:val="000000"/>
                <w:sz w:val="18"/>
                <w:szCs w:val="18"/>
              </w:rPr>
            </w:pPr>
            <w:r>
              <w:rPr>
                <w:color w:val="000000"/>
                <w:sz w:val="18"/>
                <w:szCs w:val="18"/>
              </w:rPr>
              <w:t>1.5157</w:t>
            </w:r>
          </w:p>
        </w:tc>
        <w:tc>
          <w:tcPr>
            <w:tcW w:w="1045" w:type="dxa"/>
            <w:tcBorders>
              <w:top w:val="single" w:sz="4" w:space="0" w:color="000000"/>
              <w:left w:val="nil"/>
              <w:bottom w:val="single" w:sz="4" w:space="0" w:color="000000"/>
              <w:right w:val="single" w:sz="4" w:space="0" w:color="000000"/>
            </w:tcBorders>
            <w:vAlign w:val="center"/>
          </w:tcPr>
          <w:p w14:paraId="05797C0C" w14:textId="77777777" w:rsidR="00714B50" w:rsidRDefault="0030138C">
            <w:pPr>
              <w:spacing w:after="0" w:line="240" w:lineRule="auto"/>
              <w:jc w:val="center"/>
              <w:rPr>
                <w:color w:val="000000"/>
                <w:sz w:val="18"/>
                <w:szCs w:val="18"/>
              </w:rPr>
            </w:pPr>
            <w:r>
              <w:rPr>
                <w:color w:val="000000"/>
                <w:sz w:val="18"/>
                <w:szCs w:val="18"/>
              </w:rPr>
              <w:t>6.2054</w:t>
            </w:r>
          </w:p>
        </w:tc>
        <w:tc>
          <w:tcPr>
            <w:tcW w:w="1045" w:type="dxa"/>
            <w:tcBorders>
              <w:top w:val="single" w:sz="4" w:space="0" w:color="000000"/>
              <w:left w:val="nil"/>
              <w:bottom w:val="single" w:sz="4" w:space="0" w:color="000000"/>
              <w:right w:val="single" w:sz="4" w:space="0" w:color="000000"/>
            </w:tcBorders>
            <w:vAlign w:val="center"/>
          </w:tcPr>
          <w:p w14:paraId="209898F3" w14:textId="77777777" w:rsidR="00714B50" w:rsidRDefault="0030138C">
            <w:pPr>
              <w:spacing w:after="0" w:line="240" w:lineRule="auto"/>
              <w:jc w:val="center"/>
              <w:rPr>
                <w:color w:val="000000"/>
                <w:sz w:val="18"/>
                <w:szCs w:val="18"/>
              </w:rPr>
            </w:pPr>
            <w:r>
              <w:rPr>
                <w:color w:val="000000"/>
                <w:sz w:val="18"/>
                <w:szCs w:val="18"/>
              </w:rPr>
              <w:t>0.26741</w:t>
            </w:r>
          </w:p>
        </w:tc>
        <w:tc>
          <w:tcPr>
            <w:tcW w:w="1111" w:type="dxa"/>
            <w:tcBorders>
              <w:top w:val="single" w:sz="4" w:space="0" w:color="000000"/>
              <w:left w:val="nil"/>
              <w:bottom w:val="single" w:sz="4" w:space="0" w:color="000000"/>
              <w:right w:val="single" w:sz="4" w:space="0" w:color="000000"/>
            </w:tcBorders>
            <w:vAlign w:val="center"/>
          </w:tcPr>
          <w:p w14:paraId="19306BC9" w14:textId="77777777" w:rsidR="00714B50" w:rsidRDefault="0030138C">
            <w:pPr>
              <w:spacing w:after="0" w:line="240" w:lineRule="auto"/>
              <w:jc w:val="center"/>
              <w:rPr>
                <w:color w:val="000000"/>
                <w:sz w:val="18"/>
                <w:szCs w:val="18"/>
              </w:rPr>
            </w:pPr>
            <w:r>
              <w:rPr>
                <w:color w:val="000000"/>
                <w:sz w:val="18"/>
                <w:szCs w:val="18"/>
              </w:rPr>
              <w:t>0.00001***</w:t>
            </w:r>
          </w:p>
        </w:tc>
      </w:tr>
      <w:tr w:rsidR="00714B50" w14:paraId="537BB00B"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30F3FA44"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1AD4CC0F"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single" w:sz="4" w:space="0" w:color="000000"/>
              <w:left w:val="nil"/>
              <w:bottom w:val="single" w:sz="4" w:space="0" w:color="000000"/>
              <w:right w:val="single" w:sz="4" w:space="0" w:color="000000"/>
            </w:tcBorders>
            <w:vAlign w:val="center"/>
          </w:tcPr>
          <w:p w14:paraId="70A52E9E" w14:textId="77777777" w:rsidR="00714B50" w:rsidRDefault="0030138C">
            <w:pPr>
              <w:spacing w:after="0" w:line="240" w:lineRule="auto"/>
              <w:jc w:val="center"/>
              <w:rPr>
                <w:color w:val="000000"/>
                <w:sz w:val="18"/>
                <w:szCs w:val="18"/>
              </w:rPr>
            </w:pPr>
            <w:r>
              <w:rPr>
                <w:color w:val="000000"/>
                <w:sz w:val="18"/>
                <w:szCs w:val="18"/>
              </w:rPr>
              <w:t>17</w:t>
            </w:r>
          </w:p>
        </w:tc>
        <w:tc>
          <w:tcPr>
            <w:tcW w:w="1111" w:type="dxa"/>
            <w:tcBorders>
              <w:top w:val="single" w:sz="4" w:space="0" w:color="000000"/>
              <w:left w:val="nil"/>
              <w:bottom w:val="single" w:sz="4" w:space="0" w:color="000000"/>
              <w:right w:val="single" w:sz="4" w:space="0" w:color="000000"/>
            </w:tcBorders>
            <w:vAlign w:val="center"/>
          </w:tcPr>
          <w:p w14:paraId="0BFA5511" w14:textId="77777777" w:rsidR="00714B50" w:rsidRDefault="0030138C">
            <w:pPr>
              <w:spacing w:after="0" w:line="240" w:lineRule="auto"/>
              <w:jc w:val="center"/>
              <w:rPr>
                <w:color w:val="000000"/>
                <w:sz w:val="18"/>
                <w:szCs w:val="18"/>
              </w:rPr>
            </w:pPr>
            <w:r>
              <w:rPr>
                <w:color w:val="000000"/>
                <w:sz w:val="18"/>
                <w:szCs w:val="18"/>
              </w:rPr>
              <w:t>4.1525</w:t>
            </w:r>
          </w:p>
        </w:tc>
        <w:tc>
          <w:tcPr>
            <w:tcW w:w="1045" w:type="dxa"/>
            <w:tcBorders>
              <w:top w:val="single" w:sz="4" w:space="0" w:color="000000"/>
              <w:left w:val="nil"/>
              <w:bottom w:val="single" w:sz="4" w:space="0" w:color="000000"/>
              <w:right w:val="single" w:sz="4" w:space="0" w:color="000000"/>
            </w:tcBorders>
            <w:vAlign w:val="center"/>
          </w:tcPr>
          <w:p w14:paraId="1D9E35C9"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598213DE" w14:textId="77777777" w:rsidR="00714B50" w:rsidRDefault="0030138C">
            <w:pPr>
              <w:spacing w:after="0" w:line="240" w:lineRule="auto"/>
              <w:jc w:val="center"/>
              <w:rPr>
                <w:color w:val="000000"/>
                <w:sz w:val="18"/>
                <w:szCs w:val="18"/>
              </w:rPr>
            </w:pPr>
            <w:r>
              <w:rPr>
                <w:color w:val="000000"/>
                <w:sz w:val="18"/>
                <w:szCs w:val="18"/>
              </w:rPr>
              <w:t>0.73259</w:t>
            </w:r>
          </w:p>
        </w:tc>
        <w:tc>
          <w:tcPr>
            <w:tcW w:w="1111" w:type="dxa"/>
            <w:tcBorders>
              <w:top w:val="single" w:sz="4" w:space="0" w:color="000000"/>
              <w:left w:val="nil"/>
              <w:bottom w:val="single" w:sz="4" w:space="0" w:color="000000"/>
              <w:right w:val="single" w:sz="4" w:space="0" w:color="000000"/>
            </w:tcBorders>
            <w:vAlign w:val="center"/>
          </w:tcPr>
          <w:p w14:paraId="6E412029" w14:textId="77777777" w:rsidR="00714B50" w:rsidRDefault="00714B50">
            <w:pPr>
              <w:spacing w:after="0" w:line="240" w:lineRule="auto"/>
              <w:jc w:val="center"/>
              <w:rPr>
                <w:color w:val="000000"/>
                <w:sz w:val="18"/>
                <w:szCs w:val="18"/>
              </w:rPr>
            </w:pPr>
          </w:p>
        </w:tc>
      </w:tr>
      <w:tr w:rsidR="00714B50" w14:paraId="420CAD8B"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4B1D663E"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41E846F8"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06F767E5" w14:textId="77777777" w:rsidR="00714B50" w:rsidRDefault="0030138C">
            <w:pPr>
              <w:spacing w:after="0" w:line="240" w:lineRule="auto"/>
              <w:jc w:val="center"/>
              <w:rPr>
                <w:color w:val="000000"/>
                <w:sz w:val="18"/>
                <w:szCs w:val="18"/>
              </w:rPr>
            </w:pPr>
            <w:r>
              <w:rPr>
                <w:color w:val="000000"/>
                <w:sz w:val="18"/>
                <w:szCs w:val="18"/>
              </w:rPr>
              <w:t>18</w:t>
            </w:r>
          </w:p>
        </w:tc>
        <w:tc>
          <w:tcPr>
            <w:tcW w:w="1111" w:type="dxa"/>
            <w:tcBorders>
              <w:top w:val="single" w:sz="4" w:space="0" w:color="000000"/>
              <w:left w:val="nil"/>
              <w:bottom w:val="single" w:sz="4" w:space="0" w:color="000000"/>
              <w:right w:val="single" w:sz="4" w:space="0" w:color="000000"/>
            </w:tcBorders>
            <w:vAlign w:val="center"/>
          </w:tcPr>
          <w:p w14:paraId="5C5980D3" w14:textId="77777777" w:rsidR="00714B50" w:rsidRDefault="0030138C">
            <w:pPr>
              <w:spacing w:after="0" w:line="240" w:lineRule="auto"/>
              <w:jc w:val="center"/>
              <w:rPr>
                <w:color w:val="000000"/>
                <w:sz w:val="18"/>
                <w:szCs w:val="18"/>
              </w:rPr>
            </w:pPr>
            <w:r>
              <w:rPr>
                <w:color w:val="000000"/>
                <w:sz w:val="18"/>
                <w:szCs w:val="18"/>
              </w:rPr>
              <w:t>5.6682</w:t>
            </w:r>
          </w:p>
        </w:tc>
        <w:tc>
          <w:tcPr>
            <w:tcW w:w="1045" w:type="dxa"/>
            <w:tcBorders>
              <w:top w:val="single" w:sz="4" w:space="0" w:color="000000"/>
              <w:left w:val="nil"/>
              <w:bottom w:val="single" w:sz="4" w:space="0" w:color="000000"/>
              <w:right w:val="single" w:sz="4" w:space="0" w:color="000000"/>
            </w:tcBorders>
            <w:vAlign w:val="center"/>
          </w:tcPr>
          <w:p w14:paraId="70B0072D"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2C103219"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045EC087" w14:textId="77777777" w:rsidR="00714B50" w:rsidRDefault="00714B50">
            <w:pPr>
              <w:spacing w:after="0" w:line="240" w:lineRule="auto"/>
              <w:jc w:val="center"/>
              <w:rPr>
                <w:color w:val="000000"/>
                <w:sz w:val="18"/>
                <w:szCs w:val="18"/>
              </w:rPr>
            </w:pPr>
          </w:p>
        </w:tc>
      </w:tr>
      <w:tr w:rsidR="00714B50" w14:paraId="3C62B31A"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7B6A97AB" w14:textId="77777777" w:rsidR="00714B50" w:rsidRDefault="0030138C">
            <w:pPr>
              <w:spacing w:after="0" w:line="240" w:lineRule="auto"/>
              <w:rPr>
                <w:color w:val="000000"/>
                <w:sz w:val="18"/>
                <w:szCs w:val="18"/>
              </w:rPr>
            </w:pPr>
            <w:r>
              <w:rPr>
                <w:color w:val="000000"/>
                <w:sz w:val="18"/>
                <w:szCs w:val="18"/>
              </w:rPr>
              <w:t>Between settlers on the aquarium and CCA</w:t>
            </w:r>
          </w:p>
        </w:tc>
        <w:tc>
          <w:tcPr>
            <w:tcW w:w="1134" w:type="dxa"/>
            <w:tcBorders>
              <w:top w:val="single" w:sz="4" w:space="0" w:color="000000"/>
              <w:left w:val="nil"/>
              <w:bottom w:val="single" w:sz="4" w:space="0" w:color="000000"/>
              <w:right w:val="single" w:sz="4" w:space="0" w:color="000000"/>
            </w:tcBorders>
            <w:vAlign w:val="center"/>
          </w:tcPr>
          <w:p w14:paraId="434963B9"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single" w:sz="4" w:space="0" w:color="000000"/>
              <w:left w:val="nil"/>
              <w:bottom w:val="single" w:sz="4" w:space="0" w:color="000000"/>
              <w:right w:val="single" w:sz="4" w:space="0" w:color="000000"/>
            </w:tcBorders>
            <w:vAlign w:val="center"/>
          </w:tcPr>
          <w:p w14:paraId="7183798F"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5BDB5C7B" w14:textId="77777777" w:rsidR="00714B50" w:rsidRDefault="0030138C">
            <w:pPr>
              <w:spacing w:after="0" w:line="240" w:lineRule="auto"/>
              <w:jc w:val="center"/>
              <w:rPr>
                <w:color w:val="000000"/>
                <w:sz w:val="18"/>
                <w:szCs w:val="18"/>
              </w:rPr>
            </w:pPr>
            <w:r>
              <w:rPr>
                <w:color w:val="000000"/>
                <w:sz w:val="18"/>
                <w:szCs w:val="18"/>
              </w:rPr>
              <w:t>2.0241</w:t>
            </w:r>
          </w:p>
        </w:tc>
        <w:tc>
          <w:tcPr>
            <w:tcW w:w="1045" w:type="dxa"/>
            <w:tcBorders>
              <w:top w:val="single" w:sz="4" w:space="0" w:color="000000"/>
              <w:left w:val="nil"/>
              <w:bottom w:val="single" w:sz="4" w:space="0" w:color="000000"/>
              <w:right w:val="single" w:sz="4" w:space="0" w:color="000000"/>
            </w:tcBorders>
            <w:vAlign w:val="center"/>
          </w:tcPr>
          <w:p w14:paraId="0977CC81" w14:textId="77777777" w:rsidR="00714B50" w:rsidRDefault="0030138C">
            <w:pPr>
              <w:spacing w:after="0" w:line="240" w:lineRule="auto"/>
              <w:jc w:val="center"/>
              <w:rPr>
                <w:color w:val="000000"/>
                <w:sz w:val="18"/>
                <w:szCs w:val="18"/>
              </w:rPr>
            </w:pPr>
            <w:r>
              <w:rPr>
                <w:color w:val="000000"/>
                <w:sz w:val="18"/>
                <w:szCs w:val="18"/>
              </w:rPr>
              <w:t>12.731</w:t>
            </w:r>
          </w:p>
        </w:tc>
        <w:tc>
          <w:tcPr>
            <w:tcW w:w="1045" w:type="dxa"/>
            <w:tcBorders>
              <w:top w:val="single" w:sz="4" w:space="0" w:color="000000"/>
              <w:left w:val="nil"/>
              <w:bottom w:val="single" w:sz="4" w:space="0" w:color="000000"/>
              <w:right w:val="single" w:sz="4" w:space="0" w:color="000000"/>
            </w:tcBorders>
            <w:vAlign w:val="center"/>
          </w:tcPr>
          <w:p w14:paraId="53ED20F7" w14:textId="77777777" w:rsidR="00714B50" w:rsidRDefault="0030138C">
            <w:pPr>
              <w:spacing w:after="0" w:line="240" w:lineRule="auto"/>
              <w:jc w:val="center"/>
              <w:rPr>
                <w:color w:val="000000"/>
                <w:sz w:val="18"/>
                <w:szCs w:val="18"/>
              </w:rPr>
            </w:pPr>
            <w:r>
              <w:rPr>
                <w:color w:val="000000"/>
                <w:sz w:val="18"/>
                <w:szCs w:val="18"/>
              </w:rPr>
              <w:t>0.49477</w:t>
            </w:r>
          </w:p>
        </w:tc>
        <w:tc>
          <w:tcPr>
            <w:tcW w:w="1111" w:type="dxa"/>
            <w:tcBorders>
              <w:top w:val="single" w:sz="4" w:space="0" w:color="000000"/>
              <w:left w:val="nil"/>
              <w:bottom w:val="single" w:sz="4" w:space="0" w:color="000000"/>
              <w:right w:val="single" w:sz="4" w:space="0" w:color="000000"/>
            </w:tcBorders>
            <w:vAlign w:val="center"/>
          </w:tcPr>
          <w:p w14:paraId="4B169519" w14:textId="77777777" w:rsidR="00714B50" w:rsidRDefault="0030138C">
            <w:pPr>
              <w:spacing w:after="0" w:line="240" w:lineRule="auto"/>
              <w:jc w:val="center"/>
              <w:rPr>
                <w:color w:val="000000"/>
                <w:sz w:val="18"/>
                <w:szCs w:val="18"/>
              </w:rPr>
            </w:pPr>
            <w:r>
              <w:rPr>
                <w:color w:val="000000"/>
                <w:sz w:val="18"/>
                <w:szCs w:val="18"/>
              </w:rPr>
              <w:t>0.00009***</w:t>
            </w:r>
          </w:p>
        </w:tc>
      </w:tr>
      <w:tr w:rsidR="00714B50" w14:paraId="4307223E"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317DD02D"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42A81F1F"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single" w:sz="4" w:space="0" w:color="000000"/>
              <w:left w:val="nil"/>
              <w:bottom w:val="single" w:sz="4" w:space="0" w:color="000000"/>
              <w:right w:val="single" w:sz="4" w:space="0" w:color="000000"/>
            </w:tcBorders>
            <w:vAlign w:val="center"/>
          </w:tcPr>
          <w:p w14:paraId="46BEBAC2" w14:textId="77777777" w:rsidR="00714B50" w:rsidRDefault="0030138C">
            <w:pPr>
              <w:spacing w:after="0" w:line="240" w:lineRule="auto"/>
              <w:jc w:val="center"/>
              <w:rPr>
                <w:color w:val="000000"/>
                <w:sz w:val="18"/>
                <w:szCs w:val="18"/>
              </w:rPr>
            </w:pPr>
            <w:r>
              <w:rPr>
                <w:color w:val="000000"/>
                <w:sz w:val="18"/>
                <w:szCs w:val="18"/>
              </w:rPr>
              <w:t>13</w:t>
            </w:r>
          </w:p>
        </w:tc>
        <w:tc>
          <w:tcPr>
            <w:tcW w:w="1111" w:type="dxa"/>
            <w:tcBorders>
              <w:top w:val="single" w:sz="4" w:space="0" w:color="000000"/>
              <w:left w:val="nil"/>
              <w:bottom w:val="single" w:sz="4" w:space="0" w:color="000000"/>
              <w:right w:val="single" w:sz="4" w:space="0" w:color="000000"/>
            </w:tcBorders>
            <w:vAlign w:val="center"/>
          </w:tcPr>
          <w:p w14:paraId="1E0F7DCB" w14:textId="77777777" w:rsidR="00714B50" w:rsidRDefault="0030138C">
            <w:pPr>
              <w:spacing w:after="0" w:line="240" w:lineRule="auto"/>
              <w:jc w:val="center"/>
              <w:rPr>
                <w:color w:val="000000"/>
                <w:sz w:val="18"/>
                <w:szCs w:val="18"/>
              </w:rPr>
            </w:pPr>
            <w:r>
              <w:rPr>
                <w:color w:val="000000"/>
                <w:sz w:val="18"/>
                <w:szCs w:val="18"/>
              </w:rPr>
              <w:t>2.0669</w:t>
            </w:r>
          </w:p>
        </w:tc>
        <w:tc>
          <w:tcPr>
            <w:tcW w:w="1045" w:type="dxa"/>
            <w:tcBorders>
              <w:top w:val="single" w:sz="4" w:space="0" w:color="000000"/>
              <w:left w:val="nil"/>
              <w:bottom w:val="single" w:sz="4" w:space="0" w:color="000000"/>
              <w:right w:val="single" w:sz="4" w:space="0" w:color="000000"/>
            </w:tcBorders>
            <w:vAlign w:val="center"/>
          </w:tcPr>
          <w:p w14:paraId="53599C01"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2FC2A23D" w14:textId="77777777" w:rsidR="00714B50" w:rsidRDefault="0030138C">
            <w:pPr>
              <w:spacing w:after="0" w:line="240" w:lineRule="auto"/>
              <w:jc w:val="center"/>
              <w:rPr>
                <w:color w:val="000000"/>
                <w:sz w:val="18"/>
                <w:szCs w:val="18"/>
              </w:rPr>
            </w:pPr>
            <w:r>
              <w:rPr>
                <w:color w:val="000000"/>
                <w:sz w:val="18"/>
                <w:szCs w:val="18"/>
              </w:rPr>
              <w:t>0.50523</w:t>
            </w:r>
          </w:p>
        </w:tc>
        <w:tc>
          <w:tcPr>
            <w:tcW w:w="1111" w:type="dxa"/>
            <w:tcBorders>
              <w:top w:val="single" w:sz="4" w:space="0" w:color="000000"/>
              <w:left w:val="nil"/>
              <w:bottom w:val="single" w:sz="4" w:space="0" w:color="000000"/>
              <w:right w:val="single" w:sz="4" w:space="0" w:color="000000"/>
            </w:tcBorders>
            <w:vAlign w:val="center"/>
          </w:tcPr>
          <w:p w14:paraId="58D6C9C3" w14:textId="77777777" w:rsidR="00714B50" w:rsidRDefault="00714B50">
            <w:pPr>
              <w:spacing w:after="0" w:line="240" w:lineRule="auto"/>
              <w:jc w:val="center"/>
              <w:rPr>
                <w:color w:val="000000"/>
                <w:sz w:val="18"/>
                <w:szCs w:val="18"/>
              </w:rPr>
            </w:pPr>
          </w:p>
        </w:tc>
      </w:tr>
      <w:tr w:rsidR="00714B50" w14:paraId="29CFC04F"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03B98DA7"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007BED14"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2D42CE97" w14:textId="77777777" w:rsidR="00714B50" w:rsidRDefault="0030138C">
            <w:pPr>
              <w:spacing w:after="0" w:line="240" w:lineRule="auto"/>
              <w:jc w:val="center"/>
              <w:rPr>
                <w:color w:val="000000"/>
                <w:sz w:val="18"/>
                <w:szCs w:val="18"/>
              </w:rPr>
            </w:pPr>
            <w:r>
              <w:rPr>
                <w:color w:val="000000"/>
                <w:sz w:val="18"/>
                <w:szCs w:val="18"/>
              </w:rPr>
              <w:t>14</w:t>
            </w:r>
          </w:p>
        </w:tc>
        <w:tc>
          <w:tcPr>
            <w:tcW w:w="1111" w:type="dxa"/>
            <w:tcBorders>
              <w:top w:val="single" w:sz="4" w:space="0" w:color="000000"/>
              <w:left w:val="nil"/>
              <w:bottom w:val="single" w:sz="4" w:space="0" w:color="000000"/>
              <w:right w:val="single" w:sz="4" w:space="0" w:color="000000"/>
            </w:tcBorders>
            <w:vAlign w:val="center"/>
          </w:tcPr>
          <w:p w14:paraId="76FC44C7" w14:textId="77777777" w:rsidR="00714B50" w:rsidRDefault="0030138C">
            <w:pPr>
              <w:spacing w:after="0" w:line="240" w:lineRule="auto"/>
              <w:jc w:val="center"/>
              <w:rPr>
                <w:color w:val="000000"/>
                <w:sz w:val="18"/>
                <w:szCs w:val="18"/>
              </w:rPr>
            </w:pPr>
            <w:r>
              <w:rPr>
                <w:color w:val="000000"/>
                <w:sz w:val="18"/>
                <w:szCs w:val="18"/>
              </w:rPr>
              <w:t>4.091</w:t>
            </w:r>
          </w:p>
        </w:tc>
        <w:tc>
          <w:tcPr>
            <w:tcW w:w="1045" w:type="dxa"/>
            <w:tcBorders>
              <w:top w:val="single" w:sz="4" w:space="0" w:color="000000"/>
              <w:left w:val="nil"/>
              <w:bottom w:val="single" w:sz="4" w:space="0" w:color="000000"/>
              <w:right w:val="single" w:sz="4" w:space="0" w:color="000000"/>
            </w:tcBorders>
            <w:vAlign w:val="center"/>
          </w:tcPr>
          <w:p w14:paraId="46E78E66"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3C4ECA47"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35B2DCDC" w14:textId="77777777" w:rsidR="00714B50" w:rsidRDefault="00714B50">
            <w:pPr>
              <w:spacing w:after="0" w:line="240" w:lineRule="auto"/>
              <w:jc w:val="center"/>
              <w:rPr>
                <w:color w:val="000000"/>
                <w:sz w:val="18"/>
                <w:szCs w:val="18"/>
              </w:rPr>
            </w:pPr>
          </w:p>
        </w:tc>
      </w:tr>
      <w:tr w:rsidR="00714B50" w14:paraId="573B7964"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22116F1E" w14:textId="77777777" w:rsidR="00714B50" w:rsidRDefault="0030138C">
            <w:pPr>
              <w:spacing w:after="0" w:line="240" w:lineRule="auto"/>
              <w:rPr>
                <w:color w:val="000000"/>
                <w:sz w:val="18"/>
                <w:szCs w:val="18"/>
              </w:rPr>
            </w:pPr>
            <w:r>
              <w:rPr>
                <w:color w:val="000000"/>
                <w:sz w:val="18"/>
                <w:szCs w:val="18"/>
              </w:rPr>
              <w:t>Between settlers on CCA and CCA</w:t>
            </w:r>
          </w:p>
        </w:tc>
        <w:tc>
          <w:tcPr>
            <w:tcW w:w="1134" w:type="dxa"/>
            <w:tcBorders>
              <w:top w:val="single" w:sz="4" w:space="0" w:color="000000"/>
              <w:left w:val="nil"/>
              <w:bottom w:val="single" w:sz="4" w:space="0" w:color="000000"/>
              <w:right w:val="single" w:sz="4" w:space="0" w:color="000000"/>
            </w:tcBorders>
            <w:vAlign w:val="center"/>
          </w:tcPr>
          <w:p w14:paraId="11E09244"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single" w:sz="4" w:space="0" w:color="000000"/>
              <w:left w:val="nil"/>
              <w:bottom w:val="single" w:sz="4" w:space="0" w:color="000000"/>
              <w:right w:val="single" w:sz="4" w:space="0" w:color="000000"/>
            </w:tcBorders>
            <w:vAlign w:val="center"/>
          </w:tcPr>
          <w:p w14:paraId="6F57EF4D"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1B844A72" w14:textId="77777777" w:rsidR="00714B50" w:rsidRDefault="0030138C">
            <w:pPr>
              <w:spacing w:after="0" w:line="240" w:lineRule="auto"/>
              <w:jc w:val="center"/>
              <w:rPr>
                <w:color w:val="000000"/>
                <w:sz w:val="18"/>
                <w:szCs w:val="18"/>
              </w:rPr>
            </w:pPr>
            <w:r>
              <w:rPr>
                <w:color w:val="000000"/>
                <w:sz w:val="18"/>
                <w:szCs w:val="18"/>
              </w:rPr>
              <w:t>1.3075</w:t>
            </w:r>
          </w:p>
        </w:tc>
        <w:tc>
          <w:tcPr>
            <w:tcW w:w="1045" w:type="dxa"/>
            <w:tcBorders>
              <w:top w:val="single" w:sz="4" w:space="0" w:color="000000"/>
              <w:left w:val="nil"/>
              <w:bottom w:val="single" w:sz="4" w:space="0" w:color="000000"/>
              <w:right w:val="single" w:sz="4" w:space="0" w:color="000000"/>
            </w:tcBorders>
            <w:vAlign w:val="center"/>
          </w:tcPr>
          <w:p w14:paraId="3D28B96D" w14:textId="77777777" w:rsidR="00714B50" w:rsidRDefault="0030138C">
            <w:pPr>
              <w:spacing w:after="0" w:line="240" w:lineRule="auto"/>
              <w:jc w:val="center"/>
              <w:rPr>
                <w:color w:val="000000"/>
                <w:sz w:val="18"/>
                <w:szCs w:val="18"/>
              </w:rPr>
            </w:pPr>
            <w:r>
              <w:rPr>
                <w:color w:val="000000"/>
                <w:sz w:val="18"/>
                <w:szCs w:val="18"/>
              </w:rPr>
              <w:t>4.1603</w:t>
            </w:r>
          </w:p>
        </w:tc>
        <w:tc>
          <w:tcPr>
            <w:tcW w:w="1045" w:type="dxa"/>
            <w:tcBorders>
              <w:top w:val="single" w:sz="4" w:space="0" w:color="000000"/>
              <w:left w:val="nil"/>
              <w:bottom w:val="single" w:sz="4" w:space="0" w:color="000000"/>
              <w:right w:val="single" w:sz="4" w:space="0" w:color="000000"/>
            </w:tcBorders>
            <w:vAlign w:val="center"/>
          </w:tcPr>
          <w:p w14:paraId="5E5E6569" w14:textId="77777777" w:rsidR="00714B50" w:rsidRDefault="0030138C">
            <w:pPr>
              <w:spacing w:after="0" w:line="240" w:lineRule="auto"/>
              <w:jc w:val="center"/>
              <w:rPr>
                <w:color w:val="000000"/>
                <w:sz w:val="18"/>
                <w:szCs w:val="18"/>
              </w:rPr>
            </w:pPr>
            <w:r>
              <w:rPr>
                <w:color w:val="000000"/>
                <w:sz w:val="18"/>
                <w:szCs w:val="18"/>
              </w:rPr>
              <w:t>0.24244</w:t>
            </w:r>
          </w:p>
        </w:tc>
        <w:tc>
          <w:tcPr>
            <w:tcW w:w="1111" w:type="dxa"/>
            <w:tcBorders>
              <w:top w:val="single" w:sz="4" w:space="0" w:color="000000"/>
              <w:left w:val="nil"/>
              <w:bottom w:val="single" w:sz="4" w:space="0" w:color="000000"/>
              <w:right w:val="single" w:sz="4" w:space="0" w:color="000000"/>
            </w:tcBorders>
            <w:vAlign w:val="center"/>
          </w:tcPr>
          <w:p w14:paraId="66654CAD" w14:textId="77777777" w:rsidR="00714B50" w:rsidRDefault="0030138C">
            <w:pPr>
              <w:spacing w:after="0" w:line="240" w:lineRule="auto"/>
              <w:jc w:val="center"/>
              <w:rPr>
                <w:color w:val="000000"/>
                <w:sz w:val="18"/>
                <w:szCs w:val="18"/>
              </w:rPr>
            </w:pPr>
            <w:r>
              <w:rPr>
                <w:color w:val="000000"/>
                <w:sz w:val="18"/>
                <w:szCs w:val="18"/>
              </w:rPr>
              <w:t>0.0012**</w:t>
            </w:r>
          </w:p>
        </w:tc>
      </w:tr>
      <w:tr w:rsidR="00714B50" w14:paraId="6164F242"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1FACC46D"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41F84DEF"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single" w:sz="4" w:space="0" w:color="000000"/>
              <w:left w:val="nil"/>
              <w:bottom w:val="single" w:sz="4" w:space="0" w:color="000000"/>
              <w:right w:val="single" w:sz="4" w:space="0" w:color="000000"/>
            </w:tcBorders>
            <w:vAlign w:val="center"/>
          </w:tcPr>
          <w:p w14:paraId="6DD29679" w14:textId="77777777" w:rsidR="00714B50" w:rsidRDefault="0030138C">
            <w:pPr>
              <w:spacing w:after="0" w:line="240" w:lineRule="auto"/>
              <w:jc w:val="center"/>
              <w:rPr>
                <w:color w:val="000000"/>
                <w:sz w:val="18"/>
                <w:szCs w:val="18"/>
              </w:rPr>
            </w:pPr>
            <w:r>
              <w:rPr>
                <w:color w:val="000000"/>
                <w:sz w:val="18"/>
                <w:szCs w:val="18"/>
              </w:rPr>
              <w:t>13</w:t>
            </w:r>
          </w:p>
        </w:tc>
        <w:tc>
          <w:tcPr>
            <w:tcW w:w="1111" w:type="dxa"/>
            <w:tcBorders>
              <w:top w:val="single" w:sz="4" w:space="0" w:color="000000"/>
              <w:left w:val="nil"/>
              <w:bottom w:val="single" w:sz="4" w:space="0" w:color="000000"/>
              <w:right w:val="single" w:sz="4" w:space="0" w:color="000000"/>
            </w:tcBorders>
            <w:vAlign w:val="center"/>
          </w:tcPr>
          <w:p w14:paraId="42E39931" w14:textId="77777777" w:rsidR="00714B50" w:rsidRDefault="0030138C">
            <w:pPr>
              <w:spacing w:after="0" w:line="240" w:lineRule="auto"/>
              <w:jc w:val="center"/>
              <w:rPr>
                <w:color w:val="000000"/>
                <w:sz w:val="18"/>
                <w:szCs w:val="18"/>
              </w:rPr>
            </w:pPr>
            <w:r>
              <w:rPr>
                <w:color w:val="000000"/>
                <w:sz w:val="18"/>
                <w:szCs w:val="18"/>
              </w:rPr>
              <w:t>4.0856</w:t>
            </w:r>
          </w:p>
        </w:tc>
        <w:tc>
          <w:tcPr>
            <w:tcW w:w="1045" w:type="dxa"/>
            <w:tcBorders>
              <w:top w:val="single" w:sz="4" w:space="0" w:color="000000"/>
              <w:left w:val="nil"/>
              <w:bottom w:val="single" w:sz="4" w:space="0" w:color="000000"/>
              <w:right w:val="single" w:sz="4" w:space="0" w:color="000000"/>
            </w:tcBorders>
            <w:vAlign w:val="center"/>
          </w:tcPr>
          <w:p w14:paraId="3078C2BF"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23D3D9FA" w14:textId="77777777" w:rsidR="00714B50" w:rsidRDefault="0030138C">
            <w:pPr>
              <w:spacing w:after="0" w:line="240" w:lineRule="auto"/>
              <w:jc w:val="center"/>
              <w:rPr>
                <w:color w:val="000000"/>
                <w:sz w:val="18"/>
                <w:szCs w:val="18"/>
              </w:rPr>
            </w:pPr>
            <w:r>
              <w:rPr>
                <w:color w:val="000000"/>
                <w:sz w:val="18"/>
                <w:szCs w:val="18"/>
              </w:rPr>
              <w:t>0.75756</w:t>
            </w:r>
          </w:p>
        </w:tc>
        <w:tc>
          <w:tcPr>
            <w:tcW w:w="1111" w:type="dxa"/>
            <w:tcBorders>
              <w:top w:val="single" w:sz="4" w:space="0" w:color="000000"/>
              <w:left w:val="nil"/>
              <w:bottom w:val="single" w:sz="4" w:space="0" w:color="000000"/>
              <w:right w:val="single" w:sz="4" w:space="0" w:color="000000"/>
            </w:tcBorders>
            <w:vAlign w:val="center"/>
          </w:tcPr>
          <w:p w14:paraId="115E1554" w14:textId="77777777" w:rsidR="00714B50" w:rsidRDefault="00714B50">
            <w:pPr>
              <w:spacing w:after="0" w:line="240" w:lineRule="auto"/>
              <w:jc w:val="center"/>
              <w:rPr>
                <w:color w:val="000000"/>
                <w:sz w:val="18"/>
                <w:szCs w:val="18"/>
              </w:rPr>
            </w:pPr>
          </w:p>
        </w:tc>
      </w:tr>
      <w:tr w:rsidR="00714B50" w14:paraId="09F580AB"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78AEB766"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61BEB3B2"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6C00A660" w14:textId="77777777" w:rsidR="00714B50" w:rsidRDefault="0030138C">
            <w:pPr>
              <w:spacing w:after="0" w:line="240" w:lineRule="auto"/>
              <w:jc w:val="center"/>
              <w:rPr>
                <w:color w:val="000000"/>
                <w:sz w:val="18"/>
                <w:szCs w:val="18"/>
              </w:rPr>
            </w:pPr>
            <w:r>
              <w:rPr>
                <w:color w:val="000000"/>
                <w:sz w:val="18"/>
                <w:szCs w:val="18"/>
              </w:rPr>
              <w:t>14</w:t>
            </w:r>
          </w:p>
        </w:tc>
        <w:tc>
          <w:tcPr>
            <w:tcW w:w="1111" w:type="dxa"/>
            <w:tcBorders>
              <w:top w:val="single" w:sz="4" w:space="0" w:color="000000"/>
              <w:left w:val="nil"/>
              <w:bottom w:val="single" w:sz="4" w:space="0" w:color="000000"/>
              <w:right w:val="single" w:sz="4" w:space="0" w:color="000000"/>
            </w:tcBorders>
            <w:vAlign w:val="center"/>
          </w:tcPr>
          <w:p w14:paraId="6FFBB499" w14:textId="77777777" w:rsidR="00714B50" w:rsidRDefault="0030138C">
            <w:pPr>
              <w:spacing w:after="0" w:line="240" w:lineRule="auto"/>
              <w:jc w:val="center"/>
              <w:rPr>
                <w:color w:val="000000"/>
                <w:sz w:val="18"/>
                <w:szCs w:val="18"/>
              </w:rPr>
            </w:pPr>
            <w:r>
              <w:rPr>
                <w:color w:val="000000"/>
                <w:sz w:val="18"/>
                <w:szCs w:val="18"/>
              </w:rPr>
              <w:t>5.3931</w:t>
            </w:r>
          </w:p>
        </w:tc>
        <w:tc>
          <w:tcPr>
            <w:tcW w:w="1045" w:type="dxa"/>
            <w:tcBorders>
              <w:top w:val="single" w:sz="4" w:space="0" w:color="000000"/>
              <w:left w:val="nil"/>
              <w:bottom w:val="single" w:sz="4" w:space="0" w:color="000000"/>
              <w:right w:val="single" w:sz="4" w:space="0" w:color="000000"/>
            </w:tcBorders>
            <w:vAlign w:val="center"/>
          </w:tcPr>
          <w:p w14:paraId="264C3803"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550D8A41"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037DBE2D" w14:textId="77777777" w:rsidR="00714B50" w:rsidRDefault="00714B50">
            <w:pPr>
              <w:spacing w:after="0" w:line="240" w:lineRule="auto"/>
              <w:jc w:val="center"/>
              <w:rPr>
                <w:color w:val="000000"/>
                <w:sz w:val="18"/>
                <w:szCs w:val="18"/>
              </w:rPr>
            </w:pPr>
          </w:p>
        </w:tc>
      </w:tr>
      <w:tr w:rsidR="00714B50" w14:paraId="41FE6478"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2A55DC11" w14:textId="77777777" w:rsidR="00714B50" w:rsidRDefault="0030138C">
            <w:pPr>
              <w:spacing w:after="0" w:line="240" w:lineRule="auto"/>
              <w:rPr>
                <w:color w:val="000000"/>
                <w:sz w:val="18"/>
                <w:szCs w:val="18"/>
              </w:rPr>
            </w:pPr>
            <w:r>
              <w:rPr>
                <w:color w:val="000000"/>
                <w:sz w:val="18"/>
                <w:szCs w:val="18"/>
              </w:rPr>
              <w:t>Between settlers on CCA and settlers on the aquarium</w:t>
            </w:r>
          </w:p>
        </w:tc>
        <w:tc>
          <w:tcPr>
            <w:tcW w:w="1134" w:type="dxa"/>
            <w:tcBorders>
              <w:top w:val="single" w:sz="4" w:space="0" w:color="000000"/>
              <w:left w:val="nil"/>
              <w:bottom w:val="single" w:sz="4" w:space="0" w:color="000000"/>
              <w:right w:val="single" w:sz="4" w:space="0" w:color="000000"/>
            </w:tcBorders>
            <w:vAlign w:val="center"/>
          </w:tcPr>
          <w:p w14:paraId="3AE837A4" w14:textId="77777777" w:rsidR="00714B50" w:rsidRDefault="0030138C">
            <w:pPr>
              <w:spacing w:after="0" w:line="240" w:lineRule="auto"/>
              <w:rPr>
                <w:color w:val="000000"/>
                <w:sz w:val="18"/>
                <w:szCs w:val="18"/>
              </w:rPr>
            </w:pPr>
            <w:r>
              <w:rPr>
                <w:color w:val="000000"/>
                <w:sz w:val="18"/>
                <w:szCs w:val="18"/>
              </w:rPr>
              <w:t>Model</w:t>
            </w:r>
          </w:p>
        </w:tc>
        <w:tc>
          <w:tcPr>
            <w:tcW w:w="1312" w:type="dxa"/>
            <w:tcBorders>
              <w:top w:val="single" w:sz="4" w:space="0" w:color="000000"/>
              <w:left w:val="nil"/>
              <w:bottom w:val="single" w:sz="4" w:space="0" w:color="000000"/>
              <w:right w:val="single" w:sz="4" w:space="0" w:color="000000"/>
            </w:tcBorders>
            <w:vAlign w:val="center"/>
          </w:tcPr>
          <w:p w14:paraId="79AB62A5"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3EF44C80" w14:textId="77777777" w:rsidR="00714B50" w:rsidRDefault="0030138C">
            <w:pPr>
              <w:spacing w:after="0" w:line="240" w:lineRule="auto"/>
              <w:jc w:val="center"/>
              <w:rPr>
                <w:color w:val="000000"/>
                <w:sz w:val="18"/>
                <w:szCs w:val="18"/>
              </w:rPr>
            </w:pPr>
            <w:r>
              <w:rPr>
                <w:color w:val="000000"/>
                <w:sz w:val="18"/>
                <w:szCs w:val="18"/>
              </w:rPr>
              <w:t>1.7234</w:t>
            </w:r>
          </w:p>
        </w:tc>
        <w:tc>
          <w:tcPr>
            <w:tcW w:w="1045" w:type="dxa"/>
            <w:tcBorders>
              <w:top w:val="single" w:sz="4" w:space="0" w:color="000000"/>
              <w:left w:val="nil"/>
              <w:bottom w:val="single" w:sz="4" w:space="0" w:color="000000"/>
              <w:right w:val="single" w:sz="4" w:space="0" w:color="000000"/>
            </w:tcBorders>
            <w:vAlign w:val="center"/>
          </w:tcPr>
          <w:p w14:paraId="3D27AE61" w14:textId="77777777" w:rsidR="00714B50" w:rsidRDefault="0030138C">
            <w:pPr>
              <w:spacing w:after="0" w:line="240" w:lineRule="auto"/>
              <w:jc w:val="center"/>
              <w:rPr>
                <w:color w:val="000000"/>
                <w:sz w:val="18"/>
                <w:szCs w:val="18"/>
              </w:rPr>
            </w:pPr>
            <w:r>
              <w:rPr>
                <w:color w:val="000000"/>
                <w:sz w:val="18"/>
                <w:szCs w:val="18"/>
              </w:rPr>
              <w:t>7.0024</w:t>
            </w:r>
          </w:p>
        </w:tc>
        <w:tc>
          <w:tcPr>
            <w:tcW w:w="1045" w:type="dxa"/>
            <w:tcBorders>
              <w:top w:val="single" w:sz="4" w:space="0" w:color="000000"/>
              <w:left w:val="nil"/>
              <w:bottom w:val="single" w:sz="4" w:space="0" w:color="000000"/>
              <w:right w:val="single" w:sz="4" w:space="0" w:color="000000"/>
            </w:tcBorders>
            <w:vAlign w:val="center"/>
          </w:tcPr>
          <w:p w14:paraId="36599DF3" w14:textId="77777777" w:rsidR="00714B50" w:rsidRDefault="0030138C">
            <w:pPr>
              <w:spacing w:after="0" w:line="240" w:lineRule="auto"/>
              <w:jc w:val="center"/>
              <w:rPr>
                <w:color w:val="000000"/>
                <w:sz w:val="18"/>
                <w:szCs w:val="18"/>
              </w:rPr>
            </w:pPr>
            <w:r>
              <w:rPr>
                <w:color w:val="000000"/>
                <w:sz w:val="18"/>
                <w:szCs w:val="18"/>
              </w:rPr>
              <w:t>0.25933</w:t>
            </w:r>
          </w:p>
        </w:tc>
        <w:tc>
          <w:tcPr>
            <w:tcW w:w="1111" w:type="dxa"/>
            <w:tcBorders>
              <w:top w:val="single" w:sz="4" w:space="0" w:color="000000"/>
              <w:left w:val="nil"/>
              <w:bottom w:val="single" w:sz="4" w:space="0" w:color="000000"/>
              <w:right w:val="single" w:sz="4" w:space="0" w:color="000000"/>
            </w:tcBorders>
            <w:vAlign w:val="center"/>
          </w:tcPr>
          <w:p w14:paraId="270D3D88" w14:textId="77777777" w:rsidR="00714B50" w:rsidRDefault="0030138C">
            <w:pPr>
              <w:spacing w:after="0" w:line="240" w:lineRule="auto"/>
              <w:jc w:val="center"/>
              <w:rPr>
                <w:color w:val="000000"/>
                <w:sz w:val="18"/>
                <w:szCs w:val="18"/>
              </w:rPr>
            </w:pPr>
            <w:r>
              <w:rPr>
                <w:color w:val="000000"/>
                <w:sz w:val="18"/>
                <w:szCs w:val="18"/>
              </w:rPr>
              <w:t>0.00001***</w:t>
            </w:r>
          </w:p>
        </w:tc>
      </w:tr>
      <w:tr w:rsidR="00714B50" w14:paraId="4C79B3BC"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5761362B"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47680303" w14:textId="77777777" w:rsidR="00714B50" w:rsidRDefault="0030138C">
            <w:pPr>
              <w:spacing w:after="0" w:line="240" w:lineRule="auto"/>
              <w:rPr>
                <w:color w:val="000000"/>
                <w:sz w:val="18"/>
                <w:szCs w:val="18"/>
              </w:rPr>
            </w:pPr>
            <w:r>
              <w:rPr>
                <w:color w:val="000000"/>
                <w:sz w:val="18"/>
                <w:szCs w:val="18"/>
              </w:rPr>
              <w:t>Residuals</w:t>
            </w:r>
          </w:p>
        </w:tc>
        <w:tc>
          <w:tcPr>
            <w:tcW w:w="1312" w:type="dxa"/>
            <w:tcBorders>
              <w:top w:val="single" w:sz="4" w:space="0" w:color="000000"/>
              <w:left w:val="nil"/>
              <w:bottom w:val="single" w:sz="4" w:space="0" w:color="000000"/>
              <w:right w:val="single" w:sz="4" w:space="0" w:color="000000"/>
            </w:tcBorders>
            <w:vAlign w:val="center"/>
          </w:tcPr>
          <w:p w14:paraId="7C485970" w14:textId="77777777" w:rsidR="00714B50" w:rsidRDefault="0030138C">
            <w:pPr>
              <w:spacing w:after="0" w:line="240" w:lineRule="auto"/>
              <w:jc w:val="center"/>
              <w:rPr>
                <w:color w:val="000000"/>
                <w:sz w:val="18"/>
                <w:szCs w:val="18"/>
              </w:rPr>
            </w:pPr>
            <w:r>
              <w:rPr>
                <w:color w:val="000000"/>
                <w:sz w:val="18"/>
                <w:szCs w:val="18"/>
              </w:rPr>
              <w:t>20</w:t>
            </w:r>
          </w:p>
        </w:tc>
        <w:tc>
          <w:tcPr>
            <w:tcW w:w="1111" w:type="dxa"/>
            <w:tcBorders>
              <w:top w:val="single" w:sz="4" w:space="0" w:color="000000"/>
              <w:left w:val="nil"/>
              <w:bottom w:val="single" w:sz="4" w:space="0" w:color="000000"/>
              <w:right w:val="single" w:sz="4" w:space="0" w:color="000000"/>
            </w:tcBorders>
            <w:vAlign w:val="center"/>
          </w:tcPr>
          <w:p w14:paraId="7E9C053C" w14:textId="77777777" w:rsidR="00714B50" w:rsidRDefault="0030138C">
            <w:pPr>
              <w:spacing w:after="0" w:line="240" w:lineRule="auto"/>
              <w:jc w:val="center"/>
              <w:rPr>
                <w:color w:val="000000"/>
                <w:sz w:val="18"/>
                <w:szCs w:val="18"/>
              </w:rPr>
            </w:pPr>
            <w:r>
              <w:rPr>
                <w:color w:val="000000"/>
                <w:sz w:val="18"/>
                <w:szCs w:val="18"/>
              </w:rPr>
              <w:t>4.9222</w:t>
            </w:r>
          </w:p>
        </w:tc>
        <w:tc>
          <w:tcPr>
            <w:tcW w:w="1045" w:type="dxa"/>
            <w:tcBorders>
              <w:top w:val="single" w:sz="4" w:space="0" w:color="000000"/>
              <w:left w:val="nil"/>
              <w:bottom w:val="single" w:sz="4" w:space="0" w:color="000000"/>
              <w:right w:val="single" w:sz="4" w:space="0" w:color="000000"/>
            </w:tcBorders>
            <w:vAlign w:val="center"/>
          </w:tcPr>
          <w:p w14:paraId="4281D033"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091D02AE" w14:textId="77777777" w:rsidR="00714B50" w:rsidRDefault="0030138C">
            <w:pPr>
              <w:spacing w:after="0" w:line="240" w:lineRule="auto"/>
              <w:jc w:val="center"/>
              <w:rPr>
                <w:color w:val="000000"/>
                <w:sz w:val="18"/>
                <w:szCs w:val="18"/>
              </w:rPr>
            </w:pPr>
            <w:r>
              <w:rPr>
                <w:color w:val="000000"/>
                <w:sz w:val="18"/>
                <w:szCs w:val="18"/>
              </w:rPr>
              <w:t>0.74067</w:t>
            </w:r>
          </w:p>
        </w:tc>
        <w:tc>
          <w:tcPr>
            <w:tcW w:w="1111" w:type="dxa"/>
            <w:tcBorders>
              <w:top w:val="single" w:sz="4" w:space="0" w:color="000000"/>
              <w:left w:val="nil"/>
              <w:bottom w:val="single" w:sz="4" w:space="0" w:color="000000"/>
              <w:right w:val="single" w:sz="4" w:space="0" w:color="000000"/>
            </w:tcBorders>
            <w:vAlign w:val="center"/>
          </w:tcPr>
          <w:p w14:paraId="38FC91FF" w14:textId="77777777" w:rsidR="00714B50" w:rsidRDefault="00714B50">
            <w:pPr>
              <w:spacing w:after="0" w:line="240" w:lineRule="auto"/>
              <w:jc w:val="center"/>
              <w:rPr>
                <w:color w:val="000000"/>
                <w:sz w:val="18"/>
                <w:szCs w:val="18"/>
              </w:rPr>
            </w:pPr>
          </w:p>
        </w:tc>
      </w:tr>
      <w:tr w:rsidR="00714B50" w14:paraId="41A47D76" w14:textId="77777777">
        <w:trPr>
          <w:trHeight w:val="325"/>
        </w:trPr>
        <w:tc>
          <w:tcPr>
            <w:tcW w:w="2557" w:type="dxa"/>
            <w:tcBorders>
              <w:top w:val="single" w:sz="4" w:space="0" w:color="000000"/>
              <w:left w:val="single" w:sz="4" w:space="0" w:color="000000"/>
              <w:bottom w:val="single" w:sz="4" w:space="0" w:color="000000"/>
              <w:right w:val="single" w:sz="4" w:space="0" w:color="000000"/>
            </w:tcBorders>
            <w:vAlign w:val="bottom"/>
          </w:tcPr>
          <w:p w14:paraId="73F113CD" w14:textId="77777777" w:rsidR="00714B50" w:rsidRDefault="00714B50">
            <w:pPr>
              <w:spacing w:after="0" w:line="240" w:lineRule="auto"/>
              <w:rPr>
                <w:color w:val="000000"/>
                <w:sz w:val="18"/>
                <w:szCs w:val="18"/>
              </w:rPr>
            </w:pPr>
          </w:p>
        </w:tc>
        <w:tc>
          <w:tcPr>
            <w:tcW w:w="1134" w:type="dxa"/>
            <w:tcBorders>
              <w:top w:val="single" w:sz="4" w:space="0" w:color="000000"/>
              <w:left w:val="nil"/>
              <w:bottom w:val="single" w:sz="4" w:space="0" w:color="000000"/>
              <w:right w:val="single" w:sz="4" w:space="0" w:color="000000"/>
            </w:tcBorders>
            <w:vAlign w:val="center"/>
          </w:tcPr>
          <w:p w14:paraId="02919DE1" w14:textId="77777777" w:rsidR="00714B50" w:rsidRDefault="0030138C">
            <w:pPr>
              <w:spacing w:after="0" w:line="240" w:lineRule="auto"/>
              <w:rPr>
                <w:color w:val="000000"/>
                <w:sz w:val="18"/>
                <w:szCs w:val="18"/>
              </w:rPr>
            </w:pPr>
            <w:r>
              <w:rPr>
                <w:color w:val="000000"/>
                <w:sz w:val="18"/>
                <w:szCs w:val="18"/>
              </w:rPr>
              <w:t>Total</w:t>
            </w:r>
          </w:p>
        </w:tc>
        <w:tc>
          <w:tcPr>
            <w:tcW w:w="1312" w:type="dxa"/>
            <w:tcBorders>
              <w:top w:val="single" w:sz="4" w:space="0" w:color="000000"/>
              <w:left w:val="nil"/>
              <w:bottom w:val="single" w:sz="4" w:space="0" w:color="000000"/>
              <w:right w:val="single" w:sz="4" w:space="0" w:color="000000"/>
            </w:tcBorders>
            <w:vAlign w:val="center"/>
          </w:tcPr>
          <w:p w14:paraId="276284B3" w14:textId="77777777" w:rsidR="00714B50" w:rsidRDefault="0030138C">
            <w:pPr>
              <w:spacing w:after="0" w:line="240" w:lineRule="auto"/>
              <w:jc w:val="center"/>
              <w:rPr>
                <w:color w:val="000000"/>
                <w:sz w:val="18"/>
                <w:szCs w:val="18"/>
              </w:rPr>
            </w:pPr>
            <w:r>
              <w:rPr>
                <w:color w:val="000000"/>
                <w:sz w:val="18"/>
                <w:szCs w:val="18"/>
              </w:rPr>
              <w:t>21</w:t>
            </w:r>
          </w:p>
        </w:tc>
        <w:tc>
          <w:tcPr>
            <w:tcW w:w="1111" w:type="dxa"/>
            <w:tcBorders>
              <w:top w:val="single" w:sz="4" w:space="0" w:color="000000"/>
              <w:left w:val="nil"/>
              <w:bottom w:val="single" w:sz="4" w:space="0" w:color="000000"/>
              <w:right w:val="single" w:sz="4" w:space="0" w:color="000000"/>
            </w:tcBorders>
            <w:vAlign w:val="center"/>
          </w:tcPr>
          <w:p w14:paraId="09899735" w14:textId="77777777" w:rsidR="00714B50" w:rsidRDefault="0030138C">
            <w:pPr>
              <w:spacing w:after="0" w:line="240" w:lineRule="auto"/>
              <w:jc w:val="center"/>
              <w:rPr>
                <w:color w:val="000000"/>
                <w:sz w:val="18"/>
                <w:szCs w:val="18"/>
              </w:rPr>
            </w:pPr>
            <w:r>
              <w:rPr>
                <w:color w:val="000000"/>
                <w:sz w:val="18"/>
                <w:szCs w:val="18"/>
              </w:rPr>
              <w:t>6.6455</w:t>
            </w:r>
          </w:p>
        </w:tc>
        <w:tc>
          <w:tcPr>
            <w:tcW w:w="1045" w:type="dxa"/>
            <w:tcBorders>
              <w:top w:val="single" w:sz="4" w:space="0" w:color="000000"/>
              <w:left w:val="nil"/>
              <w:bottom w:val="single" w:sz="4" w:space="0" w:color="000000"/>
              <w:right w:val="single" w:sz="4" w:space="0" w:color="000000"/>
            </w:tcBorders>
            <w:vAlign w:val="center"/>
          </w:tcPr>
          <w:p w14:paraId="7E7A7E01" w14:textId="77777777" w:rsidR="00714B50" w:rsidRDefault="00714B50">
            <w:pPr>
              <w:spacing w:after="0" w:line="240" w:lineRule="auto"/>
              <w:jc w:val="center"/>
              <w:rPr>
                <w:color w:val="000000"/>
                <w:sz w:val="18"/>
                <w:szCs w:val="18"/>
              </w:rPr>
            </w:pPr>
          </w:p>
        </w:tc>
        <w:tc>
          <w:tcPr>
            <w:tcW w:w="1045" w:type="dxa"/>
            <w:tcBorders>
              <w:top w:val="single" w:sz="4" w:space="0" w:color="000000"/>
              <w:left w:val="nil"/>
              <w:bottom w:val="single" w:sz="4" w:space="0" w:color="000000"/>
              <w:right w:val="single" w:sz="4" w:space="0" w:color="000000"/>
            </w:tcBorders>
            <w:vAlign w:val="center"/>
          </w:tcPr>
          <w:p w14:paraId="3C40DD95" w14:textId="77777777" w:rsidR="00714B50" w:rsidRDefault="0030138C">
            <w:pPr>
              <w:spacing w:after="0" w:line="240" w:lineRule="auto"/>
              <w:jc w:val="center"/>
              <w:rPr>
                <w:color w:val="000000"/>
                <w:sz w:val="18"/>
                <w:szCs w:val="18"/>
              </w:rPr>
            </w:pPr>
            <w:r>
              <w:rPr>
                <w:color w:val="000000"/>
                <w:sz w:val="18"/>
                <w:szCs w:val="18"/>
              </w:rPr>
              <w:t>1</w:t>
            </w:r>
          </w:p>
        </w:tc>
        <w:tc>
          <w:tcPr>
            <w:tcW w:w="1111" w:type="dxa"/>
            <w:tcBorders>
              <w:top w:val="single" w:sz="4" w:space="0" w:color="000000"/>
              <w:left w:val="nil"/>
              <w:bottom w:val="single" w:sz="4" w:space="0" w:color="000000"/>
              <w:right w:val="single" w:sz="4" w:space="0" w:color="000000"/>
            </w:tcBorders>
            <w:vAlign w:val="center"/>
          </w:tcPr>
          <w:p w14:paraId="1F81624A" w14:textId="77777777" w:rsidR="00714B50" w:rsidRDefault="00714B50">
            <w:pPr>
              <w:spacing w:after="0" w:line="240" w:lineRule="auto"/>
              <w:jc w:val="center"/>
              <w:rPr>
                <w:color w:val="000000"/>
                <w:sz w:val="18"/>
                <w:szCs w:val="18"/>
              </w:rPr>
            </w:pPr>
          </w:p>
        </w:tc>
      </w:tr>
    </w:tbl>
    <w:p w14:paraId="5E6DE3C5" w14:textId="77777777" w:rsidR="00714B50" w:rsidRDefault="00714B50">
      <w:pPr>
        <w:spacing w:after="0" w:line="276" w:lineRule="auto"/>
      </w:pPr>
    </w:p>
    <w:p w14:paraId="38C7D67B" w14:textId="77777777" w:rsidR="00714B50" w:rsidRDefault="00714B50"/>
    <w:p w14:paraId="657C0552" w14:textId="77777777" w:rsidR="00714B50" w:rsidRDefault="0030138C">
      <w:pPr>
        <w:rPr>
          <w:sz w:val="28"/>
          <w:szCs w:val="28"/>
        </w:rPr>
      </w:pPr>
      <w:r>
        <w:rPr>
          <w:sz w:val="28"/>
          <w:szCs w:val="28"/>
        </w:rPr>
        <w:t>References</w:t>
      </w:r>
    </w:p>
    <w:p w14:paraId="61E5166B" w14:textId="77777777" w:rsidR="00714B50" w:rsidRDefault="0030138C">
      <w:r w:rsidRPr="00C82916">
        <w:t>Acosta‐González,</w:t>
      </w:r>
      <w:r w:rsidRPr="00C82916">
        <w:rPr>
          <w:highlight w:val="white"/>
        </w:rPr>
        <w:t xml:space="preserve"> A., </w:t>
      </w:r>
      <w:proofErr w:type="spellStart"/>
      <w:r w:rsidRPr="00C82916">
        <w:rPr>
          <w:highlight w:val="white"/>
        </w:rPr>
        <w:t>Rosselló‐Móra</w:t>
      </w:r>
      <w:proofErr w:type="spellEnd"/>
      <w:r w:rsidRPr="00C82916">
        <w:rPr>
          <w:highlight w:val="white"/>
        </w:rPr>
        <w:t xml:space="preserve">, R., &amp; Marqués, S. (2013). </w:t>
      </w:r>
      <w:r>
        <w:rPr>
          <w:highlight w:val="white"/>
        </w:rPr>
        <w:t xml:space="preserve">Characterization of the anaerobic microbial community in oil‐polluted subtidal sediments: aromatic biodegradation potential after the Prestige oil spill. </w:t>
      </w:r>
      <w:r>
        <w:rPr>
          <w:i/>
        </w:rPr>
        <w:t>Environmental microbiology</w:t>
      </w:r>
      <w:r>
        <w:t xml:space="preserve">, </w:t>
      </w:r>
      <w:r>
        <w:rPr>
          <w:i/>
        </w:rPr>
        <w:t>15</w:t>
      </w:r>
      <w:r>
        <w:t>(1), 77-92. doi:10.1111/j.1462-2920.2012.02782.x</w:t>
      </w:r>
    </w:p>
    <w:p w14:paraId="2C99FBD6" w14:textId="77777777" w:rsidR="00714B50" w:rsidRDefault="0030138C">
      <w:proofErr w:type="spellStart"/>
      <w:r>
        <w:rPr>
          <w:highlight w:val="white"/>
        </w:rPr>
        <w:t>Agogué</w:t>
      </w:r>
      <w:proofErr w:type="spellEnd"/>
      <w:r>
        <w:rPr>
          <w:highlight w:val="white"/>
        </w:rPr>
        <w:t xml:space="preserve">, H., </w:t>
      </w:r>
      <w:proofErr w:type="spellStart"/>
      <w:r>
        <w:rPr>
          <w:highlight w:val="white"/>
        </w:rPr>
        <w:t>Casamayor</w:t>
      </w:r>
      <w:proofErr w:type="spellEnd"/>
      <w:r>
        <w:rPr>
          <w:highlight w:val="white"/>
        </w:rPr>
        <w:t xml:space="preserve">, E. O., </w:t>
      </w:r>
      <w:proofErr w:type="spellStart"/>
      <w:r>
        <w:rPr>
          <w:highlight w:val="white"/>
        </w:rPr>
        <w:t>Bourrain</w:t>
      </w:r>
      <w:proofErr w:type="spellEnd"/>
      <w:r>
        <w:rPr>
          <w:highlight w:val="white"/>
        </w:rPr>
        <w:t xml:space="preserve">, M., </w:t>
      </w:r>
      <w:proofErr w:type="spellStart"/>
      <w:r>
        <w:rPr>
          <w:highlight w:val="white"/>
        </w:rPr>
        <w:t>Obernosterer</w:t>
      </w:r>
      <w:proofErr w:type="spellEnd"/>
      <w:r>
        <w:rPr>
          <w:highlight w:val="white"/>
        </w:rPr>
        <w:t xml:space="preserve">, I., </w:t>
      </w:r>
      <w:proofErr w:type="spellStart"/>
      <w:r>
        <w:rPr>
          <w:highlight w:val="white"/>
        </w:rPr>
        <w:t>Joux</w:t>
      </w:r>
      <w:proofErr w:type="spellEnd"/>
      <w:r>
        <w:rPr>
          <w:highlight w:val="white"/>
        </w:rPr>
        <w:t xml:space="preserve">, F., </w:t>
      </w:r>
      <w:proofErr w:type="spellStart"/>
      <w:r>
        <w:rPr>
          <w:highlight w:val="white"/>
        </w:rPr>
        <w:t>Herndl</w:t>
      </w:r>
      <w:proofErr w:type="spellEnd"/>
      <w:r>
        <w:rPr>
          <w:highlight w:val="white"/>
        </w:rPr>
        <w:t xml:space="preserve">, G. J., &amp; </w:t>
      </w:r>
      <w:proofErr w:type="spellStart"/>
      <w:r>
        <w:rPr>
          <w:highlight w:val="white"/>
        </w:rPr>
        <w:t>Lebaron</w:t>
      </w:r>
      <w:proofErr w:type="spellEnd"/>
      <w:r>
        <w:rPr>
          <w:highlight w:val="white"/>
        </w:rPr>
        <w:t xml:space="preserve">, P. (2005). A survey on bacteria inhabiting the sea surface microlayer of coastal ecosystems. </w:t>
      </w:r>
      <w:r>
        <w:rPr>
          <w:i/>
        </w:rPr>
        <w:t>FEMS microbiology ecology</w:t>
      </w:r>
      <w:r>
        <w:t xml:space="preserve">, </w:t>
      </w:r>
      <w:r>
        <w:rPr>
          <w:i/>
        </w:rPr>
        <w:t>54</w:t>
      </w:r>
      <w:r>
        <w:t xml:space="preserve">(2), 269-280. </w:t>
      </w:r>
      <w:proofErr w:type="spellStart"/>
      <w:r>
        <w:t>doi</w:t>
      </w:r>
      <w:proofErr w:type="spellEnd"/>
      <w:r>
        <w:t>: 10.1016/j.femsec.2005.04.002.</w:t>
      </w:r>
    </w:p>
    <w:p w14:paraId="2A5F08FA" w14:textId="77777777" w:rsidR="00714B50" w:rsidRDefault="0030138C">
      <w:pPr>
        <w:spacing w:before="0" w:after="240"/>
        <w:rPr>
          <w:i/>
        </w:rPr>
      </w:pPr>
      <w:proofErr w:type="spellStart"/>
      <w:r>
        <w:rPr>
          <w:highlight w:val="white"/>
        </w:rPr>
        <w:t>Athanasiadis</w:t>
      </w:r>
      <w:proofErr w:type="spellEnd"/>
      <w:r>
        <w:rPr>
          <w:highlight w:val="white"/>
        </w:rPr>
        <w:t xml:space="preserve">, A., &amp; Ballantine, D. L. (2024). </w:t>
      </w:r>
      <w:r>
        <w:t xml:space="preserve">Anatomy and Classification of the </w:t>
      </w:r>
      <w:proofErr w:type="spellStart"/>
      <w:r>
        <w:t>Mesophyllaceae</w:t>
      </w:r>
      <w:proofErr w:type="spellEnd"/>
      <w:r>
        <w:t xml:space="preserve"> (</w:t>
      </w:r>
      <w:proofErr w:type="spellStart"/>
      <w:r>
        <w:t>corallinales</w:t>
      </w:r>
      <w:proofErr w:type="spellEnd"/>
      <w:r>
        <w:t xml:space="preserve">, Rhodophyta), Based on Phylogenetic Principles. </w:t>
      </w:r>
      <w:r>
        <w:rPr>
          <w:i/>
        </w:rPr>
        <w:t>Smithsonian Institution Scholarly Press.</w:t>
      </w:r>
    </w:p>
    <w:p w14:paraId="1AE81632" w14:textId="77777777" w:rsidR="00714B50" w:rsidRDefault="0030138C">
      <w:r>
        <w:rPr>
          <w:highlight w:val="white"/>
        </w:rPr>
        <w:t xml:space="preserve">Barco, R. A., Hoffman, C. L., Ramírez, G. A., Toner, B. M., Edwards, K. J., &amp; Sylvan, J. B. (2017). In‐situ incubation of iron‐sulfur mineral reveals a diverse chemolithoautotrophic community and a new biogeochemical role for </w:t>
      </w:r>
      <w:proofErr w:type="spellStart"/>
      <w:r>
        <w:rPr>
          <w:highlight w:val="white"/>
        </w:rPr>
        <w:t>Thiomicrospira</w:t>
      </w:r>
      <w:proofErr w:type="spellEnd"/>
      <w:r>
        <w:rPr>
          <w:highlight w:val="white"/>
        </w:rPr>
        <w:t xml:space="preserve">. </w:t>
      </w:r>
      <w:r>
        <w:rPr>
          <w:i/>
        </w:rPr>
        <w:t>Environmental microbiology</w:t>
      </w:r>
      <w:r>
        <w:t xml:space="preserve">, </w:t>
      </w:r>
      <w:r>
        <w:rPr>
          <w:i/>
        </w:rPr>
        <w:t>19</w:t>
      </w:r>
      <w:r>
        <w:t xml:space="preserve">(3), 1322-1337.doi:10.1111/1462-2920.13666. </w:t>
      </w:r>
    </w:p>
    <w:p w14:paraId="54A8388E" w14:textId="77777777" w:rsidR="00714B50" w:rsidRDefault="0030138C">
      <w:r>
        <w:rPr>
          <w:highlight w:val="white"/>
        </w:rPr>
        <w:t xml:space="preserve">Bayer, T., Neave, M. J., </w:t>
      </w:r>
      <w:proofErr w:type="spellStart"/>
      <w:r>
        <w:rPr>
          <w:highlight w:val="white"/>
        </w:rPr>
        <w:t>Alsheikh</w:t>
      </w:r>
      <w:proofErr w:type="spellEnd"/>
      <w:r>
        <w:rPr>
          <w:highlight w:val="white"/>
        </w:rPr>
        <w:t xml:space="preserve">-Hussain, A., Aranda, M., Yum, L. K., Mincer, T., ... &amp; </w:t>
      </w:r>
      <w:proofErr w:type="spellStart"/>
      <w:r>
        <w:rPr>
          <w:highlight w:val="white"/>
        </w:rPr>
        <w:t>Voolstra</w:t>
      </w:r>
      <w:proofErr w:type="spellEnd"/>
      <w:r>
        <w:rPr>
          <w:highlight w:val="white"/>
        </w:rPr>
        <w:t xml:space="preserve">, C. R. (2013). The microbiome of the Red Sea coral </w:t>
      </w:r>
      <w:proofErr w:type="spellStart"/>
      <w:r>
        <w:rPr>
          <w:i/>
          <w:highlight w:val="white"/>
        </w:rPr>
        <w:t>Stylophora</w:t>
      </w:r>
      <w:proofErr w:type="spellEnd"/>
      <w:r>
        <w:rPr>
          <w:i/>
          <w:highlight w:val="white"/>
        </w:rPr>
        <w:t xml:space="preserve"> </w:t>
      </w:r>
      <w:proofErr w:type="spellStart"/>
      <w:r>
        <w:rPr>
          <w:i/>
          <w:highlight w:val="white"/>
        </w:rPr>
        <w:t>pistillata</w:t>
      </w:r>
      <w:proofErr w:type="spellEnd"/>
      <w:r>
        <w:rPr>
          <w:highlight w:val="white"/>
        </w:rPr>
        <w:t xml:space="preserve"> is dominated by tissue-associated </w:t>
      </w:r>
      <w:proofErr w:type="spellStart"/>
      <w:r>
        <w:rPr>
          <w:highlight w:val="white"/>
        </w:rPr>
        <w:t>Endozoicomonas</w:t>
      </w:r>
      <w:proofErr w:type="spellEnd"/>
      <w:r>
        <w:rPr>
          <w:highlight w:val="white"/>
        </w:rPr>
        <w:t xml:space="preserve"> bacteria. </w:t>
      </w:r>
      <w:r>
        <w:rPr>
          <w:i/>
        </w:rPr>
        <w:t>Applied and environmental microbiology</w:t>
      </w:r>
      <w:r>
        <w:t xml:space="preserve">, </w:t>
      </w:r>
      <w:r>
        <w:rPr>
          <w:i/>
        </w:rPr>
        <w:t>79</w:t>
      </w:r>
      <w:r>
        <w:t xml:space="preserve">(15), 4759-4762. </w:t>
      </w:r>
      <w:proofErr w:type="spellStart"/>
      <w:r>
        <w:t>doi</w:t>
      </w:r>
      <w:proofErr w:type="spellEnd"/>
      <w:r>
        <w:t xml:space="preserve">: 10.1128/AEM.00695-13. </w:t>
      </w:r>
    </w:p>
    <w:p w14:paraId="548E88DC" w14:textId="77777777" w:rsidR="00714B50" w:rsidRDefault="0030138C">
      <w:pPr>
        <w:spacing w:before="0" w:after="240"/>
      </w:pPr>
      <w:r>
        <w:rPr>
          <w:highlight w:val="white"/>
        </w:rPr>
        <w:t xml:space="preserve">Bessette, S., </w:t>
      </w:r>
      <w:proofErr w:type="spellStart"/>
      <w:r>
        <w:rPr>
          <w:highlight w:val="white"/>
        </w:rPr>
        <w:t>Fagervold</w:t>
      </w:r>
      <w:proofErr w:type="spellEnd"/>
      <w:r>
        <w:rPr>
          <w:highlight w:val="white"/>
        </w:rPr>
        <w:t xml:space="preserve">, S. K., Romano, C., Martin, D., Bris, N. L., &amp; </w:t>
      </w:r>
      <w:proofErr w:type="spellStart"/>
      <w:r>
        <w:rPr>
          <w:highlight w:val="white"/>
        </w:rPr>
        <w:t>Galand</w:t>
      </w:r>
      <w:proofErr w:type="spellEnd"/>
      <w:r>
        <w:rPr>
          <w:highlight w:val="white"/>
        </w:rPr>
        <w:t xml:space="preserve">, P. E. (2014). Diversity of bacterial communities on sunken woods in the Mediterranean Sea. </w:t>
      </w:r>
      <w:r>
        <w:rPr>
          <w:i/>
        </w:rPr>
        <w:t>Journal of Marine Science and Technology</w:t>
      </w:r>
      <w:r>
        <w:t xml:space="preserve">, </w:t>
      </w:r>
      <w:r>
        <w:rPr>
          <w:i/>
        </w:rPr>
        <w:t>22</w:t>
      </w:r>
      <w:r>
        <w:t xml:space="preserve">(1), 7. </w:t>
      </w:r>
      <w:proofErr w:type="spellStart"/>
      <w:r>
        <w:t>doi</w:t>
      </w:r>
      <w:proofErr w:type="spellEnd"/>
      <w:r>
        <w:t>: 10.6119/JMST-013-0829-2</w:t>
      </w:r>
    </w:p>
    <w:p w14:paraId="7B2541A0" w14:textId="77777777" w:rsidR="00714B50" w:rsidRDefault="0030138C">
      <w:pPr>
        <w:spacing w:before="0" w:after="240"/>
        <w:rPr>
          <w:sz w:val="28"/>
          <w:szCs w:val="28"/>
        </w:rPr>
      </w:pPr>
      <w:r>
        <w:rPr>
          <w:color w:val="222222"/>
          <w:highlight w:val="white"/>
        </w:rPr>
        <w:t xml:space="preserve">Blanchet, E., Prado, S., </w:t>
      </w:r>
      <w:proofErr w:type="spellStart"/>
      <w:r>
        <w:rPr>
          <w:color w:val="222222"/>
          <w:highlight w:val="white"/>
        </w:rPr>
        <w:t>Stien</w:t>
      </w:r>
      <w:proofErr w:type="spellEnd"/>
      <w:r>
        <w:rPr>
          <w:color w:val="222222"/>
          <w:highlight w:val="white"/>
        </w:rPr>
        <w:t xml:space="preserve">, D., Oliveira da Silva, J., </w:t>
      </w:r>
      <w:proofErr w:type="spellStart"/>
      <w:r>
        <w:rPr>
          <w:color w:val="222222"/>
          <w:highlight w:val="white"/>
        </w:rPr>
        <w:t>Ferandin</w:t>
      </w:r>
      <w:proofErr w:type="spellEnd"/>
      <w:r>
        <w:rPr>
          <w:color w:val="222222"/>
          <w:highlight w:val="white"/>
        </w:rPr>
        <w:t xml:space="preserve">, Y., </w:t>
      </w:r>
      <w:proofErr w:type="spellStart"/>
      <w:r>
        <w:rPr>
          <w:color w:val="222222"/>
          <w:highlight w:val="white"/>
        </w:rPr>
        <w:t>Batailler</w:t>
      </w:r>
      <w:proofErr w:type="spellEnd"/>
      <w:r>
        <w:rPr>
          <w:color w:val="222222"/>
          <w:highlight w:val="white"/>
        </w:rPr>
        <w:t xml:space="preserve">, N., ... &amp; </w:t>
      </w:r>
      <w:proofErr w:type="spellStart"/>
      <w:r>
        <w:rPr>
          <w:color w:val="222222"/>
          <w:highlight w:val="white"/>
        </w:rPr>
        <w:t>Lami</w:t>
      </w:r>
      <w:proofErr w:type="spellEnd"/>
      <w:r>
        <w:rPr>
          <w:color w:val="222222"/>
          <w:highlight w:val="white"/>
        </w:rPr>
        <w:t xml:space="preserve">, R. (2017). Quorum sensing and quorum quenching in the Mediterranean seagrass Posidonia </w:t>
      </w:r>
      <w:proofErr w:type="spellStart"/>
      <w:r>
        <w:rPr>
          <w:color w:val="222222"/>
          <w:highlight w:val="white"/>
        </w:rPr>
        <w:t>oceanica</w:t>
      </w:r>
      <w:proofErr w:type="spellEnd"/>
      <w:r>
        <w:rPr>
          <w:color w:val="222222"/>
          <w:highlight w:val="white"/>
        </w:rPr>
        <w:t xml:space="preserve"> microbiota. </w:t>
      </w:r>
      <w:r>
        <w:rPr>
          <w:i/>
          <w:color w:val="222222"/>
          <w:highlight w:val="white"/>
        </w:rPr>
        <w:t>Frontiers in Marine Science</w:t>
      </w:r>
      <w:r>
        <w:rPr>
          <w:color w:val="222222"/>
          <w:highlight w:val="white"/>
        </w:rPr>
        <w:t xml:space="preserve">, </w:t>
      </w:r>
      <w:r>
        <w:rPr>
          <w:i/>
          <w:color w:val="222222"/>
          <w:highlight w:val="white"/>
        </w:rPr>
        <w:t>4</w:t>
      </w:r>
      <w:r>
        <w:rPr>
          <w:color w:val="222222"/>
          <w:highlight w:val="white"/>
        </w:rPr>
        <w:t xml:space="preserve">, 218. </w:t>
      </w:r>
      <w:hyperlink r:id="rId18">
        <w:r>
          <w:t>doi.org/10.3389/fmars.2017.00218</w:t>
        </w:r>
      </w:hyperlink>
    </w:p>
    <w:p w14:paraId="5D991862" w14:textId="3BEBEBA8" w:rsidR="001716B5" w:rsidRPr="00C82916" w:rsidRDefault="0030138C">
      <w:r>
        <w:rPr>
          <w:highlight w:val="white"/>
        </w:rPr>
        <w:t xml:space="preserve">Broom, J. E., Hart, D. R., Farr, T. J., Nelson, W. A., Neill, K. F., Harvey, A. S., &amp; </w:t>
      </w:r>
      <w:proofErr w:type="spellStart"/>
      <w:r>
        <w:rPr>
          <w:highlight w:val="white"/>
        </w:rPr>
        <w:t>Woelkerling</w:t>
      </w:r>
      <w:proofErr w:type="spellEnd"/>
      <w:r>
        <w:rPr>
          <w:highlight w:val="white"/>
        </w:rPr>
        <w:t xml:space="preserve">, W. J. (2008). Utility of </w:t>
      </w:r>
      <w:proofErr w:type="spellStart"/>
      <w:r>
        <w:rPr>
          <w:highlight w:val="white"/>
        </w:rPr>
        <w:t>psbA</w:t>
      </w:r>
      <w:proofErr w:type="spellEnd"/>
      <w:r>
        <w:rPr>
          <w:highlight w:val="white"/>
        </w:rPr>
        <w:t xml:space="preserve"> and </w:t>
      </w:r>
      <w:proofErr w:type="spellStart"/>
      <w:r>
        <w:rPr>
          <w:highlight w:val="white"/>
        </w:rPr>
        <w:t>nSSU</w:t>
      </w:r>
      <w:proofErr w:type="spellEnd"/>
      <w:r>
        <w:rPr>
          <w:highlight w:val="white"/>
        </w:rPr>
        <w:t xml:space="preserve"> for phylogenetic reconstruction in the </w:t>
      </w:r>
      <w:proofErr w:type="spellStart"/>
      <w:r>
        <w:rPr>
          <w:highlight w:val="white"/>
        </w:rPr>
        <w:t>Corallinales</w:t>
      </w:r>
      <w:proofErr w:type="spellEnd"/>
      <w:r>
        <w:rPr>
          <w:highlight w:val="white"/>
        </w:rPr>
        <w:t xml:space="preserve"> based on New Zealand taxa. </w:t>
      </w:r>
      <w:r>
        <w:rPr>
          <w:i/>
        </w:rPr>
        <w:t>Molecular phylogenetics and evolution</w:t>
      </w:r>
      <w:r>
        <w:t xml:space="preserve">, </w:t>
      </w:r>
      <w:r>
        <w:rPr>
          <w:i/>
        </w:rPr>
        <w:t>46</w:t>
      </w:r>
      <w:r>
        <w:t>(3), 958-973. doi:10.1016/j.ympev.2007.12.016</w:t>
      </w:r>
    </w:p>
    <w:p w14:paraId="24124C93" w14:textId="77777777" w:rsidR="00714B50" w:rsidRPr="00C82916" w:rsidRDefault="0030138C">
      <w:pPr>
        <w:spacing w:before="0" w:after="240"/>
      </w:pPr>
      <w:proofErr w:type="spellStart"/>
      <w:r w:rsidRPr="00C82916">
        <w:rPr>
          <w:highlight w:val="white"/>
        </w:rPr>
        <w:t>Couradeau</w:t>
      </w:r>
      <w:proofErr w:type="spellEnd"/>
      <w:r w:rsidRPr="00C82916">
        <w:rPr>
          <w:highlight w:val="white"/>
        </w:rPr>
        <w:t xml:space="preserve">, E., Roush, D., </w:t>
      </w:r>
      <w:proofErr w:type="spellStart"/>
      <w:r w:rsidRPr="00C82916">
        <w:rPr>
          <w:highlight w:val="white"/>
        </w:rPr>
        <w:t>Guida</w:t>
      </w:r>
      <w:proofErr w:type="spellEnd"/>
      <w:r w:rsidRPr="00C82916">
        <w:rPr>
          <w:highlight w:val="white"/>
        </w:rPr>
        <w:t>, B. S., &amp; Garcia-</w:t>
      </w:r>
      <w:proofErr w:type="spellStart"/>
      <w:r w:rsidRPr="00C82916">
        <w:rPr>
          <w:highlight w:val="white"/>
        </w:rPr>
        <w:t>Pichel</w:t>
      </w:r>
      <w:proofErr w:type="spellEnd"/>
      <w:r w:rsidRPr="00C82916">
        <w:rPr>
          <w:highlight w:val="white"/>
        </w:rPr>
        <w:t xml:space="preserve">, F. (2017). </w:t>
      </w:r>
      <w:r>
        <w:rPr>
          <w:highlight w:val="white"/>
        </w:rPr>
        <w:t xml:space="preserve">Diversity and mineral substrate preference in endolithic microbial communities from marine intertidal outcrops (Isla de Mona, Puerto Rico). </w:t>
      </w:r>
      <w:proofErr w:type="spellStart"/>
      <w:r w:rsidRPr="00C82916">
        <w:rPr>
          <w:i/>
        </w:rPr>
        <w:t>Biogeosciences</w:t>
      </w:r>
      <w:proofErr w:type="spellEnd"/>
      <w:r w:rsidRPr="00C82916">
        <w:t xml:space="preserve">, </w:t>
      </w:r>
      <w:r w:rsidRPr="00C82916">
        <w:rPr>
          <w:i/>
        </w:rPr>
        <w:t>14</w:t>
      </w:r>
      <w:r w:rsidRPr="00C82916">
        <w:t>(2), 311-324. doi:10.5194/bg-2016-254, 2016</w:t>
      </w:r>
    </w:p>
    <w:p w14:paraId="6D107991" w14:textId="77777777" w:rsidR="00714B50" w:rsidRDefault="0030138C">
      <w:pPr>
        <w:spacing w:before="0" w:after="240"/>
      </w:pPr>
      <w:proofErr w:type="spellStart"/>
      <w:r w:rsidRPr="00C82916">
        <w:t>D’ambrosio</w:t>
      </w:r>
      <w:proofErr w:type="spellEnd"/>
      <w:r w:rsidRPr="00C82916">
        <w:t>,</w:t>
      </w:r>
      <w:r w:rsidRPr="00C82916">
        <w:rPr>
          <w:highlight w:val="white"/>
        </w:rPr>
        <w:t xml:space="preserve"> L., Ziervogel, K., MacGregor, B., </w:t>
      </w:r>
      <w:proofErr w:type="spellStart"/>
      <w:r w:rsidRPr="00C82916">
        <w:rPr>
          <w:highlight w:val="white"/>
        </w:rPr>
        <w:t>Teske</w:t>
      </w:r>
      <w:proofErr w:type="spellEnd"/>
      <w:r w:rsidRPr="00C82916">
        <w:rPr>
          <w:highlight w:val="white"/>
        </w:rPr>
        <w:t xml:space="preserve">, A., &amp; </w:t>
      </w:r>
      <w:proofErr w:type="spellStart"/>
      <w:r w:rsidRPr="00C82916">
        <w:rPr>
          <w:highlight w:val="white"/>
        </w:rPr>
        <w:t>Arnosti</w:t>
      </w:r>
      <w:proofErr w:type="spellEnd"/>
      <w:r w:rsidRPr="00C82916">
        <w:rPr>
          <w:highlight w:val="white"/>
        </w:rPr>
        <w:t xml:space="preserve">, C. (2014). </w:t>
      </w:r>
      <w:r>
        <w:rPr>
          <w:highlight w:val="white"/>
        </w:rPr>
        <w:t xml:space="preserve">Composition and enzymatic function of particle-associated and free-living bacteria: a coastal/offshore comparison. </w:t>
      </w:r>
      <w:r>
        <w:rPr>
          <w:i/>
        </w:rPr>
        <w:t>The ISME journal</w:t>
      </w:r>
      <w:r>
        <w:t xml:space="preserve">, </w:t>
      </w:r>
      <w:r>
        <w:rPr>
          <w:i/>
        </w:rPr>
        <w:t>8</w:t>
      </w:r>
      <w:r>
        <w:t xml:space="preserve">(11), 2167-2179. doi:10.1038/ismej.2014.67. </w:t>
      </w:r>
    </w:p>
    <w:p w14:paraId="2C14AB89" w14:textId="77777777" w:rsidR="00714B50" w:rsidRDefault="0030138C">
      <w:r>
        <w:rPr>
          <w:highlight w:val="white"/>
        </w:rPr>
        <w:t xml:space="preserve">Dang, H., &amp; Lovell, C. R. (2002). Numerical dominance and phylotype diversity of marine </w:t>
      </w:r>
      <w:proofErr w:type="spellStart"/>
      <w:r>
        <w:rPr>
          <w:highlight w:val="white"/>
        </w:rPr>
        <w:t>Rhodobacter</w:t>
      </w:r>
      <w:proofErr w:type="spellEnd"/>
      <w:r>
        <w:rPr>
          <w:highlight w:val="white"/>
        </w:rPr>
        <w:t xml:space="preserve"> species during early colonization of submerged surfaces in coastal marine waters as determined by 16S ribosomal DNA sequence analysis and fluorescence in situ hybridization. </w:t>
      </w:r>
      <w:r>
        <w:rPr>
          <w:i/>
        </w:rPr>
        <w:t>Applied and environmental microbiology</w:t>
      </w:r>
      <w:r>
        <w:t xml:space="preserve">, </w:t>
      </w:r>
      <w:r>
        <w:rPr>
          <w:i/>
        </w:rPr>
        <w:t>68</w:t>
      </w:r>
      <w:r>
        <w:t xml:space="preserve">(2), 496-504. doi:10.1128/AEM.68.2.496-504.2002. </w:t>
      </w:r>
    </w:p>
    <w:p w14:paraId="300563FD" w14:textId="77777777" w:rsidR="00714B50" w:rsidRDefault="0030138C">
      <w:r w:rsidRPr="007F3A24">
        <w:rPr>
          <w:lang w:val="fr-FR"/>
        </w:rPr>
        <w:t xml:space="preserve">De </w:t>
      </w:r>
      <w:proofErr w:type="spellStart"/>
      <w:r w:rsidRPr="007F3A24">
        <w:rPr>
          <w:lang w:val="fr-FR"/>
        </w:rPr>
        <w:t>Jode</w:t>
      </w:r>
      <w:proofErr w:type="spellEnd"/>
      <w:r w:rsidRPr="007F3A24">
        <w:rPr>
          <w:lang w:val="fr-FR"/>
        </w:rPr>
        <w:t>,</w:t>
      </w:r>
      <w:r w:rsidRPr="007F3A24">
        <w:rPr>
          <w:highlight w:val="white"/>
          <w:lang w:val="fr-FR"/>
        </w:rPr>
        <w:t xml:space="preserve"> A., David, R., </w:t>
      </w:r>
      <w:proofErr w:type="spellStart"/>
      <w:r w:rsidRPr="007F3A24">
        <w:rPr>
          <w:highlight w:val="white"/>
          <w:lang w:val="fr-FR"/>
        </w:rPr>
        <w:t>Haguenauer</w:t>
      </w:r>
      <w:proofErr w:type="spellEnd"/>
      <w:r w:rsidRPr="007F3A24">
        <w:rPr>
          <w:highlight w:val="white"/>
          <w:lang w:val="fr-FR"/>
        </w:rPr>
        <w:t xml:space="preserve">, A., </w:t>
      </w:r>
      <w:proofErr w:type="spellStart"/>
      <w:r w:rsidRPr="007F3A24">
        <w:rPr>
          <w:highlight w:val="white"/>
          <w:lang w:val="fr-FR"/>
        </w:rPr>
        <w:t>Cahill</w:t>
      </w:r>
      <w:proofErr w:type="spellEnd"/>
      <w:r w:rsidRPr="007F3A24">
        <w:rPr>
          <w:highlight w:val="white"/>
          <w:lang w:val="fr-FR"/>
        </w:rPr>
        <w:t xml:space="preserve">, A. E., Erga, Z., Guillemain, D., ... </w:t>
      </w:r>
      <w:r>
        <w:rPr>
          <w:highlight w:val="white"/>
        </w:rPr>
        <w:t xml:space="preserve">&amp; </w:t>
      </w:r>
      <w:proofErr w:type="spellStart"/>
      <w:r>
        <w:rPr>
          <w:highlight w:val="white"/>
        </w:rPr>
        <w:t>Chenuil</w:t>
      </w:r>
      <w:proofErr w:type="spellEnd"/>
      <w:r>
        <w:rPr>
          <w:highlight w:val="white"/>
        </w:rPr>
        <w:t xml:space="preserve">, A. (2019). From seascape ecology to population genomics and back. Spatial and ecological differentiation among cryptic species of the red algae </w:t>
      </w:r>
      <w:proofErr w:type="spellStart"/>
      <w:r>
        <w:rPr>
          <w:i/>
          <w:highlight w:val="white"/>
        </w:rPr>
        <w:t>Lithophyllum</w:t>
      </w:r>
      <w:proofErr w:type="spellEnd"/>
      <w:r>
        <w:rPr>
          <w:i/>
          <w:highlight w:val="white"/>
        </w:rPr>
        <w:t xml:space="preserve"> </w:t>
      </w:r>
      <w:proofErr w:type="spellStart"/>
      <w:r>
        <w:rPr>
          <w:i/>
          <w:highlight w:val="white"/>
        </w:rPr>
        <w:t>stictiforme</w:t>
      </w:r>
      <w:proofErr w:type="spellEnd"/>
      <w:r>
        <w:rPr>
          <w:i/>
          <w:highlight w:val="white"/>
        </w:rPr>
        <w:t xml:space="preserve">/L. </w:t>
      </w:r>
      <w:proofErr w:type="spellStart"/>
      <w:r>
        <w:rPr>
          <w:i/>
          <w:highlight w:val="white"/>
        </w:rPr>
        <w:t>cabiochiae</w:t>
      </w:r>
      <w:proofErr w:type="spellEnd"/>
      <w:r>
        <w:rPr>
          <w:highlight w:val="white"/>
        </w:rPr>
        <w:t xml:space="preserve">, main </w:t>
      </w:r>
      <w:proofErr w:type="spellStart"/>
      <w:r>
        <w:rPr>
          <w:highlight w:val="white"/>
        </w:rPr>
        <w:t>bioconstructors</w:t>
      </w:r>
      <w:proofErr w:type="spellEnd"/>
      <w:r>
        <w:rPr>
          <w:highlight w:val="white"/>
        </w:rPr>
        <w:t xml:space="preserve"> of </w:t>
      </w:r>
      <w:proofErr w:type="spellStart"/>
      <w:r>
        <w:rPr>
          <w:highlight w:val="white"/>
        </w:rPr>
        <w:t>coralligenous</w:t>
      </w:r>
      <w:proofErr w:type="spellEnd"/>
      <w:r>
        <w:rPr>
          <w:highlight w:val="white"/>
        </w:rPr>
        <w:t xml:space="preserve"> habitats. </w:t>
      </w:r>
      <w:r>
        <w:rPr>
          <w:i/>
        </w:rPr>
        <w:t>Molecular Phylogenetics and Evolution</w:t>
      </w:r>
      <w:r>
        <w:t xml:space="preserve">, </w:t>
      </w:r>
      <w:r>
        <w:rPr>
          <w:i/>
        </w:rPr>
        <w:t>137</w:t>
      </w:r>
      <w:r>
        <w:t>, 104-113.</w:t>
      </w:r>
      <w:hyperlink r:id="rId19">
        <w:r>
          <w:t xml:space="preserve"> doi:10.1016/j.ympev.2019.04.005</w:t>
        </w:r>
      </w:hyperlink>
    </w:p>
    <w:p w14:paraId="59D9A3BF" w14:textId="77777777" w:rsidR="00714B50" w:rsidRDefault="0030138C">
      <w:pPr>
        <w:spacing w:before="0" w:after="240"/>
        <w:rPr>
          <w:highlight w:val="white"/>
        </w:rPr>
      </w:pPr>
      <w:r>
        <w:rPr>
          <w:highlight w:val="white"/>
        </w:rPr>
        <w:t xml:space="preserve">Dickson, A. G., Sabine, C. L., &amp; Christian, J. R. (2007). SOP 3b: Determination of total alkalinity in seawater using an open-cell titration. </w:t>
      </w:r>
      <w:r>
        <w:rPr>
          <w:i/>
          <w:highlight w:val="white"/>
        </w:rPr>
        <w:t>Guide to best practices for ocean CO2 measurements</w:t>
      </w:r>
      <w:r>
        <w:rPr>
          <w:highlight w:val="white"/>
        </w:rPr>
        <w:t xml:space="preserve">, </w:t>
      </w:r>
      <w:r>
        <w:rPr>
          <w:i/>
          <w:highlight w:val="white"/>
        </w:rPr>
        <w:t>3</w:t>
      </w:r>
      <w:r>
        <w:rPr>
          <w:highlight w:val="white"/>
        </w:rPr>
        <w:t>, 1-15.</w:t>
      </w:r>
    </w:p>
    <w:p w14:paraId="0D6BB121" w14:textId="77777777" w:rsidR="00714B50" w:rsidRDefault="0030138C">
      <w:proofErr w:type="spellStart"/>
      <w:r>
        <w:rPr>
          <w:highlight w:val="white"/>
        </w:rPr>
        <w:t>Dishaw</w:t>
      </w:r>
      <w:proofErr w:type="spellEnd"/>
      <w:r>
        <w:rPr>
          <w:highlight w:val="white"/>
        </w:rPr>
        <w:t xml:space="preserve">, L. J., Flores-Torres, J., Lax, S., Gemayel, K., Leigh, B., Melillo, D., ... &amp; Gilbert, J. A. (2014). The gut of geographically disparate </w:t>
      </w:r>
      <w:proofErr w:type="spellStart"/>
      <w:r>
        <w:rPr>
          <w:i/>
        </w:rPr>
        <w:t>Ciona</w:t>
      </w:r>
      <w:proofErr w:type="spellEnd"/>
      <w:r>
        <w:rPr>
          <w:i/>
        </w:rPr>
        <w:t xml:space="preserve"> intestinalis</w:t>
      </w:r>
      <w:r>
        <w:t xml:space="preserve"> harbors a core microbiota. </w:t>
      </w:r>
      <w:proofErr w:type="spellStart"/>
      <w:r>
        <w:rPr>
          <w:i/>
        </w:rPr>
        <w:t>PLoS</w:t>
      </w:r>
      <w:proofErr w:type="spellEnd"/>
      <w:r>
        <w:rPr>
          <w:i/>
        </w:rPr>
        <w:t xml:space="preserve"> One</w:t>
      </w:r>
      <w:r>
        <w:t xml:space="preserve">, </w:t>
      </w:r>
      <w:r>
        <w:rPr>
          <w:i/>
        </w:rPr>
        <w:t>9</w:t>
      </w:r>
      <w:r>
        <w:t xml:space="preserve">(4), e93386. doi:10.1371/journal.pone.0093386. </w:t>
      </w:r>
    </w:p>
    <w:p w14:paraId="7776F130" w14:textId="77777777" w:rsidR="00714B50" w:rsidRPr="00F60377" w:rsidRDefault="0030138C">
      <w:proofErr w:type="spellStart"/>
      <w:r>
        <w:rPr>
          <w:highlight w:val="white"/>
        </w:rPr>
        <w:t>Dittami</w:t>
      </w:r>
      <w:proofErr w:type="spellEnd"/>
      <w:r>
        <w:rPr>
          <w:highlight w:val="white"/>
        </w:rPr>
        <w:t xml:space="preserve">, S. M., </w:t>
      </w:r>
      <w:proofErr w:type="spellStart"/>
      <w:r>
        <w:rPr>
          <w:highlight w:val="white"/>
        </w:rPr>
        <w:t>Barbeyron</w:t>
      </w:r>
      <w:proofErr w:type="spellEnd"/>
      <w:r>
        <w:rPr>
          <w:highlight w:val="white"/>
        </w:rPr>
        <w:t xml:space="preserve">, T., </w:t>
      </w:r>
      <w:proofErr w:type="spellStart"/>
      <w:r>
        <w:rPr>
          <w:highlight w:val="white"/>
        </w:rPr>
        <w:t>Boyen</w:t>
      </w:r>
      <w:proofErr w:type="spellEnd"/>
      <w:r>
        <w:rPr>
          <w:highlight w:val="white"/>
        </w:rPr>
        <w:t xml:space="preserve">, C., </w:t>
      </w:r>
      <w:proofErr w:type="spellStart"/>
      <w:r>
        <w:rPr>
          <w:highlight w:val="white"/>
        </w:rPr>
        <w:t>Cambefort</w:t>
      </w:r>
      <w:proofErr w:type="spellEnd"/>
      <w:r>
        <w:rPr>
          <w:highlight w:val="white"/>
        </w:rPr>
        <w:t xml:space="preserve">, J., Collet, G., Delage, L., ... &amp; </w:t>
      </w:r>
      <w:proofErr w:type="spellStart"/>
      <w:r>
        <w:rPr>
          <w:highlight w:val="white"/>
        </w:rPr>
        <w:t>Tonon</w:t>
      </w:r>
      <w:proofErr w:type="spellEnd"/>
      <w:r>
        <w:rPr>
          <w:highlight w:val="white"/>
        </w:rPr>
        <w:t>, T. (2014). Genome and metabolic network of “</w:t>
      </w:r>
      <w:proofErr w:type="spellStart"/>
      <w:r>
        <w:rPr>
          <w:highlight w:val="white"/>
        </w:rPr>
        <w:t>Candidatus</w:t>
      </w:r>
      <w:proofErr w:type="spellEnd"/>
      <w:r>
        <w:rPr>
          <w:highlight w:val="white"/>
        </w:rPr>
        <w:t xml:space="preserve"> </w:t>
      </w:r>
      <w:proofErr w:type="spellStart"/>
      <w:r>
        <w:rPr>
          <w:highlight w:val="white"/>
        </w:rPr>
        <w:t>Phaeomarinobacter</w:t>
      </w:r>
      <w:proofErr w:type="spellEnd"/>
      <w:r>
        <w:rPr>
          <w:highlight w:val="white"/>
        </w:rPr>
        <w:t xml:space="preserve"> </w:t>
      </w:r>
      <w:proofErr w:type="spellStart"/>
      <w:r>
        <w:rPr>
          <w:highlight w:val="white"/>
        </w:rPr>
        <w:t>ectocarpi</w:t>
      </w:r>
      <w:proofErr w:type="spellEnd"/>
      <w:r>
        <w:rPr>
          <w:highlight w:val="white"/>
        </w:rPr>
        <w:t xml:space="preserve">” Ec32, a new candidate genus of </w:t>
      </w:r>
      <w:proofErr w:type="spellStart"/>
      <w:r>
        <w:rPr>
          <w:highlight w:val="white"/>
        </w:rPr>
        <w:t>Alphaproteobacteria</w:t>
      </w:r>
      <w:proofErr w:type="spellEnd"/>
      <w:r>
        <w:rPr>
          <w:highlight w:val="white"/>
        </w:rPr>
        <w:t xml:space="preserve"> frequently associated with brown algae. </w:t>
      </w:r>
      <w:r w:rsidRPr="00F60377">
        <w:rPr>
          <w:i/>
        </w:rPr>
        <w:t>Frontiers in genetics</w:t>
      </w:r>
      <w:r w:rsidRPr="00F60377">
        <w:t xml:space="preserve">, </w:t>
      </w:r>
      <w:r w:rsidRPr="00F60377">
        <w:rPr>
          <w:i/>
        </w:rPr>
        <w:t>5</w:t>
      </w:r>
      <w:r w:rsidRPr="00F60377">
        <w:t xml:space="preserve">, 241. doi:10.3389/fgene.2014.00241. </w:t>
      </w:r>
    </w:p>
    <w:p w14:paraId="290FB31A" w14:textId="77777777" w:rsidR="00714B50" w:rsidRDefault="0030138C">
      <w:r w:rsidRPr="00F60377">
        <w:t xml:space="preserve">Dittmar, T., Koch, B., </w:t>
      </w:r>
      <w:proofErr w:type="spellStart"/>
      <w:r w:rsidRPr="00F60377">
        <w:t>Hertkorn</w:t>
      </w:r>
      <w:proofErr w:type="spellEnd"/>
      <w:r w:rsidRPr="00F60377">
        <w:t xml:space="preserve">, N., &amp; </w:t>
      </w:r>
      <w:proofErr w:type="spellStart"/>
      <w:r w:rsidRPr="00F60377">
        <w:t>Kattner</w:t>
      </w:r>
      <w:proofErr w:type="spellEnd"/>
      <w:r w:rsidRPr="00F60377">
        <w:t xml:space="preserve">, G. (2008). </w:t>
      </w:r>
      <w:r>
        <w:t xml:space="preserve">A simple and efficient method for the solid‐phase extraction of dissolved organic matter (SPE‐DOM) from seawater. </w:t>
      </w:r>
      <w:r>
        <w:rPr>
          <w:i/>
        </w:rPr>
        <w:t>Limnology and Oceanography: Methods</w:t>
      </w:r>
      <w:r>
        <w:t xml:space="preserve">, </w:t>
      </w:r>
      <w:r>
        <w:rPr>
          <w:i/>
        </w:rPr>
        <w:t>6</w:t>
      </w:r>
      <w:r>
        <w:t>(6), 230-235. doi.org/10.4319/lom.2008.6.230</w:t>
      </w:r>
    </w:p>
    <w:p w14:paraId="5A56BF3D" w14:textId="77777777" w:rsidR="00714B50" w:rsidRDefault="0030138C">
      <w:pPr>
        <w:spacing w:before="0" w:after="240"/>
      </w:pPr>
      <w:r>
        <w:rPr>
          <w:highlight w:val="white"/>
        </w:rPr>
        <w:t xml:space="preserve">D'Onofrio, A., Crawford, J. M., Stewart, E. J., Witt, K., </w:t>
      </w:r>
      <w:proofErr w:type="spellStart"/>
      <w:r>
        <w:rPr>
          <w:highlight w:val="white"/>
        </w:rPr>
        <w:t>Gavrish</w:t>
      </w:r>
      <w:proofErr w:type="spellEnd"/>
      <w:r>
        <w:rPr>
          <w:highlight w:val="white"/>
        </w:rPr>
        <w:t xml:space="preserve">, E., Epstein, S., ... &amp; Lewis, K. (2010). Siderophores from neighboring organisms promote the growth of uncultured bacteria. </w:t>
      </w:r>
      <w:r>
        <w:rPr>
          <w:i/>
        </w:rPr>
        <w:t>Chemistry &amp; biology</w:t>
      </w:r>
      <w:r>
        <w:t xml:space="preserve">, </w:t>
      </w:r>
      <w:r>
        <w:rPr>
          <w:i/>
        </w:rPr>
        <w:t>17</w:t>
      </w:r>
      <w:r>
        <w:t xml:space="preserve">(3), 254-264. </w:t>
      </w:r>
      <w:proofErr w:type="spellStart"/>
      <w:r>
        <w:t>doi</w:t>
      </w:r>
      <w:proofErr w:type="spellEnd"/>
      <w:r>
        <w:t>: 10.1016/j.chembiol.2010.02.010.</w:t>
      </w:r>
    </w:p>
    <w:p w14:paraId="4CF37C59" w14:textId="77777777" w:rsidR="00714B50" w:rsidRDefault="0030138C">
      <w:pPr>
        <w:spacing w:before="0" w:after="240"/>
      </w:pPr>
      <w:r>
        <w:rPr>
          <w:highlight w:val="white"/>
        </w:rPr>
        <w:t>Erwin, P. M., Pita, L., López-</w:t>
      </w:r>
      <w:proofErr w:type="spellStart"/>
      <w:r>
        <w:rPr>
          <w:highlight w:val="white"/>
        </w:rPr>
        <w:t>Legentil</w:t>
      </w:r>
      <w:proofErr w:type="spellEnd"/>
      <w:r>
        <w:rPr>
          <w:highlight w:val="white"/>
        </w:rPr>
        <w:t xml:space="preserve">, S., &amp; </w:t>
      </w:r>
      <w:proofErr w:type="spellStart"/>
      <w:r>
        <w:rPr>
          <w:highlight w:val="white"/>
        </w:rPr>
        <w:t>Turon</w:t>
      </w:r>
      <w:proofErr w:type="spellEnd"/>
      <w:r>
        <w:rPr>
          <w:highlight w:val="white"/>
        </w:rPr>
        <w:t xml:space="preserve">, X. (2012). Stability of sponge-associated bacteria over large seasonal shifts in temperature and irradiance. </w:t>
      </w:r>
      <w:r>
        <w:rPr>
          <w:i/>
        </w:rPr>
        <w:t>Applied and Environmental Microbiology</w:t>
      </w:r>
      <w:r>
        <w:t xml:space="preserve">, </w:t>
      </w:r>
      <w:r>
        <w:rPr>
          <w:i/>
        </w:rPr>
        <w:t>78</w:t>
      </w:r>
      <w:r>
        <w:t xml:space="preserve">(20), 7358-7368. </w:t>
      </w:r>
      <w:proofErr w:type="spellStart"/>
      <w:r>
        <w:t>doi</w:t>
      </w:r>
      <w:proofErr w:type="spellEnd"/>
      <w:r>
        <w:t>: 10.1128/AEM.02035-12.</w:t>
      </w:r>
    </w:p>
    <w:p w14:paraId="33F63F78" w14:textId="77777777" w:rsidR="00714B50" w:rsidRDefault="0030138C">
      <w:pPr>
        <w:spacing w:before="0" w:after="240"/>
        <w:rPr>
          <w:highlight w:val="white"/>
        </w:rPr>
      </w:pPr>
      <w:r>
        <w:rPr>
          <w:highlight w:val="white"/>
        </w:rPr>
        <w:t xml:space="preserve">Esteves, A. I., Amer, N., Nguyen, M., &amp; Thomas, T. (2016). Sample Processing Impacts the Viability and Cultivability of the Sponge Microbiome. </w:t>
      </w:r>
      <w:r>
        <w:rPr>
          <w:i/>
          <w:highlight w:val="white"/>
        </w:rPr>
        <w:t>Frontiers in Microbiology,</w:t>
      </w:r>
      <w:r>
        <w:rPr>
          <w:highlight w:val="white"/>
        </w:rPr>
        <w:t xml:space="preserve"> </w:t>
      </w:r>
      <w:r>
        <w:rPr>
          <w:i/>
          <w:highlight w:val="white"/>
        </w:rPr>
        <w:t>12,</w:t>
      </w:r>
      <w:r>
        <w:rPr>
          <w:highlight w:val="white"/>
        </w:rPr>
        <w:t xml:space="preserve"> 7-499. </w:t>
      </w:r>
      <w:proofErr w:type="spellStart"/>
      <w:r>
        <w:rPr>
          <w:highlight w:val="white"/>
        </w:rPr>
        <w:t>doi</w:t>
      </w:r>
      <w:proofErr w:type="spellEnd"/>
      <w:r>
        <w:rPr>
          <w:highlight w:val="white"/>
        </w:rPr>
        <w:t xml:space="preserve">: 10.3389/fmicb.2016.00499. </w:t>
      </w:r>
    </w:p>
    <w:p w14:paraId="08EDAFF8" w14:textId="77777777" w:rsidR="00714B50" w:rsidRDefault="0030138C">
      <w:pPr>
        <w:spacing w:before="0" w:after="240"/>
      </w:pPr>
      <w:proofErr w:type="spellStart"/>
      <w:r>
        <w:rPr>
          <w:highlight w:val="white"/>
        </w:rPr>
        <w:t>Flemer</w:t>
      </w:r>
      <w:proofErr w:type="spellEnd"/>
      <w:r>
        <w:rPr>
          <w:highlight w:val="white"/>
        </w:rPr>
        <w:t xml:space="preserve">, B., Kennedy, J., </w:t>
      </w:r>
      <w:proofErr w:type="spellStart"/>
      <w:r>
        <w:rPr>
          <w:highlight w:val="white"/>
        </w:rPr>
        <w:t>Margassery</w:t>
      </w:r>
      <w:proofErr w:type="spellEnd"/>
      <w:r>
        <w:rPr>
          <w:highlight w:val="white"/>
        </w:rPr>
        <w:t xml:space="preserve">, L. M., Morrissey, J. P., O’Gara, F., &amp; Dobson, A. D. W. (2012). Diversity and antimicrobial activities of microbes from two Irish marine sponges, </w:t>
      </w:r>
      <w:proofErr w:type="spellStart"/>
      <w:r>
        <w:rPr>
          <w:i/>
          <w:highlight w:val="white"/>
        </w:rPr>
        <w:t>Suberites</w:t>
      </w:r>
      <w:proofErr w:type="spellEnd"/>
      <w:r>
        <w:rPr>
          <w:i/>
          <w:highlight w:val="white"/>
        </w:rPr>
        <w:t xml:space="preserve"> carnosus</w:t>
      </w:r>
      <w:r>
        <w:rPr>
          <w:highlight w:val="white"/>
        </w:rPr>
        <w:t xml:space="preserve"> and </w:t>
      </w:r>
      <w:proofErr w:type="spellStart"/>
      <w:r>
        <w:rPr>
          <w:i/>
          <w:highlight w:val="white"/>
        </w:rPr>
        <w:t>Leucosolenia</w:t>
      </w:r>
      <w:proofErr w:type="spellEnd"/>
      <w:r>
        <w:rPr>
          <w:i/>
          <w:highlight w:val="white"/>
        </w:rPr>
        <w:t xml:space="preserve"> </w:t>
      </w:r>
      <w:r>
        <w:rPr>
          <w:highlight w:val="white"/>
        </w:rPr>
        <w:t xml:space="preserve">sp. </w:t>
      </w:r>
      <w:r>
        <w:rPr>
          <w:i/>
        </w:rPr>
        <w:t>Journal of applied microbiology</w:t>
      </w:r>
      <w:r>
        <w:t xml:space="preserve">, </w:t>
      </w:r>
      <w:r>
        <w:rPr>
          <w:i/>
        </w:rPr>
        <w:t>112</w:t>
      </w:r>
      <w:r>
        <w:t xml:space="preserve">(2), 289-301. </w:t>
      </w:r>
      <w:proofErr w:type="spellStart"/>
      <w:r>
        <w:t>doi</w:t>
      </w:r>
      <w:proofErr w:type="spellEnd"/>
      <w:r>
        <w:t>: 10.1111/j.1365-2672.2011.05211.x.</w:t>
      </w:r>
    </w:p>
    <w:p w14:paraId="21847A9D" w14:textId="77777777" w:rsidR="00714B50" w:rsidRDefault="0030138C">
      <w:pPr>
        <w:spacing w:before="0" w:after="240"/>
      </w:pPr>
      <w:r>
        <w:t xml:space="preserve">Galli, G., </w:t>
      </w:r>
      <w:proofErr w:type="spellStart"/>
      <w:r>
        <w:t>Solidoro</w:t>
      </w:r>
      <w:proofErr w:type="spellEnd"/>
      <w:r>
        <w:t xml:space="preserve">, C., &amp; Lovato, T. (2017). Marine heat waves hazard 3D maps and the risk for low motility organisms in a warming Mediterranean Sea. </w:t>
      </w:r>
      <w:r>
        <w:rPr>
          <w:i/>
        </w:rPr>
        <w:t>Frontiers in Marine Science</w:t>
      </w:r>
      <w:r>
        <w:t xml:space="preserve">, </w:t>
      </w:r>
      <w:r>
        <w:rPr>
          <w:i/>
        </w:rPr>
        <w:t>4</w:t>
      </w:r>
      <w:r>
        <w:t>, 136.</w:t>
      </w:r>
      <w:hyperlink r:id="rId20">
        <w:r>
          <w:t xml:space="preserve"> doi.org/10.3389/fmars.2017.00136</w:t>
        </w:r>
      </w:hyperlink>
    </w:p>
    <w:p w14:paraId="72609161" w14:textId="77777777" w:rsidR="00714B50" w:rsidRDefault="0030138C">
      <w:pPr>
        <w:spacing w:before="0" w:after="240"/>
      </w:pPr>
      <w:proofErr w:type="spellStart"/>
      <w:r>
        <w:t>Gattuso</w:t>
      </w:r>
      <w:proofErr w:type="spellEnd"/>
      <w:r>
        <w:t xml:space="preserve">, J., </w:t>
      </w:r>
      <w:proofErr w:type="spellStart"/>
      <w:r>
        <w:t>Epitalon</w:t>
      </w:r>
      <w:proofErr w:type="spellEnd"/>
      <w:r>
        <w:t xml:space="preserve">, J., Lavigne, H., &amp; Orr, J. (2024). </w:t>
      </w:r>
      <w:proofErr w:type="spellStart"/>
      <w:r>
        <w:t>seacarb</w:t>
      </w:r>
      <w:proofErr w:type="spellEnd"/>
      <w:r>
        <w:t>: Seawater Carbonate Chemistry. R package version 3.3.3.,</w:t>
      </w:r>
      <w:hyperlink r:id="rId21">
        <w:r>
          <w:t xml:space="preserve"> https://github.com/jpgattuso/seacarb-git</w:t>
        </w:r>
      </w:hyperlink>
      <w:r>
        <w:t>.</w:t>
      </w:r>
    </w:p>
    <w:p w14:paraId="7DB626DA" w14:textId="77777777" w:rsidR="00714B50" w:rsidRDefault="0030138C">
      <w:pPr>
        <w:spacing w:before="0" w:after="240"/>
      </w:pPr>
      <w:r w:rsidRPr="0030138C">
        <w:rPr>
          <w:highlight w:val="white"/>
          <w:lang w:val="it-IT"/>
        </w:rPr>
        <w:t xml:space="preserve">Giovannelli, D., d'Errico, G., Manini, E., Yakimov, M., &amp; Vetriani, C. (2013). </w:t>
      </w:r>
      <w:r>
        <w:rPr>
          <w:highlight w:val="white"/>
        </w:rPr>
        <w:t xml:space="preserve">Diversity and phylogenetic analyses of bacteria from a shallow-water hydrothermal vent in Milos island (Greece). </w:t>
      </w:r>
      <w:r>
        <w:rPr>
          <w:i/>
        </w:rPr>
        <w:t>Frontiers in microbiology</w:t>
      </w:r>
      <w:r>
        <w:t xml:space="preserve">, </w:t>
      </w:r>
      <w:r>
        <w:rPr>
          <w:i/>
        </w:rPr>
        <w:t>4</w:t>
      </w:r>
      <w:r>
        <w:t xml:space="preserve">, 184. </w:t>
      </w:r>
      <w:proofErr w:type="spellStart"/>
      <w:r>
        <w:t>doi</w:t>
      </w:r>
      <w:proofErr w:type="spellEnd"/>
      <w:r>
        <w:t>: 10.3389/fmicb.2013.00184.</w:t>
      </w:r>
    </w:p>
    <w:p w14:paraId="4FFD79B2" w14:textId="77777777" w:rsidR="00714B50" w:rsidRDefault="0030138C">
      <w:r>
        <w:rPr>
          <w:highlight w:val="white"/>
        </w:rPr>
        <w:t xml:space="preserve">Goldsmith, D. B., Pratte, Z. A., Kellogg, C. A., </w:t>
      </w:r>
      <w:proofErr w:type="spellStart"/>
      <w:r>
        <w:rPr>
          <w:highlight w:val="white"/>
        </w:rPr>
        <w:t>Snader</w:t>
      </w:r>
      <w:proofErr w:type="spellEnd"/>
      <w:r>
        <w:rPr>
          <w:highlight w:val="white"/>
        </w:rPr>
        <w:t xml:space="preserve">, S. E., &amp; Sharp, K. H. (2019). Stability of temperate coral </w:t>
      </w:r>
      <w:proofErr w:type="spellStart"/>
      <w:r>
        <w:rPr>
          <w:i/>
          <w:highlight w:val="white"/>
        </w:rPr>
        <w:t>Astrangia</w:t>
      </w:r>
      <w:proofErr w:type="spellEnd"/>
      <w:r>
        <w:rPr>
          <w:i/>
          <w:highlight w:val="white"/>
        </w:rPr>
        <w:t xml:space="preserve"> </w:t>
      </w:r>
      <w:proofErr w:type="spellStart"/>
      <w:r>
        <w:rPr>
          <w:i/>
          <w:highlight w:val="white"/>
        </w:rPr>
        <w:t>poculata</w:t>
      </w:r>
      <w:proofErr w:type="spellEnd"/>
      <w:r>
        <w:rPr>
          <w:highlight w:val="white"/>
        </w:rPr>
        <w:t xml:space="preserve"> microbiome is reflected across different sequencing methodologies. </w:t>
      </w:r>
      <w:r>
        <w:rPr>
          <w:i/>
        </w:rPr>
        <w:t>AIMS microbiology</w:t>
      </w:r>
      <w:r>
        <w:t xml:space="preserve">, </w:t>
      </w:r>
      <w:r>
        <w:rPr>
          <w:i/>
        </w:rPr>
        <w:t>5</w:t>
      </w:r>
      <w:r>
        <w:t>(1), 62. doi:10.3934/microbiol.2019.1.62</w:t>
      </w:r>
    </w:p>
    <w:p w14:paraId="4A328F49" w14:textId="77777777" w:rsidR="00714B50" w:rsidRDefault="0030138C">
      <w:pPr>
        <w:rPr>
          <w:highlight w:val="white"/>
        </w:rPr>
      </w:pPr>
      <w:proofErr w:type="spellStart"/>
      <w:r>
        <w:rPr>
          <w:highlight w:val="white"/>
        </w:rPr>
        <w:t>Heijs</w:t>
      </w:r>
      <w:proofErr w:type="spellEnd"/>
      <w:r>
        <w:rPr>
          <w:highlight w:val="white"/>
        </w:rPr>
        <w:t xml:space="preserve">, S. K., </w:t>
      </w:r>
      <w:proofErr w:type="spellStart"/>
      <w:r>
        <w:rPr>
          <w:highlight w:val="white"/>
        </w:rPr>
        <w:t>Sinninghe</w:t>
      </w:r>
      <w:proofErr w:type="spellEnd"/>
      <w:r>
        <w:rPr>
          <w:highlight w:val="white"/>
        </w:rPr>
        <w:t xml:space="preserve"> </w:t>
      </w:r>
      <w:proofErr w:type="spellStart"/>
      <w:r>
        <w:rPr>
          <w:highlight w:val="white"/>
        </w:rPr>
        <w:t>Damsté</w:t>
      </w:r>
      <w:proofErr w:type="spellEnd"/>
      <w:r>
        <w:rPr>
          <w:highlight w:val="white"/>
        </w:rPr>
        <w:t xml:space="preserve">, J. S., &amp; Forney, L. J. (2005). Characterization of a deep-sea microbial mat from an active cold seep at the Milano mud volcano in the Eastern Mediterranean Sea. </w:t>
      </w:r>
      <w:r>
        <w:rPr>
          <w:i/>
        </w:rPr>
        <w:t>FEMS microbiology ecology</w:t>
      </w:r>
      <w:r>
        <w:t xml:space="preserve">, </w:t>
      </w:r>
      <w:r>
        <w:rPr>
          <w:i/>
        </w:rPr>
        <w:t>54</w:t>
      </w:r>
      <w:r>
        <w:t xml:space="preserve">(1), 47-56. </w:t>
      </w:r>
      <w:proofErr w:type="spellStart"/>
      <w:r>
        <w:rPr>
          <w:highlight w:val="white"/>
        </w:rPr>
        <w:t>doi</w:t>
      </w:r>
      <w:proofErr w:type="spellEnd"/>
      <w:r>
        <w:rPr>
          <w:highlight w:val="white"/>
        </w:rPr>
        <w:t>: 10.1016/j.femsec.2005.02.007.</w:t>
      </w:r>
    </w:p>
    <w:p w14:paraId="10AFB365" w14:textId="77777777" w:rsidR="00714B50" w:rsidRDefault="0030138C">
      <w:pPr>
        <w:spacing w:before="0" w:after="240"/>
      </w:pPr>
      <w:r>
        <w:rPr>
          <w:highlight w:val="white"/>
        </w:rPr>
        <w:t xml:space="preserve">Isaacs, L. T., Kan, J., Nguyen, L., </w:t>
      </w:r>
      <w:proofErr w:type="spellStart"/>
      <w:r>
        <w:rPr>
          <w:highlight w:val="white"/>
        </w:rPr>
        <w:t>Videau</w:t>
      </w:r>
      <w:proofErr w:type="spellEnd"/>
      <w:r>
        <w:rPr>
          <w:highlight w:val="white"/>
        </w:rPr>
        <w:t xml:space="preserve">, P., Anderson, M. A., Wright, T. L., &amp; Hill, R. T. (2009). Comparison of the bacterial communities of wild and captive sponge </w:t>
      </w:r>
      <w:proofErr w:type="spellStart"/>
      <w:r>
        <w:rPr>
          <w:i/>
          <w:highlight w:val="white"/>
        </w:rPr>
        <w:t>Clathria</w:t>
      </w:r>
      <w:proofErr w:type="spellEnd"/>
      <w:r>
        <w:rPr>
          <w:i/>
          <w:highlight w:val="white"/>
        </w:rPr>
        <w:t xml:space="preserve"> </w:t>
      </w:r>
      <w:proofErr w:type="spellStart"/>
      <w:r>
        <w:rPr>
          <w:i/>
          <w:highlight w:val="white"/>
        </w:rPr>
        <w:t>prolifera</w:t>
      </w:r>
      <w:proofErr w:type="spellEnd"/>
      <w:r>
        <w:rPr>
          <w:highlight w:val="white"/>
        </w:rPr>
        <w:t xml:space="preserve"> from the Chesapeake Bay. </w:t>
      </w:r>
      <w:r>
        <w:rPr>
          <w:i/>
        </w:rPr>
        <w:t>Marine Biotechnology</w:t>
      </w:r>
      <w:r>
        <w:t xml:space="preserve">, </w:t>
      </w:r>
      <w:r>
        <w:rPr>
          <w:i/>
        </w:rPr>
        <w:t>11</w:t>
      </w:r>
      <w:r>
        <w:t xml:space="preserve">, 758-770. </w:t>
      </w:r>
      <w:proofErr w:type="spellStart"/>
      <w:r>
        <w:t>doi</w:t>
      </w:r>
      <w:proofErr w:type="spellEnd"/>
      <w:r>
        <w:t>: 10.1007/s10126-009-9192-3.</w:t>
      </w:r>
    </w:p>
    <w:p w14:paraId="3F81F54B" w14:textId="77777777" w:rsidR="00714B50" w:rsidRDefault="0030138C">
      <w:r w:rsidRPr="00C82916">
        <w:rPr>
          <w:highlight w:val="white"/>
        </w:rPr>
        <w:t xml:space="preserve">Jensen, S. I., </w:t>
      </w:r>
      <w:proofErr w:type="spellStart"/>
      <w:r w:rsidRPr="00C82916">
        <w:rPr>
          <w:highlight w:val="white"/>
        </w:rPr>
        <w:t>Kühl</w:t>
      </w:r>
      <w:proofErr w:type="spellEnd"/>
      <w:r w:rsidRPr="00C82916">
        <w:rPr>
          <w:highlight w:val="white"/>
        </w:rPr>
        <w:t xml:space="preserve">, M., &amp; </w:t>
      </w:r>
      <w:proofErr w:type="spellStart"/>
      <w:r w:rsidRPr="00C82916">
        <w:rPr>
          <w:highlight w:val="white"/>
        </w:rPr>
        <w:t>Prieme</w:t>
      </w:r>
      <w:proofErr w:type="spellEnd"/>
      <w:r w:rsidRPr="00C82916">
        <w:rPr>
          <w:highlight w:val="white"/>
        </w:rPr>
        <w:t xml:space="preserve">, A. (2007). </w:t>
      </w:r>
      <w:r>
        <w:rPr>
          <w:highlight w:val="white"/>
        </w:rPr>
        <w:t xml:space="preserve">Different bacterial communities associated with the roots and bulk sediment of the seagrass </w:t>
      </w:r>
      <w:r>
        <w:rPr>
          <w:i/>
        </w:rPr>
        <w:t>Zostera marina</w:t>
      </w:r>
      <w:r>
        <w:t xml:space="preserve">. </w:t>
      </w:r>
      <w:r>
        <w:rPr>
          <w:i/>
        </w:rPr>
        <w:t>FEMS microbiology ecology</w:t>
      </w:r>
      <w:r>
        <w:t xml:space="preserve">, </w:t>
      </w:r>
      <w:r>
        <w:rPr>
          <w:i/>
        </w:rPr>
        <w:t>62</w:t>
      </w:r>
      <w:r>
        <w:t xml:space="preserve">(1), 108-117. doi:10.1111/j.1574-6941.2007.00373.x. </w:t>
      </w:r>
    </w:p>
    <w:p w14:paraId="77AC22A6" w14:textId="77777777" w:rsidR="00714B50" w:rsidRDefault="0030138C">
      <w:r>
        <w:rPr>
          <w:highlight w:val="white"/>
        </w:rPr>
        <w:t xml:space="preserve">Kang, H. S., &amp; Lee, S. D. (2009) </w:t>
      </w:r>
      <w:proofErr w:type="spellStart"/>
      <w:r>
        <w:rPr>
          <w:i/>
          <w:highlight w:val="white"/>
        </w:rPr>
        <w:t>Ponticaulis</w:t>
      </w:r>
      <w:proofErr w:type="spellEnd"/>
      <w:r>
        <w:rPr>
          <w:i/>
          <w:highlight w:val="white"/>
        </w:rPr>
        <w:t xml:space="preserve"> </w:t>
      </w:r>
      <w:proofErr w:type="spellStart"/>
      <w:r>
        <w:rPr>
          <w:i/>
          <w:highlight w:val="white"/>
        </w:rPr>
        <w:t>koreensi</w:t>
      </w:r>
      <w:r>
        <w:rPr>
          <w:highlight w:val="white"/>
        </w:rPr>
        <w:t>s</w:t>
      </w:r>
      <w:proofErr w:type="spellEnd"/>
      <w:r>
        <w:rPr>
          <w:highlight w:val="white"/>
        </w:rPr>
        <w:t xml:space="preserve"> gen. </w:t>
      </w:r>
      <w:proofErr w:type="spellStart"/>
      <w:r>
        <w:rPr>
          <w:highlight w:val="white"/>
        </w:rPr>
        <w:t>nov.</w:t>
      </w:r>
      <w:proofErr w:type="spellEnd"/>
      <w:r>
        <w:rPr>
          <w:highlight w:val="white"/>
        </w:rPr>
        <w:t xml:space="preserve">, sp. </w:t>
      </w:r>
      <w:proofErr w:type="spellStart"/>
      <w:r>
        <w:rPr>
          <w:highlight w:val="white"/>
        </w:rPr>
        <w:t>nov.</w:t>
      </w:r>
      <w:proofErr w:type="spellEnd"/>
      <w:r>
        <w:rPr>
          <w:highlight w:val="white"/>
        </w:rPr>
        <w:t xml:space="preserve">, a new member of the family </w:t>
      </w:r>
      <w:proofErr w:type="spellStart"/>
      <w:r>
        <w:rPr>
          <w:highlight w:val="white"/>
        </w:rPr>
        <w:t>Hyphomonadaceae</w:t>
      </w:r>
      <w:proofErr w:type="spellEnd"/>
      <w:r>
        <w:rPr>
          <w:highlight w:val="white"/>
        </w:rPr>
        <w:t xml:space="preserve"> isolated from seawater. </w:t>
      </w:r>
      <w:r>
        <w:rPr>
          <w:i/>
        </w:rPr>
        <w:t>International journal of systematic and evolutionary microbiology</w:t>
      </w:r>
      <w:r>
        <w:t xml:space="preserve">, </w:t>
      </w:r>
      <w:r>
        <w:rPr>
          <w:i/>
        </w:rPr>
        <w:t>59</w:t>
      </w:r>
      <w:r>
        <w:t xml:space="preserve">(12), 2951-2955. </w:t>
      </w:r>
      <w:proofErr w:type="spellStart"/>
      <w:r>
        <w:t>doi</w:t>
      </w:r>
      <w:proofErr w:type="spellEnd"/>
      <w:r>
        <w:t>: 10.1099/ijs.0.011114-0.</w:t>
      </w:r>
    </w:p>
    <w:p w14:paraId="21BA236E" w14:textId="77777777" w:rsidR="00714B50" w:rsidRDefault="0030138C">
      <w:r>
        <w:rPr>
          <w:highlight w:val="white"/>
        </w:rPr>
        <w:t>Keller-Costa, T., Eriksson, D., Goncalves, J. M., Gomes, N. C., Lago-</w:t>
      </w:r>
      <w:proofErr w:type="spellStart"/>
      <w:r>
        <w:rPr>
          <w:highlight w:val="white"/>
        </w:rPr>
        <w:t>Leston</w:t>
      </w:r>
      <w:proofErr w:type="spellEnd"/>
      <w:r>
        <w:rPr>
          <w:highlight w:val="white"/>
        </w:rPr>
        <w:t xml:space="preserve">, A., &amp; Costa, R. (2017). The gorgonian coral </w:t>
      </w:r>
      <w:proofErr w:type="spellStart"/>
      <w:r>
        <w:rPr>
          <w:i/>
        </w:rPr>
        <w:t>Eunicella</w:t>
      </w:r>
      <w:proofErr w:type="spellEnd"/>
      <w:r>
        <w:rPr>
          <w:i/>
        </w:rPr>
        <w:t xml:space="preserve"> </w:t>
      </w:r>
      <w:proofErr w:type="spellStart"/>
      <w:r>
        <w:rPr>
          <w:i/>
        </w:rPr>
        <w:t>labiata</w:t>
      </w:r>
      <w:proofErr w:type="spellEnd"/>
      <w:r>
        <w:t xml:space="preserve"> hosts a distinct prokaryotic consortium amenable to cultivation. </w:t>
      </w:r>
      <w:r>
        <w:rPr>
          <w:i/>
        </w:rPr>
        <w:t>FEMS Microbiology Ecology</w:t>
      </w:r>
      <w:r>
        <w:t xml:space="preserve">, </w:t>
      </w:r>
      <w:r>
        <w:rPr>
          <w:i/>
        </w:rPr>
        <w:t>93</w:t>
      </w:r>
      <w:r>
        <w:t>(12), fix143. doi:10.1093/</w:t>
      </w:r>
      <w:proofErr w:type="spellStart"/>
      <w:r>
        <w:t>femsec</w:t>
      </w:r>
      <w:proofErr w:type="spellEnd"/>
      <w:r>
        <w:t xml:space="preserve">/fix143. </w:t>
      </w:r>
    </w:p>
    <w:p w14:paraId="7CEE06CD" w14:textId="1BC92213" w:rsidR="00714B50" w:rsidRDefault="0030138C">
      <w:r>
        <w:rPr>
          <w:highlight w:val="white"/>
        </w:rPr>
        <w:t xml:space="preserve">Kirk Harris, J., Gregory </w:t>
      </w:r>
      <w:proofErr w:type="spellStart"/>
      <w:r>
        <w:rPr>
          <w:highlight w:val="white"/>
        </w:rPr>
        <w:t>Caporaso</w:t>
      </w:r>
      <w:proofErr w:type="spellEnd"/>
      <w:r>
        <w:rPr>
          <w:highlight w:val="white"/>
        </w:rPr>
        <w:t xml:space="preserve">, J., Walker, J. J., Spear, J. R., Gold, N. J., Robertson, C. E., ... &amp; Pace, N. R. (2013). Phylogenetic stratigraphy in the Guerrero Negro hypersaline microbial mat. </w:t>
      </w:r>
      <w:r>
        <w:rPr>
          <w:i/>
        </w:rPr>
        <w:t>The ISME journal</w:t>
      </w:r>
      <w:r>
        <w:t xml:space="preserve">, </w:t>
      </w:r>
      <w:r>
        <w:rPr>
          <w:i/>
        </w:rPr>
        <w:t>7</w:t>
      </w:r>
      <w:r>
        <w:t xml:space="preserve">(1), 50-60. doi:10.1038/ismej.2012.79. </w:t>
      </w:r>
    </w:p>
    <w:p w14:paraId="0E2CE196" w14:textId="56199BBD" w:rsidR="00F60377" w:rsidRDefault="00F60377">
      <w:proofErr w:type="spellStart"/>
      <w:r w:rsidRPr="00F60377">
        <w:t>Klindworth</w:t>
      </w:r>
      <w:proofErr w:type="spellEnd"/>
      <w:r w:rsidRPr="00F60377">
        <w:t xml:space="preserve">, A., </w:t>
      </w:r>
      <w:proofErr w:type="spellStart"/>
      <w:r w:rsidRPr="00F60377">
        <w:t>Pruesse</w:t>
      </w:r>
      <w:proofErr w:type="spellEnd"/>
      <w:r w:rsidRPr="00F60377">
        <w:t xml:space="preserve">, E., </w:t>
      </w:r>
      <w:proofErr w:type="spellStart"/>
      <w:r w:rsidRPr="00F60377">
        <w:t>Schweer</w:t>
      </w:r>
      <w:proofErr w:type="spellEnd"/>
      <w:r w:rsidRPr="00F60377">
        <w:t xml:space="preserve">, T., </w:t>
      </w:r>
      <w:proofErr w:type="spellStart"/>
      <w:r w:rsidRPr="00F60377">
        <w:t>Peplies</w:t>
      </w:r>
      <w:proofErr w:type="spellEnd"/>
      <w:r w:rsidRPr="00F60377">
        <w:t xml:space="preserve">, J., Quast, C., Horn, M., &amp; </w:t>
      </w:r>
      <w:proofErr w:type="spellStart"/>
      <w:r w:rsidRPr="00F60377">
        <w:t>Glöckner</w:t>
      </w:r>
      <w:proofErr w:type="spellEnd"/>
      <w:r w:rsidRPr="00F60377">
        <w:t xml:space="preserve">, F. O. (2013). Evaluation of general 16S ribosomal RNA gene PCR primers for classical and next-generation sequencing-based diversity studies. </w:t>
      </w:r>
      <w:r w:rsidRPr="00F60377">
        <w:rPr>
          <w:i/>
        </w:rPr>
        <w:t>Nucleic acids research</w:t>
      </w:r>
      <w:r w:rsidRPr="00F60377">
        <w:t xml:space="preserve">, </w:t>
      </w:r>
      <w:r w:rsidRPr="00F60377">
        <w:rPr>
          <w:i/>
        </w:rPr>
        <w:t>41</w:t>
      </w:r>
      <w:r w:rsidRPr="00F60377">
        <w:t xml:space="preserve">(1), e1-e1. </w:t>
      </w:r>
      <w:proofErr w:type="spellStart"/>
      <w:r w:rsidRPr="00F60377">
        <w:t>doi</w:t>
      </w:r>
      <w:proofErr w:type="spellEnd"/>
      <w:r w:rsidRPr="00F60377">
        <w:t xml:space="preserve">. org/ 10.1093/ </w:t>
      </w:r>
      <w:proofErr w:type="spellStart"/>
      <w:r w:rsidRPr="00F60377">
        <w:t>nar</w:t>
      </w:r>
      <w:proofErr w:type="spellEnd"/>
      <w:r w:rsidRPr="00F60377">
        <w:t>/ gks808</w:t>
      </w:r>
      <w:r>
        <w:t>.</w:t>
      </w:r>
    </w:p>
    <w:p w14:paraId="5287F07D" w14:textId="77777777" w:rsidR="00714B50" w:rsidRDefault="0030138C">
      <w:proofErr w:type="spellStart"/>
      <w:r>
        <w:rPr>
          <w:highlight w:val="white"/>
        </w:rPr>
        <w:t>Kriwy</w:t>
      </w:r>
      <w:proofErr w:type="spellEnd"/>
      <w:r>
        <w:rPr>
          <w:highlight w:val="white"/>
        </w:rPr>
        <w:t xml:space="preserve">, P., &amp; </w:t>
      </w:r>
      <w:proofErr w:type="spellStart"/>
      <w:r>
        <w:rPr>
          <w:highlight w:val="white"/>
        </w:rPr>
        <w:t>Uthicke</w:t>
      </w:r>
      <w:proofErr w:type="spellEnd"/>
      <w:r>
        <w:rPr>
          <w:highlight w:val="white"/>
        </w:rPr>
        <w:t xml:space="preserve">, S. (2011). Microbial diversity in marine biofilms along a water quality gradient on the Great Barrier Reef. </w:t>
      </w:r>
      <w:r>
        <w:rPr>
          <w:i/>
        </w:rPr>
        <w:t>Systematic and Applied Microbiology</w:t>
      </w:r>
      <w:r>
        <w:t xml:space="preserve">, </w:t>
      </w:r>
      <w:r>
        <w:rPr>
          <w:i/>
        </w:rPr>
        <w:t>34</w:t>
      </w:r>
      <w:r>
        <w:t xml:space="preserve">(2), 116-126. doi:10.1016/j.syapm.2011.01.003. </w:t>
      </w:r>
    </w:p>
    <w:p w14:paraId="4421DBBA" w14:textId="77777777" w:rsidR="00714B50" w:rsidRPr="00F60377" w:rsidRDefault="0030138C">
      <w:r>
        <w:t xml:space="preserve">Kwiatkowski, L., Torres, O., Bopp, L., </w:t>
      </w:r>
      <w:proofErr w:type="spellStart"/>
      <w:r>
        <w:t>Aumont</w:t>
      </w:r>
      <w:proofErr w:type="spellEnd"/>
      <w:r>
        <w:t xml:space="preserve">, O., Chamberlain, M., Christian, J. R., ... &amp; </w:t>
      </w:r>
      <w:proofErr w:type="spellStart"/>
      <w:r>
        <w:t>Ziehn</w:t>
      </w:r>
      <w:proofErr w:type="spellEnd"/>
      <w:r>
        <w:t xml:space="preserve">, T. (2020). Twenty-first-century ocean warming, acidification, deoxygenation, and upper-ocean nutrient and primary production decline from CMIP6 model projections. </w:t>
      </w:r>
      <w:proofErr w:type="spellStart"/>
      <w:r w:rsidRPr="00F60377">
        <w:rPr>
          <w:i/>
        </w:rPr>
        <w:t>Biogeosciences</w:t>
      </w:r>
      <w:proofErr w:type="spellEnd"/>
      <w:r w:rsidRPr="00F60377">
        <w:t xml:space="preserve">, </w:t>
      </w:r>
      <w:r w:rsidRPr="00F60377">
        <w:rPr>
          <w:i/>
        </w:rPr>
        <w:t>17</w:t>
      </w:r>
      <w:r w:rsidRPr="00F60377">
        <w:t>(13), 3439-3470.</w:t>
      </w:r>
      <w:hyperlink r:id="rId22">
        <w:r w:rsidRPr="00F60377">
          <w:t xml:space="preserve"> doi.org/10.5194/bg-17-3439-2020</w:t>
        </w:r>
      </w:hyperlink>
    </w:p>
    <w:p w14:paraId="61F7531F" w14:textId="77777777" w:rsidR="00714B50" w:rsidRDefault="0030138C">
      <w:pPr>
        <w:spacing w:before="0" w:after="240"/>
      </w:pPr>
      <w:proofErr w:type="spellStart"/>
      <w:r w:rsidRPr="00F60377">
        <w:rPr>
          <w:highlight w:val="white"/>
        </w:rPr>
        <w:t>Lachnit</w:t>
      </w:r>
      <w:proofErr w:type="spellEnd"/>
      <w:r w:rsidRPr="00F60377">
        <w:rPr>
          <w:highlight w:val="white"/>
        </w:rPr>
        <w:t xml:space="preserve">, T., </w:t>
      </w:r>
      <w:proofErr w:type="spellStart"/>
      <w:r w:rsidRPr="00F60377">
        <w:rPr>
          <w:highlight w:val="white"/>
        </w:rPr>
        <w:t>Meske</w:t>
      </w:r>
      <w:proofErr w:type="spellEnd"/>
      <w:r w:rsidRPr="00F60377">
        <w:rPr>
          <w:highlight w:val="white"/>
        </w:rPr>
        <w:t xml:space="preserve">, D., Wahl, M., Harder, T., &amp; Schmitz, R. (2011). </w:t>
      </w:r>
      <w:proofErr w:type="spellStart"/>
      <w:r>
        <w:rPr>
          <w:highlight w:val="white"/>
        </w:rPr>
        <w:t>Epibacterial</w:t>
      </w:r>
      <w:proofErr w:type="spellEnd"/>
      <w:r>
        <w:rPr>
          <w:highlight w:val="white"/>
        </w:rPr>
        <w:t xml:space="preserve"> community patterns on marine macroalgae are host‐specific but temporally variable. </w:t>
      </w:r>
      <w:r>
        <w:rPr>
          <w:i/>
        </w:rPr>
        <w:t>Environmental microbiology</w:t>
      </w:r>
      <w:r>
        <w:t xml:space="preserve">, </w:t>
      </w:r>
      <w:r>
        <w:rPr>
          <w:i/>
        </w:rPr>
        <w:t>13</w:t>
      </w:r>
      <w:r>
        <w:t xml:space="preserve">(3), 655-665. doi:10.1111/j.1462-2920.2010.02371.x. </w:t>
      </w:r>
    </w:p>
    <w:p w14:paraId="683CC352" w14:textId="77777777" w:rsidR="00714B50" w:rsidRPr="0030138C" w:rsidRDefault="0030138C">
      <w:pPr>
        <w:rPr>
          <w:lang w:val="it-IT"/>
        </w:rPr>
      </w:pPr>
      <w:r>
        <w:rPr>
          <w:highlight w:val="white"/>
        </w:rPr>
        <w:t xml:space="preserve">Li, H., Yu, Y., Luo, W., Zeng, Y., &amp; Chen, B. (2009). Bacterial diversity in surface sediments from the Pacific Arctic Ocean. </w:t>
      </w:r>
      <w:r w:rsidRPr="0030138C">
        <w:rPr>
          <w:i/>
          <w:highlight w:val="white"/>
          <w:lang w:val="it-IT"/>
        </w:rPr>
        <w:t>Extremophiles</w:t>
      </w:r>
      <w:r w:rsidRPr="0030138C">
        <w:rPr>
          <w:highlight w:val="white"/>
          <w:lang w:val="it-IT"/>
        </w:rPr>
        <w:t xml:space="preserve">, </w:t>
      </w:r>
      <w:r w:rsidRPr="0030138C">
        <w:rPr>
          <w:i/>
          <w:lang w:val="it-IT"/>
        </w:rPr>
        <w:t>13</w:t>
      </w:r>
      <w:r w:rsidRPr="0030138C">
        <w:rPr>
          <w:lang w:val="it-IT"/>
        </w:rPr>
        <w:t xml:space="preserve">, 233-246. doi:10.1007/s00792-009-0225-7. </w:t>
      </w:r>
    </w:p>
    <w:p w14:paraId="7E1E12AD" w14:textId="77777777" w:rsidR="00714B50" w:rsidRDefault="0030138C">
      <w:r w:rsidRPr="0030138C">
        <w:rPr>
          <w:lang w:val="it-IT"/>
        </w:rPr>
        <w:t xml:space="preserve">Manea, E., Bramanti, L., Pezzolesi, L., Falace, A., Kaleb, S., Bongiorni, L., &amp; Galand, P. E. (2025). </w:t>
      </w:r>
      <w:r>
        <w:t xml:space="preserve">Inter-and intraspecific diversity in bacterial communities associated with two crustose coralline algae from the NW Mediterranean Sea. </w:t>
      </w:r>
      <w:proofErr w:type="spellStart"/>
      <w:r>
        <w:rPr>
          <w:i/>
        </w:rPr>
        <w:t>CoralReefs</w:t>
      </w:r>
      <w:proofErr w:type="spellEnd"/>
      <w:r>
        <w:t>, 1-20. doi.org/10.1007/s00338-024-02605-6</w:t>
      </w:r>
    </w:p>
    <w:p w14:paraId="62BF7AA5" w14:textId="77777777" w:rsidR="00714B50" w:rsidRDefault="0030138C">
      <w:pPr>
        <w:spacing w:before="0" w:after="240"/>
      </w:pPr>
      <w:proofErr w:type="spellStart"/>
      <w:r>
        <w:rPr>
          <w:highlight w:val="white"/>
        </w:rPr>
        <w:t>Martiny</w:t>
      </w:r>
      <w:proofErr w:type="spellEnd"/>
      <w:r>
        <w:rPr>
          <w:highlight w:val="white"/>
        </w:rPr>
        <w:t xml:space="preserve">, J. B., Eisen, J. A., Penn, K., Allison, S. D., &amp; Horner-Devine, M. C. (2011). Drivers of bacterial β-diversity depend on spatial scale. </w:t>
      </w:r>
      <w:r>
        <w:rPr>
          <w:i/>
        </w:rPr>
        <w:t>Proceedings of the National Academy of Sciences</w:t>
      </w:r>
      <w:r>
        <w:t xml:space="preserve">, </w:t>
      </w:r>
      <w:r>
        <w:rPr>
          <w:i/>
        </w:rPr>
        <w:t>108</w:t>
      </w:r>
      <w:r>
        <w:t xml:space="preserve">(19), 7850-7854. </w:t>
      </w:r>
      <w:proofErr w:type="spellStart"/>
      <w:r>
        <w:t>doi</w:t>
      </w:r>
      <w:proofErr w:type="spellEnd"/>
      <w:r>
        <w:t>: 10.1073/pnas.1016308108.</w:t>
      </w:r>
    </w:p>
    <w:p w14:paraId="66D0F942" w14:textId="77777777" w:rsidR="00714B50" w:rsidRDefault="0030138C">
      <w:r>
        <w:rPr>
          <w:highlight w:val="white"/>
        </w:rPr>
        <w:t xml:space="preserve">Meron, D., </w:t>
      </w:r>
      <w:proofErr w:type="spellStart"/>
      <w:r>
        <w:rPr>
          <w:highlight w:val="white"/>
        </w:rPr>
        <w:t>Atias</w:t>
      </w:r>
      <w:proofErr w:type="spellEnd"/>
      <w:r>
        <w:rPr>
          <w:highlight w:val="white"/>
        </w:rPr>
        <w:t xml:space="preserve">, E., </w:t>
      </w:r>
      <w:proofErr w:type="spellStart"/>
      <w:r>
        <w:rPr>
          <w:highlight w:val="white"/>
        </w:rPr>
        <w:t>Iasur</w:t>
      </w:r>
      <w:proofErr w:type="spellEnd"/>
      <w:r>
        <w:rPr>
          <w:highlight w:val="white"/>
        </w:rPr>
        <w:t xml:space="preserve"> </w:t>
      </w:r>
      <w:proofErr w:type="spellStart"/>
      <w:r>
        <w:rPr>
          <w:highlight w:val="white"/>
        </w:rPr>
        <w:t>Kruh</w:t>
      </w:r>
      <w:proofErr w:type="spellEnd"/>
      <w:r>
        <w:rPr>
          <w:highlight w:val="white"/>
        </w:rPr>
        <w:t xml:space="preserve">, L., </w:t>
      </w:r>
      <w:proofErr w:type="spellStart"/>
      <w:r>
        <w:rPr>
          <w:highlight w:val="white"/>
        </w:rPr>
        <w:t>Elifantz</w:t>
      </w:r>
      <w:proofErr w:type="spellEnd"/>
      <w:r>
        <w:rPr>
          <w:highlight w:val="white"/>
        </w:rPr>
        <w:t xml:space="preserve">, H., </w:t>
      </w:r>
      <w:proofErr w:type="spellStart"/>
      <w:r>
        <w:rPr>
          <w:highlight w:val="white"/>
        </w:rPr>
        <w:t>Minz</w:t>
      </w:r>
      <w:proofErr w:type="spellEnd"/>
      <w:r>
        <w:rPr>
          <w:highlight w:val="white"/>
        </w:rPr>
        <w:t xml:space="preserve">, D., Fine, M., &amp; </w:t>
      </w:r>
      <w:proofErr w:type="spellStart"/>
      <w:r>
        <w:rPr>
          <w:highlight w:val="white"/>
        </w:rPr>
        <w:t>Banin</w:t>
      </w:r>
      <w:proofErr w:type="spellEnd"/>
      <w:r>
        <w:rPr>
          <w:highlight w:val="white"/>
        </w:rPr>
        <w:t xml:space="preserve">, E. (2011). The impact of reduced pH on the microbial community of the coral </w:t>
      </w:r>
      <w:r>
        <w:rPr>
          <w:i/>
        </w:rPr>
        <w:t xml:space="preserve">Acropora </w:t>
      </w:r>
      <w:proofErr w:type="spellStart"/>
      <w:r>
        <w:rPr>
          <w:i/>
        </w:rPr>
        <w:t>eurystoma</w:t>
      </w:r>
      <w:proofErr w:type="spellEnd"/>
      <w:r>
        <w:t xml:space="preserve">. </w:t>
      </w:r>
      <w:r>
        <w:rPr>
          <w:i/>
        </w:rPr>
        <w:t>The ISME journal</w:t>
      </w:r>
      <w:r>
        <w:t xml:space="preserve">, </w:t>
      </w:r>
      <w:r>
        <w:rPr>
          <w:i/>
        </w:rPr>
        <w:t>5</w:t>
      </w:r>
      <w:r>
        <w:t xml:space="preserve">(1), 51-60. doi:10.1038/ismej.2010.102. </w:t>
      </w:r>
    </w:p>
    <w:p w14:paraId="79F759B3" w14:textId="77777777" w:rsidR="00714B50" w:rsidRDefault="0030138C">
      <w:r>
        <w:rPr>
          <w:highlight w:val="white"/>
        </w:rPr>
        <w:t xml:space="preserve">Meron, D., </w:t>
      </w:r>
      <w:proofErr w:type="spellStart"/>
      <w:r>
        <w:rPr>
          <w:highlight w:val="white"/>
        </w:rPr>
        <w:t>Atias</w:t>
      </w:r>
      <w:proofErr w:type="spellEnd"/>
      <w:r>
        <w:rPr>
          <w:highlight w:val="white"/>
        </w:rPr>
        <w:t xml:space="preserve">, E., </w:t>
      </w:r>
      <w:proofErr w:type="spellStart"/>
      <w:r>
        <w:rPr>
          <w:highlight w:val="white"/>
        </w:rPr>
        <w:t>Iasur</w:t>
      </w:r>
      <w:proofErr w:type="spellEnd"/>
      <w:r>
        <w:rPr>
          <w:highlight w:val="white"/>
        </w:rPr>
        <w:t xml:space="preserve"> </w:t>
      </w:r>
      <w:proofErr w:type="spellStart"/>
      <w:r>
        <w:rPr>
          <w:highlight w:val="white"/>
        </w:rPr>
        <w:t>Kruh</w:t>
      </w:r>
      <w:proofErr w:type="spellEnd"/>
      <w:r>
        <w:rPr>
          <w:highlight w:val="white"/>
        </w:rPr>
        <w:t xml:space="preserve">, L., </w:t>
      </w:r>
      <w:proofErr w:type="spellStart"/>
      <w:r>
        <w:rPr>
          <w:highlight w:val="white"/>
        </w:rPr>
        <w:t>Elifantz</w:t>
      </w:r>
      <w:proofErr w:type="spellEnd"/>
      <w:r>
        <w:rPr>
          <w:highlight w:val="white"/>
        </w:rPr>
        <w:t xml:space="preserve">, H., </w:t>
      </w:r>
      <w:proofErr w:type="spellStart"/>
      <w:r>
        <w:rPr>
          <w:highlight w:val="white"/>
        </w:rPr>
        <w:t>Minz</w:t>
      </w:r>
      <w:proofErr w:type="spellEnd"/>
      <w:r>
        <w:rPr>
          <w:highlight w:val="white"/>
        </w:rPr>
        <w:t xml:space="preserve">, D., Fine, M., &amp; </w:t>
      </w:r>
      <w:proofErr w:type="spellStart"/>
      <w:r>
        <w:rPr>
          <w:highlight w:val="white"/>
        </w:rPr>
        <w:t>Banin</w:t>
      </w:r>
      <w:proofErr w:type="spellEnd"/>
      <w:r>
        <w:rPr>
          <w:highlight w:val="white"/>
        </w:rPr>
        <w:t xml:space="preserve">, E. (2011). The impact of reduced pH on the microbial community of the coral </w:t>
      </w:r>
      <w:r>
        <w:rPr>
          <w:i/>
        </w:rPr>
        <w:t xml:space="preserve">Acropora </w:t>
      </w:r>
      <w:proofErr w:type="spellStart"/>
      <w:r>
        <w:rPr>
          <w:i/>
        </w:rPr>
        <w:t>eurystoma</w:t>
      </w:r>
      <w:proofErr w:type="spellEnd"/>
      <w:r>
        <w:t xml:space="preserve">. </w:t>
      </w:r>
      <w:r>
        <w:rPr>
          <w:i/>
        </w:rPr>
        <w:t>The ISME journal</w:t>
      </w:r>
      <w:r>
        <w:t xml:space="preserve">, </w:t>
      </w:r>
      <w:r>
        <w:rPr>
          <w:i/>
        </w:rPr>
        <w:t>5</w:t>
      </w:r>
      <w:r>
        <w:t xml:space="preserve">(1), 51-60. doi:10.1038/ismej.2010.102. </w:t>
      </w:r>
    </w:p>
    <w:p w14:paraId="21392A7B" w14:textId="77777777" w:rsidR="00714B50" w:rsidRDefault="0030138C">
      <w:r>
        <w:rPr>
          <w:highlight w:val="white"/>
        </w:rPr>
        <w:t>Meron, D., Rodolfo-</w:t>
      </w:r>
      <w:proofErr w:type="spellStart"/>
      <w:r>
        <w:rPr>
          <w:highlight w:val="white"/>
        </w:rPr>
        <w:t>Metalpa</w:t>
      </w:r>
      <w:proofErr w:type="spellEnd"/>
      <w:r>
        <w:rPr>
          <w:highlight w:val="white"/>
        </w:rPr>
        <w:t xml:space="preserve">, R., Cunning, R., Baker, A. C., Fine, M., &amp; </w:t>
      </w:r>
      <w:proofErr w:type="spellStart"/>
      <w:r>
        <w:rPr>
          <w:highlight w:val="white"/>
        </w:rPr>
        <w:t>Banin</w:t>
      </w:r>
      <w:proofErr w:type="spellEnd"/>
      <w:r>
        <w:rPr>
          <w:highlight w:val="white"/>
        </w:rPr>
        <w:t xml:space="preserve">, E. (2012). Changes in coral microbial communities in response to a natural pH gradient. </w:t>
      </w:r>
      <w:r>
        <w:rPr>
          <w:i/>
        </w:rPr>
        <w:t>The ISME journal</w:t>
      </w:r>
      <w:r>
        <w:t xml:space="preserve">, </w:t>
      </w:r>
      <w:r>
        <w:rPr>
          <w:i/>
        </w:rPr>
        <w:t>6</w:t>
      </w:r>
      <w:r>
        <w:t xml:space="preserve">(9), 1775-1785. doi:10.1038/ismej.2012.19. </w:t>
      </w:r>
    </w:p>
    <w:p w14:paraId="291F6D4D" w14:textId="77777777" w:rsidR="00714B50" w:rsidRDefault="0030138C">
      <w:proofErr w:type="spellStart"/>
      <w:r>
        <w:rPr>
          <w:highlight w:val="white"/>
        </w:rPr>
        <w:t>Mou</w:t>
      </w:r>
      <w:proofErr w:type="spellEnd"/>
      <w:r>
        <w:rPr>
          <w:highlight w:val="white"/>
        </w:rPr>
        <w:t xml:space="preserve">, X., Hodson, R. E., &amp; Moran, M. A. (2007). Bacterioplankton assemblages transforming dissolved organic compounds in coastal seawater. </w:t>
      </w:r>
      <w:r>
        <w:rPr>
          <w:i/>
        </w:rPr>
        <w:t>Environmental microbiology</w:t>
      </w:r>
      <w:r>
        <w:t xml:space="preserve">, </w:t>
      </w:r>
      <w:r>
        <w:rPr>
          <w:i/>
        </w:rPr>
        <w:t>9</w:t>
      </w:r>
      <w:r>
        <w:t xml:space="preserve">(8), 2025-2037. doi:10.1111/j.1462-2920.2007.01318.x. </w:t>
      </w:r>
    </w:p>
    <w:p w14:paraId="35B0FACA" w14:textId="77777777" w:rsidR="00714B50" w:rsidRDefault="0030138C">
      <w:proofErr w:type="spellStart"/>
      <w:r>
        <w:rPr>
          <w:highlight w:val="white"/>
        </w:rPr>
        <w:t>Musat</w:t>
      </w:r>
      <w:proofErr w:type="spellEnd"/>
      <w:r>
        <w:rPr>
          <w:highlight w:val="white"/>
        </w:rPr>
        <w:t xml:space="preserve">, N., Werner, U., </w:t>
      </w:r>
      <w:proofErr w:type="spellStart"/>
      <w:r>
        <w:rPr>
          <w:highlight w:val="white"/>
        </w:rPr>
        <w:t>Knittel</w:t>
      </w:r>
      <w:proofErr w:type="spellEnd"/>
      <w:r>
        <w:rPr>
          <w:highlight w:val="white"/>
        </w:rPr>
        <w:t xml:space="preserve">, K., Kolb, S., </w:t>
      </w:r>
      <w:proofErr w:type="spellStart"/>
      <w:r>
        <w:rPr>
          <w:highlight w:val="white"/>
        </w:rPr>
        <w:t>Dodenhof</w:t>
      </w:r>
      <w:proofErr w:type="spellEnd"/>
      <w:r>
        <w:rPr>
          <w:highlight w:val="white"/>
        </w:rPr>
        <w:t xml:space="preserve">, T., Van </w:t>
      </w:r>
      <w:proofErr w:type="spellStart"/>
      <w:r>
        <w:rPr>
          <w:highlight w:val="white"/>
        </w:rPr>
        <w:t>Beusekom</w:t>
      </w:r>
      <w:proofErr w:type="spellEnd"/>
      <w:r>
        <w:rPr>
          <w:highlight w:val="white"/>
        </w:rPr>
        <w:t>, J. E., ... &amp; Amann, R. (2006). Microbial community structure of sandy intertidal sediments in the North Sea, Sylt-</w:t>
      </w:r>
      <w:proofErr w:type="spellStart"/>
      <w:r>
        <w:rPr>
          <w:highlight w:val="white"/>
        </w:rPr>
        <w:t>Rømø</w:t>
      </w:r>
      <w:proofErr w:type="spellEnd"/>
      <w:r>
        <w:rPr>
          <w:highlight w:val="white"/>
        </w:rPr>
        <w:t xml:space="preserve"> Basin, </w:t>
      </w:r>
      <w:proofErr w:type="spellStart"/>
      <w:r>
        <w:rPr>
          <w:highlight w:val="white"/>
        </w:rPr>
        <w:t>Wadden</w:t>
      </w:r>
      <w:proofErr w:type="spellEnd"/>
      <w:r>
        <w:rPr>
          <w:highlight w:val="white"/>
        </w:rPr>
        <w:t xml:space="preserve"> Sea. </w:t>
      </w:r>
      <w:r>
        <w:rPr>
          <w:i/>
        </w:rPr>
        <w:t>Systematic and applied microbiology</w:t>
      </w:r>
      <w:r>
        <w:t xml:space="preserve">, </w:t>
      </w:r>
      <w:r>
        <w:rPr>
          <w:i/>
        </w:rPr>
        <w:t>29</w:t>
      </w:r>
      <w:r>
        <w:t>(4), 333-348. doi:10.1016/j.syapm.2005.12.006.</w:t>
      </w:r>
    </w:p>
    <w:p w14:paraId="6191ECB9" w14:textId="77777777" w:rsidR="00714B50" w:rsidRDefault="0030138C">
      <w:pPr>
        <w:spacing w:before="0" w:after="240"/>
      </w:pPr>
      <w:r>
        <w:rPr>
          <w:highlight w:val="white"/>
        </w:rPr>
        <w:t xml:space="preserve">Na, H., Kim, O. S., Yoon, S. H., Kim, Y., &amp; Chun, J. (2011). Comparative approach to capture bacterial diversity of coastal waters. </w:t>
      </w:r>
      <w:r>
        <w:rPr>
          <w:i/>
        </w:rPr>
        <w:t>The Journal of Microbiology</w:t>
      </w:r>
      <w:r>
        <w:t xml:space="preserve">, </w:t>
      </w:r>
      <w:r>
        <w:rPr>
          <w:i/>
        </w:rPr>
        <w:t>49</w:t>
      </w:r>
      <w:r>
        <w:t>, 729-740. doi:10.1007/s12275-011-1205-z.</w:t>
      </w:r>
    </w:p>
    <w:p w14:paraId="36337124" w14:textId="77777777" w:rsidR="00714B50" w:rsidRDefault="0030138C">
      <w:proofErr w:type="spellStart"/>
      <w:r>
        <w:rPr>
          <w:highlight w:val="white"/>
        </w:rPr>
        <w:t>Nedashkovskaya</w:t>
      </w:r>
      <w:proofErr w:type="spellEnd"/>
      <w:r>
        <w:rPr>
          <w:highlight w:val="white"/>
        </w:rPr>
        <w:t xml:space="preserve">, O. I., Kim, S. G., </w:t>
      </w:r>
      <w:proofErr w:type="spellStart"/>
      <w:r>
        <w:rPr>
          <w:highlight w:val="white"/>
        </w:rPr>
        <w:t>Stenkova</w:t>
      </w:r>
      <w:proofErr w:type="spellEnd"/>
      <w:r>
        <w:rPr>
          <w:highlight w:val="white"/>
        </w:rPr>
        <w:t xml:space="preserve">, A. M., </w:t>
      </w:r>
      <w:proofErr w:type="spellStart"/>
      <w:r>
        <w:rPr>
          <w:highlight w:val="white"/>
        </w:rPr>
        <w:t>Kukhlevskiy</w:t>
      </w:r>
      <w:proofErr w:type="spellEnd"/>
      <w:r>
        <w:rPr>
          <w:highlight w:val="white"/>
        </w:rPr>
        <w:t xml:space="preserve">, A. D., </w:t>
      </w:r>
      <w:proofErr w:type="spellStart"/>
      <w:r>
        <w:rPr>
          <w:highlight w:val="white"/>
        </w:rPr>
        <w:t>Zhukova</w:t>
      </w:r>
      <w:proofErr w:type="spellEnd"/>
      <w:r>
        <w:rPr>
          <w:highlight w:val="white"/>
        </w:rPr>
        <w:t xml:space="preserve">, N. V., &amp; Mikhailov, V. V. (2018). </w:t>
      </w:r>
      <w:proofErr w:type="spellStart"/>
      <w:r>
        <w:rPr>
          <w:i/>
        </w:rPr>
        <w:t>Aquimarina</w:t>
      </w:r>
      <w:proofErr w:type="spellEnd"/>
      <w:r>
        <w:rPr>
          <w:i/>
        </w:rPr>
        <w:t xml:space="preserve"> </w:t>
      </w:r>
      <w:proofErr w:type="spellStart"/>
      <w:r>
        <w:rPr>
          <w:i/>
        </w:rPr>
        <w:t>algiphila</w:t>
      </w:r>
      <w:proofErr w:type="spellEnd"/>
      <w:r>
        <w:t xml:space="preserve"> sp. </w:t>
      </w:r>
      <w:proofErr w:type="spellStart"/>
      <w:r>
        <w:t>nov.</w:t>
      </w:r>
      <w:proofErr w:type="spellEnd"/>
      <w:r>
        <w:t xml:space="preserve">, a chitin degrading bacterium isolated from the red alga </w:t>
      </w:r>
      <w:proofErr w:type="spellStart"/>
      <w:r>
        <w:t>Tichocarpus</w:t>
      </w:r>
      <w:proofErr w:type="spellEnd"/>
      <w:r>
        <w:t xml:space="preserve"> </w:t>
      </w:r>
      <w:proofErr w:type="spellStart"/>
      <w:r>
        <w:t>crinitus</w:t>
      </w:r>
      <w:proofErr w:type="spellEnd"/>
      <w:r>
        <w:t xml:space="preserve">. </w:t>
      </w:r>
      <w:r>
        <w:rPr>
          <w:i/>
        </w:rPr>
        <w:t>International Journal of Systematic and Evolutionary Microbiology</w:t>
      </w:r>
      <w:r>
        <w:t xml:space="preserve">, </w:t>
      </w:r>
      <w:r>
        <w:rPr>
          <w:i/>
        </w:rPr>
        <w:t>68</w:t>
      </w:r>
      <w:r>
        <w:t xml:space="preserve">(3), 892-898. doi:10.1099/ijsem.0.002606. </w:t>
      </w:r>
    </w:p>
    <w:p w14:paraId="6E88362F" w14:textId="77777777" w:rsidR="00714B50" w:rsidRDefault="0030138C">
      <w:proofErr w:type="spellStart"/>
      <w:r>
        <w:rPr>
          <w:highlight w:val="white"/>
        </w:rPr>
        <w:t>Nei</w:t>
      </w:r>
      <w:proofErr w:type="spellEnd"/>
      <w:r>
        <w:rPr>
          <w:highlight w:val="white"/>
        </w:rPr>
        <w:t xml:space="preserve">, M., &amp; Kumar, S. (2000). </w:t>
      </w:r>
      <w:r>
        <w:t xml:space="preserve">Molecular evolution and phylogenetics. </w:t>
      </w:r>
      <w:r>
        <w:rPr>
          <w:i/>
        </w:rPr>
        <w:t>Oxford university press</w:t>
      </w:r>
      <w:r>
        <w:t>.</w:t>
      </w:r>
    </w:p>
    <w:p w14:paraId="7A93AD8B" w14:textId="77777777" w:rsidR="00714B50" w:rsidRPr="00C82916" w:rsidRDefault="0030138C">
      <w:pPr>
        <w:spacing w:before="0" w:after="240"/>
      </w:pPr>
      <w:proofErr w:type="spellStart"/>
      <w:r>
        <w:rPr>
          <w:highlight w:val="white"/>
        </w:rPr>
        <w:t>Nshimyimana</w:t>
      </w:r>
      <w:proofErr w:type="spellEnd"/>
      <w:r>
        <w:rPr>
          <w:highlight w:val="white"/>
        </w:rPr>
        <w:t xml:space="preserve">, J. P., Freedman, A. J. E., Shanahan, P., Chua, L. C., &amp; Thompson, J. R. (2017). Variation of bacterial communities with water quality in an urban tropical catchment. </w:t>
      </w:r>
      <w:r w:rsidRPr="00C82916">
        <w:rPr>
          <w:i/>
        </w:rPr>
        <w:t>Environmental science &amp; technology</w:t>
      </w:r>
      <w:r w:rsidRPr="00C82916">
        <w:t xml:space="preserve">, </w:t>
      </w:r>
      <w:r w:rsidRPr="00C82916">
        <w:rPr>
          <w:i/>
        </w:rPr>
        <w:t>51</w:t>
      </w:r>
      <w:r w:rsidRPr="00C82916">
        <w:t xml:space="preserve">(10), 5591-5601. </w:t>
      </w:r>
      <w:proofErr w:type="spellStart"/>
      <w:r w:rsidRPr="00C82916">
        <w:t>doi</w:t>
      </w:r>
      <w:proofErr w:type="spellEnd"/>
      <w:r w:rsidRPr="00C82916">
        <w:t>: 10.1021/acs.est.6b04737</w:t>
      </w:r>
    </w:p>
    <w:p w14:paraId="0E75B319" w14:textId="77777777" w:rsidR="00714B50" w:rsidRDefault="0030138C">
      <w:pPr>
        <w:spacing w:before="0" w:after="240"/>
      </w:pPr>
      <w:r w:rsidRPr="00C82916">
        <w:rPr>
          <w:highlight w:val="white"/>
        </w:rPr>
        <w:t xml:space="preserve">Peña, V., De </w:t>
      </w:r>
      <w:proofErr w:type="spellStart"/>
      <w:r w:rsidRPr="00C82916">
        <w:rPr>
          <w:highlight w:val="white"/>
        </w:rPr>
        <w:t>Clerck</w:t>
      </w:r>
      <w:proofErr w:type="spellEnd"/>
      <w:r w:rsidRPr="00C82916">
        <w:rPr>
          <w:highlight w:val="white"/>
        </w:rPr>
        <w:t xml:space="preserve">, O., Afonso-Carrillo, J., Ballesteros, E., Bárbara, I., Barreiro, R., &amp; Le Gall, L. (2015). </w:t>
      </w:r>
      <w:r>
        <w:rPr>
          <w:highlight w:val="white"/>
        </w:rPr>
        <w:t xml:space="preserve">An integrative systematic approach to species diversity and distribution in the genus </w:t>
      </w:r>
      <w:proofErr w:type="spellStart"/>
      <w:r>
        <w:rPr>
          <w:highlight w:val="white"/>
        </w:rPr>
        <w:t>Mesophyllum</w:t>
      </w:r>
      <w:proofErr w:type="spellEnd"/>
      <w:r>
        <w:rPr>
          <w:highlight w:val="white"/>
        </w:rPr>
        <w:t xml:space="preserve"> (</w:t>
      </w:r>
      <w:proofErr w:type="spellStart"/>
      <w:r>
        <w:rPr>
          <w:highlight w:val="white"/>
        </w:rPr>
        <w:t>Corallinales</w:t>
      </w:r>
      <w:proofErr w:type="spellEnd"/>
      <w:r>
        <w:rPr>
          <w:highlight w:val="white"/>
        </w:rPr>
        <w:t xml:space="preserve">, Rhodophyta) in Atlantic and Mediterranean Europe. </w:t>
      </w:r>
      <w:r>
        <w:rPr>
          <w:i/>
        </w:rPr>
        <w:t>European journal of phycology</w:t>
      </w:r>
      <w:r>
        <w:t xml:space="preserve">, </w:t>
      </w:r>
      <w:r>
        <w:rPr>
          <w:i/>
        </w:rPr>
        <w:t>50</w:t>
      </w:r>
      <w:r>
        <w:t>(1), 20-36.</w:t>
      </w:r>
      <w:hyperlink r:id="rId23">
        <w:r>
          <w:t xml:space="preserve"> </w:t>
        </w:r>
        <w:proofErr w:type="spellStart"/>
        <w:r>
          <w:t>doi</w:t>
        </w:r>
        <w:proofErr w:type="spellEnd"/>
        <w:r>
          <w:t>: 10.1080/09670262.2014.981294</w:t>
        </w:r>
      </w:hyperlink>
    </w:p>
    <w:p w14:paraId="54647476" w14:textId="77777777" w:rsidR="00714B50" w:rsidRDefault="0030138C">
      <w:pPr>
        <w:spacing w:before="0" w:after="240"/>
      </w:pPr>
      <w:proofErr w:type="spellStart"/>
      <w:r w:rsidRPr="007F3A24">
        <w:rPr>
          <w:highlight w:val="white"/>
        </w:rPr>
        <w:t>Pezzolesi</w:t>
      </w:r>
      <w:proofErr w:type="spellEnd"/>
      <w:r w:rsidRPr="007F3A24">
        <w:rPr>
          <w:highlight w:val="white"/>
        </w:rPr>
        <w:t xml:space="preserve">, L., </w:t>
      </w:r>
      <w:proofErr w:type="spellStart"/>
      <w:r w:rsidRPr="007F3A24">
        <w:rPr>
          <w:highlight w:val="white"/>
        </w:rPr>
        <w:t>Falace</w:t>
      </w:r>
      <w:proofErr w:type="spellEnd"/>
      <w:r w:rsidRPr="007F3A24">
        <w:rPr>
          <w:highlight w:val="white"/>
        </w:rPr>
        <w:t xml:space="preserve">, A., Kaleb, S., Hernandez‐Kantun, J. J., </w:t>
      </w:r>
      <w:proofErr w:type="spellStart"/>
      <w:r w:rsidRPr="007F3A24">
        <w:rPr>
          <w:highlight w:val="white"/>
        </w:rPr>
        <w:t>Cerrano</w:t>
      </w:r>
      <w:proofErr w:type="spellEnd"/>
      <w:r w:rsidRPr="007F3A24">
        <w:rPr>
          <w:highlight w:val="white"/>
        </w:rPr>
        <w:t xml:space="preserve">, C., &amp; </w:t>
      </w:r>
      <w:proofErr w:type="spellStart"/>
      <w:r w:rsidRPr="007F3A24">
        <w:rPr>
          <w:highlight w:val="white"/>
        </w:rPr>
        <w:t>Rindi</w:t>
      </w:r>
      <w:proofErr w:type="spellEnd"/>
      <w:r w:rsidRPr="007F3A24">
        <w:rPr>
          <w:highlight w:val="white"/>
        </w:rPr>
        <w:t xml:space="preserve">, F. (2017). </w:t>
      </w:r>
      <w:r>
        <w:rPr>
          <w:highlight w:val="white"/>
        </w:rPr>
        <w:t xml:space="preserve">Genetic and morphological variation in an ecosystem engineer, </w:t>
      </w:r>
      <w:proofErr w:type="spellStart"/>
      <w:r>
        <w:rPr>
          <w:i/>
        </w:rPr>
        <w:t>Lithophyllum</w:t>
      </w:r>
      <w:proofErr w:type="spellEnd"/>
      <w:r>
        <w:rPr>
          <w:i/>
        </w:rPr>
        <w:t xml:space="preserve"> </w:t>
      </w:r>
      <w:proofErr w:type="spellStart"/>
      <w:r>
        <w:rPr>
          <w:i/>
        </w:rPr>
        <w:t>byssoides</w:t>
      </w:r>
      <w:proofErr w:type="spellEnd"/>
      <w:r>
        <w:t xml:space="preserve"> (</w:t>
      </w:r>
      <w:proofErr w:type="spellStart"/>
      <w:r>
        <w:t>Corallinales</w:t>
      </w:r>
      <w:proofErr w:type="spellEnd"/>
      <w:r>
        <w:t xml:space="preserve">, Rhodophyta). </w:t>
      </w:r>
      <w:r>
        <w:rPr>
          <w:i/>
        </w:rPr>
        <w:t>Journal of Phycology</w:t>
      </w:r>
      <w:r>
        <w:t xml:space="preserve">, </w:t>
      </w:r>
      <w:r>
        <w:rPr>
          <w:i/>
        </w:rPr>
        <w:t>53</w:t>
      </w:r>
      <w:r>
        <w:t>(1), 146-160. doi.org/ 10. 1111/ jpy.12837</w:t>
      </w:r>
    </w:p>
    <w:p w14:paraId="2CD4BD6B" w14:textId="77777777" w:rsidR="00714B50" w:rsidRDefault="0030138C">
      <w:pPr>
        <w:rPr>
          <w:highlight w:val="white"/>
        </w:rPr>
      </w:pPr>
      <w:proofErr w:type="spellStart"/>
      <w:r>
        <w:rPr>
          <w:highlight w:val="white"/>
        </w:rPr>
        <w:t>Pezzolesi</w:t>
      </w:r>
      <w:proofErr w:type="spellEnd"/>
      <w:r>
        <w:rPr>
          <w:highlight w:val="white"/>
        </w:rPr>
        <w:t xml:space="preserve">, L., Peña, V., Le Gall, L., Gabrielson, P. W., Kaleb, S., Hughey, J. R., ... &amp; </w:t>
      </w:r>
      <w:proofErr w:type="spellStart"/>
      <w:r>
        <w:rPr>
          <w:highlight w:val="white"/>
        </w:rPr>
        <w:t>Rindi</w:t>
      </w:r>
      <w:proofErr w:type="spellEnd"/>
      <w:r>
        <w:rPr>
          <w:highlight w:val="white"/>
        </w:rPr>
        <w:t xml:space="preserve">, F. (2019). Mediterranean </w:t>
      </w:r>
      <w:proofErr w:type="spellStart"/>
      <w:r>
        <w:rPr>
          <w:i/>
          <w:highlight w:val="white"/>
        </w:rPr>
        <w:t>Lithophyllum</w:t>
      </w:r>
      <w:proofErr w:type="spellEnd"/>
      <w:r>
        <w:rPr>
          <w:i/>
          <w:highlight w:val="white"/>
        </w:rPr>
        <w:t xml:space="preserve"> </w:t>
      </w:r>
      <w:proofErr w:type="spellStart"/>
      <w:r>
        <w:rPr>
          <w:i/>
          <w:highlight w:val="white"/>
        </w:rPr>
        <w:t>stictiforme</w:t>
      </w:r>
      <w:proofErr w:type="spellEnd"/>
      <w:r>
        <w:rPr>
          <w:highlight w:val="white"/>
        </w:rPr>
        <w:t xml:space="preserve"> (</w:t>
      </w:r>
      <w:proofErr w:type="spellStart"/>
      <w:r>
        <w:rPr>
          <w:highlight w:val="white"/>
        </w:rPr>
        <w:t>Corallinales</w:t>
      </w:r>
      <w:proofErr w:type="spellEnd"/>
      <w:r>
        <w:rPr>
          <w:highlight w:val="white"/>
        </w:rPr>
        <w:t xml:space="preserve">, Rhodophyta) is a genetically diverse species complex: implications for species circumscription, biogeography and conservation of </w:t>
      </w:r>
      <w:proofErr w:type="spellStart"/>
      <w:r>
        <w:rPr>
          <w:highlight w:val="white"/>
        </w:rPr>
        <w:t>coralligenous</w:t>
      </w:r>
      <w:proofErr w:type="spellEnd"/>
      <w:r>
        <w:rPr>
          <w:highlight w:val="white"/>
        </w:rPr>
        <w:t xml:space="preserve"> habitats. </w:t>
      </w:r>
      <w:r>
        <w:rPr>
          <w:i/>
          <w:highlight w:val="white"/>
        </w:rPr>
        <w:t>Journal of Phycology</w:t>
      </w:r>
      <w:r>
        <w:rPr>
          <w:highlight w:val="white"/>
        </w:rPr>
        <w:t xml:space="preserve">, </w:t>
      </w:r>
      <w:r>
        <w:rPr>
          <w:i/>
          <w:highlight w:val="white"/>
        </w:rPr>
        <w:t>55</w:t>
      </w:r>
      <w:r>
        <w:rPr>
          <w:highlight w:val="white"/>
        </w:rPr>
        <w:t xml:space="preserve">(2), 473-492. doi.org/10. 1111/ </w:t>
      </w:r>
      <w:proofErr w:type="spellStart"/>
      <w:r>
        <w:rPr>
          <w:highlight w:val="white"/>
        </w:rPr>
        <w:t>jpy</w:t>
      </w:r>
      <w:proofErr w:type="spellEnd"/>
      <w:r>
        <w:rPr>
          <w:highlight w:val="white"/>
        </w:rPr>
        <w:t>. 12837</w:t>
      </w:r>
    </w:p>
    <w:p w14:paraId="78737095" w14:textId="77777777" w:rsidR="00714B50" w:rsidRPr="006943AB" w:rsidRDefault="0030138C">
      <w:pPr>
        <w:spacing w:before="0" w:after="240"/>
        <w:rPr>
          <w:lang w:val="it-IT"/>
        </w:rPr>
      </w:pPr>
      <w:r w:rsidRPr="007F3A24">
        <w:rPr>
          <w:highlight w:val="white"/>
          <w:lang w:val="it-IT"/>
        </w:rPr>
        <w:t xml:space="preserve">Pratheepa, V., Alex, A., Silva, M., &amp; Vasconcelos, V. (2016). </w:t>
      </w:r>
      <w:r>
        <w:rPr>
          <w:highlight w:val="white"/>
        </w:rPr>
        <w:t xml:space="preserve">Bacterial diversity and tetrodotoxin analysis in the viscera of the gastropods from Portuguese coast. </w:t>
      </w:r>
      <w:r w:rsidRPr="006943AB">
        <w:rPr>
          <w:i/>
          <w:highlight w:val="white"/>
          <w:lang w:val="it-IT"/>
        </w:rPr>
        <w:t>Toxicon</w:t>
      </w:r>
      <w:r w:rsidRPr="006943AB">
        <w:rPr>
          <w:highlight w:val="white"/>
          <w:lang w:val="it-IT"/>
        </w:rPr>
        <w:t xml:space="preserve">, </w:t>
      </w:r>
      <w:r w:rsidRPr="006943AB">
        <w:rPr>
          <w:i/>
          <w:highlight w:val="white"/>
          <w:lang w:val="it-IT"/>
        </w:rPr>
        <w:t>119</w:t>
      </w:r>
      <w:r w:rsidRPr="006943AB">
        <w:rPr>
          <w:highlight w:val="white"/>
          <w:lang w:val="it-IT"/>
        </w:rPr>
        <w:t>, 186-193.</w:t>
      </w:r>
      <w:r w:rsidR="008B29D4">
        <w:fldChar w:fldCharType="begin"/>
      </w:r>
      <w:r w:rsidR="008B29D4" w:rsidRPr="007A7B28">
        <w:rPr>
          <w:lang w:val="it-IT"/>
        </w:rPr>
        <w:instrText xml:space="preserve"> HYPERLINK "https://doi.org/10.1016/j.toxicon.2016.06.003" \h </w:instrText>
      </w:r>
      <w:r w:rsidR="008B29D4">
        <w:fldChar w:fldCharType="separate"/>
      </w:r>
      <w:r w:rsidRPr="006943AB">
        <w:rPr>
          <w:highlight w:val="white"/>
          <w:lang w:val="it-IT"/>
        </w:rPr>
        <w:t xml:space="preserve"> </w:t>
      </w:r>
      <w:r w:rsidR="008B29D4">
        <w:rPr>
          <w:highlight w:val="white"/>
          <w:lang w:val="it-IT"/>
        </w:rPr>
        <w:fldChar w:fldCharType="end"/>
      </w:r>
      <w:hyperlink r:id="rId24">
        <w:r w:rsidRPr="006943AB">
          <w:rPr>
            <w:lang w:val="it-IT"/>
          </w:rPr>
          <w:t>doi.org/10.1016/j.toxicon.2016.06.003</w:t>
        </w:r>
      </w:hyperlink>
    </w:p>
    <w:p w14:paraId="7FB3059A" w14:textId="77777777" w:rsidR="00714B50" w:rsidRDefault="0030138C">
      <w:pPr>
        <w:spacing w:before="0" w:after="240"/>
      </w:pPr>
      <w:r w:rsidRPr="0030138C">
        <w:rPr>
          <w:highlight w:val="white"/>
          <w:lang w:val="it-IT"/>
        </w:rPr>
        <w:t xml:space="preserve">Rainey, F. A., Silva, J., Nobre, M. F., Silva, M. T., &amp; da Costa, M. S. (2003). </w:t>
      </w:r>
      <w:proofErr w:type="spellStart"/>
      <w:r>
        <w:rPr>
          <w:i/>
          <w:highlight w:val="white"/>
        </w:rPr>
        <w:t>Porphyrobacter</w:t>
      </w:r>
      <w:proofErr w:type="spellEnd"/>
      <w:r>
        <w:rPr>
          <w:i/>
          <w:highlight w:val="white"/>
        </w:rPr>
        <w:t xml:space="preserve"> </w:t>
      </w:r>
      <w:proofErr w:type="spellStart"/>
      <w:r>
        <w:rPr>
          <w:i/>
          <w:highlight w:val="white"/>
        </w:rPr>
        <w:t>cryptus</w:t>
      </w:r>
      <w:proofErr w:type="spellEnd"/>
      <w:r>
        <w:rPr>
          <w:highlight w:val="white"/>
        </w:rPr>
        <w:t xml:space="preserve"> sp. </w:t>
      </w:r>
      <w:proofErr w:type="spellStart"/>
      <w:r>
        <w:rPr>
          <w:highlight w:val="white"/>
        </w:rPr>
        <w:t>nov.</w:t>
      </w:r>
      <w:proofErr w:type="spellEnd"/>
      <w:r>
        <w:rPr>
          <w:highlight w:val="white"/>
        </w:rPr>
        <w:t xml:space="preserve">, a novel slightly thermophilic, aerobic, bacteriochlorophyll a-containing species. </w:t>
      </w:r>
      <w:r>
        <w:rPr>
          <w:i/>
        </w:rPr>
        <w:t>International journal of systematic and evolutionary microbiology</w:t>
      </w:r>
      <w:r>
        <w:t xml:space="preserve">, </w:t>
      </w:r>
      <w:r>
        <w:rPr>
          <w:i/>
        </w:rPr>
        <w:t>53</w:t>
      </w:r>
      <w:r>
        <w:t>(1), 35-41. doi:10.1099/ijs.0.02308-0 Webster</w:t>
      </w:r>
    </w:p>
    <w:p w14:paraId="11EAE05B" w14:textId="77777777" w:rsidR="00714B50" w:rsidRDefault="0030138C">
      <w:pPr>
        <w:spacing w:before="0" w:after="240"/>
      </w:pPr>
      <w:proofErr w:type="spellStart"/>
      <w:r>
        <w:t>Reale</w:t>
      </w:r>
      <w:proofErr w:type="spellEnd"/>
      <w:r>
        <w:t xml:space="preserve">, M., </w:t>
      </w:r>
      <w:proofErr w:type="spellStart"/>
      <w:r>
        <w:t>Cossarini</w:t>
      </w:r>
      <w:proofErr w:type="spellEnd"/>
      <w:r>
        <w:t xml:space="preserve">, G., </w:t>
      </w:r>
      <w:proofErr w:type="spellStart"/>
      <w:r>
        <w:t>Lazzari</w:t>
      </w:r>
      <w:proofErr w:type="spellEnd"/>
      <w:r>
        <w:t xml:space="preserve">, P., Lovato, T., </w:t>
      </w:r>
      <w:proofErr w:type="spellStart"/>
      <w:r>
        <w:t>Bolzon</w:t>
      </w:r>
      <w:proofErr w:type="spellEnd"/>
      <w:r>
        <w:t xml:space="preserve">, G., </w:t>
      </w:r>
      <w:proofErr w:type="spellStart"/>
      <w:r>
        <w:t>Masina</w:t>
      </w:r>
      <w:proofErr w:type="spellEnd"/>
      <w:r>
        <w:t xml:space="preserve">, S., ... &amp; Salon, S. (2022). Acidification, deoxygenation, and nutrient and biomass declines in a warming Mediterranean Sea. </w:t>
      </w:r>
      <w:proofErr w:type="spellStart"/>
      <w:r>
        <w:rPr>
          <w:i/>
        </w:rPr>
        <w:t>Biogeosciences</w:t>
      </w:r>
      <w:proofErr w:type="spellEnd"/>
      <w:r>
        <w:t xml:space="preserve">, </w:t>
      </w:r>
      <w:r>
        <w:rPr>
          <w:i/>
        </w:rPr>
        <w:t>19</w:t>
      </w:r>
      <w:r>
        <w:t>(17), 4035-4065. doi.org/10.5194/bg-19-4035-2022</w:t>
      </w:r>
    </w:p>
    <w:p w14:paraId="7AADBCD3" w14:textId="77777777" w:rsidR="00714B50" w:rsidRDefault="0030138C">
      <w:pPr>
        <w:spacing w:before="0" w:after="240"/>
      </w:pPr>
      <w:proofErr w:type="spellStart"/>
      <w:r>
        <w:t>Rungrassamee</w:t>
      </w:r>
      <w:proofErr w:type="spellEnd"/>
      <w:r>
        <w:t xml:space="preserve">, W., </w:t>
      </w:r>
      <w:proofErr w:type="spellStart"/>
      <w:r>
        <w:t>Klanchui</w:t>
      </w:r>
      <w:proofErr w:type="spellEnd"/>
      <w:r>
        <w:t xml:space="preserve">, A., </w:t>
      </w:r>
      <w:proofErr w:type="spellStart"/>
      <w:r>
        <w:t>Maibunkaew</w:t>
      </w:r>
      <w:proofErr w:type="spellEnd"/>
      <w:r>
        <w:t xml:space="preserve">, S., &amp; </w:t>
      </w:r>
      <w:proofErr w:type="spellStart"/>
      <w:r>
        <w:t>Karoonuthaisiri</w:t>
      </w:r>
      <w:proofErr w:type="spellEnd"/>
      <w:r>
        <w:t xml:space="preserve">, N. (2016). Bacterial dynamics in intestines of the black tiger shrimp and the Pacific white shrimp during </w:t>
      </w:r>
      <w:r>
        <w:rPr>
          <w:i/>
        </w:rPr>
        <w:t xml:space="preserve">Vibrio </w:t>
      </w:r>
      <w:proofErr w:type="spellStart"/>
      <w:r>
        <w:rPr>
          <w:i/>
        </w:rPr>
        <w:t>harveyi</w:t>
      </w:r>
      <w:proofErr w:type="spellEnd"/>
      <w:r>
        <w:t xml:space="preserve"> exposure. </w:t>
      </w:r>
      <w:r>
        <w:rPr>
          <w:i/>
        </w:rPr>
        <w:t>Journal of invertebrate pathology</w:t>
      </w:r>
      <w:r>
        <w:t xml:space="preserve">, </w:t>
      </w:r>
      <w:r>
        <w:rPr>
          <w:i/>
        </w:rPr>
        <w:t>133</w:t>
      </w:r>
      <w:r>
        <w:t>, 12-19. doi:10.1016/j.jip.2015.11.004.</w:t>
      </w:r>
    </w:p>
    <w:p w14:paraId="7631EC93" w14:textId="77777777" w:rsidR="00714B50" w:rsidRDefault="0030138C">
      <w:pPr>
        <w:spacing w:before="0" w:after="240"/>
      </w:pPr>
      <w:r>
        <w:rPr>
          <w:highlight w:val="white"/>
        </w:rPr>
        <w:t xml:space="preserve">Saitou, N., &amp; </w:t>
      </w:r>
      <w:proofErr w:type="spellStart"/>
      <w:r>
        <w:rPr>
          <w:highlight w:val="white"/>
        </w:rPr>
        <w:t>Nei</w:t>
      </w:r>
      <w:proofErr w:type="spellEnd"/>
      <w:r>
        <w:rPr>
          <w:highlight w:val="white"/>
        </w:rPr>
        <w:t xml:space="preserve">, M. (1987). The neighbor-joining method: a new method for reconstructing phylogenetic trees. </w:t>
      </w:r>
      <w:r>
        <w:rPr>
          <w:i/>
        </w:rPr>
        <w:t>Molecular biology and evolution</w:t>
      </w:r>
      <w:r>
        <w:t xml:space="preserve">, </w:t>
      </w:r>
      <w:r>
        <w:rPr>
          <w:i/>
        </w:rPr>
        <w:t>4</w:t>
      </w:r>
      <w:r>
        <w:t>(4), 406-425.</w:t>
      </w:r>
    </w:p>
    <w:p w14:paraId="744DC267" w14:textId="77777777" w:rsidR="00714B50" w:rsidRDefault="0030138C">
      <w:pPr>
        <w:spacing w:before="0" w:after="240"/>
      </w:pPr>
      <w:proofErr w:type="spellStart"/>
      <w:r>
        <w:rPr>
          <w:highlight w:val="white"/>
        </w:rPr>
        <w:t>Schä</w:t>
      </w:r>
      <w:proofErr w:type="spellEnd"/>
      <w:r>
        <w:rPr>
          <w:highlight w:val="white"/>
        </w:rPr>
        <w:t xml:space="preserve">, H., Bernard, L., </w:t>
      </w:r>
      <w:proofErr w:type="spellStart"/>
      <w:r>
        <w:rPr>
          <w:highlight w:val="white"/>
        </w:rPr>
        <w:t>Courties</w:t>
      </w:r>
      <w:proofErr w:type="spellEnd"/>
      <w:r>
        <w:rPr>
          <w:highlight w:val="white"/>
        </w:rPr>
        <w:t xml:space="preserve">, C., </w:t>
      </w:r>
      <w:proofErr w:type="spellStart"/>
      <w:r>
        <w:rPr>
          <w:highlight w:val="white"/>
        </w:rPr>
        <w:t>Lebaron</w:t>
      </w:r>
      <w:proofErr w:type="spellEnd"/>
      <w:r>
        <w:rPr>
          <w:highlight w:val="white"/>
        </w:rPr>
        <w:t xml:space="preserve">, P., Servais, P., </w:t>
      </w:r>
      <w:proofErr w:type="spellStart"/>
      <w:r>
        <w:rPr>
          <w:highlight w:val="white"/>
        </w:rPr>
        <w:t>Pukall</w:t>
      </w:r>
      <w:proofErr w:type="spellEnd"/>
      <w:r>
        <w:rPr>
          <w:highlight w:val="white"/>
        </w:rPr>
        <w:t xml:space="preserve">, R., ... &amp; </w:t>
      </w:r>
      <w:proofErr w:type="spellStart"/>
      <w:r>
        <w:rPr>
          <w:highlight w:val="white"/>
        </w:rPr>
        <w:t>Muyzer</w:t>
      </w:r>
      <w:proofErr w:type="spellEnd"/>
      <w:r>
        <w:rPr>
          <w:highlight w:val="white"/>
        </w:rPr>
        <w:t xml:space="preserve">, G. (2001). Microbial community dynamics in Mediterranean nutrient-enriched seawater mesocosms: changes in the genetic diversity of bacterial populations. </w:t>
      </w:r>
      <w:r>
        <w:rPr>
          <w:i/>
        </w:rPr>
        <w:t>FEMS microbiology ecology</w:t>
      </w:r>
      <w:r>
        <w:t xml:space="preserve">, </w:t>
      </w:r>
      <w:r>
        <w:rPr>
          <w:i/>
        </w:rPr>
        <w:t>34</w:t>
      </w:r>
      <w:r>
        <w:t xml:space="preserve">(3), 243-253. doi:10.1111/j.1574-6941.2001.tb00775.x. </w:t>
      </w:r>
    </w:p>
    <w:p w14:paraId="6627E51F" w14:textId="77777777" w:rsidR="00714B50" w:rsidRDefault="0030138C">
      <w:proofErr w:type="spellStart"/>
      <w:r>
        <w:rPr>
          <w:highlight w:val="white"/>
        </w:rPr>
        <w:t>Sekar</w:t>
      </w:r>
      <w:proofErr w:type="spellEnd"/>
      <w:r>
        <w:rPr>
          <w:highlight w:val="white"/>
        </w:rPr>
        <w:t xml:space="preserve">, R., </w:t>
      </w:r>
      <w:proofErr w:type="spellStart"/>
      <w:r>
        <w:rPr>
          <w:highlight w:val="white"/>
        </w:rPr>
        <w:t>Kaczmarsky</w:t>
      </w:r>
      <w:proofErr w:type="spellEnd"/>
      <w:r>
        <w:rPr>
          <w:highlight w:val="white"/>
        </w:rPr>
        <w:t xml:space="preserve">, L. T., &amp; Richardson, L. L. (2008). Microbial community composition of black band disease on the coral host </w:t>
      </w:r>
      <w:proofErr w:type="spellStart"/>
      <w:r>
        <w:rPr>
          <w:i/>
          <w:highlight w:val="white"/>
        </w:rPr>
        <w:t>Siderastrea</w:t>
      </w:r>
      <w:proofErr w:type="spellEnd"/>
      <w:r>
        <w:rPr>
          <w:i/>
          <w:highlight w:val="white"/>
        </w:rPr>
        <w:t xml:space="preserve"> </w:t>
      </w:r>
      <w:proofErr w:type="spellStart"/>
      <w:r>
        <w:rPr>
          <w:i/>
          <w:highlight w:val="white"/>
        </w:rPr>
        <w:t>siderea</w:t>
      </w:r>
      <w:proofErr w:type="spellEnd"/>
      <w:r>
        <w:rPr>
          <w:highlight w:val="white"/>
        </w:rPr>
        <w:t xml:space="preserve"> from three regions of the wider Caribbean. </w:t>
      </w:r>
      <w:r>
        <w:rPr>
          <w:i/>
        </w:rPr>
        <w:t>Marine Ecology Progress Series</w:t>
      </w:r>
      <w:r>
        <w:t xml:space="preserve">, </w:t>
      </w:r>
      <w:r>
        <w:rPr>
          <w:i/>
        </w:rPr>
        <w:t>362</w:t>
      </w:r>
      <w:r>
        <w:t xml:space="preserve">, 85-98. </w:t>
      </w:r>
      <w:proofErr w:type="spellStart"/>
      <w:r>
        <w:t>doi</w:t>
      </w:r>
      <w:proofErr w:type="spellEnd"/>
      <w:r>
        <w:t>: 10.3354/meps07496</w:t>
      </w:r>
    </w:p>
    <w:p w14:paraId="238DD245" w14:textId="77777777" w:rsidR="00714B50" w:rsidRDefault="0030138C">
      <w:r>
        <w:rPr>
          <w:highlight w:val="white"/>
        </w:rPr>
        <w:t xml:space="preserve">Shimane, Y., </w:t>
      </w:r>
      <w:proofErr w:type="spellStart"/>
      <w:r>
        <w:rPr>
          <w:highlight w:val="white"/>
        </w:rPr>
        <w:t>Tsuruwaka</w:t>
      </w:r>
      <w:proofErr w:type="spellEnd"/>
      <w:r>
        <w:rPr>
          <w:highlight w:val="white"/>
        </w:rPr>
        <w:t xml:space="preserve">, Y., Miyazaki, M., Mori, K., Minegishi, H., </w:t>
      </w:r>
      <w:proofErr w:type="spellStart"/>
      <w:r>
        <w:rPr>
          <w:highlight w:val="white"/>
        </w:rPr>
        <w:t>Echigo</w:t>
      </w:r>
      <w:proofErr w:type="spellEnd"/>
      <w:r>
        <w:rPr>
          <w:highlight w:val="white"/>
        </w:rPr>
        <w:t xml:space="preserve">, A., ... &amp; </w:t>
      </w:r>
      <w:proofErr w:type="spellStart"/>
      <w:r>
        <w:rPr>
          <w:highlight w:val="white"/>
        </w:rPr>
        <w:t>Hatada</w:t>
      </w:r>
      <w:proofErr w:type="spellEnd"/>
      <w:r>
        <w:rPr>
          <w:highlight w:val="white"/>
        </w:rPr>
        <w:t xml:space="preserve">, Y. (2013). </w:t>
      </w:r>
      <w:proofErr w:type="spellStart"/>
      <w:r>
        <w:rPr>
          <w:i/>
        </w:rPr>
        <w:t>Salinisphaera</w:t>
      </w:r>
      <w:proofErr w:type="spellEnd"/>
      <w:r>
        <w:rPr>
          <w:i/>
        </w:rPr>
        <w:t xml:space="preserve"> japonica</w:t>
      </w:r>
      <w:r>
        <w:t xml:space="preserve"> sp. </w:t>
      </w:r>
      <w:proofErr w:type="spellStart"/>
      <w:r>
        <w:t>nov.</w:t>
      </w:r>
      <w:proofErr w:type="spellEnd"/>
      <w:r>
        <w:t xml:space="preserve">, a moderately halophilic bacterium isolated from the surface of a deep-sea fish, </w:t>
      </w:r>
      <w:proofErr w:type="spellStart"/>
      <w:r>
        <w:rPr>
          <w:i/>
        </w:rPr>
        <w:t>Malacocottus</w:t>
      </w:r>
      <w:proofErr w:type="spellEnd"/>
      <w:r>
        <w:rPr>
          <w:i/>
        </w:rPr>
        <w:t xml:space="preserve"> gibber</w:t>
      </w:r>
      <w:r>
        <w:t xml:space="preserve">, and emended description of the genus </w:t>
      </w:r>
      <w:proofErr w:type="spellStart"/>
      <w:r>
        <w:t>Salinisphaera</w:t>
      </w:r>
      <w:proofErr w:type="spellEnd"/>
      <w:r>
        <w:t xml:space="preserve">. </w:t>
      </w:r>
      <w:r>
        <w:rPr>
          <w:i/>
        </w:rPr>
        <w:t>International Journal of Systematic and Evolutionary Microbiology</w:t>
      </w:r>
      <w:r>
        <w:t xml:space="preserve">, </w:t>
      </w:r>
      <w:r>
        <w:rPr>
          <w:i/>
        </w:rPr>
        <w:t>63</w:t>
      </w:r>
      <w:r>
        <w:t xml:space="preserve">(6), 2180-2185. doi:10.1099/ijs.0.047845-0. </w:t>
      </w:r>
    </w:p>
    <w:p w14:paraId="12C86C26" w14:textId="77777777" w:rsidR="00714B50" w:rsidRDefault="0030138C">
      <w:proofErr w:type="spellStart"/>
      <w:r>
        <w:rPr>
          <w:highlight w:val="white"/>
        </w:rPr>
        <w:t>Siboni</w:t>
      </w:r>
      <w:proofErr w:type="spellEnd"/>
      <w:r>
        <w:rPr>
          <w:highlight w:val="white"/>
        </w:rPr>
        <w:t xml:space="preserve">, N., Martinez, S., Abelson, A., Sivan, A., &amp; </w:t>
      </w:r>
      <w:proofErr w:type="spellStart"/>
      <w:r>
        <w:rPr>
          <w:highlight w:val="white"/>
        </w:rPr>
        <w:t>Kushmaro</w:t>
      </w:r>
      <w:proofErr w:type="spellEnd"/>
      <w:r>
        <w:rPr>
          <w:highlight w:val="white"/>
        </w:rPr>
        <w:t xml:space="preserve">, A. (2009). Conditioning film and initial biofilm formation on electrochemical CaCO3 deposition on a metallic net in the marine environment. </w:t>
      </w:r>
      <w:r>
        <w:rPr>
          <w:i/>
        </w:rPr>
        <w:t>Biofouling</w:t>
      </w:r>
      <w:r>
        <w:t xml:space="preserve">, </w:t>
      </w:r>
      <w:r>
        <w:rPr>
          <w:i/>
        </w:rPr>
        <w:t>25</w:t>
      </w:r>
      <w:r>
        <w:t>(7), 675-683.</w:t>
      </w:r>
    </w:p>
    <w:p w14:paraId="2DE9A16F" w14:textId="77777777" w:rsidR="00714B50" w:rsidRDefault="0030138C">
      <w:pPr>
        <w:spacing w:before="0" w:after="240"/>
      </w:pPr>
      <w:r>
        <w:rPr>
          <w:highlight w:val="white"/>
        </w:rPr>
        <w:t xml:space="preserve">Singh, S. K., </w:t>
      </w:r>
      <w:proofErr w:type="spellStart"/>
      <w:r>
        <w:rPr>
          <w:highlight w:val="white"/>
        </w:rPr>
        <w:t>Kotakonda</w:t>
      </w:r>
      <w:proofErr w:type="spellEnd"/>
      <w:r>
        <w:rPr>
          <w:highlight w:val="white"/>
        </w:rPr>
        <w:t xml:space="preserve">, A., </w:t>
      </w:r>
      <w:proofErr w:type="spellStart"/>
      <w:r>
        <w:rPr>
          <w:highlight w:val="white"/>
        </w:rPr>
        <w:t>Kapardar</w:t>
      </w:r>
      <w:proofErr w:type="spellEnd"/>
      <w:r>
        <w:rPr>
          <w:highlight w:val="white"/>
        </w:rPr>
        <w:t xml:space="preserve">, R. K., </w:t>
      </w:r>
      <w:proofErr w:type="spellStart"/>
      <w:r>
        <w:rPr>
          <w:highlight w:val="white"/>
        </w:rPr>
        <w:t>Kankipati</w:t>
      </w:r>
      <w:proofErr w:type="spellEnd"/>
      <w:r>
        <w:rPr>
          <w:highlight w:val="white"/>
        </w:rPr>
        <w:t xml:space="preserve">, H. K., </w:t>
      </w:r>
      <w:proofErr w:type="spellStart"/>
      <w:r>
        <w:rPr>
          <w:highlight w:val="white"/>
        </w:rPr>
        <w:t>Sreenivasa</w:t>
      </w:r>
      <w:proofErr w:type="spellEnd"/>
      <w:r>
        <w:rPr>
          <w:highlight w:val="white"/>
        </w:rPr>
        <w:t xml:space="preserve"> Rao, P., </w:t>
      </w:r>
      <w:proofErr w:type="spellStart"/>
      <w:r>
        <w:rPr>
          <w:highlight w:val="white"/>
        </w:rPr>
        <w:t>Sankaranarayanan</w:t>
      </w:r>
      <w:proofErr w:type="spellEnd"/>
      <w:r>
        <w:rPr>
          <w:highlight w:val="white"/>
        </w:rPr>
        <w:t xml:space="preserve">, P. M., ... &amp; Shivaji, S. (2015). Response of bacterioplankton to iron fertilization of the Southern Ocean, Antarctica. </w:t>
      </w:r>
      <w:r>
        <w:rPr>
          <w:i/>
        </w:rPr>
        <w:t>Frontiers in Microbiology</w:t>
      </w:r>
      <w:r>
        <w:t xml:space="preserve">, </w:t>
      </w:r>
      <w:r>
        <w:rPr>
          <w:i/>
        </w:rPr>
        <w:t>6</w:t>
      </w:r>
      <w:r>
        <w:t>, 863.</w:t>
      </w:r>
    </w:p>
    <w:p w14:paraId="76E2D891" w14:textId="77777777" w:rsidR="00714B50" w:rsidRDefault="0030138C">
      <w:pPr>
        <w:spacing w:before="0" w:after="240"/>
        <w:rPr>
          <w:highlight w:val="white"/>
        </w:rPr>
      </w:pPr>
      <w:proofErr w:type="spellStart"/>
      <w:r>
        <w:rPr>
          <w:highlight w:val="white"/>
        </w:rPr>
        <w:t>Sipkema</w:t>
      </w:r>
      <w:proofErr w:type="spellEnd"/>
      <w:r>
        <w:rPr>
          <w:highlight w:val="white"/>
        </w:rPr>
        <w:t xml:space="preserve">, D., &amp; Blanch, H. W. (2010). Spatial distribution of bacteria associated with the marine sponge </w:t>
      </w:r>
      <w:proofErr w:type="spellStart"/>
      <w:r>
        <w:rPr>
          <w:i/>
          <w:highlight w:val="white"/>
        </w:rPr>
        <w:t>Tethya</w:t>
      </w:r>
      <w:proofErr w:type="spellEnd"/>
      <w:r>
        <w:rPr>
          <w:i/>
          <w:highlight w:val="white"/>
        </w:rPr>
        <w:t xml:space="preserve"> </w:t>
      </w:r>
      <w:proofErr w:type="spellStart"/>
      <w:r>
        <w:rPr>
          <w:i/>
          <w:highlight w:val="white"/>
        </w:rPr>
        <w:t>californiana</w:t>
      </w:r>
      <w:proofErr w:type="spellEnd"/>
      <w:r>
        <w:rPr>
          <w:highlight w:val="white"/>
        </w:rPr>
        <w:t xml:space="preserve">. </w:t>
      </w:r>
      <w:r>
        <w:rPr>
          <w:i/>
        </w:rPr>
        <w:t>Marine Biology</w:t>
      </w:r>
      <w:r>
        <w:t xml:space="preserve">, </w:t>
      </w:r>
      <w:r>
        <w:rPr>
          <w:i/>
        </w:rPr>
        <w:t>157</w:t>
      </w:r>
      <w:r>
        <w:t xml:space="preserve">, 627-638. </w:t>
      </w:r>
      <w:proofErr w:type="spellStart"/>
      <w:r>
        <w:rPr>
          <w:highlight w:val="white"/>
        </w:rPr>
        <w:t>doi</w:t>
      </w:r>
      <w:proofErr w:type="spellEnd"/>
      <w:r>
        <w:rPr>
          <w:highlight w:val="white"/>
        </w:rPr>
        <w:t>: 10.1007/s00227-009-1347-2.</w:t>
      </w:r>
    </w:p>
    <w:p w14:paraId="779B2A2F" w14:textId="77777777" w:rsidR="00714B50" w:rsidRDefault="0030138C">
      <w:proofErr w:type="spellStart"/>
      <w:r>
        <w:rPr>
          <w:highlight w:val="white"/>
        </w:rPr>
        <w:t>Sipkema</w:t>
      </w:r>
      <w:proofErr w:type="spellEnd"/>
      <w:r>
        <w:rPr>
          <w:highlight w:val="white"/>
        </w:rPr>
        <w:t xml:space="preserve">, D., Holmes, B., Nichols, S. A., &amp; Blanch, H. W. (2009). Biological </w:t>
      </w:r>
      <w:proofErr w:type="spellStart"/>
      <w:r>
        <w:rPr>
          <w:highlight w:val="white"/>
        </w:rPr>
        <w:t>characterisation</w:t>
      </w:r>
      <w:proofErr w:type="spellEnd"/>
      <w:r>
        <w:rPr>
          <w:highlight w:val="white"/>
        </w:rPr>
        <w:t xml:space="preserve"> of </w:t>
      </w:r>
      <w:proofErr w:type="spellStart"/>
      <w:r>
        <w:rPr>
          <w:i/>
        </w:rPr>
        <w:t>Haliclona</w:t>
      </w:r>
      <w:proofErr w:type="spellEnd"/>
      <w:r>
        <w:rPr>
          <w:i/>
        </w:rPr>
        <w:t xml:space="preserve"> (? </w:t>
      </w:r>
      <w:proofErr w:type="spellStart"/>
      <w:r>
        <w:rPr>
          <w:i/>
        </w:rPr>
        <w:t>gellius</w:t>
      </w:r>
      <w:proofErr w:type="spellEnd"/>
      <w:r>
        <w:t xml:space="preserve">) sp.: sponge and associated microorganisms. </w:t>
      </w:r>
      <w:r>
        <w:rPr>
          <w:i/>
          <w:highlight w:val="white"/>
        </w:rPr>
        <w:t>Microbial Ecology</w:t>
      </w:r>
      <w:r>
        <w:rPr>
          <w:highlight w:val="white"/>
        </w:rPr>
        <w:t xml:space="preserve">, </w:t>
      </w:r>
      <w:r>
        <w:rPr>
          <w:i/>
        </w:rPr>
        <w:t>58</w:t>
      </w:r>
      <w:r>
        <w:t xml:space="preserve">, 903-920. doi:10.1007/s00248-009-9534-8. </w:t>
      </w:r>
    </w:p>
    <w:p w14:paraId="16AE427D" w14:textId="77777777" w:rsidR="00714B50" w:rsidRDefault="0030138C">
      <w:proofErr w:type="spellStart"/>
      <w:r>
        <w:rPr>
          <w:highlight w:val="white"/>
        </w:rPr>
        <w:t>Sipkema</w:t>
      </w:r>
      <w:proofErr w:type="spellEnd"/>
      <w:r>
        <w:rPr>
          <w:highlight w:val="white"/>
        </w:rPr>
        <w:t xml:space="preserve">, D., Schippers, K., </w:t>
      </w:r>
      <w:proofErr w:type="spellStart"/>
      <w:r>
        <w:rPr>
          <w:highlight w:val="white"/>
        </w:rPr>
        <w:t>Maalcke</w:t>
      </w:r>
      <w:proofErr w:type="spellEnd"/>
      <w:r>
        <w:rPr>
          <w:highlight w:val="white"/>
        </w:rPr>
        <w:t xml:space="preserve">, W. J., Yang, Y., Salim, S., &amp; Blanch, H. W. (2011). Multiple approaches to enhance the cultivability of bacteria associated with the marine sponge </w:t>
      </w:r>
      <w:proofErr w:type="spellStart"/>
      <w:r>
        <w:rPr>
          <w:i/>
        </w:rPr>
        <w:t>Haliclona</w:t>
      </w:r>
      <w:proofErr w:type="spellEnd"/>
      <w:r>
        <w:rPr>
          <w:i/>
        </w:rPr>
        <w:t xml:space="preserve"> (</w:t>
      </w:r>
      <w:proofErr w:type="spellStart"/>
      <w:r>
        <w:rPr>
          <w:i/>
        </w:rPr>
        <w:t>gellius</w:t>
      </w:r>
      <w:proofErr w:type="spellEnd"/>
      <w:r>
        <w:rPr>
          <w:i/>
        </w:rPr>
        <w:t>)</w:t>
      </w:r>
      <w:r>
        <w:t xml:space="preserve"> sp. </w:t>
      </w:r>
      <w:r>
        <w:rPr>
          <w:i/>
          <w:highlight w:val="white"/>
        </w:rPr>
        <w:t>Applied and Environmental Microbiology</w:t>
      </w:r>
      <w:r>
        <w:rPr>
          <w:highlight w:val="white"/>
        </w:rPr>
        <w:t xml:space="preserve">, </w:t>
      </w:r>
      <w:r>
        <w:rPr>
          <w:i/>
        </w:rPr>
        <w:t>77</w:t>
      </w:r>
      <w:r>
        <w:t xml:space="preserve">(6), 2130-2140. doi:10.1128/AEM.01203-10. </w:t>
      </w:r>
    </w:p>
    <w:p w14:paraId="3639812A" w14:textId="77777777" w:rsidR="00714B50" w:rsidRDefault="0030138C">
      <w:pPr>
        <w:rPr>
          <w:highlight w:val="white"/>
        </w:rPr>
      </w:pPr>
      <w:proofErr w:type="spellStart"/>
      <w:r>
        <w:rPr>
          <w:highlight w:val="white"/>
        </w:rPr>
        <w:t>Sunagawa</w:t>
      </w:r>
      <w:proofErr w:type="spellEnd"/>
      <w:r>
        <w:rPr>
          <w:highlight w:val="white"/>
        </w:rPr>
        <w:t xml:space="preserve">, S., DeSantis, T. Z., Piceno, Y. M., Brodie, E. L., DeSalvo, M. K., </w:t>
      </w:r>
      <w:proofErr w:type="spellStart"/>
      <w:r>
        <w:rPr>
          <w:highlight w:val="white"/>
        </w:rPr>
        <w:t>Voolstra</w:t>
      </w:r>
      <w:proofErr w:type="spellEnd"/>
      <w:r>
        <w:rPr>
          <w:highlight w:val="white"/>
        </w:rPr>
        <w:t xml:space="preserve">, C. R., ... &amp; Medina, M. (2009). Bacterial diversity and White Plague Disease-associated community changes in the Caribbean coral </w:t>
      </w:r>
      <w:proofErr w:type="spellStart"/>
      <w:r>
        <w:rPr>
          <w:i/>
          <w:highlight w:val="white"/>
        </w:rPr>
        <w:t>Montastraea</w:t>
      </w:r>
      <w:proofErr w:type="spellEnd"/>
      <w:r>
        <w:rPr>
          <w:i/>
          <w:highlight w:val="white"/>
        </w:rPr>
        <w:t xml:space="preserve"> </w:t>
      </w:r>
      <w:proofErr w:type="spellStart"/>
      <w:r>
        <w:rPr>
          <w:i/>
          <w:highlight w:val="white"/>
        </w:rPr>
        <w:t>faveolata</w:t>
      </w:r>
      <w:proofErr w:type="spellEnd"/>
      <w:r>
        <w:rPr>
          <w:highlight w:val="white"/>
        </w:rPr>
        <w:t xml:space="preserve">. </w:t>
      </w:r>
      <w:r>
        <w:rPr>
          <w:i/>
          <w:highlight w:val="white"/>
        </w:rPr>
        <w:t>The ISME journal</w:t>
      </w:r>
      <w:r>
        <w:rPr>
          <w:highlight w:val="white"/>
        </w:rPr>
        <w:t xml:space="preserve">, </w:t>
      </w:r>
      <w:r>
        <w:rPr>
          <w:i/>
          <w:highlight w:val="white"/>
        </w:rPr>
        <w:t>3</w:t>
      </w:r>
      <w:r>
        <w:rPr>
          <w:highlight w:val="white"/>
        </w:rPr>
        <w:t>(5), 512-521. doi:10.1038/ismej.2008.131.</w:t>
      </w:r>
    </w:p>
    <w:p w14:paraId="571CF43C" w14:textId="77777777" w:rsidR="00714B50" w:rsidRPr="00F13FFE" w:rsidRDefault="0030138C">
      <w:pPr>
        <w:spacing w:before="0" w:after="240"/>
        <w:rPr>
          <w:highlight w:val="white"/>
          <w:lang w:val="fr-FR"/>
        </w:rPr>
      </w:pPr>
      <w:proofErr w:type="spellStart"/>
      <w:r>
        <w:rPr>
          <w:highlight w:val="white"/>
        </w:rPr>
        <w:t>Sunagawa</w:t>
      </w:r>
      <w:proofErr w:type="spellEnd"/>
      <w:r>
        <w:rPr>
          <w:highlight w:val="white"/>
        </w:rPr>
        <w:t xml:space="preserve">, S., Woodley, C. M., &amp; Medina, M. (2010). Threatened corals provide underexplored microbial habitats. </w:t>
      </w:r>
      <w:proofErr w:type="spellStart"/>
      <w:r w:rsidRPr="003B794F">
        <w:rPr>
          <w:i/>
          <w:highlight w:val="white"/>
          <w:lang w:val="fr-FR"/>
        </w:rPr>
        <w:t>PloS</w:t>
      </w:r>
      <w:proofErr w:type="spellEnd"/>
      <w:r w:rsidRPr="003B794F">
        <w:rPr>
          <w:i/>
          <w:highlight w:val="white"/>
          <w:lang w:val="fr-FR"/>
        </w:rPr>
        <w:t xml:space="preserve"> one</w:t>
      </w:r>
      <w:r w:rsidRPr="00F13FFE">
        <w:rPr>
          <w:highlight w:val="white"/>
          <w:lang w:val="fr-FR"/>
        </w:rPr>
        <w:t xml:space="preserve">, </w:t>
      </w:r>
      <w:r w:rsidRPr="00F13FFE">
        <w:rPr>
          <w:i/>
          <w:highlight w:val="white"/>
          <w:lang w:val="fr-FR"/>
        </w:rPr>
        <w:t>5</w:t>
      </w:r>
      <w:r w:rsidRPr="00F13FFE">
        <w:rPr>
          <w:highlight w:val="white"/>
          <w:lang w:val="fr-FR"/>
        </w:rPr>
        <w:t xml:space="preserve">(3), e9554. </w:t>
      </w:r>
      <w:proofErr w:type="spellStart"/>
      <w:r w:rsidRPr="00F13FFE">
        <w:rPr>
          <w:highlight w:val="white"/>
          <w:lang w:val="fr-FR"/>
        </w:rPr>
        <w:t>doi</w:t>
      </w:r>
      <w:proofErr w:type="spellEnd"/>
      <w:r w:rsidRPr="00F13FFE">
        <w:rPr>
          <w:highlight w:val="white"/>
          <w:lang w:val="fr-FR"/>
        </w:rPr>
        <w:t>: 10.1371/journal.pone.0009554.</w:t>
      </w:r>
    </w:p>
    <w:p w14:paraId="0CD282AF" w14:textId="77777777" w:rsidR="00714B50" w:rsidRDefault="0030138C">
      <w:pPr>
        <w:spacing w:before="0" w:after="240"/>
      </w:pPr>
      <w:proofErr w:type="spellStart"/>
      <w:r w:rsidRPr="003B794F">
        <w:rPr>
          <w:highlight w:val="white"/>
          <w:lang w:val="fr-FR"/>
        </w:rPr>
        <w:t>Tamura</w:t>
      </w:r>
      <w:proofErr w:type="spellEnd"/>
      <w:r w:rsidRPr="003B794F">
        <w:rPr>
          <w:highlight w:val="white"/>
          <w:lang w:val="fr-FR"/>
        </w:rPr>
        <w:t xml:space="preserve">, K., </w:t>
      </w:r>
      <w:proofErr w:type="spellStart"/>
      <w:r w:rsidRPr="003B794F">
        <w:rPr>
          <w:highlight w:val="white"/>
          <w:lang w:val="fr-FR"/>
        </w:rPr>
        <w:t>Stecher</w:t>
      </w:r>
      <w:proofErr w:type="spellEnd"/>
      <w:r w:rsidRPr="003B794F">
        <w:rPr>
          <w:highlight w:val="white"/>
          <w:lang w:val="fr-FR"/>
        </w:rPr>
        <w:t xml:space="preserve">, G., &amp; Kumar, S. (2021). </w:t>
      </w:r>
      <w:r>
        <w:rPr>
          <w:highlight w:val="white"/>
        </w:rPr>
        <w:t xml:space="preserve">MEGA11: molecular evolutionary genetics analysis version 11. </w:t>
      </w:r>
      <w:r>
        <w:rPr>
          <w:i/>
          <w:highlight w:val="white"/>
        </w:rPr>
        <w:t>Molecular biology and evolution</w:t>
      </w:r>
      <w:r>
        <w:rPr>
          <w:highlight w:val="white"/>
        </w:rPr>
        <w:t xml:space="preserve">, </w:t>
      </w:r>
      <w:r>
        <w:rPr>
          <w:i/>
          <w:highlight w:val="white"/>
        </w:rPr>
        <w:t>38</w:t>
      </w:r>
      <w:r>
        <w:rPr>
          <w:highlight w:val="white"/>
        </w:rPr>
        <w:t xml:space="preserve">(7), 3022-3027. </w:t>
      </w:r>
      <w:r>
        <w:t>doi:10.1093/</w:t>
      </w:r>
      <w:proofErr w:type="spellStart"/>
      <w:r>
        <w:t>molbev</w:t>
      </w:r>
      <w:proofErr w:type="spellEnd"/>
      <w:r>
        <w:t>/msab120</w:t>
      </w:r>
    </w:p>
    <w:p w14:paraId="02EC21BC" w14:textId="77777777" w:rsidR="00714B50" w:rsidRPr="0030138C" w:rsidRDefault="0030138C">
      <w:pPr>
        <w:rPr>
          <w:lang w:val="fr-FR"/>
        </w:rPr>
      </w:pPr>
      <w:proofErr w:type="spellStart"/>
      <w:r>
        <w:rPr>
          <w:highlight w:val="white"/>
        </w:rPr>
        <w:t>Teeling</w:t>
      </w:r>
      <w:proofErr w:type="spellEnd"/>
      <w:r>
        <w:rPr>
          <w:highlight w:val="white"/>
        </w:rPr>
        <w:t xml:space="preserve">, H., Fuchs, B. M., Becher, D., </w:t>
      </w:r>
      <w:proofErr w:type="spellStart"/>
      <w:r>
        <w:rPr>
          <w:highlight w:val="white"/>
        </w:rPr>
        <w:t>Klockow</w:t>
      </w:r>
      <w:proofErr w:type="spellEnd"/>
      <w:r>
        <w:rPr>
          <w:highlight w:val="white"/>
        </w:rPr>
        <w:t xml:space="preserve">, C., </w:t>
      </w:r>
      <w:proofErr w:type="spellStart"/>
      <w:r>
        <w:rPr>
          <w:highlight w:val="white"/>
        </w:rPr>
        <w:t>Gardebrecht</w:t>
      </w:r>
      <w:proofErr w:type="spellEnd"/>
      <w:r>
        <w:rPr>
          <w:highlight w:val="white"/>
        </w:rPr>
        <w:t xml:space="preserve">, A., </w:t>
      </w:r>
      <w:proofErr w:type="spellStart"/>
      <w:r>
        <w:rPr>
          <w:highlight w:val="white"/>
        </w:rPr>
        <w:t>Bennke</w:t>
      </w:r>
      <w:proofErr w:type="spellEnd"/>
      <w:r>
        <w:rPr>
          <w:highlight w:val="white"/>
        </w:rPr>
        <w:t xml:space="preserve">, C. M., ... &amp; Amann, R. (2012). Substrate-controlled succession of marine bacterioplankton populations induced by a phytoplankton bloom. </w:t>
      </w:r>
      <w:r w:rsidRPr="0030138C">
        <w:rPr>
          <w:i/>
          <w:highlight w:val="white"/>
          <w:lang w:val="fr-FR"/>
        </w:rPr>
        <w:t>Science</w:t>
      </w:r>
      <w:r w:rsidRPr="0030138C">
        <w:rPr>
          <w:highlight w:val="white"/>
          <w:lang w:val="fr-FR"/>
        </w:rPr>
        <w:t xml:space="preserve">, </w:t>
      </w:r>
      <w:r w:rsidRPr="0030138C">
        <w:rPr>
          <w:i/>
          <w:lang w:val="fr-FR"/>
        </w:rPr>
        <w:t>336</w:t>
      </w:r>
      <w:r w:rsidRPr="0030138C">
        <w:rPr>
          <w:lang w:val="fr-FR"/>
        </w:rPr>
        <w:t xml:space="preserve">(6081), 608-611. doi:10.1126/science.1218344. </w:t>
      </w:r>
    </w:p>
    <w:p w14:paraId="37D6D894" w14:textId="5365C4F2" w:rsidR="00714B50" w:rsidRDefault="0030138C">
      <w:r w:rsidRPr="0030138C">
        <w:rPr>
          <w:highlight w:val="white"/>
          <w:lang w:val="fr-FR"/>
        </w:rPr>
        <w:t xml:space="preserve">Tian, F., Yu, Y., Chen, B., Li, H., Yao, Y. F., &amp; Guo, X. K. (2009). </w:t>
      </w:r>
      <w:r>
        <w:rPr>
          <w:highlight w:val="white"/>
        </w:rPr>
        <w:t xml:space="preserve">Bacterial, archaeal and eukaryotic diversity in Arctic sediment as revealed by 16S rRNA and 18S rRNA gene clone libraries analysis. </w:t>
      </w:r>
      <w:r>
        <w:rPr>
          <w:i/>
          <w:highlight w:val="white"/>
        </w:rPr>
        <w:t>Polar Biology</w:t>
      </w:r>
      <w:r>
        <w:rPr>
          <w:highlight w:val="white"/>
        </w:rPr>
        <w:t xml:space="preserve">, </w:t>
      </w:r>
      <w:r>
        <w:rPr>
          <w:i/>
        </w:rPr>
        <w:t>32</w:t>
      </w:r>
      <w:r>
        <w:t>, 93-103. doi:10.1007/s00300-008-0509-x</w:t>
      </w:r>
    </w:p>
    <w:p w14:paraId="02416B88" w14:textId="6C9BA207" w:rsidR="00E81ECF" w:rsidRDefault="00E81ECF">
      <w:proofErr w:type="spellStart"/>
      <w:r w:rsidRPr="00B52BE2">
        <w:t>Tignat</w:t>
      </w:r>
      <w:proofErr w:type="spellEnd"/>
      <w:r w:rsidRPr="00B52BE2">
        <w:t xml:space="preserve">-Perrier, R., </w:t>
      </w:r>
      <w:proofErr w:type="spellStart"/>
      <w:r w:rsidRPr="00B52BE2">
        <w:t>Bramanti</w:t>
      </w:r>
      <w:proofErr w:type="spellEnd"/>
      <w:r w:rsidRPr="00B52BE2">
        <w:t xml:space="preserve">, L., Giordano, B., van de Water, J. A. J. M., </w:t>
      </w:r>
      <w:proofErr w:type="spellStart"/>
      <w:r w:rsidRPr="00B52BE2">
        <w:t>Manea</w:t>
      </w:r>
      <w:proofErr w:type="spellEnd"/>
      <w:r w:rsidRPr="00B52BE2">
        <w:t xml:space="preserve">, E., </w:t>
      </w:r>
      <w:proofErr w:type="spellStart"/>
      <w:r w:rsidRPr="00B52BE2">
        <w:t>Allemand</w:t>
      </w:r>
      <w:proofErr w:type="spellEnd"/>
      <w:r w:rsidRPr="00B52BE2">
        <w:t>, D., Ferrier-</w:t>
      </w:r>
      <w:proofErr w:type="spellStart"/>
      <w:r w:rsidRPr="00B52BE2">
        <w:t>Pagès</w:t>
      </w:r>
      <w:proofErr w:type="spellEnd"/>
      <w:r w:rsidRPr="00B52BE2">
        <w:t xml:space="preserve">, C. (2025). </w:t>
      </w:r>
      <w:r w:rsidRPr="00E81ECF">
        <w:t>Microbiome dynamics in early life stages of the precious Mediterranean red coral Corallium rubrum. Environmental Microbiology Reports, 17(3), e70127. doi.org/10.1111/1758-2229.70127</w:t>
      </w:r>
    </w:p>
    <w:p w14:paraId="4FBC0EFE" w14:textId="4F08BEA4" w:rsidR="00543586" w:rsidRDefault="0030138C">
      <w:proofErr w:type="spellStart"/>
      <w:r>
        <w:rPr>
          <w:highlight w:val="white"/>
        </w:rPr>
        <w:t>Toupoint</w:t>
      </w:r>
      <w:proofErr w:type="spellEnd"/>
      <w:r>
        <w:rPr>
          <w:highlight w:val="white"/>
        </w:rPr>
        <w:t xml:space="preserve">, N., Mohit, V., </w:t>
      </w:r>
      <w:proofErr w:type="spellStart"/>
      <w:r>
        <w:rPr>
          <w:highlight w:val="white"/>
        </w:rPr>
        <w:t>Linossier</w:t>
      </w:r>
      <w:proofErr w:type="spellEnd"/>
      <w:r>
        <w:rPr>
          <w:highlight w:val="white"/>
        </w:rPr>
        <w:t xml:space="preserve">, I., </w:t>
      </w:r>
      <w:proofErr w:type="spellStart"/>
      <w:r>
        <w:rPr>
          <w:highlight w:val="white"/>
        </w:rPr>
        <w:t>Bourgougnon</w:t>
      </w:r>
      <w:proofErr w:type="spellEnd"/>
      <w:r>
        <w:rPr>
          <w:highlight w:val="white"/>
        </w:rPr>
        <w:t xml:space="preserve">, N., </w:t>
      </w:r>
      <w:proofErr w:type="spellStart"/>
      <w:r>
        <w:rPr>
          <w:highlight w:val="white"/>
        </w:rPr>
        <w:t>Myrand</w:t>
      </w:r>
      <w:proofErr w:type="spellEnd"/>
      <w:r>
        <w:rPr>
          <w:highlight w:val="white"/>
        </w:rPr>
        <w:t xml:space="preserve">, B., Olivier, F., ... &amp; Tremblay, R. (2012). Effect of biofilm age on settlement of </w:t>
      </w:r>
      <w:r>
        <w:rPr>
          <w:i/>
        </w:rPr>
        <w:t>Mytilus edulis</w:t>
      </w:r>
      <w:r>
        <w:t xml:space="preserve">. </w:t>
      </w:r>
      <w:r>
        <w:rPr>
          <w:i/>
          <w:highlight w:val="white"/>
        </w:rPr>
        <w:t>Biofouling</w:t>
      </w:r>
      <w:r>
        <w:rPr>
          <w:highlight w:val="white"/>
        </w:rPr>
        <w:t xml:space="preserve">, </w:t>
      </w:r>
      <w:r>
        <w:rPr>
          <w:i/>
        </w:rPr>
        <w:t>28</w:t>
      </w:r>
      <w:r>
        <w:t xml:space="preserve">(9), 985-1001. doi:10.1080/08927014.2012.725202. </w:t>
      </w:r>
    </w:p>
    <w:p w14:paraId="44D8FF76" w14:textId="77777777" w:rsidR="00714B50" w:rsidRDefault="0030138C">
      <w:pPr>
        <w:rPr>
          <w:highlight w:val="white"/>
        </w:rPr>
      </w:pPr>
      <w:r>
        <w:rPr>
          <w:highlight w:val="white"/>
        </w:rPr>
        <w:t xml:space="preserve">Vogt, J. C., Abed, R. M., </w:t>
      </w:r>
      <w:proofErr w:type="spellStart"/>
      <w:r>
        <w:rPr>
          <w:highlight w:val="white"/>
        </w:rPr>
        <w:t>Albach</w:t>
      </w:r>
      <w:proofErr w:type="spellEnd"/>
      <w:r>
        <w:rPr>
          <w:highlight w:val="white"/>
        </w:rPr>
        <w:t xml:space="preserve">, D. C., &amp; </w:t>
      </w:r>
      <w:proofErr w:type="spellStart"/>
      <w:r>
        <w:rPr>
          <w:highlight w:val="white"/>
        </w:rPr>
        <w:t>Palinska</w:t>
      </w:r>
      <w:proofErr w:type="spellEnd"/>
      <w:r>
        <w:rPr>
          <w:highlight w:val="white"/>
        </w:rPr>
        <w:t xml:space="preserve">, K. A. (2018). Bacterial and archaeal diversity in hypersaline cyanobacterial mats along a transect in the intertidal flats of the Sultanate of Oman. </w:t>
      </w:r>
      <w:r>
        <w:rPr>
          <w:i/>
          <w:highlight w:val="white"/>
        </w:rPr>
        <w:t>Microbial ecology</w:t>
      </w:r>
      <w:r>
        <w:rPr>
          <w:highlight w:val="white"/>
        </w:rPr>
        <w:t xml:space="preserve">, </w:t>
      </w:r>
      <w:r>
        <w:rPr>
          <w:i/>
          <w:highlight w:val="white"/>
        </w:rPr>
        <w:t>75</w:t>
      </w:r>
      <w:r>
        <w:rPr>
          <w:highlight w:val="white"/>
        </w:rPr>
        <w:t xml:space="preserve">, 331-347. </w:t>
      </w:r>
      <w:proofErr w:type="spellStart"/>
      <w:r>
        <w:rPr>
          <w:highlight w:val="white"/>
        </w:rPr>
        <w:t>doi</w:t>
      </w:r>
      <w:proofErr w:type="spellEnd"/>
      <w:r>
        <w:rPr>
          <w:highlight w:val="white"/>
        </w:rPr>
        <w:t>: 10.1007/s00248-017-1040-9.</w:t>
      </w:r>
    </w:p>
    <w:p w14:paraId="53CD2869" w14:textId="77777777" w:rsidR="00714B50" w:rsidRDefault="0030138C">
      <w:pPr>
        <w:spacing w:before="0" w:after="240"/>
      </w:pPr>
      <w:r>
        <w:rPr>
          <w:highlight w:val="white"/>
        </w:rPr>
        <w:t xml:space="preserve">Walmsley, T. A., Matcher, G. F., Zhang, F., Hill, R. T., Davies-Coleman, M. T., &amp; Dorrington, R. A. (2012). Diversity of bacterial communities associated with the Indian Ocean sponge </w:t>
      </w:r>
      <w:proofErr w:type="spellStart"/>
      <w:r>
        <w:rPr>
          <w:i/>
          <w:highlight w:val="white"/>
        </w:rPr>
        <w:t>Tsitsikamma</w:t>
      </w:r>
      <w:proofErr w:type="spellEnd"/>
      <w:r>
        <w:rPr>
          <w:i/>
          <w:highlight w:val="white"/>
        </w:rPr>
        <w:t xml:space="preserve"> favus </w:t>
      </w:r>
      <w:r>
        <w:rPr>
          <w:highlight w:val="white"/>
        </w:rPr>
        <w:t xml:space="preserve">that contains the bioactive </w:t>
      </w:r>
      <w:proofErr w:type="spellStart"/>
      <w:r>
        <w:rPr>
          <w:highlight w:val="white"/>
        </w:rPr>
        <w:t>pyrroloiminoquinones</w:t>
      </w:r>
      <w:proofErr w:type="spellEnd"/>
      <w:r>
        <w:rPr>
          <w:highlight w:val="white"/>
        </w:rPr>
        <w:t xml:space="preserve">, </w:t>
      </w:r>
      <w:proofErr w:type="spellStart"/>
      <w:r>
        <w:rPr>
          <w:highlight w:val="white"/>
        </w:rPr>
        <w:t>tsitsikammamine</w:t>
      </w:r>
      <w:proofErr w:type="spellEnd"/>
      <w:r>
        <w:rPr>
          <w:highlight w:val="white"/>
        </w:rPr>
        <w:t xml:space="preserve"> A and B. </w:t>
      </w:r>
      <w:r>
        <w:rPr>
          <w:i/>
        </w:rPr>
        <w:t>Marine Biotechnology</w:t>
      </w:r>
      <w:r>
        <w:t xml:space="preserve">, </w:t>
      </w:r>
      <w:r>
        <w:rPr>
          <w:i/>
        </w:rPr>
        <w:t>14</w:t>
      </w:r>
      <w:r>
        <w:t xml:space="preserve">, 681-691. </w:t>
      </w:r>
      <w:proofErr w:type="spellStart"/>
      <w:r>
        <w:t>doi</w:t>
      </w:r>
      <w:proofErr w:type="spellEnd"/>
      <w:r>
        <w:t>: 10.1007/s10126-012-9430-y.ù</w:t>
      </w:r>
    </w:p>
    <w:p w14:paraId="0094161F" w14:textId="77777777" w:rsidR="00714B50" w:rsidRDefault="0030138C">
      <w:r>
        <w:rPr>
          <w:highlight w:val="white"/>
        </w:rPr>
        <w:t xml:space="preserve">Webster, N. S., Soo, R., Cobb, R., &amp; Negri, A. P. (2011). Elevated seawater temperature causes a microbial shift on crustose coralline algae with implications for the recruitment of coral larvae. </w:t>
      </w:r>
      <w:r>
        <w:rPr>
          <w:i/>
          <w:highlight w:val="white"/>
        </w:rPr>
        <w:t>The ISME journal</w:t>
      </w:r>
      <w:r>
        <w:rPr>
          <w:highlight w:val="white"/>
        </w:rPr>
        <w:t xml:space="preserve">, </w:t>
      </w:r>
      <w:r>
        <w:rPr>
          <w:i/>
        </w:rPr>
        <w:t>5</w:t>
      </w:r>
      <w:r>
        <w:t>(4), 759-770. doi:10.1038/ismej.2010.152.</w:t>
      </w:r>
    </w:p>
    <w:p w14:paraId="4C214BCC" w14:textId="77777777" w:rsidR="00714B50" w:rsidRDefault="0030138C">
      <w:r>
        <w:rPr>
          <w:highlight w:val="white"/>
        </w:rPr>
        <w:t xml:space="preserve">Webster, N. S., </w:t>
      </w:r>
      <w:proofErr w:type="spellStart"/>
      <w:r>
        <w:rPr>
          <w:highlight w:val="white"/>
        </w:rPr>
        <w:t>Uthicke</w:t>
      </w:r>
      <w:proofErr w:type="spellEnd"/>
      <w:r>
        <w:rPr>
          <w:highlight w:val="white"/>
        </w:rPr>
        <w:t xml:space="preserve">, S., </w:t>
      </w:r>
      <w:proofErr w:type="spellStart"/>
      <w:r>
        <w:rPr>
          <w:highlight w:val="white"/>
        </w:rPr>
        <w:t>Botté</w:t>
      </w:r>
      <w:proofErr w:type="spellEnd"/>
      <w:r>
        <w:rPr>
          <w:highlight w:val="white"/>
        </w:rPr>
        <w:t xml:space="preserve">, E. S., Flores, F., &amp; Negri, A. P. (2013). Ocean acidification reduces induction of coral settlement by crustose coralline algae. </w:t>
      </w:r>
      <w:r>
        <w:rPr>
          <w:i/>
          <w:highlight w:val="white"/>
        </w:rPr>
        <w:t>Global change biology</w:t>
      </w:r>
      <w:r>
        <w:rPr>
          <w:highlight w:val="white"/>
        </w:rPr>
        <w:t xml:space="preserve">, </w:t>
      </w:r>
      <w:r>
        <w:rPr>
          <w:i/>
        </w:rPr>
        <w:t>19</w:t>
      </w:r>
      <w:r>
        <w:t xml:space="preserve">(1), 303-315. doi:10.1111/gcb.12008. </w:t>
      </w:r>
    </w:p>
    <w:p w14:paraId="3465B537" w14:textId="77777777" w:rsidR="00714B50" w:rsidRDefault="0030138C">
      <w:r>
        <w:rPr>
          <w:highlight w:val="white"/>
        </w:rPr>
        <w:t xml:space="preserve">Witt, V., Wild, C., &amp; </w:t>
      </w:r>
      <w:proofErr w:type="spellStart"/>
      <w:r>
        <w:rPr>
          <w:highlight w:val="white"/>
        </w:rPr>
        <w:t>Uthicke</w:t>
      </w:r>
      <w:proofErr w:type="spellEnd"/>
      <w:r>
        <w:rPr>
          <w:highlight w:val="white"/>
        </w:rPr>
        <w:t xml:space="preserve">, S. (2011). Effect of substrate type on bacterial community composition in biofilms from the Great Barrier Reef. </w:t>
      </w:r>
      <w:r>
        <w:rPr>
          <w:i/>
          <w:highlight w:val="white"/>
        </w:rPr>
        <w:t>FEMS Microbiology Letters</w:t>
      </w:r>
      <w:r>
        <w:rPr>
          <w:highlight w:val="white"/>
        </w:rPr>
        <w:t xml:space="preserve">, </w:t>
      </w:r>
      <w:r>
        <w:rPr>
          <w:i/>
        </w:rPr>
        <w:t>323</w:t>
      </w:r>
      <w:r>
        <w:t xml:space="preserve">(2), 188-195. doi:10.1111/j.1574-6968.2011.02374.x. </w:t>
      </w:r>
    </w:p>
    <w:p w14:paraId="3CE5D7B2" w14:textId="77777777" w:rsidR="00714B50" w:rsidRDefault="0030138C">
      <w:pPr>
        <w:rPr>
          <w:highlight w:val="white"/>
        </w:rPr>
      </w:pPr>
      <w:r>
        <w:rPr>
          <w:highlight w:val="white"/>
        </w:rPr>
        <w:t xml:space="preserve">Witt, V., Wild, C., &amp; </w:t>
      </w:r>
      <w:proofErr w:type="spellStart"/>
      <w:r>
        <w:rPr>
          <w:highlight w:val="white"/>
        </w:rPr>
        <w:t>Uthicke</w:t>
      </w:r>
      <w:proofErr w:type="spellEnd"/>
      <w:r>
        <w:rPr>
          <w:highlight w:val="white"/>
        </w:rPr>
        <w:t xml:space="preserve">, S. (2012). Terrestrial runoff controls the bacterial community composition of biofilms along a water quality gradient in the Great Barrier Reef. </w:t>
      </w:r>
      <w:r>
        <w:rPr>
          <w:i/>
          <w:highlight w:val="white"/>
        </w:rPr>
        <w:t>Applied and Environmental Microbiology</w:t>
      </w:r>
      <w:r>
        <w:rPr>
          <w:highlight w:val="white"/>
        </w:rPr>
        <w:t xml:space="preserve">, </w:t>
      </w:r>
      <w:r>
        <w:rPr>
          <w:i/>
          <w:highlight w:val="white"/>
        </w:rPr>
        <w:t>78</w:t>
      </w:r>
      <w:r>
        <w:rPr>
          <w:highlight w:val="white"/>
        </w:rPr>
        <w:t xml:space="preserve">(21), 7786-7791. </w:t>
      </w:r>
      <w:proofErr w:type="spellStart"/>
      <w:r>
        <w:rPr>
          <w:highlight w:val="white"/>
        </w:rPr>
        <w:t>doi</w:t>
      </w:r>
      <w:proofErr w:type="spellEnd"/>
      <w:r>
        <w:rPr>
          <w:highlight w:val="white"/>
        </w:rPr>
        <w:t>: 10.1128/AEM.01623-12.</w:t>
      </w:r>
    </w:p>
    <w:p w14:paraId="5890A3E6" w14:textId="77777777" w:rsidR="00714B50" w:rsidRDefault="0030138C">
      <w:pPr>
        <w:spacing w:before="0" w:after="240"/>
      </w:pPr>
      <w:r>
        <w:rPr>
          <w:highlight w:val="white"/>
        </w:rPr>
        <w:t xml:space="preserve">Xu, R., Yang, Z. H., Wang, Q. P., Bai, Y., Liu, J. B., Zheng, Y., ... &amp; Fan, C. Z. (2018). Rapid startup of thermophilic anaerobic digester to remove tetracycline and sulfonamides resistance genes from sewage sludge. </w:t>
      </w:r>
      <w:r>
        <w:rPr>
          <w:i/>
          <w:highlight w:val="white"/>
        </w:rPr>
        <w:t>Science of the Total Environment</w:t>
      </w:r>
      <w:r>
        <w:rPr>
          <w:highlight w:val="white"/>
        </w:rPr>
        <w:t xml:space="preserve">, </w:t>
      </w:r>
      <w:r>
        <w:rPr>
          <w:i/>
          <w:highlight w:val="white"/>
        </w:rPr>
        <w:t>612</w:t>
      </w:r>
      <w:r>
        <w:rPr>
          <w:highlight w:val="white"/>
        </w:rPr>
        <w:t>, 788-798.</w:t>
      </w:r>
      <w:hyperlink r:id="rId25">
        <w:r>
          <w:rPr>
            <w:highlight w:val="white"/>
          </w:rPr>
          <w:t xml:space="preserve"> </w:t>
        </w:r>
      </w:hyperlink>
      <w:hyperlink r:id="rId26">
        <w:r>
          <w:t>doi.org/10.1016/j.scitotenv.2017.08.295</w:t>
        </w:r>
      </w:hyperlink>
    </w:p>
    <w:p w14:paraId="3FEC9F66" w14:textId="77777777" w:rsidR="00714B50" w:rsidRDefault="0030138C">
      <w:pPr>
        <w:spacing w:before="0" w:after="240"/>
        <w:rPr>
          <w:highlight w:val="white"/>
        </w:rPr>
      </w:pPr>
      <w:r>
        <w:rPr>
          <w:highlight w:val="white"/>
        </w:rPr>
        <w:t xml:space="preserve">Yang, Z., &amp; Li, Z. (2012). Spatial distribution of prokaryotic symbionts and ammoxidation, </w:t>
      </w:r>
      <w:proofErr w:type="spellStart"/>
      <w:r>
        <w:rPr>
          <w:highlight w:val="white"/>
        </w:rPr>
        <w:t>denitrifier</w:t>
      </w:r>
      <w:proofErr w:type="spellEnd"/>
      <w:r>
        <w:rPr>
          <w:highlight w:val="white"/>
        </w:rPr>
        <w:t xml:space="preserve"> bacteria in marine sponge </w:t>
      </w:r>
      <w:proofErr w:type="spellStart"/>
      <w:r>
        <w:rPr>
          <w:i/>
          <w:highlight w:val="white"/>
        </w:rPr>
        <w:t>Astrosclera</w:t>
      </w:r>
      <w:proofErr w:type="spellEnd"/>
      <w:r>
        <w:rPr>
          <w:i/>
          <w:highlight w:val="white"/>
        </w:rPr>
        <w:t xml:space="preserve"> </w:t>
      </w:r>
      <w:proofErr w:type="spellStart"/>
      <w:r>
        <w:rPr>
          <w:i/>
          <w:highlight w:val="white"/>
        </w:rPr>
        <w:t>willeyana</w:t>
      </w:r>
      <w:proofErr w:type="spellEnd"/>
      <w:r>
        <w:rPr>
          <w:highlight w:val="white"/>
        </w:rPr>
        <w:t xml:space="preserve">. </w:t>
      </w:r>
      <w:r>
        <w:rPr>
          <w:i/>
          <w:highlight w:val="white"/>
        </w:rPr>
        <w:t>Scientific Reports</w:t>
      </w:r>
      <w:r>
        <w:rPr>
          <w:highlight w:val="white"/>
        </w:rPr>
        <w:t xml:space="preserve">, </w:t>
      </w:r>
      <w:r>
        <w:rPr>
          <w:i/>
          <w:highlight w:val="white"/>
        </w:rPr>
        <w:t>2</w:t>
      </w:r>
      <w:r>
        <w:rPr>
          <w:highlight w:val="white"/>
        </w:rPr>
        <w:t xml:space="preserve">(1), 528. </w:t>
      </w:r>
      <w:proofErr w:type="spellStart"/>
      <w:r>
        <w:rPr>
          <w:highlight w:val="white"/>
        </w:rPr>
        <w:t>doi</w:t>
      </w:r>
      <w:proofErr w:type="spellEnd"/>
      <w:r>
        <w:rPr>
          <w:highlight w:val="white"/>
        </w:rPr>
        <w:t>: 10.1038/srep00528.</w:t>
      </w:r>
    </w:p>
    <w:p w14:paraId="73ABD4A8" w14:textId="77777777" w:rsidR="00714B50" w:rsidRDefault="0030138C">
      <w:pPr>
        <w:spacing w:before="0" w:after="240"/>
        <w:rPr>
          <w:highlight w:val="white"/>
        </w:rPr>
      </w:pPr>
      <w:r>
        <w:rPr>
          <w:highlight w:val="white"/>
        </w:rPr>
        <w:t xml:space="preserve">Yoshida-Takashima, Y., </w:t>
      </w:r>
      <w:proofErr w:type="spellStart"/>
      <w:r>
        <w:rPr>
          <w:highlight w:val="white"/>
        </w:rPr>
        <w:t>Nunoura</w:t>
      </w:r>
      <w:proofErr w:type="spellEnd"/>
      <w:r>
        <w:rPr>
          <w:highlight w:val="white"/>
        </w:rPr>
        <w:t xml:space="preserve">, T., Kazama, H., Noguchi, T., Inoue, K., Akashi, H., ... &amp; </w:t>
      </w:r>
      <w:proofErr w:type="spellStart"/>
      <w:r>
        <w:rPr>
          <w:highlight w:val="white"/>
        </w:rPr>
        <w:t>Takai</w:t>
      </w:r>
      <w:proofErr w:type="spellEnd"/>
      <w:r>
        <w:rPr>
          <w:highlight w:val="white"/>
        </w:rPr>
        <w:t xml:space="preserve">, K. (2012). Spatial distribution of viruses associated with planktonic and attached microbial communities in hydrothermal environments. </w:t>
      </w:r>
      <w:r>
        <w:rPr>
          <w:i/>
          <w:highlight w:val="white"/>
        </w:rPr>
        <w:t>Applied and environmental microbiology</w:t>
      </w:r>
      <w:r>
        <w:rPr>
          <w:highlight w:val="white"/>
        </w:rPr>
        <w:t xml:space="preserve">, </w:t>
      </w:r>
      <w:r>
        <w:rPr>
          <w:i/>
          <w:highlight w:val="white"/>
        </w:rPr>
        <w:t>78</w:t>
      </w:r>
      <w:r>
        <w:rPr>
          <w:highlight w:val="white"/>
        </w:rPr>
        <w:t>(5), 1311-1320. doi:10.1128/AEM.06491-11.</w:t>
      </w:r>
    </w:p>
    <w:p w14:paraId="220A319C" w14:textId="77777777" w:rsidR="00714B50" w:rsidRDefault="0030138C">
      <w:pPr>
        <w:rPr>
          <w:sz w:val="28"/>
          <w:szCs w:val="28"/>
        </w:rPr>
      </w:pPr>
      <w:r>
        <w:rPr>
          <w:highlight w:val="white"/>
        </w:rPr>
        <w:t xml:space="preserve">Zhang, Y., Jiao, N., Sun, Z., Hu, A., &amp; Zheng, Q. (2011). Phylogenetic diversity of bacterial communities in South China Sea mesoscale cyclonic eddy perturbations. </w:t>
      </w:r>
      <w:r>
        <w:rPr>
          <w:i/>
          <w:highlight w:val="white"/>
        </w:rPr>
        <w:t>Research in Microbiology</w:t>
      </w:r>
      <w:r>
        <w:rPr>
          <w:highlight w:val="white"/>
        </w:rPr>
        <w:t xml:space="preserve">, </w:t>
      </w:r>
      <w:r>
        <w:rPr>
          <w:i/>
        </w:rPr>
        <w:t>162</w:t>
      </w:r>
      <w:r>
        <w:t>(3), 320-329.doi:10.1016/j.resmic.2010.12.006.</w:t>
      </w:r>
      <w:r>
        <w:rPr>
          <w:sz w:val="28"/>
          <w:szCs w:val="28"/>
        </w:rPr>
        <w:t xml:space="preserve"> </w:t>
      </w:r>
    </w:p>
    <w:p w14:paraId="7C1DFBD2" w14:textId="77777777" w:rsidR="00714B50" w:rsidRDefault="00714B50">
      <w:pPr>
        <w:rPr>
          <w:sz w:val="28"/>
          <w:szCs w:val="28"/>
        </w:rPr>
      </w:pPr>
    </w:p>
    <w:sectPr w:rsidR="00714B50" w:rsidSect="003B794F">
      <w:pgSz w:w="12240" w:h="15840"/>
      <w:pgMar w:top="1440" w:right="1440" w:bottom="1440" w:left="1440" w:header="720" w:footer="720" w:gutter="0"/>
      <w:lnNumType w:countBy="1" w:restart="continuous"/>
      <w:pgNumType w:start="1"/>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Georgia">
    <w:panose1 w:val="02040502050405020303"/>
    <w:charset w:val="00"/>
    <w:family w:val="roman"/>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EF1C31"/>
    <w:multiLevelType w:val="multilevel"/>
    <w:tmpl w:val="892E327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20"/>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4B50"/>
    <w:rsid w:val="00021324"/>
    <w:rsid w:val="000216AD"/>
    <w:rsid w:val="000C2D62"/>
    <w:rsid w:val="000C5F26"/>
    <w:rsid w:val="000F7517"/>
    <w:rsid w:val="00120AAB"/>
    <w:rsid w:val="001716B5"/>
    <w:rsid w:val="00180512"/>
    <w:rsid w:val="0019211C"/>
    <w:rsid w:val="001E35DD"/>
    <w:rsid w:val="001F3A71"/>
    <w:rsid w:val="00252322"/>
    <w:rsid w:val="002B1C00"/>
    <w:rsid w:val="002B59C0"/>
    <w:rsid w:val="0030138C"/>
    <w:rsid w:val="003072FD"/>
    <w:rsid w:val="00332B73"/>
    <w:rsid w:val="003423A3"/>
    <w:rsid w:val="00391D8F"/>
    <w:rsid w:val="003A2F59"/>
    <w:rsid w:val="003B66BF"/>
    <w:rsid w:val="003B794F"/>
    <w:rsid w:val="003E127B"/>
    <w:rsid w:val="0048163C"/>
    <w:rsid w:val="004A09F9"/>
    <w:rsid w:val="004C3C2B"/>
    <w:rsid w:val="004E37EE"/>
    <w:rsid w:val="004F07CC"/>
    <w:rsid w:val="00543586"/>
    <w:rsid w:val="005A4EA7"/>
    <w:rsid w:val="006233AA"/>
    <w:rsid w:val="00640E62"/>
    <w:rsid w:val="00641639"/>
    <w:rsid w:val="00652A68"/>
    <w:rsid w:val="00654EC2"/>
    <w:rsid w:val="006943AB"/>
    <w:rsid w:val="006A32FB"/>
    <w:rsid w:val="006E1FC5"/>
    <w:rsid w:val="006E2739"/>
    <w:rsid w:val="00711860"/>
    <w:rsid w:val="00714B50"/>
    <w:rsid w:val="00757CF4"/>
    <w:rsid w:val="00774849"/>
    <w:rsid w:val="007A7B28"/>
    <w:rsid w:val="007F08E5"/>
    <w:rsid w:val="007F3A24"/>
    <w:rsid w:val="008A28FD"/>
    <w:rsid w:val="008B29D4"/>
    <w:rsid w:val="008D19D6"/>
    <w:rsid w:val="00977149"/>
    <w:rsid w:val="00992012"/>
    <w:rsid w:val="009A6E7E"/>
    <w:rsid w:val="009B1890"/>
    <w:rsid w:val="009C17CE"/>
    <w:rsid w:val="00A0259D"/>
    <w:rsid w:val="00A82ABF"/>
    <w:rsid w:val="00B52BE2"/>
    <w:rsid w:val="00B64553"/>
    <w:rsid w:val="00B75A26"/>
    <w:rsid w:val="00BA6674"/>
    <w:rsid w:val="00BA73A9"/>
    <w:rsid w:val="00BD2024"/>
    <w:rsid w:val="00C329ED"/>
    <w:rsid w:val="00C54005"/>
    <w:rsid w:val="00C56BEC"/>
    <w:rsid w:val="00C64620"/>
    <w:rsid w:val="00C7482D"/>
    <w:rsid w:val="00C82916"/>
    <w:rsid w:val="00CC4F9F"/>
    <w:rsid w:val="00D0151E"/>
    <w:rsid w:val="00D125DB"/>
    <w:rsid w:val="00D47B1D"/>
    <w:rsid w:val="00D91BC9"/>
    <w:rsid w:val="00DC5823"/>
    <w:rsid w:val="00E02514"/>
    <w:rsid w:val="00E51C67"/>
    <w:rsid w:val="00E54A33"/>
    <w:rsid w:val="00E81ECF"/>
    <w:rsid w:val="00EA626C"/>
    <w:rsid w:val="00EC5C97"/>
    <w:rsid w:val="00EE72BE"/>
    <w:rsid w:val="00F010B0"/>
    <w:rsid w:val="00F13FFE"/>
    <w:rsid w:val="00F3130F"/>
    <w:rsid w:val="00F60377"/>
    <w:rsid w:val="00F82998"/>
    <w:rsid w:val="00FD2A09"/>
    <w:rsid w:val="00FF25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15DB8F"/>
  <w15:docId w15:val="{8FC03D82-33CC-49D5-A5E9-BDF2C09F0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pPr>
        <w:spacing w:before="160"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re">
    <w:name w:val="Title"/>
    <w:basedOn w:val="Normal"/>
    <w:next w:val="Normal"/>
    <w:uiPriority w:val="10"/>
    <w:qFormat/>
    <w:pPr>
      <w:keepNext/>
      <w:keepLines/>
      <w:spacing w:before="480" w:after="120"/>
    </w:pPr>
    <w:rPr>
      <w:b/>
      <w:sz w:val="72"/>
      <w:szCs w:val="72"/>
    </w:rPr>
  </w:style>
  <w:style w:type="paragraph" w:styleId="Paragraphedeliste">
    <w:name w:val="List Paragraph"/>
    <w:basedOn w:val="Normal"/>
    <w:uiPriority w:val="34"/>
    <w:qFormat/>
    <w:rsid w:val="00EE1EF2"/>
    <w:pPr>
      <w:ind w:left="720"/>
      <w:contextualSpacing/>
    </w:pPr>
  </w:style>
  <w:style w:type="table" w:styleId="Grilledutableau">
    <w:name w:val="Table Grid"/>
    <w:basedOn w:val="TableauNormal"/>
    <w:uiPriority w:val="39"/>
    <w:rsid w:val="006A07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E80473"/>
    <w:rPr>
      <w:sz w:val="16"/>
      <w:szCs w:val="16"/>
    </w:rPr>
  </w:style>
  <w:style w:type="paragraph" w:styleId="Commentaire">
    <w:name w:val="annotation text"/>
    <w:basedOn w:val="Normal"/>
    <w:link w:val="CommentaireCar"/>
    <w:uiPriority w:val="99"/>
    <w:unhideWhenUsed/>
    <w:rsid w:val="00E80473"/>
    <w:pPr>
      <w:spacing w:line="240" w:lineRule="auto"/>
    </w:pPr>
    <w:rPr>
      <w:sz w:val="20"/>
      <w:szCs w:val="20"/>
    </w:rPr>
  </w:style>
  <w:style w:type="character" w:customStyle="1" w:styleId="CommentaireCar">
    <w:name w:val="Commentaire Car"/>
    <w:basedOn w:val="Policepardfaut"/>
    <w:link w:val="Commentaire"/>
    <w:uiPriority w:val="99"/>
    <w:rsid w:val="00E80473"/>
    <w:rPr>
      <w:sz w:val="20"/>
      <w:szCs w:val="20"/>
    </w:rPr>
  </w:style>
  <w:style w:type="paragraph" w:styleId="Objetducommentaire">
    <w:name w:val="annotation subject"/>
    <w:basedOn w:val="Commentaire"/>
    <w:next w:val="Commentaire"/>
    <w:link w:val="ObjetducommentaireCar"/>
    <w:uiPriority w:val="99"/>
    <w:semiHidden/>
    <w:unhideWhenUsed/>
    <w:rsid w:val="00E80473"/>
    <w:rPr>
      <w:b/>
      <w:bCs/>
    </w:rPr>
  </w:style>
  <w:style w:type="character" w:customStyle="1" w:styleId="ObjetducommentaireCar">
    <w:name w:val="Objet du commentaire Car"/>
    <w:basedOn w:val="CommentaireCar"/>
    <w:link w:val="Objetducommentaire"/>
    <w:uiPriority w:val="99"/>
    <w:semiHidden/>
    <w:rsid w:val="00E80473"/>
    <w:rPr>
      <w:b/>
      <w:bCs/>
      <w:sz w:val="20"/>
      <w:szCs w:val="20"/>
    </w:r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pPr>
      <w:spacing w:after="0" w:line="240" w:lineRule="auto"/>
    </w:pPr>
    <w:tblPr>
      <w:tblStyleRowBandSize w:val="1"/>
      <w:tblStyleColBandSize w:val="1"/>
      <w:tblCellMar>
        <w:left w:w="108" w:type="dxa"/>
        <w:right w:w="108"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table" w:customStyle="1" w:styleId="a2">
    <w:basedOn w:val="TableNormal1"/>
    <w:tblPr>
      <w:tblStyleRowBandSize w:val="1"/>
      <w:tblStyleColBandSize w:val="1"/>
      <w:tblCellMar>
        <w:left w:w="115" w:type="dxa"/>
        <w:right w:w="115" w:type="dxa"/>
      </w:tblCellMar>
    </w:tblPr>
  </w:style>
  <w:style w:type="table" w:customStyle="1" w:styleId="a3">
    <w:basedOn w:val="TableNormal1"/>
    <w:tblPr>
      <w:tblStyleRowBandSize w:val="1"/>
      <w:tblStyleColBandSize w:val="1"/>
      <w:tblCellMar>
        <w:left w:w="70" w:type="dxa"/>
        <w:right w:w="70" w:type="dxa"/>
      </w:tblCellMar>
    </w:tblPr>
  </w:style>
  <w:style w:type="table" w:customStyle="1" w:styleId="a4">
    <w:basedOn w:val="TableNormal1"/>
    <w:tblPr>
      <w:tblStyleRowBandSize w:val="1"/>
      <w:tblStyleColBandSize w:val="1"/>
      <w:tblCellMar>
        <w:left w:w="70" w:type="dxa"/>
        <w:right w:w="70" w:type="dxa"/>
      </w:tblCellMar>
    </w:tblPr>
  </w:style>
  <w:style w:type="paragraph" w:styleId="Rvision">
    <w:name w:val="Revision"/>
    <w:hidden/>
    <w:uiPriority w:val="99"/>
    <w:semiHidden/>
    <w:rsid w:val="00DC5823"/>
    <w:pPr>
      <w:spacing w:before="0" w:after="0" w:line="240" w:lineRule="auto"/>
      <w:jc w:val="left"/>
    </w:pPr>
  </w:style>
  <w:style w:type="character" w:styleId="Lienhypertexte">
    <w:name w:val="Hyperlink"/>
    <w:basedOn w:val="Policepardfaut"/>
    <w:uiPriority w:val="99"/>
    <w:unhideWhenUsed/>
    <w:rsid w:val="00757CF4"/>
    <w:rPr>
      <w:color w:val="0563C1" w:themeColor="hyperlink"/>
      <w:u w:val="single"/>
    </w:rPr>
  </w:style>
  <w:style w:type="character" w:styleId="Mentionnonrsolue">
    <w:name w:val="Unresolved Mention"/>
    <w:basedOn w:val="Policepardfaut"/>
    <w:uiPriority w:val="99"/>
    <w:semiHidden/>
    <w:unhideWhenUsed/>
    <w:rsid w:val="00757CF4"/>
    <w:rPr>
      <w:color w:val="605E5C"/>
      <w:shd w:val="clear" w:color="auto" w:fill="E1DFDD"/>
    </w:rPr>
  </w:style>
  <w:style w:type="paragraph" w:styleId="NormalWeb">
    <w:name w:val="Normal (Web)"/>
    <w:basedOn w:val="Normal"/>
    <w:uiPriority w:val="99"/>
    <w:semiHidden/>
    <w:unhideWhenUsed/>
    <w:rsid w:val="00E51C67"/>
  </w:style>
  <w:style w:type="character" w:styleId="Numrodeligne">
    <w:name w:val="line number"/>
    <w:basedOn w:val="Policepardfaut"/>
    <w:uiPriority w:val="99"/>
    <w:semiHidden/>
    <w:unhideWhenUsed/>
    <w:rsid w:val="00C329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655559">
      <w:bodyDiv w:val="1"/>
      <w:marLeft w:val="0"/>
      <w:marRight w:val="0"/>
      <w:marTop w:val="0"/>
      <w:marBottom w:val="0"/>
      <w:divBdr>
        <w:top w:val="none" w:sz="0" w:space="0" w:color="auto"/>
        <w:left w:val="none" w:sz="0" w:space="0" w:color="auto"/>
        <w:bottom w:val="none" w:sz="0" w:space="0" w:color="auto"/>
        <w:right w:val="none" w:sz="0" w:space="0" w:color="auto"/>
      </w:divBdr>
    </w:div>
    <w:div w:id="717314953">
      <w:bodyDiv w:val="1"/>
      <w:marLeft w:val="0"/>
      <w:marRight w:val="0"/>
      <w:marTop w:val="0"/>
      <w:marBottom w:val="0"/>
      <w:divBdr>
        <w:top w:val="none" w:sz="0" w:space="0" w:color="auto"/>
        <w:left w:val="none" w:sz="0" w:space="0" w:color="auto"/>
        <w:bottom w:val="none" w:sz="0" w:space="0" w:color="auto"/>
        <w:right w:val="none" w:sz="0" w:space="0" w:color="auto"/>
      </w:divBdr>
    </w:div>
    <w:div w:id="7734812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neptunesystems.com" TargetMode="External"/><Relationship Id="rId13" Type="http://schemas.openxmlformats.org/officeDocument/2006/relationships/image" Target="media/image3.png"/><Relationship Id="rId18" Type="http://schemas.openxmlformats.org/officeDocument/2006/relationships/hyperlink" Target="https://doi.org/10.3389/fmars.2017.00218" TargetMode="External"/><Relationship Id="rId26" Type="http://schemas.openxmlformats.org/officeDocument/2006/relationships/hyperlink" Target="https://doi.org/10.1016/j.scitotenv.2017.08.295" TargetMode="External"/><Relationship Id="rId3" Type="http://schemas.openxmlformats.org/officeDocument/2006/relationships/numbering" Target="numbering.xml"/><Relationship Id="rId21" Type="http://schemas.openxmlformats.org/officeDocument/2006/relationships/hyperlink" Target="https://github.com/jpgattuso/seacarb-git" TargetMode="External"/><Relationship Id="rId7" Type="http://schemas.openxmlformats.org/officeDocument/2006/relationships/hyperlink" Target="mailto:elisabetta.manea@obs-banyuls.fr" TargetMode="Externa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doi.org/10.1016/j.scitotenv.2017.08.295"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doi.org/10.3389/fmars.2017.0013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s://doi.org/10.1016/j.toxicon.2016.06.003"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s://doi.org/10.1080/09670262.2014.981294" TargetMode="External"/><Relationship Id="rId28" Type="http://schemas.openxmlformats.org/officeDocument/2006/relationships/theme" Target="theme/theme1.xml"/><Relationship Id="rId10" Type="http://schemas.openxmlformats.org/officeDocument/2006/relationships/hyperlink" Target="http://www.ncbi.nlm.nih.gov" TargetMode="External"/><Relationship Id="rId19" Type="http://schemas.openxmlformats.org/officeDocument/2006/relationships/hyperlink" Target="https://doi.org/10.1016/j.ympev.2019.04.005" TargetMode="External"/><Relationship Id="rId4" Type="http://schemas.openxmlformats.org/officeDocument/2006/relationships/styles" Target="styles.xml"/><Relationship Id="rId9" Type="http://schemas.openxmlformats.org/officeDocument/2006/relationships/hyperlink" Target="http://www.megasoftware.net" TargetMode="External"/><Relationship Id="rId14" Type="http://schemas.openxmlformats.org/officeDocument/2006/relationships/image" Target="media/image4.png"/><Relationship Id="rId22" Type="http://schemas.openxmlformats.org/officeDocument/2006/relationships/hyperlink" Target="https://doi.org/10.5194/bg-17-3439-2020" TargetMode="External"/><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DRRHIZKHHv0l0s8oTDtjkGs1vKw==">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</go:docsCustomData>
</go:gDocsCustomXmlDataStorage>
</file>

<file path=customXml/itemProps1.xml><?xml version="1.0" encoding="utf-8"?>
<ds:datastoreItem xmlns:ds="http://schemas.openxmlformats.org/officeDocument/2006/customXml" ds:itemID="{36101293-65A5-49E5-884D-28975A619B5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7500</Words>
  <Characters>42754</Characters>
  <Application>Microsoft Office Word</Application>
  <DocSecurity>0</DocSecurity>
  <Lines>356</Lines>
  <Paragraphs>100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Elisabetta</dc:creator>
  <cp:lastModifiedBy>Unknown</cp:lastModifiedBy>
  <cp:revision>5</cp:revision>
  <dcterms:created xsi:type="dcterms:W3CDTF">2025-11-25T10:32:00Z</dcterms:created>
  <dcterms:modified xsi:type="dcterms:W3CDTF">2025-11-25T10:35:00Z</dcterms:modified>
</cp:coreProperties>
</file>