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1D0B0" w14:textId="77777777" w:rsidR="00F01EEF" w:rsidRPr="00163198" w:rsidRDefault="00163198" w:rsidP="00046407">
      <w:p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contextualSpacing/>
        <w:jc w:val="both"/>
        <w:rPr>
          <w:rFonts w:ascii="Cambria" w:eastAsiaTheme="minorHAnsi" w:hAnsi="Cambria" w:cstheme="minorBidi"/>
          <w:bCs/>
          <w:color w:val="2F5496" w:themeColor="accent1" w:themeShade="BF"/>
          <w:sz w:val="36"/>
          <w:szCs w:val="36"/>
          <w:bdr w:val="none" w:sz="0" w:space="0" w:color="auto"/>
          <w:lang w:val="en-GB" w:eastAsia="en-US"/>
        </w:rPr>
      </w:pPr>
      <w:bookmarkStart w:id="0" w:name="_GoBack"/>
      <w:bookmarkEnd w:id="0"/>
      <w:r w:rsidRPr="00163198">
        <w:rPr>
          <w:rFonts w:ascii="Cambria" w:eastAsiaTheme="minorHAnsi" w:hAnsi="Cambria" w:cstheme="minorBidi"/>
          <w:bCs/>
          <w:color w:val="2F5496" w:themeColor="accent1" w:themeShade="BF"/>
          <w:sz w:val="36"/>
          <w:szCs w:val="36"/>
          <w:bdr w:val="none" w:sz="0" w:space="0" w:color="auto"/>
          <w:lang w:val="en-GB" w:eastAsia="en-US"/>
        </w:rPr>
        <w:t>Can cities provide food in the XXI century? A review on the role of building-integrated agriculture.</w:t>
      </w:r>
    </w:p>
    <w:p w14:paraId="3971D0B1" w14:textId="77777777" w:rsidR="00F01EEF" w:rsidRPr="00163198" w:rsidRDefault="00F01EEF" w:rsidP="00046407">
      <w:pPr>
        <w:spacing w:before="240" w:after="0" w:line="240" w:lineRule="auto"/>
        <w:ind w:firstLine="567"/>
        <w:contextualSpacing/>
        <w:jc w:val="both"/>
        <w:rPr>
          <w:rFonts w:ascii="Cambria" w:eastAsia="Times New Roman" w:hAnsi="Cambria" w:cs="Times New Roman"/>
          <w:b/>
          <w:bCs/>
          <w:color w:val="111111"/>
          <w:sz w:val="28"/>
          <w:szCs w:val="28"/>
          <w:u w:color="111111"/>
          <w:shd w:val="clear" w:color="auto" w:fill="FFFFFF"/>
          <w:lang w:val="en-US"/>
        </w:rPr>
      </w:pPr>
    </w:p>
    <w:p w14:paraId="3971D0B2" w14:textId="693CAFD6" w:rsidR="00F01EEF" w:rsidRPr="00525761" w:rsidRDefault="00163198" w:rsidP="00046407">
      <w:pPr>
        <w:spacing w:before="240" w:after="0" w:line="240" w:lineRule="auto"/>
        <w:contextualSpacing/>
        <w:jc w:val="both"/>
        <w:rPr>
          <w:rFonts w:ascii="Cambria" w:hAnsi="Cambria"/>
          <w:szCs w:val="24"/>
          <w:lang w:val="it-IT"/>
        </w:rPr>
      </w:pPr>
      <w:r w:rsidRPr="00525761">
        <w:rPr>
          <w:rFonts w:ascii="Cambria" w:hAnsi="Cambria"/>
          <w:szCs w:val="24"/>
          <w:lang w:val="it-IT"/>
        </w:rPr>
        <w:t>Orsini, F.,</w:t>
      </w:r>
      <w:r w:rsidRPr="00525761">
        <w:rPr>
          <w:rFonts w:ascii="Cambria" w:hAnsi="Cambria"/>
          <w:szCs w:val="24"/>
          <w:vertAlign w:val="superscript"/>
          <w:lang w:val="it-IT"/>
        </w:rPr>
        <w:t>1</w:t>
      </w:r>
      <w:r w:rsidRPr="00525761">
        <w:rPr>
          <w:rFonts w:ascii="Cambria" w:hAnsi="Cambria"/>
          <w:szCs w:val="24"/>
          <w:lang w:val="it-IT"/>
        </w:rPr>
        <w:t xml:space="preserve"> </w:t>
      </w:r>
      <w:r w:rsidR="00525761" w:rsidRPr="00525761">
        <w:rPr>
          <w:rFonts w:ascii="Cambria" w:hAnsi="Cambria"/>
          <w:szCs w:val="24"/>
          <w:lang w:val="it-IT"/>
        </w:rPr>
        <w:t>Appolloni, E.,</w:t>
      </w:r>
      <w:r w:rsidR="00525761" w:rsidRPr="00A77AF4">
        <w:rPr>
          <w:rFonts w:ascii="Cambria" w:hAnsi="Cambria"/>
          <w:szCs w:val="24"/>
          <w:vertAlign w:val="superscript"/>
          <w:lang w:val="it-IT"/>
        </w:rPr>
        <w:t>1</w:t>
      </w:r>
      <w:r w:rsidR="00525761">
        <w:rPr>
          <w:rFonts w:ascii="Cambria" w:hAnsi="Cambria"/>
          <w:szCs w:val="24"/>
          <w:lang w:val="it-IT"/>
        </w:rPr>
        <w:t xml:space="preserve"> </w:t>
      </w:r>
      <w:r w:rsidRPr="00525761">
        <w:rPr>
          <w:rFonts w:ascii="Cambria" w:hAnsi="Cambria"/>
          <w:szCs w:val="24"/>
          <w:lang w:val="it-IT"/>
        </w:rPr>
        <w:t>D’Ostuni, M.</w:t>
      </w:r>
      <w:r w:rsidRPr="00525761">
        <w:rPr>
          <w:rFonts w:ascii="Cambria" w:hAnsi="Cambria"/>
          <w:szCs w:val="24"/>
          <w:vertAlign w:val="superscript"/>
          <w:lang w:val="it-IT"/>
        </w:rPr>
        <w:t>1</w:t>
      </w:r>
    </w:p>
    <w:p w14:paraId="1FAA1ADE" w14:textId="77777777" w:rsidR="00163198" w:rsidRPr="00525761" w:rsidRDefault="00163198" w:rsidP="00046407">
      <w:pPr>
        <w:spacing w:before="240" w:after="0" w:line="240" w:lineRule="auto"/>
        <w:ind w:firstLine="567"/>
        <w:contextualSpacing/>
        <w:jc w:val="both"/>
        <w:rPr>
          <w:rFonts w:ascii="Cambria" w:eastAsia="Times New Roman" w:hAnsi="Cambria" w:cs="Times New Roman"/>
          <w:szCs w:val="24"/>
          <w:lang w:val="it-IT"/>
        </w:rPr>
      </w:pPr>
    </w:p>
    <w:p w14:paraId="3971D0B3" w14:textId="51B7EDF0" w:rsidR="00F01EEF" w:rsidRPr="00046407" w:rsidRDefault="00163198" w:rsidP="00046407">
      <w:pPr>
        <w:spacing w:before="240" w:after="0" w:line="240" w:lineRule="auto"/>
        <w:contextualSpacing/>
        <w:jc w:val="both"/>
        <w:rPr>
          <w:rFonts w:ascii="Cambria" w:eastAsia="Times New Roman" w:hAnsi="Cambria" w:cs="Times New Roman"/>
          <w:sz w:val="18"/>
          <w:szCs w:val="18"/>
          <w:lang w:val="en-US"/>
        </w:rPr>
      </w:pPr>
      <w:r w:rsidRPr="00046407">
        <w:rPr>
          <w:rFonts w:ascii="Cambria" w:hAnsi="Cambria"/>
          <w:sz w:val="18"/>
          <w:szCs w:val="18"/>
          <w:vertAlign w:val="superscript"/>
          <w:lang w:val="en-US"/>
        </w:rPr>
        <w:t>1</w:t>
      </w:r>
      <w:r w:rsidRPr="00046407">
        <w:rPr>
          <w:rFonts w:ascii="Cambria" w:hAnsi="Cambria"/>
          <w:sz w:val="18"/>
          <w:szCs w:val="18"/>
          <w:lang w:val="en-US"/>
        </w:rPr>
        <w:t xml:space="preserve">University of Bologna </w:t>
      </w:r>
      <w:r w:rsidR="00FC24C3" w:rsidRPr="75465DCE">
        <w:rPr>
          <w:rFonts w:ascii="Cambria" w:hAnsi="Cambria"/>
          <w:sz w:val="18"/>
          <w:szCs w:val="18"/>
          <w:lang w:val="en-US"/>
        </w:rPr>
        <w:t xml:space="preserve">- </w:t>
      </w:r>
      <w:r w:rsidRPr="00046407">
        <w:rPr>
          <w:rFonts w:ascii="Cambria" w:hAnsi="Cambria"/>
          <w:sz w:val="18"/>
          <w:szCs w:val="18"/>
          <w:lang w:val="en-US"/>
        </w:rPr>
        <w:t>Alma Mater Studiorum, Department of Agricultural and Food Sciences</w:t>
      </w:r>
      <w:r w:rsidR="00FC24C3" w:rsidRPr="75465DCE">
        <w:rPr>
          <w:rFonts w:ascii="Cambria" w:hAnsi="Cambria"/>
          <w:sz w:val="18"/>
          <w:szCs w:val="18"/>
          <w:lang w:val="en-US"/>
        </w:rPr>
        <w:t xml:space="preserve"> (DISTAL)</w:t>
      </w:r>
      <w:r w:rsidRPr="00046407">
        <w:rPr>
          <w:rFonts w:ascii="Cambria" w:hAnsi="Cambria"/>
          <w:sz w:val="18"/>
          <w:szCs w:val="18"/>
          <w:lang w:val="en-US"/>
        </w:rPr>
        <w:t xml:space="preserve">, </w:t>
      </w:r>
      <w:proofErr w:type="spellStart"/>
      <w:r w:rsidR="00031C0B" w:rsidRPr="75465DCE">
        <w:rPr>
          <w:rFonts w:ascii="Cambria" w:hAnsi="Cambria"/>
          <w:sz w:val="18"/>
          <w:szCs w:val="18"/>
          <w:lang w:val="en-US"/>
        </w:rPr>
        <w:t>V</w:t>
      </w:r>
      <w:r w:rsidRPr="00046407">
        <w:rPr>
          <w:rFonts w:ascii="Cambria" w:hAnsi="Cambria"/>
          <w:sz w:val="18"/>
          <w:szCs w:val="18"/>
          <w:lang w:val="en-US"/>
        </w:rPr>
        <w:t>iale</w:t>
      </w:r>
      <w:proofErr w:type="spellEnd"/>
      <w:r w:rsidRPr="00046407">
        <w:rPr>
          <w:rFonts w:ascii="Cambria" w:hAnsi="Cambria"/>
          <w:sz w:val="18"/>
          <w:szCs w:val="18"/>
          <w:lang w:val="en-US"/>
        </w:rPr>
        <w:t xml:space="preserve"> Fanin, 44, 40127, Bologna, Italy</w:t>
      </w:r>
    </w:p>
    <w:p w14:paraId="3971D0B4" w14:textId="01FA19D3" w:rsidR="00F01EEF" w:rsidRPr="00163198" w:rsidRDefault="00F01EEF" w:rsidP="00046407">
      <w:pPr>
        <w:spacing w:before="240" w:after="0" w:line="240" w:lineRule="auto"/>
        <w:ind w:firstLine="567"/>
        <w:contextualSpacing/>
        <w:jc w:val="both"/>
        <w:rPr>
          <w:rFonts w:ascii="Cambria" w:eastAsia="Times New Roman" w:hAnsi="Cambria" w:cs="Times New Roman"/>
          <w:b/>
          <w:bCs/>
          <w:szCs w:val="24"/>
          <w:shd w:val="clear" w:color="auto" w:fill="FFFFFF"/>
          <w:lang w:val="en-US"/>
        </w:rPr>
      </w:pPr>
    </w:p>
    <w:p w14:paraId="6918986B" w14:textId="5360424A" w:rsidR="00163198" w:rsidRPr="00163198" w:rsidRDefault="00163198" w:rsidP="00046407">
      <w:pPr>
        <w:pBdr>
          <w:top w:val="single" w:sz="4" w:space="1" w:color="auto"/>
          <w:bottom w:val="single" w:sz="4" w:space="1" w:color="auto"/>
        </w:pBdr>
        <w:shd w:val="clear" w:color="auto" w:fill="D9E2F3" w:themeFill="accent1" w:themeFillTint="33"/>
        <w:tabs>
          <w:tab w:val="left" w:pos="8940"/>
        </w:tabs>
        <w:spacing w:before="240" w:after="0" w:line="240" w:lineRule="auto"/>
        <w:contextualSpacing/>
        <w:jc w:val="both"/>
        <w:rPr>
          <w:rFonts w:ascii="Cambria" w:hAnsi="Cambria"/>
          <w:b/>
          <w:bCs/>
          <w:i/>
          <w:iCs/>
          <w:lang w:val="en-GB"/>
        </w:rPr>
      </w:pPr>
      <w:r w:rsidRPr="00163198">
        <w:rPr>
          <w:rFonts w:ascii="Cambria" w:hAnsi="Cambria"/>
          <w:b/>
          <w:bCs/>
          <w:i/>
          <w:iCs/>
          <w:lang w:val="en-GB"/>
        </w:rPr>
        <w:t>Abstract</w:t>
      </w:r>
    </w:p>
    <w:p w14:paraId="4FB622AF" w14:textId="27D3B3E4" w:rsidR="00163198" w:rsidRPr="00163198" w:rsidRDefault="00163198" w:rsidP="00046407">
      <w:pPr>
        <w:pBdr>
          <w:top w:val="single" w:sz="4" w:space="1" w:color="auto"/>
          <w:bottom w:val="single" w:sz="4" w:space="1" w:color="auto"/>
        </w:pBdr>
        <w:shd w:val="clear" w:color="auto" w:fill="D9E2F3" w:themeFill="accent1" w:themeFillTint="33"/>
        <w:tabs>
          <w:tab w:val="left" w:pos="8940"/>
        </w:tabs>
        <w:spacing w:before="240" w:after="0" w:line="240" w:lineRule="auto"/>
        <w:contextualSpacing/>
        <w:jc w:val="both"/>
        <w:rPr>
          <w:rFonts w:ascii="Cambria" w:hAnsi="Cambria"/>
          <w:b/>
          <w:bCs/>
          <w:lang w:val="en-GB"/>
        </w:rPr>
      </w:pPr>
      <w:r w:rsidRPr="75465DCE">
        <w:rPr>
          <w:rFonts w:ascii="Cambria" w:hAnsi="Cambria"/>
          <w:b/>
          <w:bCs/>
          <w:lang w:val="en-GB"/>
        </w:rPr>
        <w:t xml:space="preserve">Agricultural food production will face important challenges in the coming decades, mainly associated with climate change and </w:t>
      </w:r>
      <w:r w:rsidR="00C15DD3" w:rsidRPr="75465DCE">
        <w:rPr>
          <w:rFonts w:ascii="Cambria" w:hAnsi="Cambria"/>
          <w:b/>
          <w:bCs/>
          <w:lang w:val="en-GB"/>
        </w:rPr>
        <w:t xml:space="preserve">resources’ </w:t>
      </w:r>
      <w:r w:rsidRPr="75465DCE">
        <w:rPr>
          <w:rFonts w:ascii="Cambria" w:hAnsi="Cambria"/>
          <w:b/>
          <w:bCs/>
          <w:lang w:val="en-GB"/>
        </w:rPr>
        <w:t xml:space="preserve">scarcity. The growing population rates and the expansion of urban areas require alternative solutions to ensure food security and social stability. In this context, the </w:t>
      </w:r>
      <w:r w:rsidR="007F3C95">
        <w:rPr>
          <w:rFonts w:ascii="Cambria" w:hAnsi="Cambria"/>
          <w:b/>
          <w:bCs/>
          <w:lang w:val="en-GB"/>
        </w:rPr>
        <w:t xml:space="preserve">identification </w:t>
      </w:r>
      <w:r w:rsidRPr="75465DCE">
        <w:rPr>
          <w:rFonts w:ascii="Cambria" w:hAnsi="Cambria"/>
          <w:b/>
          <w:bCs/>
          <w:lang w:val="en-GB"/>
        </w:rPr>
        <w:t xml:space="preserve">of innovative production techniques resilient to climate change, featuring efficient use of resources and adaptability to densely populated </w:t>
      </w:r>
      <w:r w:rsidR="00E81B7F" w:rsidRPr="75465DCE">
        <w:rPr>
          <w:rFonts w:ascii="Cambria" w:hAnsi="Cambria"/>
          <w:b/>
          <w:bCs/>
          <w:lang w:val="en-GB"/>
        </w:rPr>
        <w:t>areas,</w:t>
      </w:r>
      <w:r w:rsidRPr="75465DCE">
        <w:rPr>
          <w:rFonts w:ascii="Cambria" w:hAnsi="Cambria"/>
          <w:b/>
          <w:bCs/>
          <w:lang w:val="en-GB"/>
        </w:rPr>
        <w:t xml:space="preserve"> assume considerable relevance. Urban agriculture initiatives are blooming worldwide</w:t>
      </w:r>
      <w:r w:rsidR="00E81B7F" w:rsidRPr="75465DCE">
        <w:rPr>
          <w:rFonts w:ascii="Cambria" w:hAnsi="Cambria"/>
          <w:b/>
          <w:bCs/>
          <w:lang w:val="en-GB"/>
        </w:rPr>
        <w:t xml:space="preserve"> as a response to these </w:t>
      </w:r>
      <w:r w:rsidR="00DD190E">
        <w:rPr>
          <w:rFonts w:ascii="Cambria" w:hAnsi="Cambria"/>
          <w:b/>
          <w:bCs/>
          <w:lang w:val="en-GB"/>
        </w:rPr>
        <w:t>needs</w:t>
      </w:r>
      <w:r w:rsidRPr="75465DCE">
        <w:rPr>
          <w:rFonts w:ascii="Cambria" w:hAnsi="Cambria"/>
          <w:b/>
          <w:bCs/>
          <w:lang w:val="en-GB"/>
        </w:rPr>
        <w:t xml:space="preserve">, also thanks to the evolution of building integrated technologies that allow to move from more traditional </w:t>
      </w:r>
      <w:r w:rsidR="00E81B7F" w:rsidRPr="75465DCE">
        <w:rPr>
          <w:rFonts w:ascii="Cambria" w:hAnsi="Cambria"/>
          <w:b/>
          <w:bCs/>
          <w:lang w:val="en-GB"/>
        </w:rPr>
        <w:t xml:space="preserve">urban </w:t>
      </w:r>
      <w:r w:rsidRPr="75465DCE">
        <w:rPr>
          <w:rFonts w:ascii="Cambria" w:hAnsi="Cambria"/>
          <w:b/>
          <w:bCs/>
          <w:lang w:val="en-GB"/>
        </w:rPr>
        <w:t>farming systems (e.g., community and allotment gardens) toward the colonization of the built landscape</w:t>
      </w:r>
      <w:r w:rsidR="003C54C2">
        <w:rPr>
          <w:rFonts w:ascii="Cambria" w:hAnsi="Cambria"/>
          <w:b/>
          <w:bCs/>
          <w:lang w:val="en-GB"/>
        </w:rPr>
        <w:t xml:space="preserve"> (e.g., </w:t>
      </w:r>
      <w:r w:rsidRPr="75465DCE">
        <w:rPr>
          <w:rFonts w:ascii="Cambria" w:hAnsi="Cambria"/>
          <w:b/>
          <w:bCs/>
          <w:lang w:val="en-GB"/>
        </w:rPr>
        <w:t>indoor vertical farming systems and rooftop farms</w:t>
      </w:r>
      <w:r w:rsidR="003C54C2">
        <w:rPr>
          <w:rFonts w:ascii="Cambria" w:hAnsi="Cambria"/>
          <w:b/>
          <w:bCs/>
          <w:lang w:val="en-GB"/>
        </w:rPr>
        <w:t>)</w:t>
      </w:r>
      <w:r w:rsidRPr="75465DCE">
        <w:rPr>
          <w:rFonts w:ascii="Cambria" w:hAnsi="Cambria"/>
          <w:b/>
          <w:bCs/>
          <w:lang w:val="en-GB"/>
        </w:rPr>
        <w:t>.</w:t>
      </w:r>
      <w:r w:rsidR="00E81B7F" w:rsidRPr="75465DCE">
        <w:rPr>
          <w:rFonts w:ascii="Cambria" w:hAnsi="Cambria"/>
          <w:b/>
          <w:bCs/>
          <w:lang w:val="en-GB"/>
        </w:rPr>
        <w:t xml:space="preserve"> </w:t>
      </w:r>
      <w:r w:rsidR="005D0BFB" w:rsidRPr="75465DCE">
        <w:rPr>
          <w:rFonts w:ascii="Cambria" w:hAnsi="Cambria"/>
          <w:b/>
          <w:bCs/>
          <w:lang w:val="en-GB"/>
        </w:rPr>
        <w:t xml:space="preserve">However, to achieve a significant sector development, urban </w:t>
      </w:r>
      <w:r w:rsidR="00A816FF">
        <w:rPr>
          <w:rFonts w:ascii="Cambria" w:hAnsi="Cambria"/>
          <w:b/>
          <w:bCs/>
          <w:lang w:val="en-GB"/>
        </w:rPr>
        <w:t xml:space="preserve">many </w:t>
      </w:r>
      <w:r w:rsidR="005D0BFB" w:rsidRPr="75465DCE">
        <w:rPr>
          <w:rFonts w:ascii="Cambria" w:hAnsi="Cambria"/>
          <w:b/>
          <w:bCs/>
          <w:lang w:val="en-GB"/>
        </w:rPr>
        <w:t>farming technologies still need</w:t>
      </w:r>
      <w:r w:rsidRPr="75465DCE">
        <w:rPr>
          <w:rFonts w:ascii="Cambria" w:hAnsi="Cambria"/>
          <w:b/>
          <w:bCs/>
          <w:lang w:val="en-GB"/>
        </w:rPr>
        <w:t xml:space="preserve"> </w:t>
      </w:r>
      <w:r w:rsidR="005D0BFB" w:rsidRPr="75465DCE">
        <w:rPr>
          <w:rFonts w:ascii="Cambria" w:hAnsi="Cambria"/>
          <w:b/>
          <w:bCs/>
          <w:lang w:val="en-GB"/>
        </w:rPr>
        <w:t xml:space="preserve">to be properly validated </w:t>
      </w:r>
      <w:r w:rsidRPr="75465DCE">
        <w:rPr>
          <w:rFonts w:ascii="Cambria" w:hAnsi="Cambria"/>
          <w:b/>
          <w:bCs/>
          <w:lang w:val="en-GB"/>
        </w:rPr>
        <w:t>in experimental conditions, both in terms of the potential production of a wide range of crops</w:t>
      </w:r>
      <w:r w:rsidR="005D0BFB" w:rsidRPr="75465DCE">
        <w:rPr>
          <w:rFonts w:ascii="Cambria" w:hAnsi="Cambria"/>
          <w:b/>
          <w:bCs/>
          <w:lang w:val="en-GB"/>
        </w:rPr>
        <w:t>,</w:t>
      </w:r>
      <w:r w:rsidRPr="75465DCE">
        <w:rPr>
          <w:rFonts w:ascii="Cambria" w:hAnsi="Cambria"/>
          <w:b/>
          <w:bCs/>
          <w:lang w:val="en-GB"/>
        </w:rPr>
        <w:t xml:space="preserve"> and in the quantification and</w:t>
      </w:r>
      <w:r w:rsidR="005D0BFB" w:rsidRPr="75465DCE">
        <w:rPr>
          <w:rFonts w:ascii="Cambria" w:hAnsi="Cambria"/>
          <w:b/>
          <w:bCs/>
          <w:lang w:val="en-GB"/>
        </w:rPr>
        <w:t xml:space="preserve"> optimization</w:t>
      </w:r>
      <w:r w:rsidRPr="75465DCE">
        <w:rPr>
          <w:rFonts w:ascii="Cambria" w:hAnsi="Cambria"/>
          <w:b/>
          <w:bCs/>
          <w:lang w:val="en-GB"/>
        </w:rPr>
        <w:t xml:space="preserve"> of resources use and saving</w:t>
      </w:r>
      <w:r w:rsidR="00450326" w:rsidRPr="75465DCE">
        <w:rPr>
          <w:rFonts w:ascii="Cambria" w:hAnsi="Cambria"/>
          <w:b/>
          <w:bCs/>
          <w:lang w:val="en-GB"/>
        </w:rPr>
        <w:t>s</w:t>
      </w:r>
      <w:r w:rsidR="005D0BFB" w:rsidRPr="75465DCE">
        <w:rPr>
          <w:rFonts w:ascii="Cambria" w:hAnsi="Cambria"/>
          <w:b/>
          <w:bCs/>
          <w:lang w:val="en-GB"/>
        </w:rPr>
        <w:t>.</w:t>
      </w:r>
      <w:r w:rsidRPr="75465DCE">
        <w:rPr>
          <w:rFonts w:ascii="Cambria" w:hAnsi="Cambria"/>
          <w:b/>
          <w:bCs/>
          <w:lang w:val="en-GB"/>
        </w:rPr>
        <w:t xml:space="preserve"> </w:t>
      </w:r>
      <w:r w:rsidR="00C93209" w:rsidRPr="75465DCE">
        <w:rPr>
          <w:rFonts w:ascii="Cambria" w:hAnsi="Cambria"/>
          <w:b/>
          <w:bCs/>
          <w:lang w:val="en-GB"/>
        </w:rPr>
        <w:t>Governmental and not-</w:t>
      </w:r>
      <w:r w:rsidR="003C54C2" w:rsidRPr="75465DCE">
        <w:rPr>
          <w:rFonts w:ascii="Cambria" w:hAnsi="Cambria"/>
          <w:b/>
          <w:bCs/>
          <w:lang w:val="en-GB"/>
        </w:rPr>
        <w:t>govern</w:t>
      </w:r>
      <w:r w:rsidR="003C54C2">
        <w:rPr>
          <w:rFonts w:ascii="Cambria" w:hAnsi="Cambria"/>
          <w:b/>
          <w:bCs/>
          <w:lang w:val="en-GB"/>
        </w:rPr>
        <w:t>m</w:t>
      </w:r>
      <w:r w:rsidR="003C54C2" w:rsidRPr="75465DCE">
        <w:rPr>
          <w:rFonts w:ascii="Cambria" w:hAnsi="Cambria"/>
          <w:b/>
          <w:bCs/>
          <w:lang w:val="en-GB"/>
        </w:rPr>
        <w:t>ental</w:t>
      </w:r>
      <w:r w:rsidR="00C93209" w:rsidRPr="75465DCE">
        <w:rPr>
          <w:rFonts w:ascii="Cambria" w:hAnsi="Cambria"/>
          <w:b/>
          <w:bCs/>
          <w:lang w:val="en-GB"/>
        </w:rPr>
        <w:t xml:space="preserve"> institutions are a</w:t>
      </w:r>
      <w:r w:rsidR="00AC3F8F" w:rsidRPr="75465DCE">
        <w:rPr>
          <w:rFonts w:ascii="Cambria" w:hAnsi="Cambria"/>
          <w:b/>
          <w:bCs/>
          <w:lang w:val="en-GB"/>
        </w:rPr>
        <w:t xml:space="preserve">lready starting to move </w:t>
      </w:r>
      <w:r w:rsidR="003C54C2">
        <w:rPr>
          <w:rFonts w:ascii="Cambria" w:hAnsi="Cambria"/>
          <w:b/>
          <w:bCs/>
          <w:lang w:val="en-GB"/>
        </w:rPr>
        <w:t>toward</w:t>
      </w:r>
      <w:r w:rsidR="00AC3F8F" w:rsidRPr="75465DCE">
        <w:rPr>
          <w:rFonts w:ascii="Cambria" w:hAnsi="Cambria"/>
          <w:b/>
          <w:bCs/>
          <w:lang w:val="en-GB"/>
        </w:rPr>
        <w:t xml:space="preserve"> this</w:t>
      </w:r>
      <w:r w:rsidR="00C93209" w:rsidRPr="75465DCE">
        <w:rPr>
          <w:rFonts w:ascii="Cambria" w:hAnsi="Cambria"/>
          <w:b/>
          <w:bCs/>
          <w:lang w:val="en-GB"/>
        </w:rPr>
        <w:t xml:space="preserve"> direction, supporting projec</w:t>
      </w:r>
      <w:r w:rsidR="003C54C2">
        <w:rPr>
          <w:rFonts w:ascii="Cambria" w:hAnsi="Cambria"/>
          <w:b/>
          <w:bCs/>
          <w:lang w:val="en-GB"/>
        </w:rPr>
        <w:t>ts and research. T</w:t>
      </w:r>
      <w:r w:rsidRPr="75465DCE">
        <w:rPr>
          <w:rFonts w:ascii="Cambria" w:hAnsi="Cambria"/>
          <w:b/>
          <w:bCs/>
          <w:lang w:val="en-GB"/>
        </w:rPr>
        <w:t>he European project H2020 "</w:t>
      </w:r>
      <w:r w:rsidR="005D0BFB" w:rsidRPr="75465DCE">
        <w:rPr>
          <w:rFonts w:ascii="Cambria" w:hAnsi="Cambria"/>
          <w:b/>
          <w:bCs/>
          <w:lang w:val="en-GB"/>
        </w:rPr>
        <w:t xml:space="preserve">FoodE - </w:t>
      </w:r>
      <w:r w:rsidRPr="75465DCE">
        <w:rPr>
          <w:rFonts w:ascii="Cambria" w:hAnsi="Cambria"/>
          <w:b/>
          <w:bCs/>
          <w:lang w:val="en-GB"/>
        </w:rPr>
        <w:t>Food Systems in European Cities</w:t>
      </w:r>
      <w:r w:rsidR="005D0BFB" w:rsidRPr="75465DCE">
        <w:rPr>
          <w:rFonts w:ascii="Cambria" w:hAnsi="Cambria"/>
          <w:b/>
          <w:bCs/>
          <w:lang w:val="en-GB"/>
        </w:rPr>
        <w:t>”</w:t>
      </w:r>
      <w:r w:rsidRPr="75465DCE">
        <w:rPr>
          <w:rFonts w:ascii="Cambria" w:hAnsi="Cambria"/>
          <w:b/>
          <w:bCs/>
          <w:lang w:val="en-GB"/>
        </w:rPr>
        <w:t xml:space="preserve"> (</w:t>
      </w:r>
      <w:hyperlink r:id="rId11" w:history="1">
        <w:r w:rsidR="005D0BFB" w:rsidRPr="75465DCE">
          <w:rPr>
            <w:rStyle w:val="Collegamentoipertestuale"/>
            <w:rFonts w:ascii="Cambria" w:hAnsi="Cambria"/>
            <w:b/>
            <w:bCs/>
            <w:lang w:val="en-GB"/>
          </w:rPr>
          <w:t>www.foode.eu</w:t>
        </w:r>
      </w:hyperlink>
      <w:r w:rsidRPr="75465DCE">
        <w:rPr>
          <w:rFonts w:ascii="Cambria" w:hAnsi="Cambria"/>
          <w:b/>
          <w:bCs/>
          <w:lang w:val="en-GB"/>
        </w:rPr>
        <w:t>)</w:t>
      </w:r>
      <w:r w:rsidR="005D0BFB" w:rsidRPr="75465DCE">
        <w:rPr>
          <w:rFonts w:ascii="Cambria" w:hAnsi="Cambria"/>
          <w:b/>
          <w:bCs/>
          <w:lang w:val="en-GB"/>
        </w:rPr>
        <w:t xml:space="preserve"> </w:t>
      </w:r>
      <w:r w:rsidR="00C93209" w:rsidRPr="75465DCE">
        <w:rPr>
          <w:rFonts w:ascii="Cambria" w:hAnsi="Cambria"/>
          <w:b/>
          <w:bCs/>
          <w:lang w:val="en-GB"/>
        </w:rPr>
        <w:t xml:space="preserve">represents one </w:t>
      </w:r>
      <w:r w:rsidR="003C54C2">
        <w:rPr>
          <w:rFonts w:ascii="Cambria" w:hAnsi="Cambria"/>
          <w:b/>
          <w:bCs/>
          <w:lang w:val="en-GB"/>
        </w:rPr>
        <w:t>the examples</w:t>
      </w:r>
      <w:r w:rsidR="00C93209" w:rsidRPr="75465DCE">
        <w:rPr>
          <w:rFonts w:ascii="Cambria" w:hAnsi="Cambria"/>
          <w:b/>
          <w:bCs/>
          <w:lang w:val="en-GB"/>
        </w:rPr>
        <w:t>, promoting the</w:t>
      </w:r>
      <w:r w:rsidRPr="75465DCE">
        <w:rPr>
          <w:rFonts w:ascii="Cambria" w:hAnsi="Cambria"/>
          <w:b/>
          <w:bCs/>
          <w:lang w:val="en-GB"/>
        </w:rPr>
        <w:t xml:space="preserve"> </w:t>
      </w:r>
      <w:r w:rsidR="00C93209" w:rsidRPr="75465DCE">
        <w:rPr>
          <w:rFonts w:ascii="Cambria" w:hAnsi="Cambria"/>
          <w:b/>
          <w:bCs/>
          <w:lang w:val="en-GB"/>
        </w:rPr>
        <w:t xml:space="preserve">sustainability </w:t>
      </w:r>
      <w:r w:rsidRPr="75465DCE">
        <w:rPr>
          <w:rFonts w:ascii="Cambria" w:hAnsi="Cambria"/>
          <w:b/>
          <w:bCs/>
          <w:lang w:val="en-GB"/>
        </w:rPr>
        <w:t>assess</w:t>
      </w:r>
      <w:r w:rsidR="00C93209" w:rsidRPr="75465DCE">
        <w:rPr>
          <w:rFonts w:ascii="Cambria" w:hAnsi="Cambria"/>
          <w:b/>
          <w:bCs/>
          <w:lang w:val="en-GB"/>
        </w:rPr>
        <w:t xml:space="preserve">ment </w:t>
      </w:r>
      <w:r w:rsidR="00450326" w:rsidRPr="75465DCE">
        <w:rPr>
          <w:rFonts w:ascii="Cambria" w:hAnsi="Cambria"/>
          <w:b/>
          <w:bCs/>
          <w:lang w:val="en-GB"/>
        </w:rPr>
        <w:t xml:space="preserve">of </w:t>
      </w:r>
      <w:r w:rsidRPr="75465DCE">
        <w:rPr>
          <w:rFonts w:ascii="Cambria" w:hAnsi="Cambria"/>
          <w:b/>
          <w:bCs/>
          <w:lang w:val="en-GB"/>
        </w:rPr>
        <w:t>City</w:t>
      </w:r>
      <w:r w:rsidR="00C93209" w:rsidRPr="75465DCE">
        <w:rPr>
          <w:rFonts w:ascii="Cambria" w:hAnsi="Cambria"/>
          <w:b/>
          <w:bCs/>
          <w:lang w:val="en-GB"/>
        </w:rPr>
        <w:t>-</w:t>
      </w:r>
      <w:r w:rsidRPr="75465DCE">
        <w:rPr>
          <w:rFonts w:ascii="Cambria" w:hAnsi="Cambria"/>
          <w:b/>
          <w:bCs/>
          <w:lang w:val="en-GB"/>
        </w:rPr>
        <w:t xml:space="preserve">Region Food Systems initiatives with a key eye on urban farming systems. </w:t>
      </w:r>
      <w:r w:rsidR="00A66595" w:rsidRPr="75465DCE">
        <w:rPr>
          <w:rFonts w:ascii="Cambria" w:hAnsi="Cambria"/>
          <w:b/>
          <w:bCs/>
          <w:lang w:val="en-GB"/>
        </w:rPr>
        <w:t xml:space="preserve">The present paper </w:t>
      </w:r>
      <w:r w:rsidRPr="75465DCE">
        <w:rPr>
          <w:rFonts w:ascii="Cambria" w:hAnsi="Cambria"/>
          <w:b/>
          <w:bCs/>
          <w:lang w:val="en-GB"/>
        </w:rPr>
        <w:t>elaborate</w:t>
      </w:r>
      <w:r w:rsidR="00700AF7" w:rsidRPr="75465DCE">
        <w:rPr>
          <w:rFonts w:ascii="Cambria" w:hAnsi="Cambria"/>
          <w:b/>
          <w:bCs/>
          <w:lang w:val="en-GB"/>
        </w:rPr>
        <w:t xml:space="preserve">s </w:t>
      </w:r>
      <w:r w:rsidRPr="75465DCE">
        <w:rPr>
          <w:rFonts w:ascii="Cambria" w:hAnsi="Cambria"/>
          <w:b/>
          <w:bCs/>
          <w:lang w:val="en-GB"/>
        </w:rPr>
        <w:t xml:space="preserve">on strengths and weaknesses, as well as </w:t>
      </w:r>
      <w:r w:rsidR="00DD79C2" w:rsidRPr="75465DCE">
        <w:rPr>
          <w:rFonts w:ascii="Cambria" w:hAnsi="Cambria"/>
          <w:b/>
          <w:bCs/>
          <w:lang w:val="en-GB"/>
        </w:rPr>
        <w:t xml:space="preserve">on </w:t>
      </w:r>
      <w:r w:rsidRPr="75465DCE">
        <w:rPr>
          <w:rFonts w:ascii="Cambria" w:hAnsi="Cambria"/>
          <w:b/>
          <w:bCs/>
          <w:lang w:val="en-GB"/>
        </w:rPr>
        <w:t xml:space="preserve">potentialities and risks associated with </w:t>
      </w:r>
      <w:r w:rsidR="00700AF7" w:rsidRPr="75465DCE">
        <w:rPr>
          <w:rFonts w:ascii="Cambria" w:hAnsi="Cambria"/>
          <w:b/>
          <w:bCs/>
          <w:lang w:val="en-GB"/>
        </w:rPr>
        <w:t>these innovative</w:t>
      </w:r>
      <w:r w:rsidRPr="75465DCE">
        <w:rPr>
          <w:rFonts w:ascii="Cambria" w:hAnsi="Cambria"/>
          <w:b/>
          <w:bCs/>
          <w:lang w:val="en-GB"/>
        </w:rPr>
        <w:t xml:space="preserve"> urban </w:t>
      </w:r>
      <w:r w:rsidR="00931DF6">
        <w:rPr>
          <w:rFonts w:ascii="Cambria" w:hAnsi="Cambria"/>
          <w:b/>
          <w:bCs/>
          <w:lang w:val="en-GB"/>
        </w:rPr>
        <w:t>farming</w:t>
      </w:r>
      <w:r w:rsidRPr="75465DCE">
        <w:rPr>
          <w:rFonts w:ascii="Cambria" w:hAnsi="Cambria"/>
          <w:b/>
          <w:bCs/>
          <w:lang w:val="en-GB"/>
        </w:rPr>
        <w:t xml:space="preserve"> systems, toward the definition of their role on city food security in the </w:t>
      </w:r>
      <w:r w:rsidR="00700AF7" w:rsidRPr="75465DCE">
        <w:rPr>
          <w:rFonts w:ascii="Cambria" w:hAnsi="Cambria"/>
          <w:b/>
          <w:bCs/>
          <w:lang w:val="en-GB"/>
        </w:rPr>
        <w:t>up</w:t>
      </w:r>
      <w:r w:rsidRPr="75465DCE">
        <w:rPr>
          <w:rFonts w:ascii="Cambria" w:hAnsi="Cambria"/>
          <w:b/>
          <w:bCs/>
          <w:lang w:val="en-GB"/>
        </w:rPr>
        <w:t>coming years.</w:t>
      </w:r>
    </w:p>
    <w:p w14:paraId="3971D0B9" w14:textId="77777777" w:rsidR="00F01EEF" w:rsidRPr="00163198" w:rsidRDefault="00F01EEF" w:rsidP="00046407">
      <w:pPr>
        <w:spacing w:before="240" w:after="0" w:line="240" w:lineRule="auto"/>
        <w:ind w:firstLine="567"/>
        <w:contextualSpacing/>
        <w:jc w:val="both"/>
        <w:rPr>
          <w:rFonts w:ascii="Cambria" w:eastAsia="Times New Roman" w:hAnsi="Cambria" w:cs="Times New Roman"/>
          <w:b/>
          <w:bCs/>
          <w:sz w:val="24"/>
          <w:szCs w:val="24"/>
          <w:lang w:val="en-US"/>
        </w:rPr>
      </w:pPr>
    </w:p>
    <w:p w14:paraId="6073AB1C" w14:textId="32587A21" w:rsidR="00163198" w:rsidRPr="00046407" w:rsidRDefault="00163198" w:rsidP="00046407">
      <w:pPr>
        <w:spacing w:before="240" w:after="0" w:line="240" w:lineRule="auto"/>
        <w:ind w:left="1134" w:hanging="1134"/>
        <w:contextualSpacing/>
        <w:jc w:val="both"/>
        <w:rPr>
          <w:rFonts w:ascii="Cambria" w:eastAsia="Times New Roman" w:hAnsi="Cambria" w:cs="Times New Roman"/>
          <w:lang w:val="en-US"/>
        </w:rPr>
      </w:pPr>
      <w:r w:rsidRPr="00046407">
        <w:rPr>
          <w:rFonts w:ascii="Cambria" w:hAnsi="Cambria"/>
          <w:b/>
          <w:bCs/>
          <w:lang w:val="en-US"/>
        </w:rPr>
        <w:t>Keywords</w:t>
      </w:r>
      <w:r w:rsidRPr="00046407">
        <w:rPr>
          <w:rFonts w:ascii="Cambria" w:hAnsi="Cambria"/>
          <w:lang w:val="en-US"/>
        </w:rPr>
        <w:t>: urban farming</w:t>
      </w:r>
      <w:r w:rsidR="00DD79C2">
        <w:rPr>
          <w:rFonts w:ascii="Cambria" w:hAnsi="Cambria"/>
          <w:lang w:val="en-US"/>
        </w:rPr>
        <w:t>,</w:t>
      </w:r>
      <w:r w:rsidRPr="00046407">
        <w:rPr>
          <w:rFonts w:ascii="Cambria" w:hAnsi="Cambria"/>
          <w:lang w:val="en-US"/>
        </w:rPr>
        <w:t xml:space="preserve"> allotment gardens, vertical farms</w:t>
      </w:r>
      <w:r w:rsidR="00DD79C2">
        <w:rPr>
          <w:rFonts w:ascii="Cambria" w:hAnsi="Cambria"/>
          <w:lang w:val="en-US"/>
        </w:rPr>
        <w:t>,</w:t>
      </w:r>
      <w:r w:rsidRPr="00046407">
        <w:rPr>
          <w:rFonts w:ascii="Cambria" w:hAnsi="Cambria"/>
          <w:lang w:val="en-US"/>
        </w:rPr>
        <w:t xml:space="preserve"> rooftop agriculture</w:t>
      </w:r>
      <w:r w:rsidR="00DD79C2">
        <w:rPr>
          <w:rFonts w:ascii="Cambria" w:hAnsi="Cambria"/>
          <w:lang w:val="en-US"/>
        </w:rPr>
        <w:t>,</w:t>
      </w:r>
      <w:r w:rsidRPr="00046407">
        <w:rPr>
          <w:rFonts w:ascii="Cambria" w:hAnsi="Cambria"/>
          <w:lang w:val="en-US"/>
        </w:rPr>
        <w:t xml:space="preserve"> </w:t>
      </w:r>
      <w:r w:rsidR="00700AF7" w:rsidRPr="00046407">
        <w:rPr>
          <w:rFonts w:ascii="Cambria" w:hAnsi="Cambria"/>
          <w:lang w:val="en-US"/>
        </w:rPr>
        <w:t xml:space="preserve">city/region </w:t>
      </w:r>
      <w:r w:rsidRPr="00046407">
        <w:rPr>
          <w:rFonts w:ascii="Cambria" w:hAnsi="Cambria"/>
          <w:lang w:val="en-US"/>
        </w:rPr>
        <w:t>food systems</w:t>
      </w:r>
      <w:r w:rsidR="00700AF7" w:rsidRPr="00046407">
        <w:rPr>
          <w:rFonts w:ascii="Cambria" w:hAnsi="Cambria"/>
          <w:lang w:val="en-US"/>
        </w:rPr>
        <w:t xml:space="preserve"> (CRFS)</w:t>
      </w:r>
    </w:p>
    <w:p w14:paraId="50783B45" w14:textId="77777777" w:rsidR="00163198" w:rsidRPr="00046407" w:rsidRDefault="00163198" w:rsidP="00046407">
      <w:pPr>
        <w:spacing w:before="240" w:after="0" w:line="240" w:lineRule="auto"/>
        <w:ind w:firstLine="567"/>
        <w:contextualSpacing/>
        <w:jc w:val="both"/>
        <w:rPr>
          <w:rFonts w:ascii="Cambria" w:eastAsia="Times New Roman" w:hAnsi="Cambria" w:cs="Times New Roman"/>
          <w:lang w:val="en-US"/>
        </w:rPr>
      </w:pPr>
    </w:p>
    <w:p w14:paraId="3971D0BF" w14:textId="0752101F" w:rsidR="00F01EEF" w:rsidRPr="00046407" w:rsidRDefault="00163198" w:rsidP="00046407">
      <w:pPr>
        <w:spacing w:before="240" w:after="0" w:line="240" w:lineRule="auto"/>
        <w:contextualSpacing/>
        <w:jc w:val="both"/>
        <w:rPr>
          <w:rFonts w:ascii="Cambria" w:eastAsia="Times New Roman" w:hAnsi="Cambria" w:cs="Times New Roman"/>
          <w:b/>
          <w:bCs/>
          <w:lang w:val="en-US"/>
        </w:rPr>
      </w:pPr>
      <w:r w:rsidRPr="00046407">
        <w:rPr>
          <w:rFonts w:ascii="Cambria" w:hAnsi="Cambria"/>
          <w:b/>
          <w:bCs/>
          <w:lang w:val="en-US"/>
        </w:rPr>
        <w:t>INTRODUCTION</w:t>
      </w:r>
    </w:p>
    <w:p w14:paraId="3971D0C0" w14:textId="3C3EB25C" w:rsidR="00F01EEF" w:rsidRPr="00315194" w:rsidRDefault="00163198" w:rsidP="00046407">
      <w:pPr>
        <w:spacing w:before="240" w:after="0" w:line="240" w:lineRule="auto"/>
        <w:ind w:firstLine="567"/>
        <w:contextualSpacing/>
        <w:jc w:val="both"/>
        <w:rPr>
          <w:rFonts w:ascii="Cambria" w:hAnsi="Cambria"/>
          <w:lang w:val="en-US"/>
        </w:rPr>
      </w:pPr>
      <w:r w:rsidRPr="00315194">
        <w:rPr>
          <w:rFonts w:ascii="Cambria" w:hAnsi="Cambria"/>
          <w:lang w:val="en-US"/>
        </w:rPr>
        <w:t xml:space="preserve">With the majority of the world’s population already living in cities and the urbanization trends confirming the </w:t>
      </w:r>
      <w:r w:rsidR="00931DF6">
        <w:rPr>
          <w:rFonts w:ascii="Cambria" w:hAnsi="Cambria"/>
          <w:lang w:val="en-US"/>
        </w:rPr>
        <w:t xml:space="preserve">trend will further increase </w:t>
      </w:r>
      <w:r w:rsidRPr="00315194">
        <w:rPr>
          <w:rFonts w:ascii="Cambria" w:hAnsi="Cambria"/>
          <w:lang w:val="en-US"/>
        </w:rPr>
        <w:t xml:space="preserve">over the next 30 years, cities are at the core of the climate change fight. The need to make cities more sustainable was </w:t>
      </w:r>
      <w:r w:rsidR="00700AF7" w:rsidRPr="00315194">
        <w:rPr>
          <w:rFonts w:ascii="Cambria" w:hAnsi="Cambria"/>
          <w:lang w:val="en-US"/>
        </w:rPr>
        <w:t xml:space="preserve">matter of debate </w:t>
      </w:r>
      <w:r w:rsidRPr="00315194">
        <w:rPr>
          <w:rFonts w:ascii="Cambria" w:hAnsi="Cambria"/>
          <w:lang w:val="en-US"/>
        </w:rPr>
        <w:t>at the Paris Agreement in 2015</w:t>
      </w:r>
      <w:r w:rsidR="00863F95" w:rsidRPr="00315194">
        <w:rPr>
          <w:rFonts w:ascii="Cambria" w:hAnsi="Cambria"/>
          <w:lang w:val="en-US"/>
        </w:rPr>
        <w:t>,</w:t>
      </w:r>
      <w:r w:rsidRPr="00315194">
        <w:rPr>
          <w:rFonts w:ascii="Cambria" w:hAnsi="Cambria"/>
          <w:lang w:val="en-US"/>
        </w:rPr>
        <w:t xml:space="preserve"> where </w:t>
      </w:r>
      <w:r w:rsidR="00931DF6">
        <w:rPr>
          <w:rFonts w:ascii="Cambria" w:hAnsi="Cambria"/>
          <w:lang w:val="en-US"/>
        </w:rPr>
        <w:t xml:space="preserve">the role of urban </w:t>
      </w:r>
      <w:proofErr w:type="spellStart"/>
      <w:r w:rsidR="00931DF6">
        <w:rPr>
          <w:rFonts w:ascii="Cambria" w:hAnsi="Cambria"/>
          <w:lang w:val="en-US"/>
        </w:rPr>
        <w:t>centres</w:t>
      </w:r>
      <w:proofErr w:type="spellEnd"/>
      <w:r w:rsidR="00931DF6">
        <w:rPr>
          <w:rFonts w:ascii="Cambria" w:hAnsi="Cambria"/>
          <w:lang w:val="en-US"/>
        </w:rPr>
        <w:t xml:space="preserve"> in </w:t>
      </w:r>
      <w:r w:rsidRPr="00315194">
        <w:rPr>
          <w:rFonts w:ascii="Cambria" w:hAnsi="Cambria"/>
          <w:lang w:val="en-US"/>
        </w:rPr>
        <w:t xml:space="preserve">mobilizing strong and ambitious climate actions </w:t>
      </w:r>
      <w:r w:rsidR="00931DF6">
        <w:rPr>
          <w:rFonts w:ascii="Cambria" w:hAnsi="Cambria"/>
          <w:lang w:val="en-US"/>
        </w:rPr>
        <w:t xml:space="preserve">was recognized </w:t>
      </w:r>
      <w:r w:rsidR="4DEE04FC" w:rsidRPr="00315194">
        <w:rPr>
          <w:rFonts w:ascii="Cambria" w:hAnsi="Cambria"/>
          <w:lang w:val="en-US"/>
        </w:rPr>
        <w:t>(</w:t>
      </w:r>
      <w:r w:rsidR="2DD4B908" w:rsidRPr="00315194">
        <w:rPr>
          <w:rFonts w:ascii="Cambria" w:hAnsi="Cambria"/>
          <w:lang w:val="en-US"/>
        </w:rPr>
        <w:t>COP 21, 2016</w:t>
      </w:r>
      <w:r w:rsidR="44994916" w:rsidRPr="00315194">
        <w:rPr>
          <w:rFonts w:ascii="Cambria" w:hAnsi="Cambria"/>
          <w:lang w:val="en-US"/>
        </w:rPr>
        <w:t>)</w:t>
      </w:r>
      <w:r w:rsidRPr="00315194">
        <w:rPr>
          <w:rFonts w:ascii="Cambria" w:hAnsi="Cambria"/>
          <w:lang w:val="en-US"/>
        </w:rPr>
        <w:t xml:space="preserve">. The important role of cities in achieving sustainable development is also reflected in the </w:t>
      </w:r>
      <w:r w:rsidR="00700AF7" w:rsidRPr="00315194">
        <w:rPr>
          <w:rFonts w:ascii="Cambria" w:hAnsi="Cambria"/>
          <w:lang w:val="en-US"/>
        </w:rPr>
        <w:t>Sustainable Development Goals (</w:t>
      </w:r>
      <w:r w:rsidRPr="00315194">
        <w:rPr>
          <w:rFonts w:ascii="Cambria" w:hAnsi="Cambria"/>
          <w:lang w:val="en-US"/>
        </w:rPr>
        <w:t>SDGs</w:t>
      </w:r>
      <w:r w:rsidR="00700AF7" w:rsidRPr="00315194">
        <w:rPr>
          <w:rFonts w:ascii="Cambria" w:hAnsi="Cambria"/>
          <w:lang w:val="en-US"/>
        </w:rPr>
        <w:t>) of the United Nations (</w:t>
      </w:r>
      <w:r w:rsidR="00863F95" w:rsidRPr="00315194">
        <w:rPr>
          <w:rFonts w:ascii="Cambria" w:hAnsi="Cambria"/>
          <w:lang w:val="en-US"/>
        </w:rPr>
        <w:t xml:space="preserve">Stevens and </w:t>
      </w:r>
      <w:proofErr w:type="spellStart"/>
      <w:r w:rsidR="00863F95" w:rsidRPr="00315194">
        <w:rPr>
          <w:rFonts w:ascii="Cambria" w:hAnsi="Cambria"/>
          <w:lang w:val="en-US"/>
        </w:rPr>
        <w:t>Kanie</w:t>
      </w:r>
      <w:proofErr w:type="spellEnd"/>
      <w:r w:rsidR="00863F95" w:rsidRPr="00315194">
        <w:rPr>
          <w:rFonts w:ascii="Cambria" w:hAnsi="Cambria"/>
          <w:lang w:val="en-US"/>
        </w:rPr>
        <w:t>, 2016</w:t>
      </w:r>
      <w:r w:rsidR="00700AF7" w:rsidRPr="00315194">
        <w:rPr>
          <w:rFonts w:ascii="Cambria" w:hAnsi="Cambria"/>
          <w:lang w:val="en-US"/>
        </w:rPr>
        <w:t>)</w:t>
      </w:r>
      <w:r w:rsidR="00C16C53" w:rsidRPr="00315194">
        <w:rPr>
          <w:rFonts w:ascii="Cambria" w:hAnsi="Cambria"/>
          <w:lang w:val="en-US"/>
        </w:rPr>
        <w:t>,</w:t>
      </w:r>
      <w:r w:rsidRPr="00315194">
        <w:rPr>
          <w:rFonts w:ascii="Cambria" w:hAnsi="Cambria"/>
          <w:lang w:val="en-US"/>
        </w:rPr>
        <w:t xml:space="preserve"> </w:t>
      </w:r>
      <w:r w:rsidR="00C16C53" w:rsidRPr="00315194">
        <w:rPr>
          <w:rFonts w:ascii="Cambria" w:hAnsi="Cambria"/>
          <w:lang w:val="en-US"/>
        </w:rPr>
        <w:t>i</w:t>
      </w:r>
      <w:r w:rsidRPr="00315194">
        <w:rPr>
          <w:rFonts w:ascii="Cambria" w:hAnsi="Cambria"/>
          <w:lang w:val="en-US"/>
        </w:rPr>
        <w:t>n particular</w:t>
      </w:r>
      <w:r w:rsidR="00C16C53" w:rsidRPr="00315194">
        <w:rPr>
          <w:rFonts w:ascii="Cambria" w:hAnsi="Cambria"/>
          <w:lang w:val="en-US"/>
        </w:rPr>
        <w:t xml:space="preserve"> by </w:t>
      </w:r>
      <w:r w:rsidRPr="00315194">
        <w:rPr>
          <w:rFonts w:ascii="Cambria" w:hAnsi="Cambria"/>
          <w:lang w:val="en-US"/>
        </w:rPr>
        <w:t xml:space="preserve">SDG 11 </w:t>
      </w:r>
      <w:r w:rsidR="00863F95" w:rsidRPr="00315194">
        <w:rPr>
          <w:rFonts w:ascii="Cambria" w:hAnsi="Cambria"/>
          <w:lang w:val="en-US"/>
        </w:rPr>
        <w:t xml:space="preserve">- </w:t>
      </w:r>
      <w:r w:rsidRPr="00315194">
        <w:rPr>
          <w:rFonts w:ascii="Cambria" w:hAnsi="Cambria"/>
          <w:i/>
          <w:iCs/>
          <w:lang w:val="en-US"/>
        </w:rPr>
        <w:t>Make cities inclusive, safe, resilient and sustainable</w:t>
      </w:r>
      <w:r w:rsidR="00C16C53" w:rsidRPr="00315194">
        <w:rPr>
          <w:rFonts w:ascii="Cambria" w:hAnsi="Cambria"/>
          <w:lang w:val="en-US"/>
        </w:rPr>
        <w:t>. This SDG</w:t>
      </w:r>
      <w:r w:rsidRPr="00315194">
        <w:rPr>
          <w:rFonts w:ascii="Cambria" w:hAnsi="Cambria"/>
          <w:lang w:val="en-US"/>
        </w:rPr>
        <w:t xml:space="preserve"> </w:t>
      </w:r>
      <w:r w:rsidR="00C16C53" w:rsidRPr="00315194">
        <w:rPr>
          <w:rFonts w:ascii="Cambria" w:hAnsi="Cambria"/>
          <w:lang w:val="en-US"/>
        </w:rPr>
        <w:t xml:space="preserve">is </w:t>
      </w:r>
      <w:r w:rsidRPr="00315194">
        <w:rPr>
          <w:rFonts w:ascii="Cambria" w:hAnsi="Cambria"/>
          <w:lang w:val="en-US"/>
        </w:rPr>
        <w:t>most</w:t>
      </w:r>
      <w:r w:rsidR="00C16C53" w:rsidRPr="00315194">
        <w:rPr>
          <w:rFonts w:ascii="Cambria" w:hAnsi="Cambria"/>
          <w:lang w:val="en-US"/>
        </w:rPr>
        <w:t>ly</w:t>
      </w:r>
      <w:r w:rsidRPr="00315194">
        <w:rPr>
          <w:rFonts w:ascii="Cambria" w:hAnsi="Cambria"/>
          <w:lang w:val="en-US"/>
        </w:rPr>
        <w:t xml:space="preserve"> linked to greenhouse gas (GHG) emission reductions, focusing on the implementation of sustainable transportation systems, green buildings and the reduction of the environmental impact of cities </w:t>
      </w:r>
      <w:r w:rsidR="17B5A280" w:rsidRPr="00315194">
        <w:rPr>
          <w:rFonts w:ascii="Cambria" w:hAnsi="Cambria"/>
          <w:lang w:val="en-US"/>
        </w:rPr>
        <w:t>(UN-SDG11, 2015)</w:t>
      </w:r>
      <w:r w:rsidRPr="00315194">
        <w:rPr>
          <w:rFonts w:ascii="Cambria" w:hAnsi="Cambria"/>
          <w:lang w:val="en-US"/>
        </w:rPr>
        <w:t xml:space="preserve">. The urge for new planning policies to make cities more sustainable is </w:t>
      </w:r>
      <w:r w:rsidR="00A94A50" w:rsidRPr="00315194">
        <w:rPr>
          <w:rFonts w:ascii="Cambria" w:hAnsi="Cambria"/>
          <w:lang w:val="en-US"/>
        </w:rPr>
        <w:t>also envisaged in</w:t>
      </w:r>
      <w:r w:rsidRPr="00315194">
        <w:rPr>
          <w:rFonts w:ascii="Cambria" w:hAnsi="Cambria"/>
          <w:lang w:val="en-US"/>
        </w:rPr>
        <w:t xml:space="preserve"> the recent reports of the Intergovernmental Panel for Climate Change (IPCC), which have estimated that urban areas account for 67-76</w:t>
      </w:r>
      <w:r w:rsidR="00A66595" w:rsidRPr="00315194">
        <w:rPr>
          <w:rFonts w:ascii="Cambria" w:hAnsi="Cambria"/>
          <w:lang w:val="en-US"/>
        </w:rPr>
        <w:t xml:space="preserve">% </w:t>
      </w:r>
      <w:r w:rsidRPr="00315194">
        <w:rPr>
          <w:rFonts w:ascii="Cambria" w:hAnsi="Cambria"/>
          <w:lang w:val="en-US"/>
        </w:rPr>
        <w:t>of global energy use and 71-76</w:t>
      </w:r>
      <w:r w:rsidR="00A66595" w:rsidRPr="00315194">
        <w:rPr>
          <w:rFonts w:ascii="Cambria" w:hAnsi="Cambria"/>
          <w:lang w:val="en-US"/>
        </w:rPr>
        <w:t>%</w:t>
      </w:r>
      <w:r w:rsidRPr="00315194">
        <w:rPr>
          <w:rFonts w:ascii="Cambria" w:hAnsi="Cambria"/>
          <w:lang w:val="en-US"/>
        </w:rPr>
        <w:t xml:space="preserve"> of global energy-related carbon dioxide (CO</w:t>
      </w:r>
      <w:r w:rsidRPr="00046407">
        <w:rPr>
          <w:rFonts w:ascii="Cambria" w:hAnsi="Cambria"/>
          <w:vertAlign w:val="subscript"/>
          <w:lang w:val="en-US"/>
        </w:rPr>
        <w:t>2</w:t>
      </w:r>
      <w:r w:rsidRPr="00315194">
        <w:rPr>
          <w:rFonts w:ascii="Cambria" w:hAnsi="Cambria"/>
          <w:lang w:val="en-US"/>
        </w:rPr>
        <w:t xml:space="preserve">) emissions </w:t>
      </w:r>
      <w:r w:rsidR="00270CC8" w:rsidRPr="00315194">
        <w:rPr>
          <w:rFonts w:ascii="Cambria" w:hAnsi="Cambria"/>
          <w:lang w:val="en-US"/>
        </w:rPr>
        <w:t>(</w:t>
      </w:r>
      <w:r w:rsidR="00A94A50" w:rsidRPr="00315194">
        <w:rPr>
          <w:rFonts w:ascii="Cambria" w:hAnsi="Cambria"/>
          <w:lang w:val="en-US"/>
        </w:rPr>
        <w:t>IPPC, 2014</w:t>
      </w:r>
      <w:r w:rsidR="00270CC8" w:rsidRPr="00315194">
        <w:rPr>
          <w:rFonts w:ascii="Cambria" w:hAnsi="Cambria"/>
          <w:lang w:val="en-US"/>
        </w:rPr>
        <w:t>)</w:t>
      </w:r>
      <w:r w:rsidRPr="00315194">
        <w:rPr>
          <w:rFonts w:ascii="Cambria" w:hAnsi="Cambria"/>
          <w:lang w:val="en-US"/>
        </w:rPr>
        <w:t xml:space="preserve">. Furthermore, a 2017 report </w:t>
      </w:r>
      <w:r w:rsidRPr="00315194">
        <w:rPr>
          <w:rFonts w:ascii="Cambria" w:hAnsi="Cambria"/>
          <w:lang w:val="en-US"/>
        </w:rPr>
        <w:lastRenderedPageBreak/>
        <w:t>from</w:t>
      </w:r>
      <w:r w:rsidR="00270CC8" w:rsidRPr="00315194">
        <w:rPr>
          <w:rFonts w:ascii="Cambria" w:hAnsi="Cambria"/>
          <w:lang w:val="en-US"/>
        </w:rPr>
        <w:t xml:space="preserve"> </w:t>
      </w:r>
      <w:r w:rsidR="00F02279" w:rsidRPr="00315194">
        <w:rPr>
          <w:rFonts w:ascii="Cambria" w:hAnsi="Cambria"/>
          <w:lang w:val="en-US"/>
        </w:rPr>
        <w:t xml:space="preserve">United Nations Framework Convention on Climate Change </w:t>
      </w:r>
      <w:r w:rsidR="00270CC8" w:rsidRPr="00315194">
        <w:rPr>
          <w:rFonts w:ascii="Cambria" w:hAnsi="Cambria"/>
          <w:lang w:val="en-US"/>
        </w:rPr>
        <w:t>(</w:t>
      </w:r>
      <w:r w:rsidR="00F02279" w:rsidRPr="00315194">
        <w:rPr>
          <w:rFonts w:ascii="Cambria" w:hAnsi="Cambria"/>
          <w:lang w:val="en-US"/>
        </w:rPr>
        <w:t>UNFCCC, 2017</w:t>
      </w:r>
      <w:r w:rsidR="00270CC8" w:rsidRPr="00315194">
        <w:rPr>
          <w:rFonts w:ascii="Cambria" w:hAnsi="Cambria"/>
          <w:lang w:val="en-US"/>
        </w:rPr>
        <w:t>)</w:t>
      </w:r>
      <w:r w:rsidRPr="00315194">
        <w:rPr>
          <w:rFonts w:ascii="Cambria" w:hAnsi="Cambria"/>
          <w:lang w:val="en-US"/>
        </w:rPr>
        <w:t xml:space="preserve">, reported that 20% of the worldwide anthropogenic GHG emissions come from urban infrastructure such as buildings and transportation (of which buildings and construction account for about 70% and transportation for about 30%). In this scenario, the rapid expansion of the urban population </w:t>
      </w:r>
      <w:r w:rsidR="00A94A50" w:rsidRPr="00315194">
        <w:rPr>
          <w:rFonts w:ascii="Cambria" w:hAnsi="Cambria"/>
          <w:lang w:val="en-US"/>
        </w:rPr>
        <w:t>also requires and results in massive increase</w:t>
      </w:r>
      <w:r w:rsidRPr="00315194">
        <w:rPr>
          <w:rFonts w:ascii="Cambria" w:hAnsi="Cambria"/>
          <w:lang w:val="en-US"/>
        </w:rPr>
        <w:t xml:space="preserve"> of </w:t>
      </w:r>
      <w:r w:rsidR="00A94A50" w:rsidRPr="00315194">
        <w:rPr>
          <w:rFonts w:ascii="Cambria" w:hAnsi="Cambria"/>
          <w:lang w:val="en-US"/>
        </w:rPr>
        <w:t xml:space="preserve">the </w:t>
      </w:r>
      <w:r w:rsidRPr="00315194">
        <w:rPr>
          <w:rFonts w:ascii="Cambria" w:hAnsi="Cambria"/>
          <w:lang w:val="en-US"/>
        </w:rPr>
        <w:t>urban infrastructure. In developing countries</w:t>
      </w:r>
      <w:r w:rsidR="00A94A50" w:rsidRPr="00315194">
        <w:rPr>
          <w:rFonts w:ascii="Cambria" w:hAnsi="Cambria"/>
          <w:lang w:val="en-US"/>
        </w:rPr>
        <w:t>,</w:t>
      </w:r>
      <w:r w:rsidRPr="00315194">
        <w:rPr>
          <w:rFonts w:ascii="Cambria" w:hAnsi="Cambria"/>
          <w:lang w:val="en-US"/>
        </w:rPr>
        <w:t xml:space="preserve"> the growth rate </w:t>
      </w:r>
      <w:r w:rsidR="00A94A50" w:rsidRPr="00315194">
        <w:rPr>
          <w:rFonts w:ascii="Cambria" w:hAnsi="Cambria"/>
          <w:lang w:val="en-US"/>
        </w:rPr>
        <w:t>is expected to</w:t>
      </w:r>
      <w:r w:rsidRPr="00315194">
        <w:rPr>
          <w:rFonts w:ascii="Cambria" w:hAnsi="Cambria"/>
          <w:lang w:val="en-US"/>
        </w:rPr>
        <w:t xml:space="preserve"> be exponential</w:t>
      </w:r>
      <w:r w:rsidR="00A94A50" w:rsidRPr="00315194">
        <w:rPr>
          <w:rFonts w:ascii="Cambria" w:hAnsi="Cambria"/>
          <w:lang w:val="en-US"/>
        </w:rPr>
        <w:t xml:space="preserve">. On the other hand, in </w:t>
      </w:r>
      <w:r w:rsidRPr="00315194">
        <w:rPr>
          <w:rFonts w:ascii="Cambria" w:hAnsi="Cambria"/>
          <w:lang w:val="en-US"/>
        </w:rPr>
        <w:t xml:space="preserve">cities in </w:t>
      </w:r>
      <w:r w:rsidR="00A94A50" w:rsidRPr="00315194">
        <w:rPr>
          <w:rFonts w:ascii="Cambria" w:hAnsi="Cambria"/>
          <w:lang w:val="en-US"/>
        </w:rPr>
        <w:t xml:space="preserve">North </w:t>
      </w:r>
      <w:r w:rsidRPr="00315194">
        <w:rPr>
          <w:rFonts w:ascii="Cambria" w:hAnsi="Cambria"/>
          <w:lang w:val="en-US"/>
        </w:rPr>
        <w:t>America, Europe and Oceania</w:t>
      </w:r>
      <w:r w:rsidR="00A94A50" w:rsidRPr="00315194">
        <w:rPr>
          <w:rFonts w:ascii="Cambria" w:hAnsi="Cambria"/>
          <w:lang w:val="en-US"/>
        </w:rPr>
        <w:t xml:space="preserve"> (that are </w:t>
      </w:r>
      <w:r w:rsidRPr="00315194">
        <w:rPr>
          <w:rFonts w:ascii="Cambria" w:hAnsi="Cambria"/>
          <w:lang w:val="en-US"/>
        </w:rPr>
        <w:t xml:space="preserve">experiencing </w:t>
      </w:r>
      <w:r w:rsidR="00A94A50" w:rsidRPr="00315194">
        <w:rPr>
          <w:rFonts w:ascii="Cambria" w:hAnsi="Cambria"/>
          <w:lang w:val="en-US"/>
        </w:rPr>
        <w:t xml:space="preserve">slower </w:t>
      </w:r>
      <w:r w:rsidRPr="00315194">
        <w:rPr>
          <w:rFonts w:ascii="Cambria" w:hAnsi="Cambria"/>
          <w:lang w:val="en-US"/>
        </w:rPr>
        <w:t>rates of urbanization</w:t>
      </w:r>
      <w:r w:rsidR="00A94A50" w:rsidRPr="00315194">
        <w:rPr>
          <w:rFonts w:ascii="Cambria" w:hAnsi="Cambria"/>
          <w:lang w:val="en-US"/>
        </w:rPr>
        <w:t>)</w:t>
      </w:r>
      <w:r w:rsidRPr="00315194">
        <w:rPr>
          <w:rFonts w:ascii="Cambria" w:hAnsi="Cambria"/>
          <w:lang w:val="en-US"/>
        </w:rPr>
        <w:t xml:space="preserve"> it will be fundamental to reduce gaps, replacing old</w:t>
      </w:r>
      <w:r w:rsidR="00E55790">
        <w:rPr>
          <w:rFonts w:ascii="Cambria" w:hAnsi="Cambria"/>
          <w:lang w:val="en-US"/>
        </w:rPr>
        <w:t>er</w:t>
      </w:r>
      <w:r w:rsidRPr="00315194">
        <w:rPr>
          <w:rFonts w:ascii="Cambria" w:hAnsi="Cambria"/>
          <w:lang w:val="en-US"/>
        </w:rPr>
        <w:t xml:space="preserve"> </w:t>
      </w:r>
      <w:r w:rsidR="00E55790">
        <w:rPr>
          <w:rFonts w:ascii="Cambria" w:hAnsi="Cambria"/>
          <w:lang w:val="en-US"/>
        </w:rPr>
        <w:t>infrastructures</w:t>
      </w:r>
      <w:r w:rsidRPr="00315194">
        <w:rPr>
          <w:rFonts w:ascii="Cambria" w:hAnsi="Cambria"/>
          <w:lang w:val="en-US"/>
        </w:rPr>
        <w:t xml:space="preserve">. A 2016 report by McKinsey Global Institute showed that historical underinvestment and the public spending cuts adopted to face the 2008 financial crisis resulted in an infrastructure shortfall of 350 billion dollars per year, most of which concentrated in industrialized European and American countries </w:t>
      </w:r>
      <w:r w:rsidR="00270CC8" w:rsidRPr="00315194">
        <w:rPr>
          <w:rFonts w:ascii="Cambria" w:hAnsi="Cambria"/>
          <w:lang w:val="en-US"/>
        </w:rPr>
        <w:t>(</w:t>
      </w:r>
      <w:r w:rsidR="00F02279" w:rsidRPr="00315194">
        <w:rPr>
          <w:rFonts w:ascii="Cambria" w:hAnsi="Cambria"/>
          <w:lang w:val="en-US"/>
        </w:rPr>
        <w:t>McKinsey Global Institute, 2016</w:t>
      </w:r>
      <w:r w:rsidR="00270CC8" w:rsidRPr="00315194">
        <w:rPr>
          <w:rFonts w:ascii="Cambria" w:hAnsi="Cambria"/>
          <w:lang w:val="en-US"/>
        </w:rPr>
        <w:t>)</w:t>
      </w:r>
      <w:r w:rsidRPr="00315194">
        <w:rPr>
          <w:rFonts w:ascii="Cambria" w:hAnsi="Cambria"/>
          <w:lang w:val="en-US"/>
        </w:rPr>
        <w:t>. Additional investments are then required to meet SDGs goals,</w:t>
      </w:r>
      <w:r w:rsidR="00270CC8" w:rsidRPr="00315194">
        <w:rPr>
          <w:rFonts w:ascii="Cambria" w:hAnsi="Cambria"/>
          <w:lang w:val="en-US"/>
        </w:rPr>
        <w:t xml:space="preserve"> </w:t>
      </w:r>
      <w:r w:rsidRPr="00315194">
        <w:rPr>
          <w:rFonts w:ascii="Cambria" w:hAnsi="Cambria"/>
          <w:lang w:val="en-US"/>
        </w:rPr>
        <w:t xml:space="preserve">directing infrastructure </w:t>
      </w:r>
      <w:r w:rsidR="00270CC8" w:rsidRPr="00315194">
        <w:rPr>
          <w:rFonts w:ascii="Cambria" w:hAnsi="Cambria"/>
          <w:lang w:val="en-US"/>
        </w:rPr>
        <w:t xml:space="preserve">evolution </w:t>
      </w:r>
      <w:r w:rsidRPr="00315194">
        <w:rPr>
          <w:rFonts w:ascii="Cambria" w:hAnsi="Cambria"/>
          <w:lang w:val="en-US"/>
        </w:rPr>
        <w:t xml:space="preserve">towards low-emission options </w:t>
      </w:r>
      <w:r w:rsidR="00270CC8" w:rsidRPr="00315194">
        <w:rPr>
          <w:rFonts w:ascii="Cambria" w:hAnsi="Cambria"/>
          <w:lang w:val="en-US"/>
        </w:rPr>
        <w:t xml:space="preserve">and </w:t>
      </w:r>
      <w:r w:rsidRPr="00315194">
        <w:rPr>
          <w:rFonts w:ascii="Cambria" w:hAnsi="Cambria"/>
          <w:lang w:val="en-US"/>
        </w:rPr>
        <w:t xml:space="preserve">significant mitigation potential </w:t>
      </w:r>
      <w:r w:rsidR="00270CC8" w:rsidRPr="00315194">
        <w:rPr>
          <w:rFonts w:ascii="Cambria" w:hAnsi="Cambria"/>
          <w:lang w:val="en-US"/>
        </w:rPr>
        <w:t>(</w:t>
      </w:r>
      <w:r w:rsidR="00F02279" w:rsidRPr="00315194">
        <w:rPr>
          <w:rFonts w:ascii="Cambria" w:hAnsi="Cambria"/>
          <w:lang w:val="en-US"/>
        </w:rPr>
        <w:t>UNFCCC, 2017</w:t>
      </w:r>
      <w:r w:rsidR="00270CC8" w:rsidRPr="00315194">
        <w:rPr>
          <w:rFonts w:ascii="Cambria" w:hAnsi="Cambria"/>
          <w:lang w:val="en-US"/>
        </w:rPr>
        <w:t>)</w:t>
      </w:r>
      <w:r w:rsidRPr="00315194">
        <w:rPr>
          <w:rFonts w:ascii="Cambria" w:hAnsi="Cambria"/>
          <w:lang w:val="en-US"/>
        </w:rPr>
        <w:t>.</w:t>
      </w:r>
      <w:r w:rsidR="00A66595" w:rsidRPr="00315194">
        <w:rPr>
          <w:rFonts w:ascii="Cambria" w:hAnsi="Cambria"/>
          <w:lang w:val="en-US"/>
        </w:rPr>
        <w:t xml:space="preserve"> </w:t>
      </w:r>
    </w:p>
    <w:p w14:paraId="3971D0C2" w14:textId="4F3047B4" w:rsidR="00F01EEF" w:rsidRPr="00315194" w:rsidRDefault="00F02279" w:rsidP="00046407">
      <w:pPr>
        <w:spacing w:before="240" w:after="0" w:line="240" w:lineRule="auto"/>
        <w:ind w:firstLine="567"/>
        <w:contextualSpacing/>
        <w:jc w:val="both"/>
        <w:rPr>
          <w:rFonts w:ascii="Cambria" w:hAnsi="Cambria"/>
          <w:lang w:val="en-US"/>
        </w:rPr>
      </w:pPr>
      <w:r w:rsidRPr="0008336D">
        <w:rPr>
          <w:rFonts w:ascii="Cambria" w:hAnsi="Cambria"/>
          <w:lang w:val="en-US"/>
        </w:rPr>
        <w:t>I</w:t>
      </w:r>
      <w:r w:rsidR="00163198" w:rsidRPr="0008336D">
        <w:rPr>
          <w:rFonts w:ascii="Cambria" w:hAnsi="Cambria"/>
          <w:lang w:val="en-US"/>
        </w:rPr>
        <w:t>n addition to climate change and urbanization trends, current food system</w:t>
      </w:r>
      <w:r w:rsidRPr="0008336D">
        <w:rPr>
          <w:rFonts w:ascii="Cambria" w:hAnsi="Cambria"/>
          <w:lang w:val="en-US"/>
        </w:rPr>
        <w:t>s</w:t>
      </w:r>
      <w:r w:rsidR="00163198" w:rsidRPr="0008336D">
        <w:rPr>
          <w:rFonts w:ascii="Cambria" w:hAnsi="Cambria"/>
          <w:lang w:val="en-US"/>
        </w:rPr>
        <w:t xml:space="preserve"> will also</w:t>
      </w:r>
      <w:r w:rsidR="00163198" w:rsidRPr="00315194">
        <w:rPr>
          <w:rFonts w:ascii="Cambria" w:hAnsi="Cambria"/>
          <w:lang w:val="en-US"/>
        </w:rPr>
        <w:t xml:space="preserve"> have to face the important challenge of how to satisfy the rising demand for food</w:t>
      </w:r>
      <w:r w:rsidR="00381BC5" w:rsidRPr="00315194">
        <w:rPr>
          <w:rFonts w:ascii="Cambria" w:hAnsi="Cambria"/>
          <w:lang w:val="en-US"/>
        </w:rPr>
        <w:t xml:space="preserve"> under a constantly decreasing</w:t>
      </w:r>
      <w:r w:rsidR="00163198" w:rsidRPr="00315194">
        <w:rPr>
          <w:rFonts w:ascii="Cambria" w:hAnsi="Cambria"/>
          <w:lang w:val="en-US"/>
        </w:rPr>
        <w:t xml:space="preserve"> productive land </w:t>
      </w:r>
      <w:r w:rsidR="00381BC5" w:rsidRPr="00315194">
        <w:rPr>
          <w:rFonts w:ascii="Cambria" w:hAnsi="Cambria"/>
          <w:lang w:val="en-US"/>
        </w:rPr>
        <w:t>availability</w:t>
      </w:r>
      <w:r w:rsidR="00163198" w:rsidRPr="00315194">
        <w:rPr>
          <w:rFonts w:ascii="Cambria" w:hAnsi="Cambria"/>
          <w:lang w:val="en-US"/>
        </w:rPr>
        <w:t xml:space="preserve">. </w:t>
      </w:r>
      <w:r w:rsidR="003D29FB" w:rsidRPr="00315194">
        <w:rPr>
          <w:rFonts w:ascii="Cambria" w:hAnsi="Cambria"/>
          <w:lang w:val="en-US"/>
        </w:rPr>
        <w:t>F</w:t>
      </w:r>
      <w:r w:rsidR="00163198" w:rsidRPr="00315194">
        <w:rPr>
          <w:rFonts w:ascii="Cambria" w:hAnsi="Cambria"/>
          <w:lang w:val="en-US"/>
        </w:rPr>
        <w:t xml:space="preserve">ood crops are not only competing for land but also water, nutrients, and other resources. In this context, horizontal and vertical surfaces in the city, such as rooftops, facades, squares, and interior spaces, can host a </w:t>
      </w:r>
      <w:proofErr w:type="gramStart"/>
      <w:r w:rsidR="0006605A">
        <w:rPr>
          <w:rFonts w:ascii="Cambria" w:hAnsi="Cambria"/>
          <w:lang w:val="en-US"/>
        </w:rPr>
        <w:t xml:space="preserve">multiple </w:t>
      </w:r>
      <w:r w:rsidR="00163198" w:rsidRPr="00315194">
        <w:rPr>
          <w:rFonts w:ascii="Cambria" w:hAnsi="Cambria"/>
          <w:lang w:val="en-US"/>
        </w:rPr>
        <w:t>urban food production</w:t>
      </w:r>
      <w:r w:rsidR="0006605A">
        <w:rPr>
          <w:rFonts w:ascii="Cambria" w:hAnsi="Cambria"/>
          <w:lang w:val="en-US"/>
        </w:rPr>
        <w:t xml:space="preserve"> systems</w:t>
      </w:r>
      <w:proofErr w:type="gramEnd"/>
      <w:r w:rsidR="00163198" w:rsidRPr="00315194">
        <w:rPr>
          <w:rFonts w:ascii="Cambria" w:hAnsi="Cambria"/>
          <w:lang w:val="en-US"/>
        </w:rPr>
        <w:t xml:space="preserve">, taking off pressure from the agricultural land </w:t>
      </w:r>
      <w:r w:rsidR="00270CC8" w:rsidRPr="00315194">
        <w:rPr>
          <w:rFonts w:ascii="Cambria" w:hAnsi="Cambria"/>
          <w:lang w:val="en-US"/>
        </w:rPr>
        <w:t>(</w:t>
      </w:r>
      <w:r w:rsidR="003D29FB" w:rsidRPr="00315194">
        <w:rPr>
          <w:rFonts w:ascii="Cambria" w:hAnsi="Cambria"/>
          <w:lang w:val="en-US"/>
        </w:rPr>
        <w:t>Specht et al., 2014</w:t>
      </w:r>
      <w:r w:rsidR="00270CC8" w:rsidRPr="00315194">
        <w:rPr>
          <w:rFonts w:ascii="Cambria" w:hAnsi="Cambria"/>
          <w:lang w:val="en-US"/>
        </w:rPr>
        <w:t>)</w:t>
      </w:r>
      <w:r w:rsidR="00163198" w:rsidRPr="00315194">
        <w:rPr>
          <w:rFonts w:ascii="Cambria" w:hAnsi="Cambria"/>
          <w:lang w:val="en-US"/>
        </w:rPr>
        <w:t xml:space="preserve">. Cities </w:t>
      </w:r>
      <w:r w:rsidR="003D29FB" w:rsidRPr="00315194">
        <w:rPr>
          <w:rFonts w:ascii="Cambria" w:hAnsi="Cambria"/>
          <w:lang w:val="en-US"/>
        </w:rPr>
        <w:t xml:space="preserve">benefits from a range of available </w:t>
      </w:r>
      <w:r w:rsidR="00163198" w:rsidRPr="00315194">
        <w:rPr>
          <w:rFonts w:ascii="Cambria" w:hAnsi="Cambria"/>
          <w:lang w:val="en-US"/>
        </w:rPr>
        <w:t>resources</w:t>
      </w:r>
      <w:r w:rsidR="003D29FB" w:rsidRPr="00315194">
        <w:rPr>
          <w:rFonts w:ascii="Cambria" w:hAnsi="Cambria"/>
          <w:lang w:val="en-US"/>
        </w:rPr>
        <w:t>, including</w:t>
      </w:r>
      <w:r w:rsidR="00163198" w:rsidRPr="00315194">
        <w:rPr>
          <w:rFonts w:ascii="Cambria" w:hAnsi="Cambria"/>
          <w:lang w:val="en-US"/>
        </w:rPr>
        <w:t xml:space="preserve"> land, labor</w:t>
      </w:r>
      <w:r w:rsidR="003D29FB" w:rsidRPr="00315194">
        <w:rPr>
          <w:rFonts w:ascii="Cambria" w:hAnsi="Cambria"/>
          <w:lang w:val="en-US"/>
        </w:rPr>
        <w:t xml:space="preserve"> force</w:t>
      </w:r>
      <w:r w:rsidR="00163198" w:rsidRPr="00315194">
        <w:rPr>
          <w:rFonts w:ascii="Cambria" w:hAnsi="Cambria"/>
          <w:lang w:val="en-US"/>
        </w:rPr>
        <w:t>, energy, water</w:t>
      </w:r>
      <w:r w:rsidR="00A66595" w:rsidRPr="00315194">
        <w:rPr>
          <w:rFonts w:ascii="Cambria" w:hAnsi="Cambria"/>
          <w:lang w:val="en-US"/>
        </w:rPr>
        <w:t xml:space="preserve"> </w:t>
      </w:r>
      <w:r w:rsidR="00163198" w:rsidRPr="00315194">
        <w:rPr>
          <w:rFonts w:ascii="Cambria" w:hAnsi="Cambria"/>
          <w:lang w:val="en-US"/>
        </w:rPr>
        <w:t xml:space="preserve">and a ready-made market for food production </w:t>
      </w:r>
      <w:r w:rsidR="00270CC8" w:rsidRPr="00315194">
        <w:rPr>
          <w:rFonts w:ascii="Cambria" w:hAnsi="Cambria"/>
          <w:lang w:val="en-US"/>
        </w:rPr>
        <w:t>(</w:t>
      </w:r>
      <w:proofErr w:type="spellStart"/>
      <w:r w:rsidR="003D29FB" w:rsidRPr="00046407">
        <w:rPr>
          <w:rFonts w:ascii="Cambria" w:hAnsi="Cambria"/>
          <w:lang w:val="en-US"/>
        </w:rPr>
        <w:t>Cockrall</w:t>
      </w:r>
      <w:proofErr w:type="spellEnd"/>
      <w:r w:rsidR="003D29FB" w:rsidRPr="00046407">
        <w:rPr>
          <w:rFonts w:ascii="Cambria" w:hAnsi="Cambria"/>
          <w:lang w:val="en-US"/>
        </w:rPr>
        <w:t>-King, 2012</w:t>
      </w:r>
      <w:r w:rsidR="00270CC8" w:rsidRPr="00315194">
        <w:rPr>
          <w:rFonts w:ascii="Cambria" w:hAnsi="Cambria"/>
          <w:lang w:val="en-US"/>
        </w:rPr>
        <w:t>)</w:t>
      </w:r>
      <w:r w:rsidR="00163198" w:rsidRPr="00315194">
        <w:rPr>
          <w:rFonts w:ascii="Cambria" w:hAnsi="Cambria"/>
          <w:lang w:val="en-US"/>
        </w:rPr>
        <w:t xml:space="preserve">, </w:t>
      </w:r>
      <w:r w:rsidR="00270CC8" w:rsidRPr="00315194">
        <w:rPr>
          <w:rFonts w:ascii="Cambria" w:hAnsi="Cambria"/>
          <w:lang w:val="en-US"/>
        </w:rPr>
        <w:t>making agriculture</w:t>
      </w:r>
      <w:r w:rsidR="003D29FB" w:rsidRPr="00315194">
        <w:rPr>
          <w:rFonts w:ascii="Cambria" w:hAnsi="Cambria"/>
          <w:lang w:val="en-US"/>
        </w:rPr>
        <w:t xml:space="preserve"> feasible </w:t>
      </w:r>
      <w:r w:rsidR="00270CC8" w:rsidRPr="00315194">
        <w:rPr>
          <w:rFonts w:ascii="Cambria" w:hAnsi="Cambria"/>
          <w:lang w:val="en-US"/>
        </w:rPr>
        <w:t xml:space="preserve">for </w:t>
      </w:r>
      <w:r w:rsidR="00163198" w:rsidRPr="00315194">
        <w:rPr>
          <w:rFonts w:ascii="Cambria" w:hAnsi="Cambria"/>
          <w:lang w:val="en-US"/>
        </w:rPr>
        <w:t>urban areas.</w:t>
      </w:r>
    </w:p>
    <w:p w14:paraId="3971D0C4" w14:textId="2F45ABAC" w:rsidR="00F01EEF" w:rsidRPr="00315194" w:rsidRDefault="00163198" w:rsidP="00046407">
      <w:pPr>
        <w:spacing w:before="240" w:after="0" w:line="240" w:lineRule="auto"/>
        <w:ind w:firstLine="567"/>
        <w:contextualSpacing/>
        <w:jc w:val="both"/>
        <w:rPr>
          <w:rFonts w:ascii="Cambria" w:hAnsi="Cambria"/>
          <w:lang w:val="en-US"/>
        </w:rPr>
      </w:pPr>
      <w:r w:rsidRPr="00315194">
        <w:rPr>
          <w:rFonts w:ascii="Cambria" w:hAnsi="Cambria"/>
          <w:lang w:val="en-US"/>
        </w:rPr>
        <w:t>The need for new urban green infrastructures, as well as new sustainable solutions for food production</w:t>
      </w:r>
      <w:r w:rsidR="007F4C37" w:rsidRPr="00315194">
        <w:rPr>
          <w:rFonts w:ascii="Cambria" w:hAnsi="Cambria"/>
          <w:lang w:val="en-US"/>
        </w:rPr>
        <w:t xml:space="preserve"> in cities</w:t>
      </w:r>
      <w:r w:rsidRPr="00315194">
        <w:rPr>
          <w:rFonts w:ascii="Cambria" w:hAnsi="Cambria"/>
          <w:lang w:val="en-US"/>
        </w:rPr>
        <w:t xml:space="preserve">, </w:t>
      </w:r>
      <w:r w:rsidR="00032396" w:rsidRPr="00315194">
        <w:rPr>
          <w:rFonts w:ascii="Cambria" w:hAnsi="Cambria"/>
          <w:lang w:val="en-US"/>
        </w:rPr>
        <w:t>also referred to as</w:t>
      </w:r>
      <w:r w:rsidRPr="00315194">
        <w:rPr>
          <w:rFonts w:ascii="Cambria" w:hAnsi="Cambria"/>
          <w:lang w:val="en-US"/>
        </w:rPr>
        <w:t xml:space="preserve"> Urban Agriculture </w:t>
      </w:r>
      <w:r w:rsidR="003D29FB" w:rsidRPr="00315194">
        <w:rPr>
          <w:rFonts w:ascii="Cambria" w:hAnsi="Cambria"/>
          <w:lang w:val="en-US"/>
        </w:rPr>
        <w:t>(UA)</w:t>
      </w:r>
      <w:r w:rsidR="00032396" w:rsidRPr="00315194">
        <w:rPr>
          <w:rFonts w:ascii="Cambria" w:hAnsi="Cambria"/>
          <w:lang w:val="en-US"/>
        </w:rPr>
        <w:t>,</w:t>
      </w:r>
      <w:r w:rsidR="003D29FB" w:rsidRPr="00315194">
        <w:rPr>
          <w:rFonts w:ascii="Cambria" w:hAnsi="Cambria"/>
          <w:lang w:val="en-US"/>
        </w:rPr>
        <w:t xml:space="preserve"> could effectively contribute </w:t>
      </w:r>
      <w:r w:rsidRPr="00315194">
        <w:rPr>
          <w:rFonts w:ascii="Cambria" w:hAnsi="Cambria"/>
          <w:lang w:val="en-US"/>
        </w:rPr>
        <w:t xml:space="preserve">to climate change adaptation, playing a crucial role in making cities healthier and greener </w:t>
      </w:r>
      <w:r w:rsidR="00032396" w:rsidRPr="00315194">
        <w:rPr>
          <w:rFonts w:ascii="Cambria" w:hAnsi="Cambria"/>
          <w:lang w:val="en-US"/>
        </w:rPr>
        <w:t>(</w:t>
      </w:r>
      <w:r w:rsidR="003D29FB" w:rsidRPr="00315194">
        <w:rPr>
          <w:rFonts w:ascii="Cambria" w:hAnsi="Cambria"/>
          <w:lang w:val="en-US"/>
        </w:rPr>
        <w:t>Specht et al., 2014</w:t>
      </w:r>
      <w:r w:rsidR="00032396" w:rsidRPr="00315194">
        <w:rPr>
          <w:rFonts w:ascii="Cambria" w:hAnsi="Cambria"/>
          <w:lang w:val="en-US"/>
        </w:rPr>
        <w:t>)</w:t>
      </w:r>
      <w:r w:rsidRPr="00315194">
        <w:rPr>
          <w:rFonts w:ascii="Cambria" w:hAnsi="Cambria"/>
          <w:lang w:val="en-US"/>
        </w:rPr>
        <w:t xml:space="preserve">. In this sense, UA should not be considered just as a food-related practice, but instead, as a tool for planners and practitioners to boost cities sustainable development </w:t>
      </w:r>
      <w:r w:rsidR="00032396" w:rsidRPr="00315194">
        <w:rPr>
          <w:rFonts w:ascii="Cambria" w:hAnsi="Cambria"/>
          <w:lang w:val="en-US"/>
        </w:rPr>
        <w:t>(</w:t>
      </w:r>
      <w:proofErr w:type="spellStart"/>
      <w:r w:rsidR="003D29FB" w:rsidRPr="00315194">
        <w:rPr>
          <w:rFonts w:ascii="Cambria" w:hAnsi="Cambria"/>
          <w:lang w:val="en-US"/>
        </w:rPr>
        <w:t>Roggema</w:t>
      </w:r>
      <w:proofErr w:type="spellEnd"/>
      <w:r w:rsidR="003D29FB" w:rsidRPr="00315194">
        <w:rPr>
          <w:rFonts w:ascii="Cambria" w:hAnsi="Cambria"/>
          <w:lang w:val="en-US"/>
        </w:rPr>
        <w:t>, 2016</w:t>
      </w:r>
      <w:r w:rsidR="00032396" w:rsidRPr="00315194">
        <w:rPr>
          <w:rFonts w:ascii="Cambria" w:hAnsi="Cambria"/>
          <w:lang w:val="en-US"/>
        </w:rPr>
        <w:t>)</w:t>
      </w:r>
      <w:r w:rsidRPr="00315194">
        <w:rPr>
          <w:rFonts w:ascii="Cambria" w:hAnsi="Cambria"/>
          <w:lang w:val="en-US"/>
        </w:rPr>
        <w:t xml:space="preserve">. </w:t>
      </w:r>
      <w:r w:rsidR="00A66595" w:rsidRPr="00315194">
        <w:rPr>
          <w:rFonts w:ascii="Cambria" w:hAnsi="Cambria"/>
          <w:lang w:val="en-US"/>
        </w:rPr>
        <w:t>Governmental and non-governmental institutions</w:t>
      </w:r>
      <w:r w:rsidR="003C2840" w:rsidRPr="00315194">
        <w:rPr>
          <w:rFonts w:ascii="Cambria" w:hAnsi="Cambria"/>
          <w:lang w:val="en-US"/>
        </w:rPr>
        <w:t xml:space="preserve"> are already getting aware of the potentialities of this form of agriculture, investing</w:t>
      </w:r>
      <w:r w:rsidR="00A66595" w:rsidRPr="00315194">
        <w:rPr>
          <w:rFonts w:ascii="Cambria" w:hAnsi="Cambria"/>
          <w:lang w:val="en-US"/>
        </w:rPr>
        <w:t xml:space="preserve"> on the development of research </w:t>
      </w:r>
      <w:r w:rsidR="003C2840" w:rsidRPr="00315194">
        <w:rPr>
          <w:rFonts w:ascii="Cambria" w:hAnsi="Cambria"/>
          <w:lang w:val="en-US"/>
        </w:rPr>
        <w:t>and projects. For instance, "FoodE - Food Systems in European Cities” (</w:t>
      </w:r>
      <w:hyperlink r:id="rId12" w:history="1">
        <w:r w:rsidR="003C2840" w:rsidRPr="00315194">
          <w:rPr>
            <w:rStyle w:val="Collegamentoipertestuale"/>
            <w:rFonts w:ascii="Cambria" w:hAnsi="Cambria"/>
            <w:lang w:val="en-US"/>
          </w:rPr>
          <w:t>www.foode.eu</w:t>
        </w:r>
      </w:hyperlink>
      <w:r w:rsidR="003C2840" w:rsidRPr="00315194">
        <w:rPr>
          <w:rFonts w:ascii="Cambria" w:hAnsi="Cambria"/>
          <w:lang w:val="en-US"/>
        </w:rPr>
        <w:t xml:space="preserve">) is a H2020 European project focused on the sustainability assessment of City-Region Food Systems initiatives to implement more resilient and sustainable cities. </w:t>
      </w:r>
      <w:r w:rsidR="00333B3C" w:rsidRPr="00315194">
        <w:rPr>
          <w:rFonts w:ascii="Cambria" w:hAnsi="Cambria"/>
          <w:lang w:val="en-US"/>
        </w:rPr>
        <w:t>However</w:t>
      </w:r>
      <w:r w:rsidRPr="00315194">
        <w:rPr>
          <w:rFonts w:ascii="Cambria" w:hAnsi="Cambria"/>
          <w:lang w:val="en-US"/>
        </w:rPr>
        <w:t xml:space="preserve">, </w:t>
      </w:r>
      <w:r w:rsidR="00333B3C" w:rsidRPr="00315194">
        <w:rPr>
          <w:rFonts w:ascii="Cambria" w:hAnsi="Cambria"/>
          <w:lang w:val="en-US"/>
        </w:rPr>
        <w:t xml:space="preserve">to achieve this sustainability, </w:t>
      </w:r>
      <w:r w:rsidRPr="00315194">
        <w:rPr>
          <w:rFonts w:ascii="Cambria" w:hAnsi="Cambria"/>
          <w:lang w:val="en-US"/>
        </w:rPr>
        <w:t>reducing CO</w:t>
      </w:r>
      <w:r w:rsidRPr="00046407">
        <w:rPr>
          <w:rFonts w:ascii="Cambria" w:hAnsi="Cambria"/>
          <w:vertAlign w:val="subscript"/>
          <w:lang w:val="en-US"/>
        </w:rPr>
        <w:t>2</w:t>
      </w:r>
      <w:r w:rsidRPr="00315194">
        <w:rPr>
          <w:rFonts w:ascii="Cambria" w:hAnsi="Cambria"/>
          <w:lang w:val="en-US"/>
        </w:rPr>
        <w:t xml:space="preserve"> emissions and implementing new green infrastructure</w:t>
      </w:r>
      <w:r w:rsidR="003D29FB" w:rsidRPr="00315194">
        <w:rPr>
          <w:rFonts w:ascii="Cambria" w:hAnsi="Cambria"/>
          <w:lang w:val="en-US"/>
        </w:rPr>
        <w:t xml:space="preserve">s, </w:t>
      </w:r>
      <w:r w:rsidRPr="00315194">
        <w:rPr>
          <w:rFonts w:ascii="Cambria" w:hAnsi="Cambria"/>
          <w:lang w:val="en-US"/>
        </w:rPr>
        <w:t>a new innovative form of architecture and urban design</w:t>
      </w:r>
      <w:r w:rsidR="00333B3C" w:rsidRPr="00315194">
        <w:rPr>
          <w:rFonts w:ascii="Cambria" w:hAnsi="Cambria"/>
          <w:lang w:val="en-US"/>
        </w:rPr>
        <w:t xml:space="preserve"> is required</w:t>
      </w:r>
      <w:r w:rsidRPr="00315194">
        <w:rPr>
          <w:rFonts w:ascii="Cambria" w:hAnsi="Cambria"/>
          <w:lang w:val="en-US"/>
        </w:rPr>
        <w:t>. Nowadays, it is possible to integrate food production within</w:t>
      </w:r>
      <w:r w:rsidR="0006605A">
        <w:rPr>
          <w:rFonts w:ascii="Cambria" w:hAnsi="Cambria"/>
          <w:lang w:val="en-US"/>
        </w:rPr>
        <w:t>-</w:t>
      </w:r>
      <w:r w:rsidRPr="00315194">
        <w:rPr>
          <w:rFonts w:ascii="Cambria" w:hAnsi="Cambria"/>
          <w:lang w:val="en-US"/>
        </w:rPr>
        <w:t xml:space="preserve"> and on</w:t>
      </w:r>
      <w:r w:rsidR="0006605A">
        <w:rPr>
          <w:rFonts w:ascii="Cambria" w:hAnsi="Cambria"/>
          <w:lang w:val="en-US"/>
        </w:rPr>
        <w:t>-</w:t>
      </w:r>
      <w:r w:rsidRPr="00315194">
        <w:rPr>
          <w:rFonts w:ascii="Cambria" w:hAnsi="Cambria"/>
          <w:lang w:val="en-US"/>
        </w:rPr>
        <w:t xml:space="preserve"> buildings, recycling resources </w:t>
      </w:r>
      <w:r w:rsidR="007F4C37" w:rsidRPr="00315194">
        <w:rPr>
          <w:rFonts w:ascii="Cambria" w:hAnsi="Cambria"/>
          <w:lang w:val="en-US"/>
        </w:rPr>
        <w:t xml:space="preserve">and </w:t>
      </w:r>
      <w:r w:rsidRPr="00315194">
        <w:rPr>
          <w:rFonts w:ascii="Cambria" w:hAnsi="Cambria"/>
          <w:lang w:val="en-US"/>
        </w:rPr>
        <w:t>shortening the food chain</w:t>
      </w:r>
      <w:r w:rsidR="007F4C37" w:rsidRPr="00315194">
        <w:rPr>
          <w:rFonts w:ascii="Cambria" w:hAnsi="Cambria"/>
          <w:lang w:val="en-US"/>
        </w:rPr>
        <w:t>, with consequent impacts on gas emissions</w:t>
      </w:r>
      <w:r w:rsidRPr="00315194">
        <w:rPr>
          <w:rFonts w:ascii="Cambria" w:hAnsi="Cambria"/>
          <w:lang w:val="en-US"/>
        </w:rPr>
        <w:t xml:space="preserve">. </w:t>
      </w:r>
      <w:r w:rsidR="003D29FB" w:rsidRPr="00315194">
        <w:rPr>
          <w:rFonts w:ascii="Cambria" w:hAnsi="Cambria"/>
          <w:lang w:val="en-US"/>
        </w:rPr>
        <w:t xml:space="preserve">Hydroponic </w:t>
      </w:r>
      <w:r w:rsidRPr="00315194">
        <w:rPr>
          <w:rFonts w:ascii="Cambria" w:hAnsi="Cambria"/>
          <w:lang w:val="en-US"/>
        </w:rPr>
        <w:t xml:space="preserve">technologies, allowing plants to grow on media instead of soil, </w:t>
      </w:r>
      <w:r w:rsidR="007F4C37" w:rsidRPr="00315194">
        <w:rPr>
          <w:rFonts w:ascii="Cambria" w:hAnsi="Cambria"/>
          <w:lang w:val="en-US"/>
        </w:rPr>
        <w:t xml:space="preserve">are the best option </w:t>
      </w:r>
      <w:r w:rsidRPr="00315194">
        <w:rPr>
          <w:rFonts w:ascii="Cambria" w:hAnsi="Cambria"/>
          <w:lang w:val="en-US"/>
        </w:rPr>
        <w:t xml:space="preserve">to harvest crops in high densely built-up areas where the availability of space often limits the size of the production unit </w:t>
      </w:r>
      <w:r w:rsidR="007F4C37" w:rsidRPr="00315194">
        <w:rPr>
          <w:rFonts w:ascii="Cambria" w:hAnsi="Cambria"/>
          <w:lang w:val="en-US"/>
        </w:rPr>
        <w:t>(</w:t>
      </w:r>
      <w:proofErr w:type="spellStart"/>
      <w:r w:rsidR="003D29FB" w:rsidRPr="00315194">
        <w:rPr>
          <w:rFonts w:ascii="Cambria" w:hAnsi="Cambria"/>
          <w:lang w:val="en-US"/>
        </w:rPr>
        <w:t>Dubbeling</w:t>
      </w:r>
      <w:proofErr w:type="spellEnd"/>
      <w:r w:rsidR="003D29FB" w:rsidRPr="00315194">
        <w:rPr>
          <w:rFonts w:ascii="Cambria" w:hAnsi="Cambria"/>
          <w:lang w:val="en-US"/>
        </w:rPr>
        <w:t>, 2011</w:t>
      </w:r>
      <w:r w:rsidR="007F4C37" w:rsidRPr="00315194">
        <w:rPr>
          <w:rFonts w:ascii="Cambria" w:hAnsi="Cambria"/>
          <w:lang w:val="en-US"/>
        </w:rPr>
        <w:t>)</w:t>
      </w:r>
      <w:r w:rsidRPr="00315194">
        <w:rPr>
          <w:rFonts w:ascii="Cambria" w:hAnsi="Cambria"/>
          <w:lang w:val="en-US"/>
        </w:rPr>
        <w:t xml:space="preserve">. </w:t>
      </w:r>
      <w:r w:rsidR="007F4C37" w:rsidRPr="00315194">
        <w:rPr>
          <w:rFonts w:ascii="Cambria" w:hAnsi="Cambria"/>
          <w:lang w:val="en-US"/>
        </w:rPr>
        <w:t>Ther</w:t>
      </w:r>
      <w:r w:rsidR="00037DC2" w:rsidRPr="00315194">
        <w:rPr>
          <w:rFonts w:ascii="Cambria" w:hAnsi="Cambria"/>
          <w:lang w:val="en-US"/>
        </w:rPr>
        <w:t>e</w:t>
      </w:r>
      <w:r w:rsidR="007F4C37" w:rsidRPr="00315194">
        <w:rPr>
          <w:rFonts w:ascii="Cambria" w:hAnsi="Cambria"/>
          <w:lang w:val="en-US"/>
        </w:rPr>
        <w:t>fore</w:t>
      </w:r>
      <w:r w:rsidRPr="00315194">
        <w:rPr>
          <w:rFonts w:ascii="Cambria" w:hAnsi="Cambria"/>
          <w:lang w:val="en-US"/>
        </w:rPr>
        <w:t xml:space="preserve">, </w:t>
      </w:r>
      <w:r w:rsidR="007F4C37" w:rsidRPr="00315194">
        <w:rPr>
          <w:rFonts w:ascii="Cambria" w:hAnsi="Cambria"/>
          <w:lang w:val="en-US"/>
        </w:rPr>
        <w:t xml:space="preserve">it is fundamental for </w:t>
      </w:r>
      <w:r w:rsidRPr="00315194">
        <w:rPr>
          <w:rFonts w:ascii="Cambria" w:hAnsi="Cambria"/>
          <w:lang w:val="en-US"/>
        </w:rPr>
        <w:t xml:space="preserve">urban planning strategies </w:t>
      </w:r>
      <w:r w:rsidR="007F4C37" w:rsidRPr="00315194">
        <w:rPr>
          <w:rFonts w:ascii="Cambria" w:hAnsi="Cambria"/>
          <w:lang w:val="en-US"/>
        </w:rPr>
        <w:t xml:space="preserve">to </w:t>
      </w:r>
      <w:r w:rsidRPr="00315194">
        <w:rPr>
          <w:rFonts w:ascii="Cambria" w:hAnsi="Cambria"/>
          <w:lang w:val="en-US"/>
        </w:rPr>
        <w:t xml:space="preserve">consider new off-soil production systems </w:t>
      </w:r>
      <w:r w:rsidR="007F4C37" w:rsidRPr="00315194">
        <w:rPr>
          <w:rFonts w:ascii="Cambria" w:hAnsi="Cambria"/>
          <w:lang w:val="en-US"/>
        </w:rPr>
        <w:t>to</w:t>
      </w:r>
      <w:r w:rsidRPr="00315194">
        <w:rPr>
          <w:rFonts w:ascii="Cambria" w:hAnsi="Cambria"/>
          <w:lang w:val="en-US"/>
        </w:rPr>
        <w:t xml:space="preserve"> foster the implementation of green architectur</w:t>
      </w:r>
      <w:r w:rsidR="003D29FB" w:rsidRPr="00315194">
        <w:rPr>
          <w:rFonts w:ascii="Cambria" w:hAnsi="Cambria"/>
          <w:lang w:val="en-US"/>
        </w:rPr>
        <w:t>al</w:t>
      </w:r>
      <w:r w:rsidRPr="00315194">
        <w:rPr>
          <w:rFonts w:ascii="Cambria" w:hAnsi="Cambria"/>
          <w:lang w:val="en-US"/>
        </w:rPr>
        <w:t xml:space="preserve"> projects while creating a new favorable market for fresh and local urban food production.</w:t>
      </w:r>
      <w:r w:rsidR="00A66595" w:rsidRPr="00315194">
        <w:rPr>
          <w:rFonts w:ascii="Cambria" w:hAnsi="Cambria"/>
          <w:lang w:val="en-US"/>
        </w:rPr>
        <w:t xml:space="preserve"> </w:t>
      </w:r>
    </w:p>
    <w:p w14:paraId="3971D0C5" w14:textId="77777777" w:rsidR="00F01EEF" w:rsidRPr="00315194" w:rsidRDefault="00F01EEF" w:rsidP="00046407">
      <w:pPr>
        <w:spacing w:before="240" w:after="0" w:line="240" w:lineRule="auto"/>
        <w:ind w:firstLine="567"/>
        <w:contextualSpacing/>
        <w:jc w:val="both"/>
        <w:rPr>
          <w:rFonts w:ascii="Cambria" w:hAnsi="Cambria"/>
          <w:lang w:val="en-US"/>
        </w:rPr>
      </w:pPr>
    </w:p>
    <w:p w14:paraId="3971D0C6" w14:textId="77777777" w:rsidR="00F01EEF" w:rsidRPr="00315194" w:rsidRDefault="00163198" w:rsidP="00046407">
      <w:pPr>
        <w:spacing w:before="240" w:after="0" w:line="240" w:lineRule="auto"/>
        <w:contextualSpacing/>
        <w:jc w:val="both"/>
        <w:rPr>
          <w:rFonts w:ascii="Cambria" w:hAnsi="Cambria"/>
          <w:b/>
          <w:bCs/>
          <w:lang w:val="en-US"/>
        </w:rPr>
      </w:pPr>
      <w:r w:rsidRPr="00315194">
        <w:rPr>
          <w:rFonts w:ascii="Cambria" w:hAnsi="Cambria"/>
          <w:b/>
          <w:bCs/>
          <w:lang w:val="en-US"/>
        </w:rPr>
        <w:t>Building-Integrated Agriculture (BIA)</w:t>
      </w:r>
    </w:p>
    <w:p w14:paraId="0F045493" w14:textId="6BF98ADF" w:rsidR="00444E39" w:rsidRPr="00315194" w:rsidRDefault="00163198" w:rsidP="0006605A">
      <w:pPr>
        <w:spacing w:after="0" w:line="240" w:lineRule="auto"/>
        <w:ind w:firstLine="567"/>
        <w:contextualSpacing/>
        <w:jc w:val="both"/>
        <w:rPr>
          <w:rFonts w:ascii="Cambria" w:hAnsi="Cambria"/>
          <w:lang w:val="en-US"/>
        </w:rPr>
      </w:pPr>
      <w:r w:rsidRPr="00315194">
        <w:rPr>
          <w:rFonts w:ascii="Cambria" w:hAnsi="Cambria"/>
          <w:lang w:val="en-US"/>
        </w:rPr>
        <w:t xml:space="preserve">The variety of </w:t>
      </w:r>
      <w:r w:rsidR="003D29FB" w:rsidRPr="00315194">
        <w:rPr>
          <w:rFonts w:ascii="Cambria" w:hAnsi="Cambria"/>
          <w:lang w:val="en-US"/>
        </w:rPr>
        <w:t>UA</w:t>
      </w:r>
      <w:r w:rsidRPr="00315194">
        <w:rPr>
          <w:rFonts w:ascii="Cambria" w:hAnsi="Cambria"/>
          <w:lang w:val="en-US"/>
        </w:rPr>
        <w:t xml:space="preserve"> forms can be classified in various ways, depending on its actors, purpose, land use, scale, location, property, technology, and production system </w:t>
      </w:r>
      <w:r w:rsidR="00037DC2" w:rsidRPr="00315194">
        <w:rPr>
          <w:rFonts w:ascii="Cambria" w:hAnsi="Cambria"/>
          <w:lang w:val="en-US"/>
        </w:rPr>
        <w:t>(</w:t>
      </w:r>
      <w:r w:rsidR="003D29FB" w:rsidRPr="00315194">
        <w:rPr>
          <w:rFonts w:ascii="Cambria" w:hAnsi="Cambria"/>
          <w:lang w:val="en-US"/>
        </w:rPr>
        <w:t>Nadal et al., 2011</w:t>
      </w:r>
      <w:r w:rsidR="00037DC2" w:rsidRPr="00315194">
        <w:rPr>
          <w:rFonts w:ascii="Cambria" w:hAnsi="Cambria"/>
          <w:lang w:val="en-US"/>
        </w:rPr>
        <w:t>)</w:t>
      </w:r>
      <w:r w:rsidRPr="00315194">
        <w:rPr>
          <w:rFonts w:ascii="Cambria" w:hAnsi="Cambria"/>
          <w:lang w:val="en-US"/>
        </w:rPr>
        <w:t>. U</w:t>
      </w:r>
      <w:r w:rsidR="003D29FB" w:rsidRPr="00315194">
        <w:rPr>
          <w:rFonts w:ascii="Cambria" w:hAnsi="Cambria"/>
          <w:lang w:val="en-US"/>
        </w:rPr>
        <w:t>A</w:t>
      </w:r>
      <w:r w:rsidRPr="00315194">
        <w:rPr>
          <w:rFonts w:ascii="Cambria" w:hAnsi="Cambria"/>
          <w:lang w:val="en-US"/>
        </w:rPr>
        <w:t xml:space="preserve"> concepts refer to the production of food crops within and around </w:t>
      </w:r>
      <w:r w:rsidR="00037DC2" w:rsidRPr="00315194">
        <w:rPr>
          <w:rFonts w:ascii="Cambria" w:hAnsi="Cambria"/>
          <w:lang w:val="en-US"/>
        </w:rPr>
        <w:t>cities</w:t>
      </w:r>
      <w:r w:rsidRPr="00315194">
        <w:rPr>
          <w:rFonts w:ascii="Cambria" w:hAnsi="Cambria"/>
          <w:lang w:val="en-US"/>
        </w:rPr>
        <w:t>. It includes commercial and non-commercial activities</w:t>
      </w:r>
      <w:r w:rsidR="00037DC2" w:rsidRPr="00315194">
        <w:rPr>
          <w:rFonts w:ascii="Cambria" w:hAnsi="Cambria"/>
          <w:lang w:val="en-US"/>
        </w:rPr>
        <w:t>,</w:t>
      </w:r>
      <w:r w:rsidRPr="00315194">
        <w:rPr>
          <w:rFonts w:ascii="Cambria" w:hAnsi="Cambria"/>
          <w:lang w:val="en-US"/>
        </w:rPr>
        <w:t xml:space="preserve"> and covers food processing as well as other activities </w:t>
      </w:r>
      <w:r w:rsidR="00037DC2" w:rsidRPr="00315194">
        <w:rPr>
          <w:rFonts w:ascii="Cambria" w:hAnsi="Cambria"/>
          <w:lang w:val="en-US"/>
        </w:rPr>
        <w:t>of</w:t>
      </w:r>
      <w:r w:rsidRPr="00315194">
        <w:rPr>
          <w:rFonts w:ascii="Cambria" w:hAnsi="Cambria"/>
          <w:lang w:val="en-US"/>
        </w:rPr>
        <w:t xml:space="preserve"> food value chain </w:t>
      </w:r>
      <w:r w:rsidR="00037DC2" w:rsidRPr="00315194">
        <w:rPr>
          <w:rFonts w:ascii="Cambria" w:hAnsi="Cambria"/>
          <w:lang w:val="en-US"/>
        </w:rPr>
        <w:t>(</w:t>
      </w:r>
      <w:r w:rsidR="003D29FB" w:rsidRPr="00315194">
        <w:rPr>
          <w:rFonts w:ascii="Cambria" w:hAnsi="Cambria"/>
          <w:lang w:val="en-US"/>
        </w:rPr>
        <w:t>Dimitri et al., 2015</w:t>
      </w:r>
      <w:r w:rsidR="00037DC2" w:rsidRPr="00315194">
        <w:rPr>
          <w:rFonts w:ascii="Cambria" w:hAnsi="Cambria"/>
          <w:lang w:val="en-US"/>
        </w:rPr>
        <w:t>)</w:t>
      </w:r>
      <w:r w:rsidRPr="00315194">
        <w:rPr>
          <w:rFonts w:ascii="Cambria" w:hAnsi="Cambria"/>
          <w:lang w:val="en-US"/>
        </w:rPr>
        <w:t xml:space="preserve">. </w:t>
      </w:r>
      <w:r w:rsidR="00444E39" w:rsidRPr="00315194">
        <w:rPr>
          <w:rFonts w:ascii="Cambria" w:hAnsi="Cambria"/>
          <w:lang w:val="en-US"/>
        </w:rPr>
        <w:t xml:space="preserve">Accordingly, UA becomes a </w:t>
      </w:r>
      <w:r w:rsidRPr="00315194">
        <w:rPr>
          <w:rFonts w:ascii="Cambria" w:hAnsi="Cambria"/>
          <w:lang w:val="en-US"/>
        </w:rPr>
        <w:t xml:space="preserve">multi-dimensional concept </w:t>
      </w:r>
      <w:r w:rsidR="00037DC2" w:rsidRPr="00315194">
        <w:rPr>
          <w:rFonts w:ascii="Cambria" w:hAnsi="Cambria"/>
          <w:lang w:val="en-US"/>
        </w:rPr>
        <w:t>(</w:t>
      </w:r>
      <w:r w:rsidR="00444E39" w:rsidRPr="00315194">
        <w:rPr>
          <w:rFonts w:ascii="Cambria" w:hAnsi="Cambria"/>
          <w:lang w:val="en-US"/>
        </w:rPr>
        <w:t>Bohn and Viljoen, 2011</w:t>
      </w:r>
      <w:r w:rsidR="00037DC2" w:rsidRPr="00315194">
        <w:rPr>
          <w:rFonts w:ascii="Cambria" w:hAnsi="Cambria"/>
          <w:lang w:val="en-US"/>
        </w:rPr>
        <w:t>)</w:t>
      </w:r>
      <w:r w:rsidRPr="00315194">
        <w:rPr>
          <w:rFonts w:ascii="Cambria" w:hAnsi="Cambria"/>
          <w:lang w:val="en-US"/>
        </w:rPr>
        <w:t xml:space="preserve"> that can deeply vary </w:t>
      </w:r>
      <w:r w:rsidR="00444E39" w:rsidRPr="00315194">
        <w:rPr>
          <w:rFonts w:ascii="Cambria" w:hAnsi="Cambria"/>
          <w:lang w:val="en-US"/>
        </w:rPr>
        <w:t xml:space="preserve">across different </w:t>
      </w:r>
      <w:r w:rsidRPr="00315194">
        <w:rPr>
          <w:rFonts w:ascii="Cambria" w:hAnsi="Cambria"/>
          <w:lang w:val="en-US"/>
        </w:rPr>
        <w:t>project</w:t>
      </w:r>
      <w:r w:rsidR="00444E39" w:rsidRPr="00315194">
        <w:rPr>
          <w:rFonts w:ascii="Cambria" w:hAnsi="Cambria"/>
          <w:lang w:val="en-US"/>
        </w:rPr>
        <w:t>s</w:t>
      </w:r>
      <w:r w:rsidRPr="00315194">
        <w:rPr>
          <w:rFonts w:ascii="Cambria" w:hAnsi="Cambria"/>
          <w:lang w:val="en-US"/>
        </w:rPr>
        <w:t xml:space="preserve">. </w:t>
      </w:r>
      <w:r w:rsidRPr="00315194">
        <w:rPr>
          <w:rFonts w:ascii="Cambria" w:hAnsi="Cambria"/>
          <w:lang w:val="en-US"/>
        </w:rPr>
        <w:lastRenderedPageBreak/>
        <w:t xml:space="preserve">An analysis made by </w:t>
      </w:r>
      <w:proofErr w:type="spellStart"/>
      <w:r w:rsidRPr="00315194">
        <w:rPr>
          <w:rFonts w:ascii="Cambria" w:hAnsi="Cambria"/>
          <w:lang w:val="en-US"/>
        </w:rPr>
        <w:t>Tujil</w:t>
      </w:r>
      <w:proofErr w:type="spellEnd"/>
      <w:r w:rsidRPr="00315194">
        <w:rPr>
          <w:rFonts w:ascii="Cambria" w:hAnsi="Cambria"/>
          <w:lang w:val="en-US"/>
        </w:rPr>
        <w:t xml:space="preserve"> et al. </w:t>
      </w:r>
      <w:r w:rsidR="00037DC2" w:rsidRPr="00315194">
        <w:rPr>
          <w:rFonts w:ascii="Cambria" w:hAnsi="Cambria"/>
          <w:lang w:val="en-US"/>
        </w:rPr>
        <w:t>(</w:t>
      </w:r>
      <w:r w:rsidR="00444E39" w:rsidRPr="00315194">
        <w:rPr>
          <w:rFonts w:ascii="Cambria" w:hAnsi="Cambria"/>
          <w:lang w:val="en-US"/>
        </w:rPr>
        <w:t>2018</w:t>
      </w:r>
      <w:r w:rsidR="00037DC2" w:rsidRPr="00315194">
        <w:rPr>
          <w:rFonts w:ascii="Cambria" w:hAnsi="Cambria"/>
          <w:lang w:val="en-US"/>
        </w:rPr>
        <w:t>)</w:t>
      </w:r>
      <w:r w:rsidRPr="00315194">
        <w:rPr>
          <w:rFonts w:ascii="Cambria" w:hAnsi="Cambria"/>
          <w:lang w:val="en-US"/>
        </w:rPr>
        <w:t xml:space="preserve"> identified </w:t>
      </w:r>
      <w:r w:rsidR="00444E39" w:rsidRPr="00315194">
        <w:rPr>
          <w:rFonts w:ascii="Cambria" w:hAnsi="Cambria"/>
          <w:lang w:val="en-US"/>
        </w:rPr>
        <w:t xml:space="preserve">diversities </w:t>
      </w:r>
      <w:r w:rsidR="00037DC2" w:rsidRPr="00315194">
        <w:rPr>
          <w:rFonts w:ascii="Cambria" w:hAnsi="Cambria"/>
          <w:lang w:val="en-US"/>
        </w:rPr>
        <w:t>among</w:t>
      </w:r>
      <w:r w:rsidR="00444E39" w:rsidRPr="00315194">
        <w:rPr>
          <w:rFonts w:ascii="Cambria" w:hAnsi="Cambria"/>
          <w:lang w:val="en-US"/>
        </w:rPr>
        <w:t xml:space="preserve"> </w:t>
      </w:r>
      <w:r w:rsidRPr="00315194">
        <w:rPr>
          <w:rFonts w:ascii="Cambria" w:hAnsi="Cambria"/>
          <w:lang w:val="en-US"/>
        </w:rPr>
        <w:t>U</w:t>
      </w:r>
      <w:r w:rsidR="00444E39" w:rsidRPr="00315194">
        <w:rPr>
          <w:rFonts w:ascii="Cambria" w:hAnsi="Cambria"/>
          <w:lang w:val="en-US"/>
        </w:rPr>
        <w:t>A</w:t>
      </w:r>
      <w:r w:rsidRPr="00315194">
        <w:rPr>
          <w:rFonts w:ascii="Cambria" w:hAnsi="Cambria"/>
          <w:lang w:val="en-US"/>
        </w:rPr>
        <w:t xml:space="preserve"> projects, and categorized them into several macro typologies depending on location, dimension and strategic focus (Fig</w:t>
      </w:r>
      <w:r w:rsidR="00037DC2" w:rsidRPr="00315194">
        <w:rPr>
          <w:rFonts w:ascii="Cambria" w:hAnsi="Cambria"/>
          <w:lang w:val="en-US"/>
        </w:rPr>
        <w:t xml:space="preserve">ure </w:t>
      </w:r>
      <w:r w:rsidRPr="00315194">
        <w:rPr>
          <w:rFonts w:ascii="Cambria" w:hAnsi="Cambria"/>
          <w:lang w:val="en-US"/>
        </w:rPr>
        <w:t>1)</w:t>
      </w:r>
      <w:r w:rsidR="00444E39" w:rsidRPr="00315194">
        <w:rPr>
          <w:rFonts w:ascii="Cambria" w:hAnsi="Cambria"/>
          <w:lang w:val="en-US"/>
        </w:rPr>
        <w:t>.</w:t>
      </w:r>
    </w:p>
    <w:p w14:paraId="38B0565F" w14:textId="19AE99C9" w:rsidR="00444E39" w:rsidRPr="00046407" w:rsidRDefault="00444E39" w:rsidP="00046407">
      <w:pPr>
        <w:pStyle w:val="Didascaliaoggetto"/>
        <w:tabs>
          <w:tab w:val="left" w:pos="720"/>
          <w:tab w:val="left" w:pos="1440"/>
          <w:tab w:val="left" w:pos="2160"/>
          <w:tab w:val="left" w:pos="2880"/>
          <w:tab w:val="left" w:pos="3600"/>
          <w:tab w:val="left" w:pos="4320"/>
          <w:tab w:val="left" w:pos="5040"/>
          <w:tab w:val="left" w:pos="5760"/>
          <w:tab w:val="left" w:pos="6480"/>
          <w:tab w:val="left" w:pos="7200"/>
          <w:tab w:val="left" w:pos="7920"/>
        </w:tabs>
        <w:contextualSpacing/>
        <w:jc w:val="both"/>
        <w:rPr>
          <w:rFonts w:ascii="Cambria" w:hAnsi="Cambria"/>
          <w:sz w:val="22"/>
          <w:szCs w:val="22"/>
          <w:u w:color="000000"/>
          <w:lang w:val="en-US"/>
          <w14:textOutline w14:w="0" w14:cap="rnd" w14:cmpd="sng" w14:algn="ctr">
            <w14:noFill/>
            <w14:prstDash w14:val="solid"/>
            <w14:bevel/>
          </w14:textOutline>
        </w:rPr>
      </w:pPr>
    </w:p>
    <w:p w14:paraId="5A4E68EB" w14:textId="2166462E" w:rsidR="00444E39" w:rsidRPr="00046407" w:rsidRDefault="007006AC" w:rsidP="00046407">
      <w:pPr>
        <w:pStyle w:val="Didascaliaoggetto"/>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ind w:firstLine="567"/>
        <w:contextualSpacing/>
        <w:rPr>
          <w:sz w:val="22"/>
          <w:szCs w:val="22"/>
          <w:lang w:val="en-US"/>
        </w:rPr>
      </w:pPr>
      <w:r w:rsidRPr="00315194">
        <w:rPr>
          <w:noProof/>
          <w:sz w:val="22"/>
          <w:szCs w:val="22"/>
          <w14:textOutline w14:w="0" w14:cap="rnd" w14:cmpd="sng" w14:algn="ctr">
            <w14:noFill/>
            <w14:prstDash w14:val="solid"/>
            <w14:bevel/>
          </w14:textOutline>
        </w:rPr>
        <w:drawing>
          <wp:inline distT="0" distB="0" distL="0" distR="0" wp14:anchorId="6B9F1DA3" wp14:editId="2E5E0142">
            <wp:extent cx="3924300" cy="3696529"/>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png"/>
                    <pic:cNvPicPr/>
                  </pic:nvPicPr>
                  <pic:blipFill>
                    <a:blip r:embed="rId13">
                      <a:extLst>
                        <a:ext uri="{28A0092B-C50C-407E-A947-70E740481C1C}">
                          <a14:useLocalDpi xmlns:a14="http://schemas.microsoft.com/office/drawing/2010/main" val="0"/>
                        </a:ext>
                      </a:extLst>
                    </a:blip>
                    <a:stretch>
                      <a:fillRect/>
                    </a:stretch>
                  </pic:blipFill>
                  <pic:spPr>
                    <a:xfrm>
                      <a:off x="0" y="0"/>
                      <a:ext cx="3945595" cy="3716588"/>
                    </a:xfrm>
                    <a:prstGeom prst="rect">
                      <a:avLst/>
                    </a:prstGeom>
                  </pic:spPr>
                </pic:pic>
              </a:graphicData>
            </a:graphic>
          </wp:inline>
        </w:drawing>
      </w:r>
    </w:p>
    <w:p w14:paraId="2A183782" w14:textId="5F516BDF" w:rsidR="00444E39" w:rsidRPr="00315194" w:rsidRDefault="00037DC2" w:rsidP="00046407">
      <w:pPr>
        <w:spacing w:before="240" w:after="0" w:line="240" w:lineRule="auto"/>
        <w:ind w:left="907" w:hanging="907"/>
        <w:contextualSpacing/>
        <w:jc w:val="both"/>
        <w:rPr>
          <w:rFonts w:ascii="Cambria" w:hAnsi="Cambria"/>
          <w:bCs/>
          <w:lang w:val="en-US"/>
        </w:rPr>
      </w:pPr>
      <w:r w:rsidRPr="00315194">
        <w:rPr>
          <w:rFonts w:ascii="Cambria" w:hAnsi="Cambria"/>
          <w:bCs/>
          <w:lang w:val="en-US"/>
        </w:rPr>
        <w:t>Figure 1. Broad applications of Urban and Peri-Urban Agriculture (adapted from Specht et al., 2014).</w:t>
      </w:r>
    </w:p>
    <w:p w14:paraId="09A5A2BA" w14:textId="77777777" w:rsidR="00037DC2" w:rsidRPr="00315194" w:rsidRDefault="00037DC2" w:rsidP="00046407">
      <w:pPr>
        <w:spacing w:before="240" w:after="0" w:line="240" w:lineRule="auto"/>
        <w:ind w:firstLine="567"/>
        <w:contextualSpacing/>
        <w:jc w:val="both"/>
        <w:rPr>
          <w:rFonts w:ascii="Cambria" w:hAnsi="Cambria"/>
          <w:lang w:val="en-US"/>
        </w:rPr>
      </w:pPr>
    </w:p>
    <w:p w14:paraId="3971D0CF" w14:textId="396C3ABA" w:rsidR="00F01EEF" w:rsidRPr="00315194" w:rsidRDefault="00163198" w:rsidP="0006605A">
      <w:pPr>
        <w:spacing w:after="0" w:line="240" w:lineRule="auto"/>
        <w:contextualSpacing/>
        <w:jc w:val="both"/>
        <w:rPr>
          <w:rFonts w:ascii="Cambria" w:hAnsi="Cambria"/>
          <w:color w:val="0E101A"/>
          <w:lang w:val="pt-PT"/>
        </w:rPr>
      </w:pPr>
      <w:r w:rsidRPr="00315194">
        <w:rPr>
          <w:rFonts w:ascii="Cambria" w:hAnsi="Cambria"/>
          <w:lang w:val="en-US"/>
        </w:rPr>
        <w:t xml:space="preserve">Out of all these typologies, </w:t>
      </w:r>
      <w:proofErr w:type="spellStart"/>
      <w:r w:rsidRPr="00315194">
        <w:rPr>
          <w:rFonts w:ascii="Cambria" w:hAnsi="Cambria"/>
          <w:lang w:val="en-US"/>
        </w:rPr>
        <w:t>ZFarming</w:t>
      </w:r>
      <w:proofErr w:type="spellEnd"/>
      <w:r w:rsidRPr="00315194">
        <w:rPr>
          <w:rFonts w:ascii="Cambria" w:hAnsi="Cambria"/>
          <w:lang w:val="en-US"/>
        </w:rPr>
        <w:t xml:space="preserve"> (</w:t>
      </w:r>
      <w:r w:rsidR="00037DC2" w:rsidRPr="00315194">
        <w:rPr>
          <w:rFonts w:ascii="Cambria" w:hAnsi="Cambria"/>
          <w:lang w:val="en-US"/>
        </w:rPr>
        <w:t>or</w:t>
      </w:r>
      <w:r w:rsidRPr="00315194">
        <w:rPr>
          <w:rFonts w:ascii="Cambria" w:hAnsi="Cambria"/>
          <w:lang w:val="en-US"/>
        </w:rPr>
        <w:t xml:space="preserve"> Zero-Acreage Farming) offers the best solutions to integrate agricultural activities within buildings in a highly dense urban environment</w:t>
      </w:r>
      <w:r w:rsidR="009D0EE5" w:rsidRPr="00315194">
        <w:rPr>
          <w:rFonts w:ascii="Cambria" w:hAnsi="Cambria"/>
          <w:lang w:val="en-US"/>
        </w:rPr>
        <w:t>, enabling to</w:t>
      </w:r>
      <w:r w:rsidRPr="00315194">
        <w:rPr>
          <w:rFonts w:ascii="Cambria" w:hAnsi="Cambria"/>
          <w:lang w:val="en-US"/>
        </w:rPr>
        <w:t xml:space="preserve"> </w:t>
      </w:r>
      <w:r w:rsidR="009D0EE5" w:rsidRPr="00315194">
        <w:rPr>
          <w:rFonts w:ascii="Cambria" w:hAnsi="Cambria"/>
          <w:lang w:val="en-US"/>
        </w:rPr>
        <w:t xml:space="preserve">achieve </w:t>
      </w:r>
      <w:r w:rsidRPr="00315194">
        <w:rPr>
          <w:rFonts w:ascii="Cambria" w:hAnsi="Cambria"/>
          <w:lang w:val="en-US"/>
        </w:rPr>
        <w:t xml:space="preserve">intense production while minimizing the use of land. The term was introduced to describe all types of urban agriculture characterized by the non-use of farmland or open space, thereby differentiating building-related forms of </w:t>
      </w:r>
      <w:r w:rsidR="005919E3" w:rsidRPr="00315194">
        <w:rPr>
          <w:rFonts w:ascii="Cambria" w:hAnsi="Cambria"/>
          <w:lang w:val="en-US"/>
        </w:rPr>
        <w:t>UA</w:t>
      </w:r>
      <w:r w:rsidRPr="00315194">
        <w:rPr>
          <w:rFonts w:ascii="Cambria" w:hAnsi="Cambria"/>
          <w:lang w:val="en-US"/>
        </w:rPr>
        <w:t xml:space="preserve"> from those in parks, gardens and urban wastelands </w:t>
      </w:r>
      <w:r w:rsidR="005919E3" w:rsidRPr="00315194">
        <w:rPr>
          <w:rFonts w:ascii="Cambria" w:hAnsi="Cambria"/>
          <w:lang w:val="en-US"/>
        </w:rPr>
        <w:t>(</w:t>
      </w:r>
      <w:r w:rsidR="009D0EE5" w:rsidRPr="00315194">
        <w:rPr>
          <w:rFonts w:ascii="Cambria" w:hAnsi="Cambria"/>
          <w:lang w:val="en-US"/>
        </w:rPr>
        <w:t>Specht et al., 2014</w:t>
      </w:r>
      <w:r w:rsidR="005919E3" w:rsidRPr="00315194">
        <w:rPr>
          <w:rFonts w:ascii="Cambria" w:hAnsi="Cambria"/>
          <w:lang w:val="en-US"/>
        </w:rPr>
        <w:t>)</w:t>
      </w:r>
      <w:r w:rsidRPr="00315194">
        <w:rPr>
          <w:rFonts w:ascii="Cambria" w:hAnsi="Cambria"/>
          <w:lang w:val="en-US"/>
        </w:rPr>
        <w:t xml:space="preserve">. Hence, </w:t>
      </w:r>
      <w:proofErr w:type="spellStart"/>
      <w:r w:rsidRPr="00315194">
        <w:rPr>
          <w:rFonts w:ascii="Cambria" w:hAnsi="Cambria"/>
          <w:lang w:val="en-US"/>
        </w:rPr>
        <w:t>ZFarming</w:t>
      </w:r>
      <w:proofErr w:type="spellEnd"/>
      <w:r w:rsidRPr="00315194">
        <w:rPr>
          <w:rFonts w:ascii="Cambria" w:hAnsi="Cambria"/>
          <w:lang w:val="en-US"/>
        </w:rPr>
        <w:t xml:space="preserve"> differs from ground-based </w:t>
      </w:r>
      <w:r w:rsidR="009D0EE5" w:rsidRPr="00315194">
        <w:rPr>
          <w:rFonts w:ascii="Cambria" w:hAnsi="Cambria"/>
          <w:lang w:val="en-US"/>
        </w:rPr>
        <w:t>UA</w:t>
      </w:r>
      <w:r w:rsidRPr="00315194">
        <w:rPr>
          <w:rFonts w:ascii="Cambria" w:hAnsi="Cambria"/>
          <w:lang w:val="en-US"/>
        </w:rPr>
        <w:t xml:space="preserve">. </w:t>
      </w:r>
      <w:r w:rsidR="009D0EE5" w:rsidRPr="00315194">
        <w:rPr>
          <w:rFonts w:ascii="Cambria" w:hAnsi="Cambria"/>
          <w:lang w:val="en-US"/>
        </w:rPr>
        <w:t>More specifically, i</w:t>
      </w:r>
      <w:r w:rsidRPr="00315194">
        <w:rPr>
          <w:rFonts w:ascii="Cambria" w:hAnsi="Cambria"/>
          <w:lang w:val="en-US"/>
        </w:rPr>
        <w:t>t complement</w:t>
      </w:r>
      <w:r w:rsidR="009D0EE5" w:rsidRPr="00315194">
        <w:rPr>
          <w:rFonts w:ascii="Cambria" w:hAnsi="Cambria"/>
          <w:lang w:val="en-US"/>
        </w:rPr>
        <w:t xml:space="preserve">s </w:t>
      </w:r>
      <w:r w:rsidRPr="00315194">
        <w:rPr>
          <w:rFonts w:ascii="Cambria" w:hAnsi="Cambria"/>
          <w:lang w:val="en-US"/>
        </w:rPr>
        <w:t xml:space="preserve">ground-based </w:t>
      </w:r>
      <w:r w:rsidR="009D0EE5" w:rsidRPr="00315194">
        <w:rPr>
          <w:rFonts w:ascii="Cambria" w:hAnsi="Cambria"/>
          <w:lang w:val="en-US"/>
        </w:rPr>
        <w:t>UA</w:t>
      </w:r>
      <w:r w:rsidRPr="00315194">
        <w:rPr>
          <w:rFonts w:ascii="Cambria" w:hAnsi="Cambria"/>
          <w:lang w:val="en-US"/>
        </w:rPr>
        <w:t>, offer</w:t>
      </w:r>
      <w:r w:rsidR="009D0EE5" w:rsidRPr="00315194">
        <w:rPr>
          <w:rFonts w:ascii="Cambria" w:hAnsi="Cambria"/>
          <w:lang w:val="en-US"/>
        </w:rPr>
        <w:t>ing</w:t>
      </w:r>
      <w:r w:rsidRPr="00315194">
        <w:rPr>
          <w:rFonts w:ascii="Cambria" w:hAnsi="Cambria"/>
          <w:lang w:val="en-US"/>
        </w:rPr>
        <w:t xml:space="preserve"> opportunities for resource-efficien</w:t>
      </w:r>
      <w:r w:rsidR="009D0EE5" w:rsidRPr="00315194">
        <w:rPr>
          <w:rFonts w:ascii="Cambria" w:hAnsi="Cambria"/>
          <w:lang w:val="en-US"/>
        </w:rPr>
        <w:t>t</w:t>
      </w:r>
      <w:r w:rsidRPr="00315194">
        <w:rPr>
          <w:rFonts w:ascii="Cambria" w:hAnsi="Cambria"/>
          <w:lang w:val="en-US"/>
        </w:rPr>
        <w:t xml:space="preserve"> synergies between buildings and farming </w:t>
      </w:r>
      <w:r w:rsidR="005919E3" w:rsidRPr="00315194">
        <w:rPr>
          <w:rFonts w:ascii="Cambria" w:hAnsi="Cambria"/>
          <w:lang w:val="en-US"/>
        </w:rPr>
        <w:t>(</w:t>
      </w:r>
      <w:r w:rsidR="00DE32C3" w:rsidRPr="00315194">
        <w:rPr>
          <w:rFonts w:ascii="Cambria" w:hAnsi="Cambria"/>
          <w:lang w:val="en-US"/>
        </w:rPr>
        <w:t>Thomaier et al., 2014</w:t>
      </w:r>
      <w:r w:rsidR="00E550F5" w:rsidRPr="00315194">
        <w:rPr>
          <w:rFonts w:ascii="Cambria" w:hAnsi="Cambria"/>
          <w:lang w:val="en-US"/>
        </w:rPr>
        <w:t>)</w:t>
      </w:r>
      <w:r w:rsidRPr="00315194">
        <w:rPr>
          <w:rFonts w:ascii="Cambria" w:hAnsi="Cambria"/>
          <w:lang w:val="en-US"/>
        </w:rPr>
        <w:t xml:space="preserve">. Implementing </w:t>
      </w:r>
      <w:proofErr w:type="spellStart"/>
      <w:r w:rsidRPr="00315194">
        <w:rPr>
          <w:rFonts w:ascii="Cambria" w:hAnsi="Cambria"/>
          <w:lang w:val="en-US"/>
        </w:rPr>
        <w:t>ZFarming</w:t>
      </w:r>
      <w:proofErr w:type="spellEnd"/>
      <w:r w:rsidRPr="00315194">
        <w:rPr>
          <w:rFonts w:ascii="Cambria" w:hAnsi="Cambria"/>
          <w:lang w:val="en-US"/>
        </w:rPr>
        <w:t xml:space="preserve"> models within cities requires new regulation frameworks</w:t>
      </w:r>
      <w:r w:rsidR="00DE32C3" w:rsidRPr="00315194">
        <w:rPr>
          <w:rFonts w:ascii="Cambria" w:hAnsi="Cambria"/>
          <w:lang w:val="en-US"/>
        </w:rPr>
        <w:t xml:space="preserve">, as well as </w:t>
      </w:r>
      <w:r w:rsidR="009B459C" w:rsidRPr="00315194">
        <w:rPr>
          <w:rFonts w:ascii="Cambria" w:hAnsi="Cambria"/>
          <w:lang w:val="en-US"/>
        </w:rPr>
        <w:t xml:space="preserve">advanced and diversified </w:t>
      </w:r>
      <w:r w:rsidRPr="00315194">
        <w:rPr>
          <w:rFonts w:ascii="Cambria" w:hAnsi="Cambria"/>
          <w:lang w:val="en-US"/>
        </w:rPr>
        <w:t xml:space="preserve">technical knowledge </w:t>
      </w:r>
      <w:r w:rsidR="009B459C" w:rsidRPr="00315194">
        <w:rPr>
          <w:rFonts w:ascii="Cambria" w:hAnsi="Cambria"/>
          <w:lang w:val="en-US"/>
        </w:rPr>
        <w:t xml:space="preserve">(e.g., on farming practices, food technologies, building engineering, marketing). </w:t>
      </w:r>
      <w:r w:rsidRPr="00315194">
        <w:rPr>
          <w:rFonts w:ascii="Cambria" w:hAnsi="Cambria"/>
          <w:color w:val="0E101A"/>
        </w:rPr>
        <w:t xml:space="preserve">The </w:t>
      </w:r>
      <w:proofErr w:type="spellStart"/>
      <w:r w:rsidRPr="00315194">
        <w:rPr>
          <w:rFonts w:ascii="Cambria" w:hAnsi="Cambria"/>
          <w:color w:val="0E101A"/>
        </w:rPr>
        <w:t>strategic</w:t>
      </w:r>
      <w:proofErr w:type="spellEnd"/>
      <w:r w:rsidRPr="00315194">
        <w:rPr>
          <w:rFonts w:ascii="Cambria" w:hAnsi="Cambria"/>
          <w:color w:val="0E101A"/>
        </w:rPr>
        <w:t xml:space="preserve"> </w:t>
      </w:r>
      <w:proofErr w:type="spellStart"/>
      <w:r w:rsidRPr="00315194">
        <w:rPr>
          <w:rFonts w:ascii="Cambria" w:hAnsi="Cambria"/>
          <w:color w:val="0E101A"/>
        </w:rPr>
        <w:t>objectives</w:t>
      </w:r>
      <w:proofErr w:type="spellEnd"/>
      <w:r w:rsidRPr="00315194">
        <w:rPr>
          <w:rFonts w:ascii="Cambria" w:hAnsi="Cambria"/>
          <w:color w:val="0E101A"/>
        </w:rPr>
        <w:t xml:space="preserve"> of </w:t>
      </w:r>
      <w:proofErr w:type="spellStart"/>
      <w:r w:rsidRPr="00315194">
        <w:rPr>
          <w:rFonts w:ascii="Cambria" w:hAnsi="Cambria"/>
          <w:color w:val="0E101A"/>
        </w:rPr>
        <w:t>ZFarming</w:t>
      </w:r>
      <w:proofErr w:type="spellEnd"/>
      <w:r w:rsidRPr="00315194">
        <w:rPr>
          <w:rFonts w:ascii="Cambria" w:hAnsi="Cambria"/>
          <w:color w:val="0E101A"/>
        </w:rPr>
        <w:t xml:space="preserve"> projects, as well as </w:t>
      </w:r>
      <w:r w:rsidR="00FA061A" w:rsidRPr="00315194">
        <w:rPr>
          <w:rFonts w:ascii="Cambria" w:hAnsi="Cambria"/>
          <w:color w:val="0E101A"/>
        </w:rPr>
        <w:t xml:space="preserve">their </w:t>
      </w:r>
      <w:r w:rsidRPr="00315194">
        <w:rPr>
          <w:rFonts w:ascii="Cambria" w:hAnsi="Cambria"/>
          <w:color w:val="0E101A"/>
        </w:rPr>
        <w:t xml:space="preserve">peculiar characteristic of producing food without using land space, make this special subtype of </w:t>
      </w:r>
      <w:r w:rsidR="00FA061A" w:rsidRPr="00315194">
        <w:rPr>
          <w:rFonts w:ascii="Cambria" w:hAnsi="Cambria"/>
          <w:color w:val="0E101A"/>
        </w:rPr>
        <w:t xml:space="preserve">UA </w:t>
      </w:r>
      <w:r w:rsidRPr="00315194">
        <w:rPr>
          <w:rFonts w:ascii="Cambria" w:hAnsi="Cambria"/>
          <w:color w:val="0E101A"/>
        </w:rPr>
        <w:t xml:space="preserve">particularly interesting for professionals involved in sustainable urban construction and planning. Architects, </w:t>
      </w:r>
      <w:proofErr w:type="spellStart"/>
      <w:r w:rsidRPr="00315194">
        <w:rPr>
          <w:rFonts w:ascii="Cambria" w:hAnsi="Cambria"/>
          <w:color w:val="0E101A"/>
        </w:rPr>
        <w:t>planners</w:t>
      </w:r>
      <w:proofErr w:type="spellEnd"/>
      <w:r w:rsidRPr="00315194">
        <w:rPr>
          <w:rFonts w:ascii="Cambria" w:hAnsi="Cambria"/>
          <w:color w:val="0E101A"/>
        </w:rPr>
        <w:t xml:space="preserve">, and </w:t>
      </w:r>
      <w:proofErr w:type="spellStart"/>
      <w:r w:rsidRPr="00315194">
        <w:rPr>
          <w:rFonts w:ascii="Cambria" w:hAnsi="Cambria"/>
          <w:color w:val="0E101A"/>
        </w:rPr>
        <w:t>engineers</w:t>
      </w:r>
      <w:proofErr w:type="spellEnd"/>
      <w:r w:rsidRPr="00315194">
        <w:rPr>
          <w:rFonts w:ascii="Cambria" w:hAnsi="Cambria"/>
          <w:color w:val="0E101A"/>
        </w:rPr>
        <w:t xml:space="preserve"> </w:t>
      </w:r>
      <w:proofErr w:type="spellStart"/>
      <w:r w:rsidRPr="00315194">
        <w:rPr>
          <w:rFonts w:ascii="Cambria" w:hAnsi="Cambria"/>
          <w:color w:val="0E101A"/>
        </w:rPr>
        <w:t>recently</w:t>
      </w:r>
      <w:proofErr w:type="spellEnd"/>
      <w:r w:rsidRPr="00315194">
        <w:rPr>
          <w:rFonts w:ascii="Cambria" w:hAnsi="Cambria"/>
          <w:color w:val="0E101A"/>
        </w:rPr>
        <w:t xml:space="preserve"> </w:t>
      </w:r>
      <w:proofErr w:type="spellStart"/>
      <w:r w:rsidRPr="00315194">
        <w:rPr>
          <w:rFonts w:ascii="Cambria" w:hAnsi="Cambria"/>
          <w:color w:val="0E101A"/>
        </w:rPr>
        <w:t>developed</w:t>
      </w:r>
      <w:proofErr w:type="spellEnd"/>
      <w:r w:rsidRPr="00315194">
        <w:rPr>
          <w:rFonts w:ascii="Cambria" w:hAnsi="Cambria"/>
          <w:color w:val="0E101A"/>
        </w:rPr>
        <w:t xml:space="preserve"> an </w:t>
      </w:r>
      <w:proofErr w:type="spellStart"/>
      <w:r w:rsidRPr="00315194">
        <w:rPr>
          <w:rFonts w:ascii="Cambria" w:hAnsi="Cambria"/>
          <w:color w:val="0E101A"/>
        </w:rPr>
        <w:t>increasing</w:t>
      </w:r>
      <w:proofErr w:type="spellEnd"/>
      <w:r w:rsidRPr="00315194">
        <w:rPr>
          <w:rFonts w:ascii="Cambria" w:hAnsi="Cambria"/>
          <w:color w:val="0E101A"/>
        </w:rPr>
        <w:t xml:space="preserve"> </w:t>
      </w:r>
      <w:proofErr w:type="spellStart"/>
      <w:r w:rsidRPr="00315194">
        <w:rPr>
          <w:rFonts w:ascii="Cambria" w:hAnsi="Cambria"/>
          <w:color w:val="0E101A"/>
        </w:rPr>
        <w:t>interest</w:t>
      </w:r>
      <w:proofErr w:type="spellEnd"/>
      <w:r w:rsidRPr="00315194">
        <w:rPr>
          <w:rFonts w:ascii="Cambria" w:hAnsi="Cambria"/>
          <w:color w:val="0E101A"/>
        </w:rPr>
        <w:t xml:space="preserve"> in </w:t>
      </w:r>
      <w:proofErr w:type="spellStart"/>
      <w:r w:rsidRPr="00315194">
        <w:rPr>
          <w:rFonts w:ascii="Cambria" w:hAnsi="Cambria"/>
          <w:color w:val="0E101A"/>
        </w:rPr>
        <w:t>ZFarming</w:t>
      </w:r>
      <w:proofErr w:type="spellEnd"/>
      <w:r w:rsidRPr="00315194">
        <w:rPr>
          <w:rFonts w:ascii="Cambria" w:hAnsi="Cambria"/>
          <w:color w:val="0E101A"/>
        </w:rPr>
        <w:t xml:space="preserve"> </w:t>
      </w:r>
      <w:proofErr w:type="spellStart"/>
      <w:r w:rsidRPr="00315194">
        <w:rPr>
          <w:rFonts w:ascii="Cambria" w:hAnsi="Cambria"/>
          <w:color w:val="0E101A"/>
        </w:rPr>
        <w:t>methods</w:t>
      </w:r>
      <w:proofErr w:type="spellEnd"/>
      <w:r w:rsidRPr="00315194">
        <w:rPr>
          <w:rFonts w:ascii="Cambria" w:hAnsi="Cambria"/>
          <w:color w:val="0E101A"/>
        </w:rPr>
        <w:t xml:space="preserve"> </w:t>
      </w:r>
      <w:proofErr w:type="spellStart"/>
      <w:r w:rsidRPr="00315194">
        <w:rPr>
          <w:rFonts w:ascii="Cambria" w:hAnsi="Cambria"/>
          <w:color w:val="0E101A"/>
        </w:rPr>
        <w:t>to</w:t>
      </w:r>
      <w:proofErr w:type="spellEnd"/>
      <w:r w:rsidRPr="00315194">
        <w:rPr>
          <w:rFonts w:ascii="Cambria" w:hAnsi="Cambria"/>
          <w:color w:val="0E101A"/>
        </w:rPr>
        <w:t xml:space="preserve"> </w:t>
      </w:r>
      <w:proofErr w:type="spellStart"/>
      <w:r w:rsidRPr="00315194">
        <w:rPr>
          <w:rFonts w:ascii="Cambria" w:hAnsi="Cambria"/>
          <w:color w:val="0E101A"/>
        </w:rPr>
        <w:t>implement</w:t>
      </w:r>
      <w:proofErr w:type="spellEnd"/>
      <w:r w:rsidRPr="00315194">
        <w:rPr>
          <w:rFonts w:ascii="Cambria" w:hAnsi="Cambria"/>
          <w:color w:val="0E101A"/>
        </w:rPr>
        <w:t xml:space="preserve"> </w:t>
      </w:r>
      <w:proofErr w:type="spellStart"/>
      <w:r w:rsidRPr="00315194">
        <w:rPr>
          <w:rFonts w:ascii="Cambria" w:hAnsi="Cambria"/>
          <w:color w:val="0E101A"/>
        </w:rPr>
        <w:t>green</w:t>
      </w:r>
      <w:proofErr w:type="spellEnd"/>
      <w:r w:rsidRPr="00315194">
        <w:rPr>
          <w:rFonts w:ascii="Cambria" w:hAnsi="Cambria"/>
          <w:color w:val="0E101A"/>
        </w:rPr>
        <w:t xml:space="preserve"> </w:t>
      </w:r>
      <w:proofErr w:type="spellStart"/>
      <w:r w:rsidRPr="00315194">
        <w:rPr>
          <w:rFonts w:ascii="Cambria" w:hAnsi="Cambria"/>
          <w:color w:val="0E101A"/>
        </w:rPr>
        <w:t>buildings</w:t>
      </w:r>
      <w:proofErr w:type="spellEnd"/>
      <w:r w:rsidRPr="00315194">
        <w:rPr>
          <w:rFonts w:ascii="Cambria" w:hAnsi="Cambria"/>
          <w:color w:val="0E101A"/>
        </w:rPr>
        <w:t xml:space="preserve"> design, trying to connect aesthetic, functional and ecological principles </w:t>
      </w:r>
      <w:r w:rsidR="55801DF6" w:rsidRPr="00315194">
        <w:rPr>
          <w:rFonts w:ascii="Cambria" w:hAnsi="Cambria"/>
          <w:color w:val="0E101A"/>
        </w:rPr>
        <w:t>(</w:t>
      </w:r>
      <w:r w:rsidR="298AC9CF" w:rsidRPr="00315194">
        <w:rPr>
          <w:rFonts w:ascii="Cambria" w:hAnsi="Cambria"/>
          <w:color w:val="0E101A"/>
        </w:rPr>
        <w:t>Bohn and Viljoen, 2011)</w:t>
      </w:r>
      <w:r w:rsidRPr="00315194">
        <w:rPr>
          <w:rFonts w:ascii="Cambria" w:hAnsi="Cambria"/>
          <w:color w:val="0E101A"/>
        </w:rPr>
        <w:t xml:space="preserve">. The need to </w:t>
      </w:r>
      <w:r w:rsidRPr="0006605A">
        <w:rPr>
          <w:rFonts w:ascii="Cambria" w:hAnsi="Cambria"/>
          <w:color w:val="0E101A"/>
        </w:rPr>
        <w:t>reduce cities’ resource</w:t>
      </w:r>
      <w:r w:rsidR="007D1902" w:rsidRPr="0006605A">
        <w:rPr>
          <w:rFonts w:ascii="Cambria" w:hAnsi="Cambria"/>
          <w:color w:val="0E101A"/>
        </w:rPr>
        <w:t>s</w:t>
      </w:r>
      <w:r w:rsidRPr="0006605A">
        <w:rPr>
          <w:rFonts w:ascii="Cambria" w:hAnsi="Cambria"/>
          <w:color w:val="0E101A"/>
        </w:rPr>
        <w:t xml:space="preserve"> consumption, create sustainable </w:t>
      </w:r>
      <w:proofErr w:type="spellStart"/>
      <w:r w:rsidRPr="0006605A">
        <w:rPr>
          <w:rFonts w:ascii="Cambria" w:hAnsi="Cambria"/>
          <w:color w:val="0E101A"/>
        </w:rPr>
        <w:t>infrastructure</w:t>
      </w:r>
      <w:proofErr w:type="spellEnd"/>
      <w:r w:rsidRPr="0006605A">
        <w:rPr>
          <w:rFonts w:ascii="Cambria" w:hAnsi="Cambria"/>
          <w:color w:val="0E101A"/>
        </w:rPr>
        <w:t xml:space="preserve"> and plan </w:t>
      </w:r>
      <w:proofErr w:type="spellStart"/>
      <w:r w:rsidRPr="0006605A">
        <w:rPr>
          <w:rFonts w:ascii="Cambria" w:hAnsi="Cambria"/>
          <w:color w:val="0E101A"/>
        </w:rPr>
        <w:t>more</w:t>
      </w:r>
      <w:proofErr w:type="spellEnd"/>
      <w:r w:rsidRPr="00315194">
        <w:rPr>
          <w:rFonts w:ascii="Cambria" w:hAnsi="Cambria"/>
          <w:color w:val="0E101A"/>
        </w:rPr>
        <w:t xml:space="preserve"> inclusive </w:t>
      </w:r>
      <w:proofErr w:type="spellStart"/>
      <w:r w:rsidRPr="00315194">
        <w:rPr>
          <w:rFonts w:ascii="Cambria" w:hAnsi="Cambria"/>
          <w:color w:val="0E101A"/>
        </w:rPr>
        <w:t>cities</w:t>
      </w:r>
      <w:proofErr w:type="spellEnd"/>
      <w:r w:rsidR="00203093" w:rsidRPr="00315194">
        <w:rPr>
          <w:rFonts w:ascii="Cambria" w:hAnsi="Cambria"/>
          <w:color w:val="0E101A"/>
        </w:rPr>
        <w:t xml:space="preserve">, </w:t>
      </w:r>
      <w:proofErr w:type="spellStart"/>
      <w:r w:rsidRPr="00315194">
        <w:rPr>
          <w:rFonts w:ascii="Cambria" w:hAnsi="Cambria"/>
          <w:color w:val="0E101A"/>
        </w:rPr>
        <w:t>make</w:t>
      </w:r>
      <w:proofErr w:type="spellEnd"/>
      <w:r w:rsidRPr="00315194">
        <w:rPr>
          <w:rFonts w:ascii="Cambria" w:hAnsi="Cambria"/>
          <w:color w:val="0E101A"/>
        </w:rPr>
        <w:t xml:space="preserve"> </w:t>
      </w:r>
      <w:proofErr w:type="spellStart"/>
      <w:r w:rsidRPr="00315194">
        <w:rPr>
          <w:rFonts w:ascii="Cambria" w:hAnsi="Cambria"/>
          <w:color w:val="0E101A"/>
        </w:rPr>
        <w:t>ZFarming</w:t>
      </w:r>
      <w:proofErr w:type="spellEnd"/>
      <w:r w:rsidRPr="00315194">
        <w:rPr>
          <w:rFonts w:ascii="Cambria" w:hAnsi="Cambria"/>
          <w:color w:val="0E101A"/>
        </w:rPr>
        <w:t xml:space="preserve"> a powerful </w:t>
      </w:r>
      <w:proofErr w:type="spellStart"/>
      <w:r w:rsidRPr="00315194">
        <w:rPr>
          <w:rFonts w:ascii="Cambria" w:hAnsi="Cambria"/>
          <w:color w:val="0E101A"/>
        </w:rPr>
        <w:t>tool</w:t>
      </w:r>
      <w:proofErr w:type="spellEnd"/>
      <w:r w:rsidRPr="00315194">
        <w:rPr>
          <w:rFonts w:ascii="Cambria" w:hAnsi="Cambria"/>
          <w:color w:val="0E101A"/>
        </w:rPr>
        <w:t xml:space="preserve"> </w:t>
      </w:r>
      <w:proofErr w:type="spellStart"/>
      <w:r w:rsidRPr="00315194">
        <w:rPr>
          <w:rFonts w:ascii="Cambria" w:hAnsi="Cambria"/>
          <w:color w:val="0E101A"/>
        </w:rPr>
        <w:t>to</w:t>
      </w:r>
      <w:proofErr w:type="spellEnd"/>
      <w:r w:rsidRPr="00315194">
        <w:rPr>
          <w:rFonts w:ascii="Cambria" w:hAnsi="Cambria"/>
          <w:color w:val="0E101A"/>
        </w:rPr>
        <w:t xml:space="preserve"> </w:t>
      </w:r>
      <w:proofErr w:type="spellStart"/>
      <w:r w:rsidRPr="00315194">
        <w:rPr>
          <w:rFonts w:ascii="Cambria" w:hAnsi="Cambria"/>
          <w:color w:val="0E101A"/>
        </w:rPr>
        <w:t>implement</w:t>
      </w:r>
      <w:proofErr w:type="spellEnd"/>
      <w:r w:rsidRPr="00315194">
        <w:rPr>
          <w:rFonts w:ascii="Cambria" w:hAnsi="Cambria"/>
          <w:color w:val="0E101A"/>
        </w:rPr>
        <w:t xml:space="preserve"> </w:t>
      </w:r>
      <w:proofErr w:type="spellStart"/>
      <w:r w:rsidRPr="00315194">
        <w:rPr>
          <w:rFonts w:ascii="Cambria" w:hAnsi="Cambria"/>
          <w:color w:val="0E101A"/>
        </w:rPr>
        <w:t>new</w:t>
      </w:r>
      <w:proofErr w:type="spellEnd"/>
      <w:r w:rsidRPr="00315194">
        <w:rPr>
          <w:rFonts w:ascii="Cambria" w:hAnsi="Cambria"/>
          <w:color w:val="0E101A"/>
        </w:rPr>
        <w:t xml:space="preserve"> </w:t>
      </w:r>
      <w:proofErr w:type="spellStart"/>
      <w:r w:rsidRPr="00315194">
        <w:rPr>
          <w:rFonts w:ascii="Cambria" w:hAnsi="Cambria"/>
          <w:color w:val="0E101A"/>
        </w:rPr>
        <w:t>green</w:t>
      </w:r>
      <w:proofErr w:type="spellEnd"/>
      <w:r w:rsidRPr="00315194">
        <w:rPr>
          <w:rFonts w:ascii="Cambria" w:hAnsi="Cambria"/>
          <w:color w:val="0E101A"/>
        </w:rPr>
        <w:t xml:space="preserve"> urban designs </w:t>
      </w:r>
      <w:r w:rsidR="719EAF16" w:rsidRPr="00315194">
        <w:rPr>
          <w:rFonts w:ascii="Cambria" w:hAnsi="Cambria"/>
          <w:color w:val="0E101A"/>
        </w:rPr>
        <w:t>(</w:t>
      </w:r>
      <w:r w:rsidR="59BC017D" w:rsidRPr="00315194">
        <w:rPr>
          <w:rFonts w:ascii="Cambria" w:hAnsi="Cambria"/>
          <w:color w:val="0E101A"/>
        </w:rPr>
        <w:t>Lehmann, 2010)</w:t>
      </w:r>
      <w:r w:rsidRPr="00315194">
        <w:rPr>
          <w:rFonts w:ascii="Cambria" w:hAnsi="Cambria"/>
          <w:color w:val="0E101A"/>
          <w:lang w:val="pt-PT"/>
        </w:rPr>
        <w:t xml:space="preserve">. </w:t>
      </w:r>
      <w:r w:rsidRPr="00315194">
        <w:rPr>
          <w:rFonts w:ascii="Cambria" w:hAnsi="Cambria"/>
          <w:color w:val="0E101A"/>
        </w:rPr>
        <w:t xml:space="preserve">This might be particularly true for Building-Integrated Agriculture (BIA), a </w:t>
      </w:r>
      <w:proofErr w:type="spellStart"/>
      <w:r w:rsidRPr="00315194">
        <w:rPr>
          <w:rFonts w:ascii="Cambria" w:hAnsi="Cambria"/>
          <w:color w:val="0E101A"/>
        </w:rPr>
        <w:t>specific</w:t>
      </w:r>
      <w:proofErr w:type="spellEnd"/>
      <w:r w:rsidRPr="00315194">
        <w:rPr>
          <w:rFonts w:ascii="Cambria" w:hAnsi="Cambria"/>
          <w:color w:val="0E101A"/>
        </w:rPr>
        <w:t xml:space="preserve"> </w:t>
      </w:r>
      <w:proofErr w:type="spellStart"/>
      <w:r w:rsidRPr="00315194">
        <w:rPr>
          <w:rFonts w:ascii="Cambria" w:hAnsi="Cambria"/>
          <w:color w:val="0E101A"/>
        </w:rPr>
        <w:t>subtype</w:t>
      </w:r>
      <w:proofErr w:type="spellEnd"/>
      <w:r w:rsidRPr="00315194">
        <w:rPr>
          <w:rFonts w:ascii="Cambria" w:hAnsi="Cambria"/>
          <w:color w:val="0E101A"/>
        </w:rPr>
        <w:t xml:space="preserve"> of </w:t>
      </w:r>
      <w:proofErr w:type="spellStart"/>
      <w:r w:rsidRPr="00315194">
        <w:rPr>
          <w:rFonts w:ascii="Cambria" w:hAnsi="Cambria"/>
          <w:color w:val="0E101A"/>
        </w:rPr>
        <w:t>ZFarming</w:t>
      </w:r>
      <w:proofErr w:type="spellEnd"/>
      <w:r w:rsidR="00203093" w:rsidRPr="00315194">
        <w:rPr>
          <w:rFonts w:ascii="Cambria" w:hAnsi="Cambria"/>
          <w:color w:val="0E101A"/>
        </w:rPr>
        <w:t>,</w:t>
      </w:r>
      <w:r w:rsidRPr="00315194">
        <w:rPr>
          <w:rFonts w:ascii="Cambria" w:hAnsi="Cambria"/>
          <w:color w:val="0E101A"/>
        </w:rPr>
        <w:t xml:space="preserve"> </w:t>
      </w:r>
      <w:proofErr w:type="spellStart"/>
      <w:r w:rsidRPr="00315194">
        <w:rPr>
          <w:rFonts w:ascii="Cambria" w:hAnsi="Cambria"/>
          <w:color w:val="0E101A"/>
        </w:rPr>
        <w:t>defined</w:t>
      </w:r>
      <w:proofErr w:type="spellEnd"/>
      <w:r w:rsidRPr="00315194">
        <w:rPr>
          <w:rFonts w:ascii="Cambria" w:hAnsi="Cambria"/>
          <w:color w:val="0E101A"/>
        </w:rPr>
        <w:t xml:space="preserve"> </w:t>
      </w:r>
      <w:proofErr w:type="spellStart"/>
      <w:r w:rsidRPr="00315194">
        <w:rPr>
          <w:rFonts w:ascii="Cambria" w:hAnsi="Cambria"/>
          <w:color w:val="0E101A"/>
        </w:rPr>
        <w:t>as</w:t>
      </w:r>
      <w:proofErr w:type="spellEnd"/>
      <w:r w:rsidRPr="00315194">
        <w:rPr>
          <w:rFonts w:ascii="Cambria" w:hAnsi="Cambria"/>
          <w:color w:val="0E101A"/>
        </w:rPr>
        <w:t xml:space="preserve"> </w:t>
      </w:r>
      <w:proofErr w:type="spellStart"/>
      <w:r w:rsidRPr="00315194">
        <w:rPr>
          <w:rFonts w:ascii="Cambria" w:hAnsi="Cambria"/>
          <w:color w:val="0E101A"/>
        </w:rPr>
        <w:t>the</w:t>
      </w:r>
      <w:proofErr w:type="spellEnd"/>
      <w:r w:rsidRPr="00315194">
        <w:rPr>
          <w:rFonts w:ascii="Cambria" w:hAnsi="Cambria"/>
          <w:color w:val="0E101A"/>
        </w:rPr>
        <w:t xml:space="preserve"> </w:t>
      </w:r>
      <w:proofErr w:type="spellStart"/>
      <w:r w:rsidRPr="00315194">
        <w:rPr>
          <w:rFonts w:ascii="Cambria" w:hAnsi="Cambria"/>
          <w:color w:val="0E101A"/>
        </w:rPr>
        <w:t>practice</w:t>
      </w:r>
      <w:proofErr w:type="spellEnd"/>
      <w:r w:rsidRPr="00315194">
        <w:rPr>
          <w:rFonts w:ascii="Cambria" w:hAnsi="Cambria"/>
          <w:color w:val="0E101A"/>
        </w:rPr>
        <w:t xml:space="preserve"> of locating off-soil greenhouse systems, such as hydroponic, aeroponic and aquaponic, on and in mixed-use buildings to exploit the </w:t>
      </w:r>
      <w:r w:rsidRPr="00315194">
        <w:rPr>
          <w:rFonts w:ascii="Cambria" w:hAnsi="Cambria"/>
          <w:color w:val="0E101A"/>
        </w:rPr>
        <w:lastRenderedPageBreak/>
        <w:t xml:space="preserve">synergies between the building environment and agriculture energy and nutrient flows </w:t>
      </w:r>
      <w:r w:rsidR="05A2D4A9" w:rsidRPr="00315194">
        <w:rPr>
          <w:rFonts w:ascii="Cambria" w:hAnsi="Cambria"/>
          <w:color w:val="auto"/>
        </w:rPr>
        <w:t>(</w:t>
      </w:r>
      <w:r w:rsidR="3956A46E" w:rsidRPr="00315194">
        <w:rPr>
          <w:rFonts w:ascii="Cambria" w:eastAsia="Cambria" w:hAnsi="Cambria" w:cs="Cambria"/>
          <w:color w:val="auto"/>
        </w:rPr>
        <w:t>Specht et al., 2014</w:t>
      </w:r>
      <w:r w:rsidR="3956A46E" w:rsidRPr="00315194">
        <w:rPr>
          <w:rFonts w:ascii="Cambria" w:hAnsi="Cambria"/>
          <w:color w:val="0E101A"/>
        </w:rPr>
        <w:t>)</w:t>
      </w:r>
      <w:r w:rsidRPr="00315194">
        <w:rPr>
          <w:rFonts w:ascii="Cambria" w:hAnsi="Cambria"/>
          <w:color w:val="0E101A"/>
        </w:rPr>
        <w:t xml:space="preserve">. BIA is considered to be </w:t>
      </w:r>
      <w:proofErr w:type="spellStart"/>
      <w:r w:rsidRPr="00315194">
        <w:rPr>
          <w:rFonts w:ascii="Cambria" w:hAnsi="Cambria"/>
          <w:color w:val="0E101A"/>
        </w:rPr>
        <w:t>highly</w:t>
      </w:r>
      <w:proofErr w:type="spellEnd"/>
      <w:r w:rsidRPr="00315194">
        <w:rPr>
          <w:rFonts w:ascii="Cambria" w:hAnsi="Cambria"/>
          <w:color w:val="0E101A"/>
        </w:rPr>
        <w:t xml:space="preserve"> </w:t>
      </w:r>
      <w:proofErr w:type="spellStart"/>
      <w:r w:rsidRPr="00315194">
        <w:rPr>
          <w:rFonts w:ascii="Cambria" w:hAnsi="Cambria"/>
          <w:color w:val="0E101A"/>
        </w:rPr>
        <w:t>compatible</w:t>
      </w:r>
      <w:proofErr w:type="spellEnd"/>
      <w:r w:rsidRPr="00315194">
        <w:rPr>
          <w:rFonts w:ascii="Cambria" w:hAnsi="Cambria"/>
          <w:color w:val="0E101A"/>
        </w:rPr>
        <w:t xml:space="preserve"> </w:t>
      </w:r>
      <w:proofErr w:type="spellStart"/>
      <w:r w:rsidRPr="00315194">
        <w:rPr>
          <w:rFonts w:ascii="Cambria" w:hAnsi="Cambria"/>
          <w:color w:val="0E101A"/>
        </w:rPr>
        <w:t>with</w:t>
      </w:r>
      <w:proofErr w:type="spellEnd"/>
      <w:r w:rsidRPr="00315194">
        <w:rPr>
          <w:rFonts w:ascii="Cambria" w:hAnsi="Cambria"/>
          <w:color w:val="0E101A"/>
        </w:rPr>
        <w:t xml:space="preserve"> </w:t>
      </w:r>
      <w:proofErr w:type="spellStart"/>
      <w:r w:rsidRPr="00315194">
        <w:rPr>
          <w:rFonts w:ascii="Cambria" w:hAnsi="Cambria"/>
          <w:color w:val="0E101A"/>
        </w:rPr>
        <w:t>sustainable</w:t>
      </w:r>
      <w:proofErr w:type="spellEnd"/>
      <w:r w:rsidRPr="00315194">
        <w:rPr>
          <w:rFonts w:ascii="Cambria" w:hAnsi="Cambria"/>
          <w:color w:val="0E101A"/>
        </w:rPr>
        <w:t xml:space="preserve"> </w:t>
      </w:r>
      <w:proofErr w:type="spellStart"/>
      <w:r w:rsidRPr="00315194">
        <w:rPr>
          <w:rFonts w:ascii="Cambria" w:hAnsi="Cambria"/>
          <w:color w:val="0E101A"/>
        </w:rPr>
        <w:t>bioclimatic</w:t>
      </w:r>
      <w:proofErr w:type="spellEnd"/>
      <w:r w:rsidRPr="00315194">
        <w:rPr>
          <w:rFonts w:ascii="Cambria" w:hAnsi="Cambria"/>
          <w:color w:val="0E101A"/>
        </w:rPr>
        <w:t xml:space="preserve"> design </w:t>
      </w:r>
      <w:proofErr w:type="spellStart"/>
      <w:r w:rsidRPr="00315194">
        <w:rPr>
          <w:rFonts w:ascii="Cambria" w:hAnsi="Cambria"/>
          <w:color w:val="0E101A"/>
        </w:rPr>
        <w:t>principles</w:t>
      </w:r>
      <w:proofErr w:type="spellEnd"/>
      <w:r w:rsidRPr="00315194">
        <w:rPr>
          <w:rFonts w:ascii="Cambria" w:hAnsi="Cambria"/>
          <w:color w:val="0E101A"/>
        </w:rPr>
        <w:t xml:space="preserve"> </w:t>
      </w:r>
      <w:r w:rsidR="69D46661" w:rsidRPr="00315194">
        <w:rPr>
          <w:rFonts w:ascii="Cambria" w:hAnsi="Cambria"/>
          <w:color w:val="0E101A"/>
        </w:rPr>
        <w:t>(Puri</w:t>
      </w:r>
      <w:r w:rsidR="5E8596E5" w:rsidRPr="00315194">
        <w:rPr>
          <w:rFonts w:ascii="Cambria" w:hAnsi="Cambria"/>
          <w:color w:val="0E101A"/>
        </w:rPr>
        <w:t xml:space="preserve"> et al.</w:t>
      </w:r>
      <w:r w:rsidR="69D46661" w:rsidRPr="00315194">
        <w:rPr>
          <w:rFonts w:ascii="Cambria" w:hAnsi="Cambria"/>
          <w:color w:val="0E101A"/>
        </w:rPr>
        <w:t>, 2009)</w:t>
      </w:r>
      <w:r w:rsidRPr="00315194">
        <w:rPr>
          <w:rFonts w:ascii="Cambria" w:hAnsi="Cambria"/>
          <w:color w:val="0E101A"/>
        </w:rPr>
        <w:t xml:space="preserve">. Nonetheless, as noted by Thomaier et al. (2014), in </w:t>
      </w:r>
      <w:proofErr w:type="spellStart"/>
      <w:r w:rsidRPr="00315194">
        <w:rPr>
          <w:rFonts w:ascii="Cambria" w:hAnsi="Cambria"/>
          <w:color w:val="0E101A"/>
        </w:rPr>
        <w:t>many</w:t>
      </w:r>
      <w:proofErr w:type="spellEnd"/>
      <w:r w:rsidRPr="00315194">
        <w:rPr>
          <w:rFonts w:ascii="Cambria" w:hAnsi="Cambria"/>
          <w:color w:val="0E101A"/>
        </w:rPr>
        <w:t xml:space="preserve"> </w:t>
      </w:r>
      <w:proofErr w:type="spellStart"/>
      <w:r w:rsidRPr="00315194">
        <w:rPr>
          <w:rFonts w:ascii="Cambria" w:hAnsi="Cambria"/>
          <w:color w:val="0E101A"/>
        </w:rPr>
        <w:t>cases</w:t>
      </w:r>
      <w:proofErr w:type="spellEnd"/>
      <w:r w:rsidRPr="00315194">
        <w:rPr>
          <w:rFonts w:ascii="Cambria" w:hAnsi="Cambria"/>
          <w:color w:val="0E101A"/>
        </w:rPr>
        <w:t xml:space="preserve"> </w:t>
      </w:r>
      <w:proofErr w:type="spellStart"/>
      <w:r w:rsidRPr="00315194">
        <w:rPr>
          <w:rFonts w:ascii="Cambria" w:hAnsi="Cambria"/>
          <w:color w:val="0E101A"/>
        </w:rPr>
        <w:t>the</w:t>
      </w:r>
      <w:proofErr w:type="spellEnd"/>
      <w:r w:rsidRPr="00315194">
        <w:rPr>
          <w:rFonts w:ascii="Cambria" w:hAnsi="Cambria"/>
          <w:color w:val="0E101A"/>
        </w:rPr>
        <w:t xml:space="preserve"> </w:t>
      </w:r>
      <w:proofErr w:type="spellStart"/>
      <w:r w:rsidRPr="00315194">
        <w:rPr>
          <w:rFonts w:ascii="Cambria" w:hAnsi="Cambria"/>
          <w:color w:val="0E101A"/>
        </w:rPr>
        <w:t>synergies</w:t>
      </w:r>
      <w:proofErr w:type="spellEnd"/>
      <w:r w:rsidRPr="00315194">
        <w:rPr>
          <w:rFonts w:ascii="Cambria" w:hAnsi="Cambria"/>
          <w:color w:val="0E101A"/>
        </w:rPr>
        <w:t xml:space="preserve"> </w:t>
      </w:r>
      <w:proofErr w:type="spellStart"/>
      <w:r w:rsidRPr="00315194">
        <w:rPr>
          <w:rFonts w:ascii="Cambria" w:hAnsi="Cambria"/>
          <w:color w:val="0E101A"/>
        </w:rPr>
        <w:t>between</w:t>
      </w:r>
      <w:proofErr w:type="spellEnd"/>
      <w:r w:rsidRPr="00315194">
        <w:rPr>
          <w:rFonts w:ascii="Cambria" w:hAnsi="Cambria"/>
          <w:color w:val="0E101A"/>
        </w:rPr>
        <w:t xml:space="preserve"> </w:t>
      </w:r>
      <w:proofErr w:type="spellStart"/>
      <w:r w:rsidRPr="00315194">
        <w:rPr>
          <w:rFonts w:ascii="Cambria" w:hAnsi="Cambria"/>
          <w:color w:val="0E101A"/>
        </w:rPr>
        <w:t>buildings</w:t>
      </w:r>
      <w:proofErr w:type="spellEnd"/>
      <w:r w:rsidRPr="00315194">
        <w:rPr>
          <w:rFonts w:ascii="Cambria" w:hAnsi="Cambria"/>
          <w:color w:val="0E101A"/>
        </w:rPr>
        <w:t xml:space="preserve"> and </w:t>
      </w:r>
      <w:proofErr w:type="spellStart"/>
      <w:r w:rsidRPr="00315194">
        <w:rPr>
          <w:rFonts w:ascii="Cambria" w:hAnsi="Cambria"/>
          <w:color w:val="0E101A"/>
        </w:rPr>
        <w:t>farming</w:t>
      </w:r>
      <w:proofErr w:type="spellEnd"/>
      <w:r w:rsidRPr="00315194">
        <w:rPr>
          <w:rFonts w:ascii="Cambria" w:hAnsi="Cambria"/>
          <w:color w:val="0E101A"/>
        </w:rPr>
        <w:t xml:space="preserve"> </w:t>
      </w:r>
      <w:proofErr w:type="spellStart"/>
      <w:r w:rsidRPr="00315194">
        <w:rPr>
          <w:rFonts w:ascii="Cambria" w:hAnsi="Cambria"/>
          <w:color w:val="0E101A"/>
        </w:rPr>
        <w:t>are</w:t>
      </w:r>
      <w:proofErr w:type="spellEnd"/>
      <w:r w:rsidRPr="00315194">
        <w:rPr>
          <w:rFonts w:ascii="Cambria" w:hAnsi="Cambria"/>
          <w:color w:val="0E101A"/>
        </w:rPr>
        <w:t xml:space="preserve"> not fully </w:t>
      </w:r>
      <w:proofErr w:type="spellStart"/>
      <w:r w:rsidRPr="00315194">
        <w:rPr>
          <w:rFonts w:ascii="Cambria" w:hAnsi="Cambria"/>
          <w:color w:val="0E101A"/>
        </w:rPr>
        <w:t>exploited</w:t>
      </w:r>
      <w:proofErr w:type="spellEnd"/>
      <w:r w:rsidRPr="00315194">
        <w:rPr>
          <w:rFonts w:ascii="Cambria" w:hAnsi="Cambria"/>
          <w:color w:val="0E101A"/>
        </w:rPr>
        <w:t xml:space="preserve">. This is probably </w:t>
      </w:r>
      <w:r w:rsidR="00203093" w:rsidRPr="00315194">
        <w:rPr>
          <w:rFonts w:ascii="Cambria" w:hAnsi="Cambria"/>
          <w:color w:val="0E101A"/>
        </w:rPr>
        <w:t xml:space="preserve">due to the fact that </w:t>
      </w:r>
      <w:r w:rsidRPr="00315194">
        <w:rPr>
          <w:rFonts w:ascii="Cambria" w:hAnsi="Cambria"/>
          <w:color w:val="0E101A"/>
        </w:rPr>
        <w:t>most BIA projects are integrated with existing buildings that are not necessarily compatible with the food</w:t>
      </w:r>
      <w:r w:rsidR="00203093" w:rsidRPr="00315194">
        <w:rPr>
          <w:rFonts w:ascii="Cambria" w:hAnsi="Cambria"/>
          <w:color w:val="0E101A"/>
        </w:rPr>
        <w:t xml:space="preserve">-productive </w:t>
      </w:r>
      <w:r w:rsidRPr="00315194">
        <w:rPr>
          <w:rFonts w:ascii="Cambria" w:hAnsi="Cambria"/>
          <w:color w:val="0E101A"/>
        </w:rPr>
        <w:t>infrastructure</w:t>
      </w:r>
      <w:r w:rsidR="00203093" w:rsidRPr="00315194">
        <w:rPr>
          <w:rFonts w:ascii="Cambria" w:hAnsi="Cambria"/>
          <w:color w:val="0E101A"/>
        </w:rPr>
        <w:t>.</w:t>
      </w:r>
      <w:r w:rsidRPr="00315194">
        <w:rPr>
          <w:rFonts w:ascii="Cambria" w:hAnsi="Cambria"/>
          <w:color w:val="0E101A"/>
        </w:rPr>
        <w:t xml:space="preserve"> </w:t>
      </w:r>
      <w:r w:rsidR="00203093" w:rsidRPr="00315194">
        <w:rPr>
          <w:rFonts w:ascii="Cambria" w:hAnsi="Cambria"/>
          <w:color w:val="0E101A"/>
        </w:rPr>
        <w:t>H</w:t>
      </w:r>
      <w:r w:rsidRPr="00315194">
        <w:rPr>
          <w:rFonts w:ascii="Cambria" w:hAnsi="Cambria"/>
          <w:color w:val="0E101A"/>
        </w:rPr>
        <w:t>owever</w:t>
      </w:r>
      <w:r w:rsidRPr="00315194">
        <w:rPr>
          <w:rFonts w:ascii="Cambria" w:hAnsi="Cambria"/>
          <w:color w:val="0E101A"/>
          <w:lang w:val="da-DK"/>
        </w:rPr>
        <w:t xml:space="preserve">, BIA </w:t>
      </w:r>
      <w:r w:rsidRPr="00315194">
        <w:rPr>
          <w:rFonts w:ascii="Cambria" w:hAnsi="Cambria"/>
          <w:color w:val="0E101A"/>
        </w:rPr>
        <w:t xml:space="preserve">can be a very powerful tool for the retrofitting of abandoned buildings and old industrial sites. For instance, integrating food production in abandoned sites is an opportunity to bring back to life post-modern ruins, creating new mixed-use buildings that can generate revenues and implement local living quality </w:t>
      </w:r>
      <w:r w:rsidR="00FA061A" w:rsidRPr="00315194">
        <w:rPr>
          <w:rFonts w:ascii="Cambria" w:hAnsi="Cambria"/>
          <w:color w:val="0E101A"/>
        </w:rPr>
        <w:t xml:space="preserve">while also </w:t>
      </w:r>
      <w:r w:rsidRPr="00315194">
        <w:rPr>
          <w:rFonts w:ascii="Cambria" w:hAnsi="Cambria"/>
          <w:color w:val="0E101A"/>
        </w:rPr>
        <w:t xml:space="preserve">improving the urban landscape </w:t>
      </w:r>
      <w:r w:rsidR="2C245C41" w:rsidRPr="00315194">
        <w:rPr>
          <w:rFonts w:ascii="Cambria" w:hAnsi="Cambria"/>
          <w:color w:val="0E101A"/>
        </w:rPr>
        <w:t>(Orsini, 2019)</w:t>
      </w:r>
      <w:r w:rsidRPr="00315194">
        <w:rPr>
          <w:rFonts w:ascii="Cambria" w:hAnsi="Cambria"/>
          <w:color w:val="0E101A"/>
          <w:lang w:val="pt-PT"/>
        </w:rPr>
        <w:t>.</w:t>
      </w:r>
    </w:p>
    <w:p w14:paraId="6C73E6EF" w14:textId="08356718" w:rsidR="008D7710" w:rsidRPr="00315194" w:rsidRDefault="008D7710" w:rsidP="00046407">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567"/>
        <w:contextualSpacing/>
        <w:jc w:val="both"/>
        <w:rPr>
          <w:rFonts w:ascii="Cambria" w:hAnsi="Cambria"/>
          <w:color w:val="0E101A"/>
          <w:sz w:val="22"/>
          <w:szCs w:val="22"/>
          <w:lang w:val="pt-PT"/>
        </w:rPr>
      </w:pPr>
      <w:r w:rsidRPr="00467BB8">
        <w:rPr>
          <w:rFonts w:ascii="Cambria" w:hAnsi="Cambria"/>
          <w:color w:val="0E101A"/>
          <w:sz w:val="22"/>
          <w:szCs w:val="22"/>
          <w:lang w:val="pt-PT"/>
        </w:rPr>
        <w:t>Z-farming and B</w:t>
      </w:r>
      <w:r w:rsidR="009B6DCB" w:rsidRPr="00467BB8">
        <w:rPr>
          <w:rFonts w:ascii="Cambria" w:hAnsi="Cambria"/>
          <w:color w:val="0E101A"/>
          <w:sz w:val="22"/>
          <w:szCs w:val="22"/>
          <w:lang w:val="pt-PT"/>
        </w:rPr>
        <w:t>IA can be declined in different ways as reported in Figure 1. Among the</w:t>
      </w:r>
      <w:r w:rsidR="009B6DCB" w:rsidRPr="00315194">
        <w:rPr>
          <w:rFonts w:ascii="Cambria" w:hAnsi="Cambria"/>
          <w:color w:val="0E101A"/>
          <w:sz w:val="22"/>
          <w:szCs w:val="22"/>
          <w:lang w:val="pt-PT"/>
        </w:rPr>
        <w:t xml:space="preserve"> various, the cultivation of rooftops, also defined to as Rooftop Agriculture (RA)</w:t>
      </w:r>
      <w:r w:rsidR="000A3122" w:rsidRPr="00315194">
        <w:rPr>
          <w:rFonts w:ascii="Cambria" w:hAnsi="Cambria"/>
          <w:color w:val="0E101A"/>
          <w:sz w:val="22"/>
          <w:szCs w:val="22"/>
          <w:lang w:val="pt-PT"/>
        </w:rPr>
        <w:t xml:space="preserve"> (Orsini et al., 2017)</w:t>
      </w:r>
      <w:r w:rsidR="009B6DCB" w:rsidRPr="00315194">
        <w:rPr>
          <w:rFonts w:ascii="Cambria" w:hAnsi="Cambria"/>
          <w:color w:val="0E101A"/>
          <w:sz w:val="22"/>
          <w:szCs w:val="22"/>
          <w:lang w:val="pt-PT"/>
        </w:rPr>
        <w:t>, represent</w:t>
      </w:r>
      <w:r w:rsidR="000A3122" w:rsidRPr="00315194">
        <w:rPr>
          <w:rFonts w:ascii="Cambria" w:hAnsi="Cambria"/>
          <w:color w:val="0E101A"/>
          <w:sz w:val="22"/>
          <w:szCs w:val="22"/>
          <w:lang w:val="pt-PT"/>
        </w:rPr>
        <w:t>s</w:t>
      </w:r>
      <w:r w:rsidR="009B6DCB" w:rsidRPr="00315194">
        <w:rPr>
          <w:rFonts w:ascii="Cambria" w:hAnsi="Cambria"/>
          <w:color w:val="0E101A"/>
          <w:sz w:val="22"/>
          <w:szCs w:val="22"/>
          <w:lang w:val="pt-PT"/>
        </w:rPr>
        <w:t xml:space="preserve"> an interesting solution to integrate agriculture in cities without consuming both urban land and building </w:t>
      </w:r>
      <w:r w:rsidR="00541638">
        <w:rPr>
          <w:rFonts w:ascii="Cambria" w:hAnsi="Cambria"/>
          <w:color w:val="0E101A"/>
          <w:sz w:val="22"/>
          <w:szCs w:val="22"/>
          <w:lang w:val="pt-PT"/>
        </w:rPr>
        <w:t xml:space="preserve">internal spaces that may be </w:t>
      </w:r>
      <w:r w:rsidR="009B6DCB" w:rsidRPr="00315194">
        <w:rPr>
          <w:rFonts w:ascii="Cambria" w:hAnsi="Cambria"/>
          <w:color w:val="0E101A"/>
          <w:sz w:val="22"/>
          <w:szCs w:val="22"/>
          <w:lang w:val="pt-PT"/>
        </w:rPr>
        <w:t>invested for other uses. In fact, this form of agriculture</w:t>
      </w:r>
      <w:r w:rsidR="00541638">
        <w:rPr>
          <w:rFonts w:ascii="Cambria" w:hAnsi="Cambria"/>
          <w:color w:val="0E101A"/>
          <w:sz w:val="22"/>
          <w:szCs w:val="22"/>
          <w:lang w:val="pt-PT"/>
        </w:rPr>
        <w:t>,</w:t>
      </w:r>
      <w:r w:rsidR="009B6DCB" w:rsidRPr="00315194">
        <w:rPr>
          <w:rFonts w:ascii="Cambria" w:hAnsi="Cambria"/>
          <w:color w:val="0E101A"/>
          <w:sz w:val="22"/>
          <w:szCs w:val="22"/>
          <w:lang w:val="pt-PT"/>
        </w:rPr>
        <w:t xml:space="preserve"> which can be applied both as open-air gardens or rooftop greenhouses</w:t>
      </w:r>
      <w:r w:rsidR="000A3122" w:rsidRPr="00315194">
        <w:rPr>
          <w:rFonts w:ascii="Cambria" w:hAnsi="Cambria"/>
          <w:color w:val="0E101A"/>
          <w:sz w:val="22"/>
          <w:szCs w:val="22"/>
          <w:lang w:val="pt-PT"/>
        </w:rPr>
        <w:t>, has</w:t>
      </w:r>
      <w:r w:rsidR="009B6DCB" w:rsidRPr="00315194">
        <w:rPr>
          <w:rFonts w:ascii="Cambria" w:hAnsi="Cambria"/>
          <w:color w:val="0E101A"/>
          <w:sz w:val="22"/>
          <w:szCs w:val="22"/>
          <w:lang w:val="pt-PT"/>
        </w:rPr>
        <w:t xml:space="preserve"> the characteristic to use underexploited building spaces</w:t>
      </w:r>
      <w:r w:rsidR="000A3122" w:rsidRPr="00315194">
        <w:rPr>
          <w:rFonts w:ascii="Cambria" w:hAnsi="Cambria"/>
          <w:color w:val="0E101A"/>
          <w:sz w:val="22"/>
          <w:szCs w:val="22"/>
          <w:lang w:val="pt-PT"/>
        </w:rPr>
        <w:t xml:space="preserve">, </w:t>
      </w:r>
      <w:r w:rsidR="009B6DCB" w:rsidRPr="00315194">
        <w:rPr>
          <w:rFonts w:ascii="Cambria" w:hAnsi="Cambria"/>
          <w:color w:val="0E101A"/>
          <w:sz w:val="22"/>
          <w:szCs w:val="22"/>
          <w:lang w:val="pt-PT"/>
        </w:rPr>
        <w:t>futhermore adding benefits to building enviroment (e.g., rooftop climatic insulation) and inhabitants (e.g., self-production, recreational space). For these reason</w:t>
      </w:r>
      <w:r w:rsidR="000A3122" w:rsidRPr="00315194">
        <w:rPr>
          <w:rFonts w:ascii="Cambria" w:hAnsi="Cambria"/>
          <w:color w:val="0E101A"/>
          <w:sz w:val="22"/>
          <w:szCs w:val="22"/>
          <w:lang w:val="pt-PT"/>
        </w:rPr>
        <w:t>s,</w:t>
      </w:r>
      <w:r w:rsidR="009B6DCB" w:rsidRPr="00315194">
        <w:rPr>
          <w:rFonts w:ascii="Cambria" w:hAnsi="Cambria"/>
          <w:color w:val="0E101A"/>
          <w:sz w:val="22"/>
          <w:szCs w:val="22"/>
          <w:lang w:val="pt-PT"/>
        </w:rPr>
        <w:t xml:space="preserve"> this form of UA is </w:t>
      </w:r>
      <w:r w:rsidR="000A3122" w:rsidRPr="00315194">
        <w:rPr>
          <w:rFonts w:ascii="Cambria" w:hAnsi="Cambria"/>
          <w:color w:val="0E101A"/>
          <w:sz w:val="22"/>
          <w:szCs w:val="22"/>
          <w:lang w:val="pt-PT"/>
        </w:rPr>
        <w:t xml:space="preserve">rapidly </w:t>
      </w:r>
      <w:r w:rsidR="009B6DCB" w:rsidRPr="00315194">
        <w:rPr>
          <w:rFonts w:ascii="Cambria" w:hAnsi="Cambria"/>
          <w:color w:val="0E101A"/>
          <w:sz w:val="22"/>
          <w:szCs w:val="22"/>
          <w:lang w:val="pt-PT"/>
        </w:rPr>
        <w:t>deve</w:t>
      </w:r>
      <w:r w:rsidR="000A3122" w:rsidRPr="00315194">
        <w:rPr>
          <w:rFonts w:ascii="Cambria" w:hAnsi="Cambria"/>
          <w:color w:val="0E101A"/>
          <w:sz w:val="22"/>
          <w:szCs w:val="22"/>
          <w:lang w:val="pt-PT"/>
        </w:rPr>
        <w:t>loping worldwide, benefit</w:t>
      </w:r>
      <w:r w:rsidR="007D179D">
        <w:rPr>
          <w:rFonts w:ascii="Cambria" w:hAnsi="Cambria"/>
          <w:color w:val="0E101A"/>
          <w:sz w:val="22"/>
          <w:szCs w:val="22"/>
          <w:lang w:val="pt-PT"/>
        </w:rPr>
        <w:t>t</w:t>
      </w:r>
      <w:r w:rsidR="000A3122" w:rsidRPr="00315194">
        <w:rPr>
          <w:rFonts w:ascii="Cambria" w:hAnsi="Cambria"/>
          <w:color w:val="0E101A"/>
          <w:sz w:val="22"/>
          <w:szCs w:val="22"/>
          <w:lang w:val="pt-PT"/>
        </w:rPr>
        <w:t>ing different realities (e.g., commercial farms, re</w:t>
      </w:r>
      <w:r w:rsidR="00844F7B" w:rsidRPr="00315194">
        <w:rPr>
          <w:rFonts w:ascii="Cambria" w:hAnsi="Cambria"/>
          <w:color w:val="0E101A"/>
          <w:sz w:val="22"/>
          <w:szCs w:val="22"/>
          <w:lang w:val="pt-PT"/>
        </w:rPr>
        <w:t>creational</w:t>
      </w:r>
      <w:r w:rsidR="000A3122" w:rsidRPr="00315194">
        <w:rPr>
          <w:rFonts w:ascii="Cambria" w:hAnsi="Cambria"/>
          <w:color w:val="0E101A"/>
          <w:sz w:val="22"/>
          <w:szCs w:val="22"/>
          <w:lang w:val="pt-PT"/>
        </w:rPr>
        <w:t xml:space="preserve"> spaces for office employees, self-production in low-income families) </w:t>
      </w:r>
      <w:r w:rsidR="007D179D">
        <w:rPr>
          <w:rFonts w:ascii="Cambria" w:hAnsi="Cambria"/>
          <w:color w:val="0E101A"/>
          <w:sz w:val="22"/>
          <w:szCs w:val="22"/>
          <w:lang w:val="pt-PT"/>
        </w:rPr>
        <w:t xml:space="preserve">across </w:t>
      </w:r>
      <w:r w:rsidR="000A3122" w:rsidRPr="00315194">
        <w:rPr>
          <w:rFonts w:ascii="Cambria" w:hAnsi="Cambria"/>
          <w:color w:val="0E101A"/>
          <w:sz w:val="22"/>
          <w:szCs w:val="22"/>
          <w:lang w:val="pt-PT"/>
        </w:rPr>
        <w:t>the World (Appolloni et al., 2021).</w:t>
      </w:r>
    </w:p>
    <w:p w14:paraId="68E960F9" w14:textId="77777777" w:rsidR="004B5B7C" w:rsidRPr="00315194" w:rsidRDefault="004B5B7C" w:rsidP="00046407">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567"/>
        <w:contextualSpacing/>
        <w:jc w:val="both"/>
        <w:rPr>
          <w:rFonts w:ascii="Cambria" w:eastAsia="Times New Roman" w:hAnsi="Cambria" w:cs="Times New Roman"/>
          <w:color w:val="0E101A"/>
          <w:sz w:val="22"/>
          <w:szCs w:val="22"/>
        </w:rPr>
      </w:pPr>
    </w:p>
    <w:p w14:paraId="3971D0D3" w14:textId="37A75328" w:rsidR="00F01EEF" w:rsidRPr="00315194" w:rsidRDefault="00163198" w:rsidP="00046407">
      <w:pPr>
        <w:spacing w:after="0" w:line="240" w:lineRule="auto"/>
        <w:contextualSpacing/>
        <w:jc w:val="both"/>
        <w:rPr>
          <w:lang w:val="en-US"/>
        </w:rPr>
      </w:pPr>
      <w:r w:rsidRPr="00046407">
        <w:rPr>
          <w:rFonts w:ascii="Cambria" w:hAnsi="Cambria"/>
          <w:b/>
          <w:bCs/>
          <w:lang w:val="en-US"/>
        </w:rPr>
        <w:t>Potentialities of BIA</w:t>
      </w:r>
    </w:p>
    <w:p w14:paraId="3971D0D5" w14:textId="4E709899" w:rsidR="00F01EEF" w:rsidRPr="00046407" w:rsidRDefault="00163198"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contextualSpacing/>
        <w:jc w:val="both"/>
        <w:rPr>
          <w:rFonts w:ascii="Cambria" w:eastAsia="Times New Roman" w:hAnsi="Cambria" w:cs="Times New Roman"/>
          <w:lang w:val="en-US"/>
        </w:rPr>
      </w:pPr>
      <w:r w:rsidRPr="00315194">
        <w:rPr>
          <w:rFonts w:ascii="Cambria" w:hAnsi="Cambria"/>
          <w:lang w:val="en-US"/>
        </w:rPr>
        <w:t xml:space="preserve">Finding new spaces for agriculture in urban environments drove scientists and researchers to develop new technologies that can maximize yields in limited spaces. In this scenario, </w:t>
      </w:r>
      <w:proofErr w:type="spellStart"/>
      <w:r w:rsidRPr="00315194">
        <w:rPr>
          <w:rFonts w:ascii="Cambria" w:hAnsi="Cambria"/>
          <w:lang w:val="en-US"/>
        </w:rPr>
        <w:t>ZFarming</w:t>
      </w:r>
      <w:proofErr w:type="spellEnd"/>
      <w:r w:rsidRPr="00315194">
        <w:rPr>
          <w:rFonts w:ascii="Cambria" w:hAnsi="Cambria"/>
          <w:lang w:val="en-US"/>
        </w:rPr>
        <w:t xml:space="preserve"> and BIA experiences </w:t>
      </w:r>
      <w:r w:rsidR="00311EF4" w:rsidRPr="00315194">
        <w:rPr>
          <w:rFonts w:ascii="Cambria" w:hAnsi="Cambria"/>
          <w:lang w:val="en-US"/>
        </w:rPr>
        <w:t xml:space="preserve">have </w:t>
      </w:r>
      <w:r w:rsidR="00A340AB" w:rsidRPr="00315194">
        <w:rPr>
          <w:rFonts w:ascii="Cambria" w:hAnsi="Cambria"/>
          <w:lang w:val="en-US"/>
        </w:rPr>
        <w:t>raised</w:t>
      </w:r>
      <w:r w:rsidR="00311EF4" w:rsidRPr="00315194">
        <w:rPr>
          <w:rFonts w:ascii="Cambria" w:hAnsi="Cambria"/>
          <w:lang w:val="en-US"/>
        </w:rPr>
        <w:t xml:space="preserve"> </w:t>
      </w:r>
      <w:r w:rsidRPr="00315194">
        <w:rPr>
          <w:rFonts w:ascii="Cambria" w:hAnsi="Cambria"/>
          <w:lang w:val="en-US"/>
        </w:rPr>
        <w:t xml:space="preserve">taking advantage of vertical spaces in cities to increase urban food production. In particular, the advantages of BIA projects are not only connected to the possibility of producing food without occupying urban </w:t>
      </w:r>
      <w:r w:rsidR="007D179D">
        <w:rPr>
          <w:rFonts w:ascii="Cambria" w:hAnsi="Cambria"/>
          <w:lang w:val="en-US"/>
        </w:rPr>
        <w:t>land</w:t>
      </w:r>
      <w:r w:rsidRPr="00315194">
        <w:rPr>
          <w:rFonts w:ascii="Cambria" w:hAnsi="Cambria"/>
          <w:lang w:val="en-US"/>
        </w:rPr>
        <w:t xml:space="preserve">, but also in the way they could implement synergies between buildings and agriculture processes </w:t>
      </w:r>
      <w:r w:rsidR="3094E3AE" w:rsidRPr="00315194">
        <w:rPr>
          <w:rFonts w:ascii="Cambria" w:hAnsi="Cambria"/>
          <w:lang w:val="en-US"/>
        </w:rPr>
        <w:t>(</w:t>
      </w:r>
      <w:r w:rsidR="3094E3AE" w:rsidRPr="00315194">
        <w:rPr>
          <w:rFonts w:ascii="Cambria" w:eastAsia="Cambria" w:hAnsi="Cambria" w:cs="Cambria"/>
          <w:color w:val="auto"/>
          <w:lang w:val="en-US"/>
        </w:rPr>
        <w:t>Specht et al., 2014</w:t>
      </w:r>
      <w:r w:rsidR="3094E3AE" w:rsidRPr="00315194">
        <w:rPr>
          <w:rFonts w:ascii="Cambria" w:hAnsi="Cambria"/>
          <w:lang w:val="en-US"/>
        </w:rPr>
        <w:t>)</w:t>
      </w:r>
      <w:r w:rsidRPr="00315194">
        <w:rPr>
          <w:rFonts w:ascii="Cambria" w:hAnsi="Cambria"/>
          <w:lang w:val="en-US"/>
        </w:rPr>
        <w:t>. In this regard, the application of advanced farming systems within the constructed environment represents a new opportunity for planners, architects and engineers</w:t>
      </w:r>
      <w:r w:rsidR="00311EF4" w:rsidRPr="00315194">
        <w:rPr>
          <w:rFonts w:ascii="Cambria" w:hAnsi="Cambria"/>
          <w:lang w:val="en-US"/>
        </w:rPr>
        <w:t>,</w:t>
      </w:r>
      <w:r w:rsidRPr="00315194">
        <w:rPr>
          <w:rFonts w:ascii="Cambria" w:hAnsi="Cambria"/>
          <w:lang w:val="en-US"/>
        </w:rPr>
        <w:t xml:space="preserve"> tak</w:t>
      </w:r>
      <w:r w:rsidR="00311EF4" w:rsidRPr="00315194">
        <w:rPr>
          <w:rFonts w:ascii="Cambria" w:hAnsi="Cambria"/>
          <w:lang w:val="en-US"/>
        </w:rPr>
        <w:t>ing</w:t>
      </w:r>
      <w:r w:rsidRPr="00315194">
        <w:rPr>
          <w:rFonts w:ascii="Cambria" w:hAnsi="Cambria"/>
          <w:lang w:val="en-US"/>
        </w:rPr>
        <w:t xml:space="preserve"> advantage of </w:t>
      </w:r>
      <w:r w:rsidR="00311EF4" w:rsidRPr="00315194">
        <w:rPr>
          <w:rFonts w:ascii="Cambria" w:hAnsi="Cambria"/>
          <w:lang w:val="en-US"/>
        </w:rPr>
        <w:t xml:space="preserve">UA </w:t>
      </w:r>
      <w:r w:rsidRPr="00315194">
        <w:rPr>
          <w:rFonts w:ascii="Cambria" w:hAnsi="Cambria"/>
          <w:lang w:val="en-US"/>
        </w:rPr>
        <w:t xml:space="preserve">technologies to implement circular flows of resources in cities. </w:t>
      </w:r>
      <w:r w:rsidR="00311EF4" w:rsidRPr="00315194">
        <w:rPr>
          <w:rFonts w:ascii="Cambria" w:hAnsi="Cambria"/>
          <w:lang w:val="en-US"/>
        </w:rPr>
        <w:t>In fact, c</w:t>
      </w:r>
      <w:r w:rsidRPr="00315194">
        <w:rPr>
          <w:rFonts w:ascii="Cambria" w:hAnsi="Cambria"/>
          <w:lang w:val="en-US"/>
        </w:rPr>
        <w:t xml:space="preserve">ities are the hubs where circular strategies can be experimented and implemented: here, the confluence of government actors, business and citizens “creates live innovation labs for addressing the complex challenges of linear economic models” </w:t>
      </w:r>
      <w:r w:rsidR="0A04F205" w:rsidRPr="00315194">
        <w:rPr>
          <w:rFonts w:ascii="Cambria" w:hAnsi="Cambria"/>
          <w:lang w:val="en-US"/>
        </w:rPr>
        <w:t>(WEF, 2018)</w:t>
      </w:r>
      <w:r w:rsidRPr="00315194">
        <w:rPr>
          <w:rFonts w:ascii="Cambria" w:hAnsi="Cambria"/>
          <w:lang w:val="en-US"/>
        </w:rPr>
        <w:t xml:space="preserve">. Furthermore, local municipalities can act faster than national governments, making it more agile for cities to </w:t>
      </w:r>
      <w:r w:rsidR="00FA061A" w:rsidRPr="00315194">
        <w:rPr>
          <w:rFonts w:ascii="Cambria" w:hAnsi="Cambria"/>
          <w:lang w:val="en-US"/>
        </w:rPr>
        <w:t xml:space="preserve">move </w:t>
      </w:r>
      <w:r w:rsidRPr="00315194">
        <w:rPr>
          <w:rFonts w:ascii="Cambria" w:hAnsi="Cambria"/>
          <w:lang w:val="en-US"/>
        </w:rPr>
        <w:t xml:space="preserve">towards circular policies </w:t>
      </w:r>
      <w:r w:rsidR="5B653402" w:rsidRPr="00315194">
        <w:rPr>
          <w:rFonts w:ascii="Cambria" w:hAnsi="Cambria"/>
          <w:lang w:val="en-US"/>
        </w:rPr>
        <w:t>(Ellen MacArthur Foundation, 2015)</w:t>
      </w:r>
      <w:r w:rsidRPr="00315194">
        <w:rPr>
          <w:rFonts w:ascii="Cambria" w:hAnsi="Cambria"/>
          <w:lang w:val="en-US"/>
        </w:rPr>
        <w:t xml:space="preserve">. In this sense, </w:t>
      </w:r>
      <w:r w:rsidR="00AB248A" w:rsidRPr="00315194">
        <w:rPr>
          <w:rFonts w:ascii="Cambria" w:hAnsi="Cambria"/>
          <w:lang w:val="en-US"/>
        </w:rPr>
        <w:t xml:space="preserve">the </w:t>
      </w:r>
      <w:r w:rsidRPr="00315194">
        <w:rPr>
          <w:rFonts w:ascii="Cambria" w:hAnsi="Cambria"/>
          <w:lang w:val="en-US"/>
        </w:rPr>
        <w:t>t</w:t>
      </w:r>
      <w:proofErr w:type="spellStart"/>
      <w:r w:rsidR="00A340AB" w:rsidRPr="00315194">
        <w:rPr>
          <w:rFonts w:ascii="Cambria" w:hAnsi="Cambria"/>
          <w:lang w:val="fr-FR"/>
        </w:rPr>
        <w:t>ransition</w:t>
      </w:r>
      <w:proofErr w:type="spellEnd"/>
      <w:r w:rsidRPr="00315194">
        <w:rPr>
          <w:rFonts w:ascii="Cambria" w:hAnsi="Cambria"/>
          <w:lang w:val="en-US"/>
        </w:rPr>
        <w:t xml:space="preserve"> to a circular economy requires </w:t>
      </w:r>
      <w:r w:rsidR="00AB248A" w:rsidRPr="00315194">
        <w:rPr>
          <w:rFonts w:ascii="Cambria" w:hAnsi="Cambria"/>
          <w:lang w:val="en-US"/>
        </w:rPr>
        <w:t xml:space="preserve">to </w:t>
      </w:r>
      <w:r w:rsidRPr="00315194">
        <w:rPr>
          <w:rFonts w:ascii="Cambria" w:hAnsi="Cambria"/>
          <w:lang w:val="en-US"/>
        </w:rPr>
        <w:t>rethink</w:t>
      </w:r>
      <w:r w:rsidR="00AB248A" w:rsidRPr="00315194">
        <w:rPr>
          <w:rFonts w:ascii="Cambria" w:hAnsi="Cambria"/>
          <w:lang w:val="en-US"/>
        </w:rPr>
        <w:t xml:space="preserve"> </w:t>
      </w:r>
      <w:r w:rsidRPr="00315194">
        <w:rPr>
          <w:rFonts w:ascii="Cambria" w:hAnsi="Cambria"/>
          <w:lang w:val="en-US"/>
        </w:rPr>
        <w:t>market strategies and models that encourage the responsible consumption of natural resources, educating consumers</w:t>
      </w:r>
      <w:r w:rsidR="00AB248A" w:rsidRPr="00315194">
        <w:rPr>
          <w:rFonts w:ascii="Cambria" w:hAnsi="Cambria"/>
          <w:lang w:val="en-US"/>
        </w:rPr>
        <w:t xml:space="preserve"> and </w:t>
      </w:r>
      <w:r w:rsidRPr="00315194">
        <w:rPr>
          <w:rFonts w:ascii="Cambria" w:hAnsi="Cambria"/>
          <w:lang w:val="en-US"/>
        </w:rPr>
        <w:t xml:space="preserve">proposing new sustainable behaviors </w:t>
      </w:r>
      <w:r w:rsidR="4C53079F" w:rsidRPr="00315194">
        <w:rPr>
          <w:rFonts w:ascii="Cambria" w:hAnsi="Cambria"/>
          <w:lang w:val="en-US"/>
        </w:rPr>
        <w:t>(WEF, 2018)</w:t>
      </w:r>
      <w:r w:rsidRPr="00315194">
        <w:rPr>
          <w:rFonts w:ascii="Cambria" w:hAnsi="Cambria"/>
          <w:lang w:val="en-US"/>
        </w:rPr>
        <w:t xml:space="preserve">. </w:t>
      </w:r>
      <w:r w:rsidR="00FA061A" w:rsidRPr="00315194">
        <w:rPr>
          <w:rFonts w:ascii="Cambria" w:hAnsi="Cambria"/>
          <w:lang w:val="en-US"/>
        </w:rPr>
        <w:t xml:space="preserve">For instance, at city level (WEF, 2018), </w:t>
      </w:r>
      <w:r w:rsidRPr="00315194">
        <w:rPr>
          <w:rFonts w:ascii="Cambria" w:hAnsi="Cambria"/>
          <w:lang w:val="en-US"/>
        </w:rPr>
        <w:t xml:space="preserve">circular economy </w:t>
      </w:r>
      <w:r w:rsidR="00FA061A" w:rsidRPr="00315194">
        <w:rPr>
          <w:rFonts w:ascii="Cambria" w:hAnsi="Cambria"/>
          <w:lang w:val="en-US"/>
        </w:rPr>
        <w:t>can:</w:t>
      </w:r>
      <w:r w:rsidR="00FA061A" w:rsidRPr="00046407">
        <w:rPr>
          <w:rFonts w:ascii="Cambria" w:hAnsi="Cambria"/>
          <w:lang w:val="en-US"/>
        </w:rPr>
        <w:t xml:space="preserve"> </w:t>
      </w:r>
    </w:p>
    <w:p w14:paraId="3971D0D6" w14:textId="77777777" w:rsidR="00F01EEF" w:rsidRPr="00315194" w:rsidRDefault="00163198" w:rsidP="00046407">
      <w:pPr>
        <w:pStyle w:val="Corpo"/>
        <w:numPr>
          <w:ilvl w:val="0"/>
          <w:numId w:val="6"/>
        </w:numPr>
        <w:ind w:firstLine="567"/>
        <w:contextualSpacing/>
        <w:jc w:val="both"/>
        <w:rPr>
          <w:rFonts w:ascii="Cambria" w:hAnsi="Cambria"/>
          <w:lang w:val="en-US"/>
        </w:rPr>
      </w:pPr>
      <w:r w:rsidRPr="00315194">
        <w:rPr>
          <w:rFonts w:ascii="Cambria" w:hAnsi="Cambria"/>
          <w:lang w:val="en-US"/>
        </w:rPr>
        <w:t xml:space="preserve">create a circular supply chain, in which residual outputs from one process feed into another process; </w:t>
      </w:r>
    </w:p>
    <w:p w14:paraId="3971D0D7" w14:textId="77777777" w:rsidR="00F01EEF" w:rsidRPr="00315194" w:rsidRDefault="00163198" w:rsidP="00046407">
      <w:pPr>
        <w:pStyle w:val="Corpo"/>
        <w:numPr>
          <w:ilvl w:val="0"/>
          <w:numId w:val="6"/>
        </w:numPr>
        <w:spacing w:before="240"/>
        <w:ind w:firstLine="567"/>
        <w:contextualSpacing/>
        <w:jc w:val="both"/>
        <w:rPr>
          <w:rFonts w:ascii="Cambria" w:hAnsi="Cambria"/>
          <w:lang w:val="en-US"/>
        </w:rPr>
      </w:pPr>
      <w:r w:rsidRPr="00315194">
        <w:rPr>
          <w:rFonts w:ascii="Cambria" w:hAnsi="Cambria"/>
          <w:lang w:val="en-US"/>
        </w:rPr>
        <w:t xml:space="preserve">recover the resource value of materials in a manner that creates new value from these same materials; </w:t>
      </w:r>
    </w:p>
    <w:p w14:paraId="3971D0D8" w14:textId="509AFAB3" w:rsidR="00F01EEF" w:rsidRPr="00315194" w:rsidRDefault="00163198" w:rsidP="00046407">
      <w:pPr>
        <w:pStyle w:val="Corpo"/>
        <w:numPr>
          <w:ilvl w:val="0"/>
          <w:numId w:val="6"/>
        </w:numPr>
        <w:spacing w:before="240"/>
        <w:ind w:firstLine="567"/>
        <w:contextualSpacing/>
        <w:jc w:val="both"/>
        <w:rPr>
          <w:rFonts w:ascii="Cambria" w:hAnsi="Cambria"/>
          <w:lang w:val="en-US"/>
        </w:rPr>
      </w:pPr>
      <w:r w:rsidRPr="00315194">
        <w:rPr>
          <w:rFonts w:ascii="Cambria" w:hAnsi="Cambria"/>
          <w:lang w:val="en-US"/>
        </w:rPr>
        <w:t>extend the work-life of a product</w:t>
      </w:r>
      <w:r w:rsidR="00AB248A" w:rsidRPr="00315194">
        <w:rPr>
          <w:rFonts w:ascii="Cambria" w:hAnsi="Cambria"/>
          <w:lang w:val="en-US"/>
        </w:rPr>
        <w:t xml:space="preserve">, </w:t>
      </w:r>
      <w:r w:rsidR="003C54C2" w:rsidRPr="00315194">
        <w:rPr>
          <w:rFonts w:ascii="Cambria" w:hAnsi="Cambria"/>
          <w:lang w:val="en-US"/>
        </w:rPr>
        <w:t>improve food</w:t>
      </w:r>
      <w:r w:rsidR="00AB248A" w:rsidRPr="00315194">
        <w:rPr>
          <w:rFonts w:ascii="Cambria" w:hAnsi="Cambria"/>
          <w:lang w:val="en-US"/>
        </w:rPr>
        <w:t xml:space="preserve"> </w:t>
      </w:r>
      <w:r w:rsidRPr="00315194">
        <w:rPr>
          <w:rFonts w:ascii="Cambria" w:hAnsi="Cambria"/>
          <w:lang w:val="en-US"/>
        </w:rPr>
        <w:t xml:space="preserve">access and ownership; </w:t>
      </w:r>
    </w:p>
    <w:p w14:paraId="3971D0DA" w14:textId="10762B47" w:rsidR="00F01EEF" w:rsidRPr="00315194" w:rsidRDefault="00163198" w:rsidP="00046407">
      <w:pPr>
        <w:pStyle w:val="Corpo"/>
        <w:numPr>
          <w:ilvl w:val="0"/>
          <w:numId w:val="6"/>
        </w:numPr>
        <w:spacing w:before="240"/>
        <w:ind w:firstLine="567"/>
        <w:contextualSpacing/>
        <w:jc w:val="both"/>
        <w:rPr>
          <w:rFonts w:ascii="Cambria" w:eastAsia="Times New Roman" w:hAnsi="Cambria" w:cs="Times New Roman"/>
          <w:lang w:val="en-US"/>
        </w:rPr>
      </w:pPr>
      <w:r w:rsidRPr="00315194">
        <w:rPr>
          <w:rFonts w:ascii="Cambria" w:hAnsi="Cambria"/>
          <w:lang w:val="en-US"/>
        </w:rPr>
        <w:t xml:space="preserve">improve the usage rates of products through shared use. </w:t>
      </w:r>
    </w:p>
    <w:p w14:paraId="3971D0DB" w14:textId="681C1F6A" w:rsidR="00F01EEF" w:rsidRPr="00315194" w:rsidRDefault="00163198"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firstLine="567"/>
        <w:contextualSpacing/>
        <w:jc w:val="both"/>
        <w:rPr>
          <w:rFonts w:ascii="Cambria" w:hAnsi="Cambria"/>
          <w:lang w:val="en-US"/>
        </w:rPr>
      </w:pPr>
      <w:r w:rsidRPr="00315194">
        <w:rPr>
          <w:rFonts w:ascii="Cambria" w:hAnsi="Cambria"/>
          <w:lang w:val="en-US"/>
        </w:rPr>
        <w:t xml:space="preserve">In this context, implementing </w:t>
      </w:r>
      <w:r w:rsidR="007D179D">
        <w:rPr>
          <w:rFonts w:ascii="Cambria" w:hAnsi="Cambria"/>
          <w:lang w:val="en-US"/>
        </w:rPr>
        <w:t>BIA</w:t>
      </w:r>
      <w:r w:rsidRPr="00315194">
        <w:rPr>
          <w:rFonts w:ascii="Cambria" w:hAnsi="Cambria"/>
          <w:lang w:val="en-US"/>
        </w:rPr>
        <w:t xml:space="preserve"> is coherent with cities’ circular development goals. Closed-loop agricultural ecosystems can treat waste as a resource developing metabolic synergies between buildings and farming, recycling and reusing nearly every element of the farming process, from energy, to waste</w:t>
      </w:r>
      <w:r w:rsidRPr="00315194">
        <w:rPr>
          <w:rFonts w:ascii="Cambria" w:hAnsi="Cambria"/>
          <w:lang w:val="nl-NL"/>
        </w:rPr>
        <w:t>water</w:t>
      </w:r>
      <w:r w:rsidRPr="00315194">
        <w:rPr>
          <w:rFonts w:ascii="Cambria" w:hAnsi="Cambria"/>
          <w:lang w:val="en-US"/>
        </w:rPr>
        <w:t xml:space="preserve"> and nutrients </w:t>
      </w:r>
      <w:r w:rsidR="2DDEAE11" w:rsidRPr="00315194">
        <w:rPr>
          <w:rFonts w:ascii="Cambria" w:hAnsi="Cambria"/>
          <w:lang w:val="en-US"/>
        </w:rPr>
        <w:t>(Al-</w:t>
      </w:r>
      <w:proofErr w:type="spellStart"/>
      <w:r w:rsidR="2DDEAE11" w:rsidRPr="00315194">
        <w:rPr>
          <w:rFonts w:ascii="Cambria" w:hAnsi="Cambria"/>
          <w:lang w:val="en-US"/>
        </w:rPr>
        <w:t>Kodmany</w:t>
      </w:r>
      <w:proofErr w:type="spellEnd"/>
      <w:r w:rsidR="2DDEAE11" w:rsidRPr="00315194">
        <w:rPr>
          <w:rFonts w:ascii="Cambria" w:hAnsi="Cambria"/>
          <w:lang w:val="en-US"/>
        </w:rPr>
        <w:t>, 2018)</w:t>
      </w:r>
      <w:r w:rsidRPr="00315194">
        <w:rPr>
          <w:rFonts w:ascii="Cambria" w:hAnsi="Cambria"/>
          <w:lang w:val="en-US"/>
        </w:rPr>
        <w:t xml:space="preserve">. Ideally, in closed-loop systems, everything remains in the system, leading to a zero-waste outcome </w:t>
      </w:r>
      <w:r w:rsidR="5B596840" w:rsidRPr="00315194">
        <w:rPr>
          <w:rFonts w:ascii="Cambria" w:hAnsi="Cambria"/>
          <w:lang w:val="en-US"/>
        </w:rPr>
        <w:t>(Al-</w:t>
      </w:r>
      <w:proofErr w:type="spellStart"/>
      <w:r w:rsidR="5B596840" w:rsidRPr="00315194">
        <w:rPr>
          <w:rFonts w:ascii="Cambria" w:hAnsi="Cambria"/>
          <w:lang w:val="en-US"/>
        </w:rPr>
        <w:lastRenderedPageBreak/>
        <w:t>Kodmany</w:t>
      </w:r>
      <w:proofErr w:type="spellEnd"/>
      <w:r w:rsidR="5B596840" w:rsidRPr="00315194">
        <w:rPr>
          <w:rFonts w:ascii="Cambria" w:hAnsi="Cambria"/>
          <w:lang w:val="en-US"/>
        </w:rPr>
        <w:t>, 2018)</w:t>
      </w:r>
      <w:r w:rsidRPr="00315194">
        <w:rPr>
          <w:rFonts w:ascii="Cambria" w:hAnsi="Cambria"/>
          <w:lang w:val="en-US"/>
        </w:rPr>
        <w:t>. To do so, the development of high-tech farms, from the design to the production configuration, must ensure optimal light exposure, along with the correct dosage of water and nutrient solution for plant</w:t>
      </w:r>
      <w:r w:rsidR="007D179D">
        <w:rPr>
          <w:rFonts w:ascii="Cambria" w:hAnsi="Cambria"/>
          <w:lang w:val="en-US"/>
        </w:rPr>
        <w:t>s</w:t>
      </w:r>
      <w:r w:rsidRPr="00315194">
        <w:rPr>
          <w:rFonts w:ascii="Cambria" w:hAnsi="Cambria"/>
          <w:lang w:val="en-US"/>
        </w:rPr>
        <w:t xml:space="preserve">. </w:t>
      </w:r>
      <w:r w:rsidR="007D179D">
        <w:rPr>
          <w:rFonts w:ascii="Cambria" w:hAnsi="Cambria"/>
          <w:lang w:val="en-US"/>
        </w:rPr>
        <w:t>C</w:t>
      </w:r>
      <w:r w:rsidRPr="00315194">
        <w:rPr>
          <w:rFonts w:ascii="Cambria" w:hAnsi="Cambria"/>
          <w:lang w:val="en-US"/>
        </w:rPr>
        <w:t>los</w:t>
      </w:r>
      <w:r w:rsidR="007D179D">
        <w:rPr>
          <w:rFonts w:ascii="Cambria" w:hAnsi="Cambria"/>
          <w:lang w:val="en-US"/>
        </w:rPr>
        <w:t xml:space="preserve">ing </w:t>
      </w:r>
      <w:r w:rsidRPr="00315194">
        <w:rPr>
          <w:rFonts w:ascii="Cambria" w:hAnsi="Cambria"/>
          <w:lang w:val="en-US"/>
        </w:rPr>
        <w:t>loop</w:t>
      </w:r>
      <w:r w:rsidR="007D179D">
        <w:rPr>
          <w:rFonts w:ascii="Cambria" w:hAnsi="Cambria"/>
          <w:lang w:val="en-US"/>
        </w:rPr>
        <w:t>s in controlled</w:t>
      </w:r>
      <w:r w:rsidRPr="00315194">
        <w:rPr>
          <w:rFonts w:ascii="Cambria" w:hAnsi="Cambria"/>
          <w:lang w:val="en-US"/>
        </w:rPr>
        <w:t xml:space="preserve"> environment farms would dramatically reduce the need for harmful herbicides and pesticides, </w:t>
      </w:r>
      <w:r w:rsidR="008346C2" w:rsidRPr="00315194">
        <w:rPr>
          <w:rFonts w:ascii="Cambria" w:hAnsi="Cambria"/>
          <w:lang w:val="en-US"/>
        </w:rPr>
        <w:t>fostering both food safety and environmental preservation</w:t>
      </w:r>
      <w:r w:rsidRPr="00315194">
        <w:rPr>
          <w:rFonts w:ascii="Cambria" w:hAnsi="Cambria"/>
          <w:lang w:val="en-US"/>
        </w:rPr>
        <w:t xml:space="preserve">. </w:t>
      </w:r>
      <w:r w:rsidR="0047324C" w:rsidRPr="00315194">
        <w:rPr>
          <w:rFonts w:ascii="Cambria" w:hAnsi="Cambria"/>
          <w:lang w:val="en-US"/>
        </w:rPr>
        <w:t>Current r</w:t>
      </w:r>
      <w:r w:rsidRPr="00315194">
        <w:rPr>
          <w:rFonts w:ascii="Cambria" w:hAnsi="Cambria"/>
          <w:lang w:val="en-US"/>
        </w:rPr>
        <w:t xml:space="preserve">esearch </w:t>
      </w:r>
      <w:r w:rsidR="0047324C" w:rsidRPr="00315194">
        <w:rPr>
          <w:rFonts w:ascii="Cambria" w:hAnsi="Cambria"/>
          <w:lang w:val="en-US"/>
        </w:rPr>
        <w:t>targets the</w:t>
      </w:r>
      <w:r w:rsidRPr="00315194">
        <w:rPr>
          <w:rFonts w:ascii="Cambria" w:hAnsi="Cambria"/>
          <w:lang w:val="en-US"/>
        </w:rPr>
        <w:t xml:space="preserve"> develop</w:t>
      </w:r>
      <w:r w:rsidR="0047324C" w:rsidRPr="00315194">
        <w:rPr>
          <w:rFonts w:ascii="Cambria" w:hAnsi="Cambria"/>
          <w:lang w:val="en-US"/>
        </w:rPr>
        <w:t>ment</w:t>
      </w:r>
      <w:r w:rsidRPr="00315194">
        <w:rPr>
          <w:rFonts w:ascii="Cambria" w:hAnsi="Cambria"/>
          <w:lang w:val="en-US"/>
        </w:rPr>
        <w:t xml:space="preserve"> and adapt high precision soil</w:t>
      </w:r>
      <w:r w:rsidR="008346C2" w:rsidRPr="00315194">
        <w:rPr>
          <w:rFonts w:ascii="Cambria" w:hAnsi="Cambria"/>
          <w:lang w:val="en-US"/>
        </w:rPr>
        <w:t>less</w:t>
      </w:r>
      <w:r w:rsidRPr="00315194">
        <w:rPr>
          <w:rFonts w:ascii="Cambria" w:hAnsi="Cambria"/>
          <w:lang w:val="en-US"/>
        </w:rPr>
        <w:t xml:space="preserve"> farming methods in order to deploy them </w:t>
      </w:r>
      <w:r w:rsidR="008346C2" w:rsidRPr="00315194">
        <w:rPr>
          <w:rFonts w:ascii="Cambria" w:hAnsi="Cambria"/>
          <w:lang w:val="en-US"/>
        </w:rPr>
        <w:t>in diverse contexts</w:t>
      </w:r>
      <w:r w:rsidRPr="00315194">
        <w:rPr>
          <w:rFonts w:ascii="Cambria" w:hAnsi="Cambria"/>
          <w:lang w:val="en-US"/>
        </w:rPr>
        <w:t xml:space="preserve">, minimizing their environmental impact </w:t>
      </w:r>
      <w:r w:rsidR="00E550F5" w:rsidRPr="00315194">
        <w:rPr>
          <w:rFonts w:ascii="Cambria" w:hAnsi="Cambria"/>
          <w:lang w:val="en-US"/>
        </w:rPr>
        <w:t>(</w:t>
      </w:r>
      <w:r w:rsidR="008346C2" w:rsidRPr="00315194">
        <w:rPr>
          <w:rFonts w:ascii="Cambria" w:hAnsi="Cambria"/>
          <w:lang w:val="en-US"/>
        </w:rPr>
        <w:t>Al-</w:t>
      </w:r>
      <w:proofErr w:type="spellStart"/>
      <w:r w:rsidR="008346C2" w:rsidRPr="00315194">
        <w:rPr>
          <w:rFonts w:ascii="Cambria" w:hAnsi="Cambria"/>
          <w:lang w:val="en-US"/>
        </w:rPr>
        <w:t>Kodmany</w:t>
      </w:r>
      <w:proofErr w:type="spellEnd"/>
      <w:r w:rsidR="008346C2" w:rsidRPr="00315194">
        <w:rPr>
          <w:rFonts w:ascii="Cambria" w:hAnsi="Cambria"/>
          <w:lang w:val="en-US"/>
        </w:rPr>
        <w:t>, 2018</w:t>
      </w:r>
      <w:r w:rsidR="00E550F5" w:rsidRPr="00315194">
        <w:rPr>
          <w:rFonts w:ascii="Cambria" w:hAnsi="Cambria"/>
          <w:lang w:val="en-US"/>
        </w:rPr>
        <w:t>)</w:t>
      </w:r>
      <w:r w:rsidRPr="00315194">
        <w:rPr>
          <w:rFonts w:ascii="Cambria" w:hAnsi="Cambria"/>
          <w:lang w:val="en-US"/>
        </w:rPr>
        <w:t xml:space="preserve">. However, in order to maximize yields and limit the costs, farming methods and technologies should be tailored for the climatic, social and economic context in which each specific BIA project </w:t>
      </w:r>
      <w:r w:rsidR="008346C2" w:rsidRPr="00315194">
        <w:rPr>
          <w:rFonts w:ascii="Cambria" w:hAnsi="Cambria"/>
          <w:lang w:val="en-US"/>
        </w:rPr>
        <w:t>is</w:t>
      </w:r>
      <w:r w:rsidRPr="00315194">
        <w:rPr>
          <w:rFonts w:ascii="Cambria" w:hAnsi="Cambria"/>
          <w:lang w:val="en-US"/>
        </w:rPr>
        <w:t xml:space="preserve"> developed. Hence, determining the scenario of intervention is crucial </w:t>
      </w:r>
      <w:r w:rsidR="008346C2" w:rsidRPr="00315194">
        <w:rPr>
          <w:rFonts w:ascii="Cambria" w:hAnsi="Cambria"/>
          <w:lang w:val="en-US"/>
        </w:rPr>
        <w:t xml:space="preserve">for minimizing </w:t>
      </w:r>
      <w:r w:rsidRPr="00315194">
        <w:rPr>
          <w:rFonts w:ascii="Cambria" w:hAnsi="Cambria"/>
          <w:lang w:val="en-US"/>
        </w:rPr>
        <w:t xml:space="preserve">waste and </w:t>
      </w:r>
      <w:r w:rsidR="008346C2" w:rsidRPr="00315194">
        <w:rPr>
          <w:rFonts w:ascii="Cambria" w:hAnsi="Cambria"/>
          <w:lang w:val="en-US"/>
        </w:rPr>
        <w:t xml:space="preserve">foster </w:t>
      </w:r>
      <w:r w:rsidRPr="00315194">
        <w:rPr>
          <w:rFonts w:ascii="Cambria" w:hAnsi="Cambria"/>
          <w:lang w:val="en-US"/>
        </w:rPr>
        <w:t xml:space="preserve">the overall sustainability of the project. </w:t>
      </w:r>
    </w:p>
    <w:p w14:paraId="64D2CA19" w14:textId="77777777" w:rsidR="00203093" w:rsidRPr="00315194" w:rsidRDefault="00203093"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firstLine="567"/>
        <w:contextualSpacing/>
        <w:jc w:val="both"/>
        <w:rPr>
          <w:rFonts w:ascii="Cambria" w:eastAsia="Times New Roman" w:hAnsi="Cambria" w:cs="Times New Roman"/>
          <w:lang w:val="en-US"/>
        </w:rPr>
      </w:pPr>
    </w:p>
    <w:p w14:paraId="3971D0DD" w14:textId="77777777" w:rsidR="00F01EEF" w:rsidRPr="00315194" w:rsidRDefault="00163198"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contextualSpacing/>
        <w:jc w:val="both"/>
        <w:rPr>
          <w:rFonts w:ascii="Cambria" w:eastAsia="Times New Roman" w:hAnsi="Cambria" w:cs="Times New Roman"/>
          <w:b/>
          <w:bCs/>
          <w:lang w:val="en-US"/>
        </w:rPr>
      </w:pPr>
      <w:r w:rsidRPr="00315194">
        <w:rPr>
          <w:rFonts w:ascii="Cambria" w:hAnsi="Cambria"/>
          <w:b/>
          <w:bCs/>
          <w:lang w:val="en-US"/>
        </w:rPr>
        <w:t xml:space="preserve">Food production and architecture: integration strategies for contemporary BIA projects </w:t>
      </w:r>
    </w:p>
    <w:p w14:paraId="3971D0DE" w14:textId="5EEA7725" w:rsidR="00F01EEF" w:rsidRDefault="00163198"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firstLine="567"/>
        <w:contextualSpacing/>
        <w:jc w:val="both"/>
        <w:rPr>
          <w:rFonts w:ascii="Cambria" w:hAnsi="Cambria"/>
          <w:lang w:val="en-US"/>
        </w:rPr>
      </w:pPr>
      <w:r w:rsidRPr="00315194">
        <w:rPr>
          <w:rFonts w:ascii="Cambria" w:hAnsi="Cambria"/>
          <w:lang w:val="en-US"/>
        </w:rPr>
        <w:t xml:space="preserve">As previously reported, </w:t>
      </w:r>
      <w:r w:rsidR="0087389F" w:rsidRPr="00315194">
        <w:rPr>
          <w:rFonts w:ascii="Cambria" w:hAnsi="Cambria"/>
          <w:lang w:val="en-US"/>
        </w:rPr>
        <w:t>BIA</w:t>
      </w:r>
      <w:r w:rsidRPr="00315194">
        <w:rPr>
          <w:rFonts w:ascii="Cambria" w:hAnsi="Cambria"/>
          <w:lang w:val="en-US"/>
        </w:rPr>
        <w:t xml:space="preserve"> takes advantage of soil-less production methods (</w:t>
      </w:r>
      <w:r w:rsidR="008346C2" w:rsidRPr="00315194">
        <w:rPr>
          <w:rFonts w:ascii="Cambria" w:hAnsi="Cambria"/>
          <w:lang w:val="en-US"/>
        </w:rPr>
        <w:t>e.g.,</w:t>
      </w:r>
      <w:r w:rsidRPr="00315194">
        <w:rPr>
          <w:rFonts w:ascii="Cambria" w:hAnsi="Cambria"/>
          <w:lang w:val="en-US"/>
        </w:rPr>
        <w:t xml:space="preserve"> </w:t>
      </w:r>
      <w:r w:rsidR="008346C2" w:rsidRPr="00315194">
        <w:rPr>
          <w:rFonts w:ascii="Cambria" w:hAnsi="Cambria"/>
          <w:lang w:val="en-US"/>
        </w:rPr>
        <w:t>h</w:t>
      </w:r>
      <w:r w:rsidRPr="00315194">
        <w:rPr>
          <w:rFonts w:ascii="Cambria" w:hAnsi="Cambria"/>
          <w:lang w:val="en-US"/>
        </w:rPr>
        <w:t>ydroponics</w:t>
      </w:r>
      <w:r w:rsidR="008346C2" w:rsidRPr="00315194">
        <w:rPr>
          <w:rFonts w:ascii="Cambria" w:hAnsi="Cambria"/>
          <w:lang w:val="en-US"/>
        </w:rPr>
        <w:t>, aquaponics</w:t>
      </w:r>
      <w:r w:rsidRPr="00315194">
        <w:rPr>
          <w:rFonts w:ascii="Cambria" w:hAnsi="Cambria"/>
          <w:lang w:val="en-US"/>
        </w:rPr>
        <w:t xml:space="preserve">) to maximize yields on relatively small urban </w:t>
      </w:r>
      <w:r w:rsidR="008346C2" w:rsidRPr="00315194">
        <w:rPr>
          <w:rFonts w:ascii="Cambria" w:hAnsi="Cambria"/>
          <w:lang w:val="en-US"/>
        </w:rPr>
        <w:t>surfaces</w:t>
      </w:r>
      <w:r w:rsidRPr="00315194">
        <w:rPr>
          <w:rFonts w:ascii="Cambria" w:hAnsi="Cambria"/>
          <w:lang w:val="en-US"/>
        </w:rPr>
        <w:t xml:space="preserve">. </w:t>
      </w:r>
      <w:r w:rsidR="008346C2" w:rsidRPr="00315194">
        <w:rPr>
          <w:rFonts w:ascii="Cambria" w:hAnsi="Cambria"/>
          <w:lang w:val="en-US"/>
        </w:rPr>
        <w:t>Accordingly</w:t>
      </w:r>
      <w:r w:rsidRPr="00315194">
        <w:rPr>
          <w:rFonts w:ascii="Cambria" w:hAnsi="Cambria"/>
          <w:lang w:val="en-US"/>
        </w:rPr>
        <w:t xml:space="preserve">, </w:t>
      </w:r>
      <w:r w:rsidR="0087389F" w:rsidRPr="00315194">
        <w:rPr>
          <w:rFonts w:ascii="Cambria" w:hAnsi="Cambria"/>
          <w:lang w:val="en-US"/>
        </w:rPr>
        <w:t xml:space="preserve">it </w:t>
      </w:r>
      <w:r w:rsidRPr="00315194">
        <w:rPr>
          <w:rFonts w:ascii="Cambria" w:hAnsi="Cambria"/>
          <w:lang w:val="en-US"/>
        </w:rPr>
        <w:t xml:space="preserve">requires architectural structure in order to be operated. In this regard, the term </w:t>
      </w:r>
      <w:r w:rsidRPr="00315194">
        <w:rPr>
          <w:rFonts w:ascii="Cambria" w:hAnsi="Cambria"/>
          <w:i/>
          <w:iCs/>
          <w:lang w:val="en-US"/>
        </w:rPr>
        <w:t>Enclosure</w:t>
      </w:r>
      <w:r w:rsidRPr="00315194">
        <w:rPr>
          <w:rFonts w:ascii="Cambria" w:hAnsi="Cambria"/>
          <w:lang w:val="en-US"/>
        </w:rPr>
        <w:t xml:space="preserve"> defines the characteristics of the structures that host the growing systems. </w:t>
      </w:r>
      <w:r w:rsidR="007D179D">
        <w:rPr>
          <w:rFonts w:ascii="Cambria" w:hAnsi="Cambria"/>
          <w:lang w:val="en-US"/>
        </w:rPr>
        <w:t>T</w:t>
      </w:r>
      <w:r w:rsidR="0087389F" w:rsidRPr="00315194">
        <w:rPr>
          <w:rFonts w:ascii="Cambria" w:hAnsi="Cambria"/>
          <w:lang w:val="en-US"/>
        </w:rPr>
        <w:t>he t</w:t>
      </w:r>
      <w:r w:rsidRPr="00315194">
        <w:rPr>
          <w:rFonts w:ascii="Cambria" w:hAnsi="Cambria"/>
          <w:lang w:val="en-US"/>
        </w:rPr>
        <w:t xml:space="preserve">ransition from soil-based agriculture to soil-less practices, requires permanent facilities that allow year-round crops, regardless of local climate. This </w:t>
      </w:r>
      <w:r w:rsidR="0087389F" w:rsidRPr="00315194">
        <w:rPr>
          <w:rFonts w:ascii="Cambria" w:hAnsi="Cambria"/>
          <w:lang w:val="en-US"/>
        </w:rPr>
        <w:t xml:space="preserve">type of production </w:t>
      </w:r>
      <w:r w:rsidRPr="00315194">
        <w:rPr>
          <w:rFonts w:ascii="Cambria" w:hAnsi="Cambria"/>
          <w:lang w:val="en-US"/>
        </w:rPr>
        <w:t xml:space="preserve">is known as </w:t>
      </w:r>
      <w:r w:rsidR="0087389F" w:rsidRPr="00315194">
        <w:rPr>
          <w:rFonts w:ascii="Cambria" w:hAnsi="Cambria"/>
          <w:lang w:val="en-US"/>
        </w:rPr>
        <w:t>C</w:t>
      </w:r>
      <w:r w:rsidRPr="00315194">
        <w:rPr>
          <w:rFonts w:ascii="Cambria" w:hAnsi="Cambria"/>
          <w:lang w:val="en-US"/>
        </w:rPr>
        <w:t xml:space="preserve">ontrolled </w:t>
      </w:r>
      <w:r w:rsidR="0087389F" w:rsidRPr="00315194">
        <w:rPr>
          <w:rFonts w:ascii="Cambria" w:hAnsi="Cambria"/>
          <w:lang w:val="en-US"/>
        </w:rPr>
        <w:t>E</w:t>
      </w:r>
      <w:r w:rsidRPr="00315194">
        <w:rPr>
          <w:rFonts w:ascii="Cambria" w:hAnsi="Cambria"/>
          <w:lang w:val="en-US"/>
        </w:rPr>
        <w:t xml:space="preserve">nvironment </w:t>
      </w:r>
      <w:r w:rsidR="0087389F" w:rsidRPr="00315194">
        <w:rPr>
          <w:rFonts w:ascii="Cambria" w:hAnsi="Cambria"/>
          <w:lang w:val="en-US"/>
        </w:rPr>
        <w:t>A</w:t>
      </w:r>
      <w:r w:rsidRPr="00315194">
        <w:rPr>
          <w:rFonts w:ascii="Cambria" w:hAnsi="Cambria"/>
          <w:lang w:val="en-US"/>
        </w:rPr>
        <w:t>griculture (CEA) and includes two main systems: (i) greenhouses and (ii) indoor growing facilities (Fig</w:t>
      </w:r>
      <w:r w:rsidR="0087389F" w:rsidRPr="00315194">
        <w:rPr>
          <w:rFonts w:ascii="Cambria" w:hAnsi="Cambria"/>
          <w:lang w:val="en-US"/>
        </w:rPr>
        <w:t>ure</w:t>
      </w:r>
      <w:r w:rsidRPr="00315194">
        <w:rPr>
          <w:rFonts w:ascii="Cambria" w:hAnsi="Cambria"/>
          <w:lang w:val="en-US"/>
        </w:rPr>
        <w:t xml:space="preserve"> 2).</w:t>
      </w:r>
    </w:p>
    <w:p w14:paraId="61B6E6C7" w14:textId="77777777" w:rsidR="00406AE4" w:rsidRDefault="00406AE4" w:rsidP="00406AE4">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contextualSpacing/>
        <w:jc w:val="center"/>
        <w:rPr>
          <w:rFonts w:ascii="Cambria" w:eastAsia="Times New Roman" w:hAnsi="Cambria" w:cs="Times New Roman"/>
          <w:lang w:val="en-US"/>
        </w:rPr>
      </w:pPr>
      <w:r w:rsidRPr="00046407">
        <w:rPr>
          <w:rFonts w:ascii="Calibri" w:hAnsi="Calibri"/>
          <w:b/>
          <w:bCs/>
          <w:noProof/>
          <w14:textOutline w14:w="0" w14:cap="rnd" w14:cmpd="sng" w14:algn="ctr">
            <w14:noFill/>
            <w14:prstDash w14:val="solid"/>
            <w14:bevel/>
          </w14:textOutline>
        </w:rPr>
        <w:drawing>
          <wp:inline distT="0" distB="0" distL="0" distR="0" wp14:anchorId="2A8E4FFF" wp14:editId="309FC367">
            <wp:extent cx="3243223" cy="2958260"/>
            <wp:effectExtent l="0" t="0" r="0" b="0"/>
            <wp:docPr id="1073741846" name="3GH vs 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6" name="3GH vs PF.jpg"/>
                    <pic:cNvPicPr>
                      <a:picLocks noChangeAspect="1"/>
                    </pic:cNvPicPr>
                  </pic:nvPicPr>
                  <pic:blipFill rotWithShape="1">
                    <a:blip r:embed="rId14" cstate="print">
                      <a:extLst>
                        <a:ext uri="{28A0092B-C50C-407E-A947-70E740481C1C}">
                          <a14:useLocalDpi xmlns:a14="http://schemas.microsoft.com/office/drawing/2010/main" val="0"/>
                        </a:ext>
                      </a:extLst>
                    </a:blip>
                    <a:srcRect l="7850" t="8738" r="8005" b="36991"/>
                    <a:stretch/>
                  </pic:blipFill>
                  <pic:spPr bwMode="auto">
                    <a:xfrm>
                      <a:off x="0" y="0"/>
                      <a:ext cx="3243223" cy="2958260"/>
                    </a:xfrm>
                    <a:prstGeom prst="rect">
                      <a:avLst/>
                    </a:prstGeom>
                    <a:ln>
                      <a:noFill/>
                    </a:ln>
                    <a:effectLst/>
                    <a:extLst>
                      <a:ext uri="{53640926-AAD7-44D8-BBD7-CCE9431645EC}">
                        <a14:shadowObscured xmlns:a14="http://schemas.microsoft.com/office/drawing/2010/main"/>
                      </a:ext>
                    </a:extLst>
                  </pic:spPr>
                </pic:pic>
              </a:graphicData>
            </a:graphic>
          </wp:inline>
        </w:drawing>
      </w:r>
    </w:p>
    <w:p w14:paraId="40C0411A" w14:textId="77777777" w:rsidR="00406AE4" w:rsidRPr="00315194" w:rsidRDefault="00406AE4" w:rsidP="00406AE4">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contextualSpacing/>
        <w:jc w:val="both"/>
        <w:rPr>
          <w:rFonts w:ascii="Cambria" w:eastAsia="Times New Roman" w:hAnsi="Cambria" w:cs="Times New Roman"/>
          <w:lang w:val="en-US"/>
        </w:rPr>
      </w:pPr>
      <w:r w:rsidRPr="00046407">
        <w:rPr>
          <w:rFonts w:ascii="Cambria" w:eastAsia="Times New Roman" w:hAnsi="Cambria" w:cs="Times New Roman"/>
          <w:lang w:val="en-US"/>
        </w:rPr>
        <w:t>Figure 2.</w:t>
      </w:r>
      <w:r w:rsidRPr="00315194">
        <w:rPr>
          <w:rFonts w:ascii="Cambria" w:eastAsia="Times New Roman" w:hAnsi="Cambria" w:cs="Times New Roman"/>
          <w:lang w:val="en-US"/>
        </w:rPr>
        <w:t xml:space="preserve"> Differences between Greenhouses and Indoor Facilities.</w:t>
      </w:r>
    </w:p>
    <w:p w14:paraId="1A2DE657" w14:textId="77777777" w:rsidR="00406AE4" w:rsidRPr="00315194" w:rsidRDefault="00406AE4"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firstLine="567"/>
        <w:contextualSpacing/>
        <w:jc w:val="both"/>
        <w:rPr>
          <w:rFonts w:ascii="Cambria" w:eastAsia="Times New Roman" w:hAnsi="Cambria" w:cs="Times New Roman"/>
          <w:lang w:val="en-US"/>
        </w:rPr>
      </w:pPr>
    </w:p>
    <w:p w14:paraId="3971D0E0" w14:textId="0242C26A" w:rsidR="00F01EEF" w:rsidRPr="00315194" w:rsidRDefault="00163198"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firstLine="567"/>
        <w:contextualSpacing/>
        <w:jc w:val="both"/>
        <w:rPr>
          <w:rFonts w:ascii="Cambria" w:eastAsia="Times New Roman" w:hAnsi="Cambria" w:cs="Times New Roman"/>
          <w:lang w:val="en-US"/>
        </w:rPr>
      </w:pPr>
      <w:r w:rsidRPr="00315194">
        <w:rPr>
          <w:rFonts w:ascii="Cambria" w:hAnsi="Cambria"/>
          <w:lang w:val="en-US"/>
        </w:rPr>
        <w:t xml:space="preserve">In addition to controlling the indoor climate, CEA has the potential to dramatically reduce the risk of crop loss </w:t>
      </w:r>
      <w:r w:rsidR="0087389F" w:rsidRPr="00315194">
        <w:rPr>
          <w:rFonts w:ascii="Cambria" w:hAnsi="Cambria"/>
          <w:lang w:val="en-US"/>
        </w:rPr>
        <w:t xml:space="preserve">due </w:t>
      </w:r>
      <w:r w:rsidRPr="00315194">
        <w:rPr>
          <w:rFonts w:ascii="Cambria" w:hAnsi="Cambria"/>
          <w:lang w:val="en-US"/>
        </w:rPr>
        <w:t>to natural calamities</w:t>
      </w:r>
      <w:r w:rsidR="0087389F" w:rsidRPr="00315194">
        <w:rPr>
          <w:rFonts w:ascii="Cambria" w:hAnsi="Cambria"/>
          <w:lang w:val="en-US"/>
        </w:rPr>
        <w:t>, as well as</w:t>
      </w:r>
      <w:r w:rsidRPr="00315194">
        <w:rPr>
          <w:rFonts w:ascii="Cambria" w:hAnsi="Cambria"/>
          <w:lang w:val="en-US"/>
        </w:rPr>
        <w:t xml:space="preserve"> the need for herbicides and pesticides </w:t>
      </w:r>
      <w:r w:rsidR="60FC6AA4" w:rsidRPr="00315194">
        <w:rPr>
          <w:rFonts w:ascii="Cambria" w:hAnsi="Cambria"/>
          <w:lang w:val="en-US"/>
        </w:rPr>
        <w:t>(</w:t>
      </w:r>
      <w:proofErr w:type="spellStart"/>
      <w:r w:rsidR="60FC6AA4" w:rsidRPr="00315194">
        <w:rPr>
          <w:rFonts w:ascii="Cambria" w:hAnsi="Cambria"/>
          <w:lang w:val="en-US"/>
        </w:rPr>
        <w:t>Proksh</w:t>
      </w:r>
      <w:proofErr w:type="spellEnd"/>
      <w:r w:rsidR="4BD605DB" w:rsidRPr="00315194">
        <w:rPr>
          <w:rFonts w:ascii="Cambria" w:hAnsi="Cambria"/>
          <w:lang w:val="en-US"/>
        </w:rPr>
        <w:t xml:space="preserve"> et al.</w:t>
      </w:r>
      <w:r w:rsidR="60FC6AA4" w:rsidRPr="00315194">
        <w:rPr>
          <w:rFonts w:ascii="Cambria" w:hAnsi="Cambria"/>
          <w:lang w:val="en-US"/>
        </w:rPr>
        <w:t>, 2019)</w:t>
      </w:r>
      <w:r w:rsidRPr="00315194">
        <w:rPr>
          <w:rFonts w:ascii="Cambria" w:hAnsi="Cambria"/>
          <w:lang w:val="en-US"/>
        </w:rPr>
        <w:t xml:space="preserve">. </w:t>
      </w:r>
      <w:r w:rsidR="003400F4" w:rsidRPr="00315194">
        <w:rPr>
          <w:rFonts w:ascii="Cambria" w:hAnsi="Cambria"/>
          <w:lang w:val="en-US"/>
        </w:rPr>
        <w:t>T</w:t>
      </w:r>
      <w:r w:rsidRPr="00315194">
        <w:rPr>
          <w:rFonts w:ascii="Cambria" w:hAnsi="Cambria"/>
          <w:lang w:val="en-US"/>
        </w:rPr>
        <w:t>he</w:t>
      </w:r>
      <w:r w:rsidR="003400F4" w:rsidRPr="00315194">
        <w:rPr>
          <w:rFonts w:ascii="Cambria" w:hAnsi="Cambria"/>
          <w:lang w:val="en-US"/>
        </w:rPr>
        <w:t xml:space="preserve"> </w:t>
      </w:r>
      <w:r w:rsidRPr="00315194">
        <w:rPr>
          <w:rFonts w:ascii="Cambria" w:hAnsi="Cambria"/>
          <w:lang w:val="en-US"/>
        </w:rPr>
        <w:t xml:space="preserve">main difference between the two cited </w:t>
      </w:r>
      <w:r w:rsidR="003400F4" w:rsidRPr="00315194">
        <w:rPr>
          <w:rFonts w:ascii="Cambria" w:hAnsi="Cambria"/>
          <w:lang w:val="en-US"/>
        </w:rPr>
        <w:t xml:space="preserve">CEA </w:t>
      </w:r>
      <w:r w:rsidRPr="00315194">
        <w:rPr>
          <w:rFonts w:ascii="Cambria" w:hAnsi="Cambria"/>
          <w:lang w:val="en-US"/>
        </w:rPr>
        <w:t xml:space="preserve">systems is </w:t>
      </w:r>
      <w:r w:rsidR="003400F4" w:rsidRPr="00315194">
        <w:rPr>
          <w:rFonts w:ascii="Cambria" w:hAnsi="Cambria"/>
          <w:lang w:val="en-US"/>
        </w:rPr>
        <w:t>based on the</w:t>
      </w:r>
      <w:r w:rsidRPr="00315194">
        <w:rPr>
          <w:rFonts w:ascii="Cambria" w:hAnsi="Cambria"/>
          <w:lang w:val="en-US"/>
        </w:rPr>
        <w:t xml:space="preserve"> interact</w:t>
      </w:r>
      <w:r w:rsidR="003400F4" w:rsidRPr="00315194">
        <w:rPr>
          <w:rFonts w:ascii="Cambria" w:hAnsi="Cambria"/>
          <w:lang w:val="en-US"/>
        </w:rPr>
        <w:t>ion</w:t>
      </w:r>
      <w:r w:rsidRPr="00315194">
        <w:rPr>
          <w:rFonts w:ascii="Cambria" w:hAnsi="Cambria"/>
          <w:lang w:val="en-US"/>
        </w:rPr>
        <w:t xml:space="preserve"> with the exterior contexts: </w:t>
      </w:r>
    </w:p>
    <w:p w14:paraId="3971D0E2" w14:textId="54153C1D" w:rsidR="00F01EEF" w:rsidRPr="00315194" w:rsidRDefault="00163198" w:rsidP="00046407">
      <w:pPr>
        <w:pStyle w:val="Corpo"/>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contextualSpacing/>
        <w:jc w:val="both"/>
        <w:rPr>
          <w:rFonts w:ascii="Cambria" w:eastAsia="Times New Roman" w:hAnsi="Cambria" w:cs="Times New Roman"/>
          <w:lang w:val="en-US"/>
        </w:rPr>
      </w:pPr>
      <w:r w:rsidRPr="00315194">
        <w:rPr>
          <w:rFonts w:ascii="Cambria" w:hAnsi="Cambria"/>
          <w:i/>
          <w:iCs/>
          <w:lang w:val="en-US"/>
        </w:rPr>
        <w:t xml:space="preserve">Greenhouse </w:t>
      </w:r>
      <w:r w:rsidRPr="00046407">
        <w:rPr>
          <w:rFonts w:ascii="Cambria" w:hAnsi="Cambria"/>
          <w:lang w:val="en-US"/>
        </w:rPr>
        <w:t>horticulture</w:t>
      </w:r>
      <w:r w:rsidRPr="00315194">
        <w:rPr>
          <w:rFonts w:ascii="Cambria" w:hAnsi="Cambria"/>
          <w:lang w:val="en-US"/>
        </w:rPr>
        <w:t xml:space="preserve"> is considered a (semi-)controlled environment. Greenhouses mainly use solar energy for </w:t>
      </w:r>
      <w:r w:rsidR="003400F4" w:rsidRPr="00315194">
        <w:rPr>
          <w:rFonts w:ascii="Cambria" w:hAnsi="Cambria"/>
          <w:lang w:val="en-US"/>
        </w:rPr>
        <w:t xml:space="preserve">plant </w:t>
      </w:r>
      <w:r w:rsidRPr="00315194">
        <w:rPr>
          <w:rFonts w:ascii="Cambria" w:hAnsi="Cambria"/>
          <w:lang w:val="en-US"/>
        </w:rPr>
        <w:t xml:space="preserve">photosynthesis </w:t>
      </w:r>
      <w:r w:rsidR="43363B9E" w:rsidRPr="00315194">
        <w:rPr>
          <w:rFonts w:ascii="Cambria" w:hAnsi="Cambria"/>
          <w:lang w:val="en-US"/>
        </w:rPr>
        <w:t>(Barthel et al., 2018)</w:t>
      </w:r>
      <w:r w:rsidRPr="00315194">
        <w:rPr>
          <w:rFonts w:ascii="Cambria" w:hAnsi="Cambria"/>
          <w:lang w:val="en-US"/>
        </w:rPr>
        <w:t>. Passive strategies can be used to heat the greenhouses through solar radiations and to cool them down through ventilation. In more advanced systems, heating and cooling devices can be used to achieve a fully controlled environment. The</w:t>
      </w:r>
      <w:r w:rsidR="003400F4" w:rsidRPr="00315194">
        <w:rPr>
          <w:rFonts w:ascii="Cambria" w:hAnsi="Cambria"/>
          <w:lang w:val="en-US"/>
        </w:rPr>
        <w:t xml:space="preserve"> </w:t>
      </w:r>
      <w:r w:rsidRPr="00315194">
        <w:rPr>
          <w:rFonts w:ascii="Cambria" w:hAnsi="Cambria"/>
          <w:lang w:val="en-US"/>
        </w:rPr>
        <w:t xml:space="preserve">main characteristic of all greenhouse </w:t>
      </w:r>
      <w:r w:rsidRPr="00315194">
        <w:rPr>
          <w:rFonts w:ascii="Cambria" w:hAnsi="Cambria"/>
          <w:lang w:val="en-US"/>
        </w:rPr>
        <w:lastRenderedPageBreak/>
        <w:t xml:space="preserve">typologies is the </w:t>
      </w:r>
      <w:r w:rsidR="003400F4" w:rsidRPr="00315194">
        <w:rPr>
          <w:rFonts w:ascii="Cambria" w:hAnsi="Cambria"/>
          <w:lang w:val="en-US"/>
        </w:rPr>
        <w:t>transparency of covering materials</w:t>
      </w:r>
      <w:r w:rsidRPr="00315194">
        <w:rPr>
          <w:rFonts w:ascii="Cambria" w:hAnsi="Cambria"/>
          <w:lang w:val="en-US"/>
        </w:rPr>
        <w:t xml:space="preserve">, which allow thermal exchange with the exterior climate. In this regard, the relation between the costs (heating and cooling) and benefits (solar radiation) of greenhouse production largely depends on the latitude and external climate conditions of the site </w:t>
      </w:r>
      <w:r w:rsidR="15A1A93D" w:rsidRPr="00315194">
        <w:rPr>
          <w:rFonts w:ascii="Cambria" w:hAnsi="Cambria"/>
          <w:lang w:val="en-US"/>
        </w:rPr>
        <w:t>(Graamans et al, 2018)</w:t>
      </w:r>
      <w:r w:rsidRPr="00315194">
        <w:rPr>
          <w:rFonts w:ascii="Cambria" w:hAnsi="Cambria"/>
          <w:lang w:val="en-US"/>
        </w:rPr>
        <w:t>.</w:t>
      </w:r>
    </w:p>
    <w:p w14:paraId="3971D0E4" w14:textId="5AD936E5" w:rsidR="00F01EEF" w:rsidRPr="00315194" w:rsidRDefault="00163198" w:rsidP="00046407">
      <w:pPr>
        <w:pStyle w:val="Corpo"/>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contextualSpacing/>
        <w:jc w:val="both"/>
        <w:rPr>
          <w:rFonts w:ascii="Cambria" w:eastAsia="Times New Roman" w:hAnsi="Cambria" w:cs="Times New Roman"/>
          <w:lang w:val="en-US"/>
        </w:rPr>
      </w:pPr>
      <w:r w:rsidRPr="00315194">
        <w:rPr>
          <w:rFonts w:ascii="Cambria" w:hAnsi="Cambria"/>
          <w:i/>
          <w:iCs/>
          <w:lang w:val="en-US"/>
        </w:rPr>
        <w:t>Indoor facilities</w:t>
      </w:r>
      <w:r w:rsidRPr="00315194">
        <w:rPr>
          <w:rFonts w:ascii="Cambria" w:hAnsi="Cambria"/>
          <w:lang w:val="en-US"/>
        </w:rPr>
        <w:t xml:space="preserve"> (or </w:t>
      </w:r>
      <w:r w:rsidR="003400F4" w:rsidRPr="00046407">
        <w:rPr>
          <w:rFonts w:ascii="Cambria" w:hAnsi="Cambria"/>
          <w:i/>
          <w:iCs/>
          <w:lang w:val="en-US"/>
        </w:rPr>
        <w:t>P</w:t>
      </w:r>
      <w:r w:rsidRPr="00046407">
        <w:rPr>
          <w:rFonts w:ascii="Cambria" w:hAnsi="Cambria"/>
          <w:i/>
          <w:iCs/>
          <w:lang w:val="en-US"/>
        </w:rPr>
        <w:t xml:space="preserve">lant </w:t>
      </w:r>
      <w:r w:rsidR="003400F4" w:rsidRPr="00046407">
        <w:rPr>
          <w:rFonts w:ascii="Cambria" w:hAnsi="Cambria"/>
          <w:i/>
          <w:iCs/>
          <w:lang w:val="en-US"/>
        </w:rPr>
        <w:t>F</w:t>
      </w:r>
      <w:r w:rsidRPr="00046407">
        <w:rPr>
          <w:rFonts w:ascii="Cambria" w:hAnsi="Cambria"/>
          <w:i/>
          <w:iCs/>
          <w:lang w:val="en-US"/>
        </w:rPr>
        <w:t>actories</w:t>
      </w:r>
      <w:r w:rsidR="007D179D">
        <w:rPr>
          <w:rFonts w:ascii="Cambria" w:hAnsi="Cambria"/>
          <w:i/>
          <w:iCs/>
          <w:lang w:val="en-US"/>
        </w:rPr>
        <w:t xml:space="preserve"> with Artificial Lighting, PFALs</w:t>
      </w:r>
      <w:r w:rsidRPr="00315194">
        <w:rPr>
          <w:rFonts w:ascii="Cambria" w:hAnsi="Cambria"/>
          <w:lang w:val="en-US"/>
        </w:rPr>
        <w:t xml:space="preserve">) are air-tight structures that do not permit any relation with the outside climate. Indoor farming is a closed production system where the enclosure is designed to maximize production density, productivity and resource use efficiency </w:t>
      </w:r>
      <w:r w:rsidR="75465DCE" w:rsidRPr="00315194">
        <w:rPr>
          <w:rFonts w:ascii="Cambria" w:hAnsi="Cambria"/>
          <w:lang w:val="en-US"/>
        </w:rPr>
        <w:t xml:space="preserve">(Graamans et al, 2018). High productivity can be achieved by creating indoor climate conditions that favor plants’ growth. Thus, the use of technical devices is fundamental to uniform lighting, temperature and relative humidity (Graamans et al, 2018). In order to reach </w:t>
      </w:r>
      <w:r w:rsidR="007D179D">
        <w:rPr>
          <w:rFonts w:ascii="Cambria" w:hAnsi="Cambria"/>
          <w:lang w:val="en-US"/>
        </w:rPr>
        <w:t>optimal</w:t>
      </w:r>
      <w:r w:rsidR="75465DCE" w:rsidRPr="00315194">
        <w:rPr>
          <w:rFonts w:ascii="Cambria" w:hAnsi="Cambria"/>
          <w:lang w:val="en-US"/>
        </w:rPr>
        <w:t xml:space="preserve"> indoor climate conditions, it is crucial to minimize interactions with the exterior climate. Limiting these interactions can also benefit the efficient use of energy, water and CO</w:t>
      </w:r>
      <w:r w:rsidR="75465DCE" w:rsidRPr="00046407">
        <w:rPr>
          <w:rFonts w:ascii="Cambria" w:hAnsi="Cambria"/>
          <w:vertAlign w:val="subscript"/>
          <w:lang w:val="en-US"/>
        </w:rPr>
        <w:t>2</w:t>
      </w:r>
      <w:r w:rsidR="75465DCE" w:rsidRPr="00315194">
        <w:rPr>
          <w:rFonts w:ascii="Cambria" w:hAnsi="Cambria"/>
          <w:lang w:val="en-US"/>
        </w:rPr>
        <w:t xml:space="preserve"> </w:t>
      </w:r>
      <w:r w:rsidR="2FC4A3A9" w:rsidRPr="00315194">
        <w:rPr>
          <w:rFonts w:ascii="Cambria" w:hAnsi="Cambria"/>
          <w:lang w:val="en-US"/>
        </w:rPr>
        <w:t>(</w:t>
      </w:r>
      <w:proofErr w:type="spellStart"/>
      <w:r w:rsidR="2FC4A3A9" w:rsidRPr="00315194">
        <w:rPr>
          <w:rFonts w:ascii="Cambria" w:hAnsi="Cambria"/>
          <w:lang w:val="en-US"/>
        </w:rPr>
        <w:t>Goto</w:t>
      </w:r>
      <w:proofErr w:type="spellEnd"/>
      <w:r w:rsidR="2FC4A3A9" w:rsidRPr="00315194">
        <w:rPr>
          <w:rFonts w:ascii="Cambria" w:hAnsi="Cambria"/>
          <w:lang w:val="en-US"/>
        </w:rPr>
        <w:t>, 2012)</w:t>
      </w:r>
      <w:r w:rsidR="75465DCE" w:rsidRPr="00315194">
        <w:rPr>
          <w:rFonts w:ascii="Cambria" w:hAnsi="Cambria"/>
          <w:lang w:val="en-US"/>
        </w:rPr>
        <w:t xml:space="preserve">. Due to its characteristics, indoor farming is particularly suitable for BIA initiatives, as it can maximize production capacity in relatively small urban spaces, exchanging resources with the hosting buildings. Plus, </w:t>
      </w:r>
      <w:r w:rsidR="007D179D">
        <w:rPr>
          <w:rFonts w:ascii="Cambria" w:hAnsi="Cambria"/>
          <w:lang w:val="en-US"/>
        </w:rPr>
        <w:t>PFALs</w:t>
      </w:r>
      <w:r w:rsidR="75465DCE" w:rsidRPr="00315194">
        <w:rPr>
          <w:rFonts w:ascii="Cambria" w:hAnsi="Cambria"/>
          <w:lang w:val="en-US"/>
        </w:rPr>
        <w:t xml:space="preserve"> offer new design solutions for the retrofitting of abandoned buildings, possibly creating new job opportunities (Appolloni et al, 2019). </w:t>
      </w:r>
    </w:p>
    <w:p w14:paraId="28354BFD" w14:textId="22BF3249" w:rsidR="00577798" w:rsidRPr="00315194" w:rsidRDefault="54CB65B5"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firstLine="567"/>
        <w:contextualSpacing/>
        <w:jc w:val="both"/>
        <w:rPr>
          <w:rFonts w:ascii="Cambria" w:eastAsia="Times New Roman" w:hAnsi="Cambria" w:cs="Times New Roman"/>
          <w:lang w:val="en-US"/>
        </w:rPr>
      </w:pPr>
      <w:r w:rsidRPr="00315194">
        <w:rPr>
          <w:rFonts w:ascii="Cambria" w:hAnsi="Cambria"/>
          <w:lang w:val="en-US"/>
        </w:rPr>
        <w:t>The different typ</w:t>
      </w:r>
      <w:r w:rsidR="77F1D074" w:rsidRPr="00315194">
        <w:rPr>
          <w:rFonts w:ascii="Cambria" w:hAnsi="Cambria"/>
          <w:lang w:val="en-US"/>
        </w:rPr>
        <w:t>e</w:t>
      </w:r>
      <w:r w:rsidRPr="00315194">
        <w:rPr>
          <w:rFonts w:ascii="Cambria" w:hAnsi="Cambria"/>
          <w:lang w:val="en-US"/>
        </w:rPr>
        <w:t xml:space="preserve"> of enclosure </w:t>
      </w:r>
      <w:r w:rsidR="77F1D074" w:rsidRPr="00315194">
        <w:rPr>
          <w:rFonts w:ascii="Cambria" w:hAnsi="Cambria"/>
          <w:lang w:val="en-US"/>
        </w:rPr>
        <w:t xml:space="preserve">of </w:t>
      </w:r>
      <w:r w:rsidRPr="00315194">
        <w:rPr>
          <w:rFonts w:ascii="Cambria" w:hAnsi="Cambria"/>
          <w:lang w:val="en-US"/>
        </w:rPr>
        <w:t xml:space="preserve">greenhouses and </w:t>
      </w:r>
      <w:r w:rsidR="007D179D">
        <w:rPr>
          <w:rFonts w:ascii="Cambria" w:hAnsi="Cambria"/>
          <w:lang w:val="en-US"/>
        </w:rPr>
        <w:t>PFALs</w:t>
      </w:r>
      <w:r w:rsidRPr="00315194">
        <w:rPr>
          <w:rFonts w:ascii="Cambria" w:hAnsi="Cambria"/>
          <w:lang w:val="en-US"/>
        </w:rPr>
        <w:t xml:space="preserve"> lead to different design approaches that highly influence how the production methods are integrated in the architectural environment </w:t>
      </w:r>
      <w:r w:rsidR="77F1D074" w:rsidRPr="00315194">
        <w:rPr>
          <w:rFonts w:ascii="Cambria" w:hAnsi="Cambria"/>
          <w:lang w:val="en-US"/>
        </w:rPr>
        <w:t xml:space="preserve">of </w:t>
      </w:r>
      <w:r w:rsidRPr="00315194">
        <w:rPr>
          <w:rFonts w:ascii="Cambria" w:hAnsi="Cambria"/>
          <w:lang w:val="en-US"/>
        </w:rPr>
        <w:t xml:space="preserve">BIA projects. In a recent </w:t>
      </w:r>
      <w:r w:rsidR="007D179D">
        <w:rPr>
          <w:rFonts w:ascii="Cambria" w:hAnsi="Cambria"/>
          <w:lang w:val="en-US"/>
        </w:rPr>
        <w:t xml:space="preserve">research analyzing </w:t>
      </w:r>
      <w:r w:rsidRPr="00315194">
        <w:rPr>
          <w:rFonts w:ascii="Cambria" w:hAnsi="Cambria"/>
          <w:lang w:val="en-US"/>
        </w:rPr>
        <w:t xml:space="preserve">25 </w:t>
      </w:r>
      <w:r w:rsidR="007D179D">
        <w:rPr>
          <w:rFonts w:ascii="Cambria" w:hAnsi="Cambria"/>
          <w:lang w:val="en-US"/>
        </w:rPr>
        <w:t xml:space="preserve">BIA </w:t>
      </w:r>
      <w:r w:rsidRPr="00315194">
        <w:rPr>
          <w:rFonts w:ascii="Cambria" w:hAnsi="Cambria"/>
          <w:lang w:val="en-US"/>
        </w:rPr>
        <w:t>case studies (D’Ostuni et al.</w:t>
      </w:r>
      <w:r w:rsidR="77F1D074" w:rsidRPr="00315194">
        <w:rPr>
          <w:rFonts w:ascii="Cambria" w:hAnsi="Cambria"/>
          <w:lang w:val="en-US"/>
        </w:rPr>
        <w:t>,</w:t>
      </w:r>
      <w:r w:rsidR="007006AC" w:rsidRPr="00315194">
        <w:rPr>
          <w:rFonts w:ascii="Cambria" w:hAnsi="Cambria"/>
          <w:lang w:val="en-US"/>
        </w:rPr>
        <w:t xml:space="preserve"> </w:t>
      </w:r>
      <w:r w:rsidR="28188711" w:rsidRPr="00315194">
        <w:rPr>
          <w:rFonts w:ascii="Cambria" w:hAnsi="Cambria"/>
          <w:lang w:val="en-US"/>
        </w:rPr>
        <w:t>2022</w:t>
      </w:r>
      <w:r w:rsidRPr="00315194">
        <w:rPr>
          <w:rFonts w:ascii="Cambria" w:hAnsi="Cambria"/>
          <w:lang w:val="en-US"/>
        </w:rPr>
        <w:t>)</w:t>
      </w:r>
      <w:r w:rsidR="77F1D074" w:rsidRPr="00315194">
        <w:rPr>
          <w:rFonts w:ascii="Cambria" w:hAnsi="Cambria"/>
          <w:lang w:val="en-US"/>
        </w:rPr>
        <w:t xml:space="preserve">, </w:t>
      </w:r>
      <w:r w:rsidRPr="00315194">
        <w:rPr>
          <w:rFonts w:ascii="Cambria" w:hAnsi="Cambria"/>
          <w:lang w:val="en-US"/>
        </w:rPr>
        <w:t>several different approaches of integrating agriculture within architectural buildings</w:t>
      </w:r>
      <w:r w:rsidR="007D179D">
        <w:rPr>
          <w:rFonts w:ascii="Cambria" w:hAnsi="Cambria"/>
          <w:lang w:val="en-US"/>
        </w:rPr>
        <w:t xml:space="preserve"> emerged</w:t>
      </w:r>
      <w:r w:rsidRPr="00315194">
        <w:rPr>
          <w:rFonts w:ascii="Cambria" w:hAnsi="Cambria"/>
          <w:lang w:val="en-US"/>
        </w:rPr>
        <w:t xml:space="preserve">, ranging from </w:t>
      </w:r>
      <w:r w:rsidR="77F1D074" w:rsidRPr="00315194">
        <w:rPr>
          <w:rFonts w:ascii="Cambria" w:hAnsi="Cambria"/>
          <w:lang w:val="en-US"/>
        </w:rPr>
        <w:t xml:space="preserve">low-tech </w:t>
      </w:r>
      <w:r w:rsidRPr="00315194">
        <w:rPr>
          <w:rFonts w:ascii="Cambria" w:hAnsi="Cambria"/>
          <w:lang w:val="en-US"/>
        </w:rPr>
        <w:t xml:space="preserve">systems, such as </w:t>
      </w:r>
      <w:r w:rsidR="77F1D074" w:rsidRPr="00315194">
        <w:rPr>
          <w:rFonts w:ascii="Cambria" w:hAnsi="Cambria"/>
          <w:lang w:val="en-US"/>
        </w:rPr>
        <w:t xml:space="preserve">growing </w:t>
      </w:r>
      <w:r w:rsidRPr="00315194">
        <w:rPr>
          <w:rFonts w:ascii="Cambria" w:hAnsi="Cambria"/>
          <w:lang w:val="en-US"/>
        </w:rPr>
        <w:t>container</w:t>
      </w:r>
      <w:r w:rsidR="77F1D074" w:rsidRPr="00315194">
        <w:rPr>
          <w:rFonts w:ascii="Cambria" w:hAnsi="Cambria"/>
          <w:lang w:val="en-US"/>
        </w:rPr>
        <w:t>s</w:t>
      </w:r>
      <w:r w:rsidRPr="00315194">
        <w:rPr>
          <w:rFonts w:ascii="Cambria" w:hAnsi="Cambria"/>
          <w:lang w:val="en-US"/>
        </w:rPr>
        <w:t xml:space="preserve">, to </w:t>
      </w:r>
      <w:r w:rsidR="77F1D074" w:rsidRPr="00315194">
        <w:rPr>
          <w:rFonts w:ascii="Cambria" w:hAnsi="Cambria"/>
          <w:lang w:val="en-US"/>
        </w:rPr>
        <w:t>high-</w:t>
      </w:r>
      <w:r w:rsidRPr="00315194">
        <w:rPr>
          <w:rFonts w:ascii="Cambria" w:hAnsi="Cambria"/>
          <w:lang w:val="en-US"/>
        </w:rPr>
        <w:t>tech</w:t>
      </w:r>
      <w:r w:rsidR="77F1D074" w:rsidRPr="00315194">
        <w:rPr>
          <w:rFonts w:ascii="Cambria" w:hAnsi="Cambria"/>
          <w:lang w:val="en-US"/>
        </w:rPr>
        <w:t xml:space="preserve"> </w:t>
      </w:r>
      <w:r w:rsidRPr="00315194">
        <w:rPr>
          <w:rFonts w:ascii="Cambria" w:hAnsi="Cambria"/>
          <w:lang w:val="en-US"/>
        </w:rPr>
        <w:t xml:space="preserve">systems such as rooftop greenhouses, vertical facades and various types of indoor growing facilities. Each system has its way to implement the overall sustainability of the building, from mitigating roofs heat absorption, to adding extra green insulating layers to existing facades. In particular, high-tech greenhouses and </w:t>
      </w:r>
      <w:r w:rsidR="00C27721">
        <w:rPr>
          <w:rFonts w:ascii="Cambria" w:hAnsi="Cambria"/>
          <w:lang w:val="en-US"/>
        </w:rPr>
        <w:t>PFALs</w:t>
      </w:r>
      <w:r w:rsidRPr="00315194">
        <w:rPr>
          <w:rFonts w:ascii="Cambria" w:hAnsi="Cambria"/>
          <w:lang w:val="en-US"/>
        </w:rPr>
        <w:t xml:space="preserve"> are the most used systems in </w:t>
      </w:r>
      <w:r w:rsidR="6170F894" w:rsidRPr="00315194">
        <w:rPr>
          <w:rFonts w:ascii="Cambria" w:hAnsi="Cambria"/>
          <w:lang w:val="en-US"/>
        </w:rPr>
        <w:t>BIA</w:t>
      </w:r>
      <w:r w:rsidRPr="00315194">
        <w:rPr>
          <w:rFonts w:ascii="Cambria" w:hAnsi="Cambria"/>
          <w:lang w:val="en-US"/>
        </w:rPr>
        <w:t>, as they present the great advantage of maximizing production yields, making them more suitable for the integration in mixed-use buildings. Furthermore, they allow to host multiple functions in the buildings other than food production</w:t>
      </w:r>
      <w:r w:rsidR="77F1D074" w:rsidRPr="00315194">
        <w:rPr>
          <w:rFonts w:ascii="Cambria" w:hAnsi="Cambria"/>
          <w:lang w:val="en-US"/>
        </w:rPr>
        <w:t xml:space="preserve"> only</w:t>
      </w:r>
      <w:r w:rsidRPr="00315194">
        <w:rPr>
          <w:rFonts w:ascii="Cambria" w:hAnsi="Cambria"/>
          <w:lang w:val="en-US"/>
        </w:rPr>
        <w:t xml:space="preserve">. In this regard, it was noted how rooftops and south facing facades were the most commonly used spaces for active building </w:t>
      </w:r>
      <w:r w:rsidRPr="00315194">
        <w:rPr>
          <w:rFonts w:ascii="Cambria" w:hAnsi="Cambria"/>
          <w:color w:val="auto"/>
          <w:lang w:val="en-US"/>
        </w:rPr>
        <w:t>integration with high-tech greenhouses. In most cases (</w:t>
      </w:r>
      <w:r w:rsidR="6170F894" w:rsidRPr="00315194">
        <w:rPr>
          <w:rFonts w:ascii="Cambria" w:hAnsi="Cambria"/>
          <w:color w:val="auto"/>
          <w:lang w:val="en-US"/>
        </w:rPr>
        <w:t>e.g.,</w:t>
      </w:r>
      <w:r w:rsidRPr="00315194">
        <w:rPr>
          <w:rFonts w:ascii="Cambria" w:hAnsi="Cambria"/>
          <w:color w:val="auto"/>
          <w:lang w:val="en-US"/>
        </w:rPr>
        <w:t xml:space="preserve"> the ICTA building</w:t>
      </w:r>
      <w:r w:rsidR="6170F894" w:rsidRPr="00315194">
        <w:rPr>
          <w:rFonts w:ascii="Cambria" w:hAnsi="Cambria"/>
          <w:color w:val="auto"/>
          <w:lang w:val="en-US"/>
        </w:rPr>
        <w:t xml:space="preserve"> in Barcelona, Spain;</w:t>
      </w:r>
      <w:r w:rsidRPr="00315194">
        <w:rPr>
          <w:rFonts w:ascii="Cambria" w:hAnsi="Cambria"/>
          <w:color w:val="auto"/>
          <w:lang w:val="en-US"/>
        </w:rPr>
        <w:t xml:space="preserve"> the Oberhausen office</w:t>
      </w:r>
      <w:r w:rsidR="007006AC" w:rsidRPr="00315194">
        <w:rPr>
          <w:rFonts w:ascii="Cambria" w:hAnsi="Cambria"/>
          <w:color w:val="auto"/>
          <w:lang w:val="en-US"/>
        </w:rPr>
        <w:t xml:space="preserve"> in Oberhausen, Germany</w:t>
      </w:r>
      <w:r w:rsidR="6170F894" w:rsidRPr="00315194">
        <w:rPr>
          <w:rFonts w:ascii="Cambria" w:hAnsi="Cambria"/>
          <w:color w:val="auto"/>
          <w:lang w:val="en-US"/>
        </w:rPr>
        <w:t>;</w:t>
      </w:r>
      <w:r w:rsidRPr="00315194">
        <w:rPr>
          <w:rFonts w:ascii="Cambria" w:hAnsi="Cambria"/>
          <w:color w:val="auto"/>
          <w:lang w:val="en-US"/>
        </w:rPr>
        <w:t xml:space="preserve"> the Utrecht Greenhouse Restaurant</w:t>
      </w:r>
      <w:r w:rsidR="6170F894" w:rsidRPr="00315194">
        <w:rPr>
          <w:rFonts w:ascii="Cambria" w:hAnsi="Cambria"/>
          <w:color w:val="auto"/>
          <w:lang w:val="en-US"/>
        </w:rPr>
        <w:t xml:space="preserve"> in Utrecht, Netherlands</w:t>
      </w:r>
      <w:r w:rsidRPr="00315194">
        <w:rPr>
          <w:rFonts w:ascii="Cambria" w:hAnsi="Cambria"/>
          <w:color w:val="auto"/>
          <w:lang w:val="en-US"/>
        </w:rPr>
        <w:t xml:space="preserve">) these greenhouses operated resource efficient methods, </w:t>
      </w:r>
      <w:r w:rsidRPr="00315194">
        <w:rPr>
          <w:rFonts w:ascii="Cambria" w:hAnsi="Cambria"/>
          <w:lang w:val="en-US"/>
        </w:rPr>
        <w:t xml:space="preserve">using closed hydroponic systems, recovering rainwater and exchanging heat with the host building. Indeed, the heat absorbed by the building and transferred to the greenhouse is an efficient way to lower the production’s energy demand, resulting in a win-win symbiotic relationship between the two systems. On the other hand, integrated greenhouses can also improve the environmental performances of the host buildings, providing additional insulation, cooling horizontal and vertical surfaces directly exposed to sun radiation and extracting exhaust air from the building using it to create more favorable condition for plants to grow. While integrating high-tech greenhouses in architectural projects </w:t>
      </w:r>
      <w:r w:rsidR="00C27721">
        <w:rPr>
          <w:rFonts w:ascii="Cambria" w:hAnsi="Cambria"/>
          <w:lang w:val="en-US"/>
        </w:rPr>
        <w:t xml:space="preserve">their orientation </w:t>
      </w:r>
      <w:r w:rsidRPr="00315194">
        <w:rPr>
          <w:rFonts w:ascii="Cambria" w:hAnsi="Cambria"/>
          <w:lang w:val="en-US"/>
        </w:rPr>
        <w:t xml:space="preserve">must </w:t>
      </w:r>
      <w:r w:rsidR="6170F894" w:rsidRPr="00315194">
        <w:rPr>
          <w:rFonts w:ascii="Cambria" w:hAnsi="Cambria"/>
          <w:lang w:val="en-US"/>
        </w:rPr>
        <w:t xml:space="preserve">be </w:t>
      </w:r>
      <w:proofErr w:type="gramStart"/>
      <w:r w:rsidRPr="00315194">
        <w:rPr>
          <w:rFonts w:ascii="Cambria" w:hAnsi="Cambria"/>
          <w:lang w:val="en-US"/>
        </w:rPr>
        <w:t>take</w:t>
      </w:r>
      <w:r w:rsidR="6170F894" w:rsidRPr="00315194">
        <w:rPr>
          <w:rFonts w:ascii="Cambria" w:hAnsi="Cambria"/>
          <w:lang w:val="en-US"/>
        </w:rPr>
        <w:t>n</w:t>
      </w:r>
      <w:r w:rsidRPr="00315194">
        <w:rPr>
          <w:rFonts w:ascii="Cambria" w:hAnsi="Cambria"/>
          <w:lang w:val="en-US"/>
        </w:rPr>
        <w:t xml:space="preserve"> into </w:t>
      </w:r>
      <w:r w:rsidR="6170F894" w:rsidRPr="00315194">
        <w:rPr>
          <w:rFonts w:ascii="Cambria" w:hAnsi="Cambria"/>
          <w:lang w:val="en-US"/>
        </w:rPr>
        <w:t>account</w:t>
      </w:r>
      <w:proofErr w:type="gramEnd"/>
      <w:r w:rsidRPr="00315194">
        <w:rPr>
          <w:rFonts w:ascii="Cambria" w:hAnsi="Cambria"/>
          <w:lang w:val="en-US"/>
        </w:rPr>
        <w:t xml:space="preserve">, maximizing exposure to solar radiations, </w:t>
      </w:r>
      <w:r w:rsidR="00C27721">
        <w:rPr>
          <w:rFonts w:ascii="Cambria" w:hAnsi="Cambria"/>
          <w:lang w:val="en-US"/>
        </w:rPr>
        <w:t xml:space="preserve">PFALs </w:t>
      </w:r>
      <w:r w:rsidRPr="00315194">
        <w:rPr>
          <w:rFonts w:ascii="Cambria" w:hAnsi="Cambria"/>
          <w:lang w:val="en-US"/>
        </w:rPr>
        <w:t xml:space="preserve">rely exclusively on artificial light for plant production, opening a new world of possibilities for their integration in buildings. As reported by Graamans et al. (2018) </w:t>
      </w:r>
      <w:r w:rsidR="00C27721">
        <w:rPr>
          <w:rFonts w:ascii="Cambria" w:hAnsi="Cambria"/>
          <w:lang w:val="en-US"/>
        </w:rPr>
        <w:t xml:space="preserve">PFALs are </w:t>
      </w:r>
      <w:r w:rsidRPr="00315194">
        <w:rPr>
          <w:rFonts w:ascii="Cambria" w:hAnsi="Cambria"/>
          <w:lang w:val="en-US"/>
        </w:rPr>
        <w:t xml:space="preserve">better suited to extreme climates, where temperature swings are </w:t>
      </w:r>
      <w:r w:rsidR="148389E4" w:rsidRPr="00315194">
        <w:rPr>
          <w:rFonts w:ascii="Cambria" w:hAnsi="Cambria"/>
          <w:lang w:val="en-US"/>
        </w:rPr>
        <w:t xml:space="preserve">a </w:t>
      </w:r>
      <w:r w:rsidRPr="00315194">
        <w:rPr>
          <w:rFonts w:ascii="Cambria" w:hAnsi="Cambria"/>
          <w:lang w:val="en-US"/>
        </w:rPr>
        <w:t>larger concern than lighting (Graamans et al. 2018). Nonetheless, the constant research developments on the topic, make it suitable for the integration of this typology into the darkest spaces of buildings</w:t>
      </w:r>
      <w:r w:rsidR="148389E4" w:rsidRPr="00315194">
        <w:rPr>
          <w:rFonts w:ascii="Cambria" w:hAnsi="Cambria"/>
          <w:lang w:val="en-US"/>
        </w:rPr>
        <w:t xml:space="preserve"> (e.g., basements and cellars)</w:t>
      </w:r>
      <w:r w:rsidRPr="00315194">
        <w:rPr>
          <w:rFonts w:ascii="Cambria" w:hAnsi="Cambria"/>
          <w:lang w:val="en-US"/>
        </w:rPr>
        <w:t xml:space="preserve">, creating new design opportunities. </w:t>
      </w:r>
      <w:r w:rsidR="00577798" w:rsidRPr="00315194">
        <w:rPr>
          <w:rFonts w:ascii="Cambria" w:hAnsi="Cambria"/>
          <w:lang w:val="en-US"/>
        </w:rPr>
        <w:t>I</w:t>
      </w:r>
      <w:r w:rsidR="00163198" w:rsidRPr="00315194">
        <w:rPr>
          <w:rFonts w:ascii="Cambria" w:hAnsi="Cambria"/>
          <w:lang w:val="en-US"/>
        </w:rPr>
        <w:t>t is possible to develop three main concepts of greenhouse horticulture integration in buildings and urban environments</w:t>
      </w:r>
      <w:r w:rsidR="00577798" w:rsidRPr="00315194">
        <w:rPr>
          <w:rFonts w:ascii="Cambria" w:hAnsi="Cambria"/>
          <w:lang w:val="en-US"/>
        </w:rPr>
        <w:t>,</w:t>
      </w:r>
      <w:r w:rsidR="00163198" w:rsidRPr="00315194">
        <w:rPr>
          <w:rFonts w:ascii="Cambria" w:hAnsi="Cambria"/>
          <w:lang w:val="en-US"/>
        </w:rPr>
        <w:t xml:space="preserve"> as well as three concepts for indoor farming integration</w:t>
      </w:r>
      <w:r w:rsidR="00C27721">
        <w:rPr>
          <w:rFonts w:ascii="Cambria" w:hAnsi="Cambria"/>
          <w:lang w:val="en-US"/>
        </w:rPr>
        <w:t>s</w:t>
      </w:r>
      <w:r w:rsidR="00577798" w:rsidRPr="00315194">
        <w:rPr>
          <w:rFonts w:ascii="Cambria" w:hAnsi="Cambria"/>
          <w:lang w:val="en-US"/>
        </w:rPr>
        <w:t xml:space="preserve"> as reported in </w:t>
      </w:r>
      <w:r w:rsidR="00163198" w:rsidRPr="00315194">
        <w:rPr>
          <w:rFonts w:ascii="Cambria" w:hAnsi="Cambria"/>
          <w:lang w:val="en-US"/>
        </w:rPr>
        <w:t>Fig</w:t>
      </w:r>
      <w:r w:rsidR="00577798" w:rsidRPr="00315194">
        <w:rPr>
          <w:rFonts w:ascii="Cambria" w:hAnsi="Cambria"/>
          <w:lang w:val="en-US"/>
        </w:rPr>
        <w:t>ure</w:t>
      </w:r>
      <w:r w:rsidR="00163198" w:rsidRPr="00315194">
        <w:rPr>
          <w:rFonts w:ascii="Cambria" w:hAnsi="Cambria"/>
          <w:lang w:val="en-US"/>
        </w:rPr>
        <w:t xml:space="preserve"> 3</w:t>
      </w:r>
      <w:r w:rsidR="00577798" w:rsidRPr="00315194">
        <w:rPr>
          <w:rFonts w:ascii="Cambria" w:hAnsi="Cambria"/>
          <w:lang w:val="en-US"/>
        </w:rPr>
        <w:t>.</w:t>
      </w:r>
      <w:r w:rsidR="00667C10" w:rsidRPr="00315194">
        <w:rPr>
          <w:rFonts w:ascii="Cambria" w:hAnsi="Cambria"/>
          <w:lang w:val="en-US"/>
        </w:rPr>
        <w:t xml:space="preserve"> </w:t>
      </w:r>
    </w:p>
    <w:p w14:paraId="1A7CA911" w14:textId="7D4EDDAC" w:rsidR="00163198" w:rsidRPr="00315194" w:rsidRDefault="00163198"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firstLine="567"/>
        <w:contextualSpacing/>
        <w:jc w:val="both"/>
        <w:rPr>
          <w:rFonts w:ascii="Cambria" w:hAnsi="Cambria"/>
          <w:lang w:val="en-US"/>
        </w:rPr>
      </w:pPr>
    </w:p>
    <w:p w14:paraId="2A328616" w14:textId="559B141B" w:rsidR="00C15DD3" w:rsidRPr="00315194" w:rsidRDefault="00406AE4" w:rsidP="00406AE4">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firstLine="567"/>
        <w:contextualSpacing/>
        <w:jc w:val="center"/>
        <w:rPr>
          <w:rFonts w:ascii="Cambria" w:hAnsi="Cambria"/>
          <w:lang w:val="en-US"/>
        </w:rPr>
      </w:pPr>
      <w:r w:rsidRPr="00315194">
        <w:rPr>
          <w:noProof/>
        </w:rPr>
        <w:lastRenderedPageBreak/>
        <w:drawing>
          <wp:inline distT="0" distB="0" distL="0" distR="0" wp14:anchorId="1AF79D2B" wp14:editId="42E63090">
            <wp:extent cx="3312160" cy="1898650"/>
            <wp:effectExtent l="0" t="0" r="254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2160" cy="1898650"/>
                    </a:xfrm>
                    <a:prstGeom prst="rect">
                      <a:avLst/>
                    </a:prstGeom>
                    <a:noFill/>
                    <a:ln>
                      <a:noFill/>
                    </a:ln>
                  </pic:spPr>
                </pic:pic>
              </a:graphicData>
            </a:graphic>
          </wp:inline>
        </w:drawing>
      </w:r>
    </w:p>
    <w:p w14:paraId="00F84C64" w14:textId="20A1CCD8" w:rsidR="00C15DD3" w:rsidRPr="00315194" w:rsidRDefault="00C15DD3" w:rsidP="00046407">
      <w:pPr>
        <w:pStyle w:val="Titolooggetto"/>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7" w:hanging="907"/>
        <w:contextualSpacing/>
        <w:jc w:val="both"/>
        <w:rPr>
          <w:rFonts w:ascii="Cambria" w:hAnsi="Cambria"/>
          <w:bCs/>
          <w:sz w:val="22"/>
          <w:szCs w:val="22"/>
          <w:lang w:val="en-US"/>
        </w:rPr>
      </w:pPr>
      <w:r w:rsidRPr="00046407">
        <w:rPr>
          <w:rFonts w:ascii="Cambria" w:hAnsi="Cambria"/>
          <w:bCs/>
          <w:sz w:val="22"/>
          <w:szCs w:val="22"/>
          <w:lang w:val="en-US"/>
        </w:rPr>
        <w:t>Figure 3.</w:t>
      </w:r>
      <w:r w:rsidRPr="00315194">
        <w:rPr>
          <w:rFonts w:ascii="Cambria" w:hAnsi="Cambria"/>
          <w:b/>
          <w:bCs/>
          <w:sz w:val="22"/>
          <w:szCs w:val="22"/>
          <w:lang w:val="en-US"/>
        </w:rPr>
        <w:t xml:space="preserve"> </w:t>
      </w:r>
      <w:r w:rsidRPr="00315194">
        <w:rPr>
          <w:rFonts w:ascii="Cambria" w:hAnsi="Cambria"/>
          <w:bCs/>
          <w:sz w:val="22"/>
          <w:szCs w:val="22"/>
          <w:lang w:val="en-US"/>
        </w:rPr>
        <w:t>Agricultural integration in buildings. Greenhouse facilities in private/public open spaces (a), sun-exposed facades (b) and private rooftops (c). Indoor farming integration in building’s common hallways (d), shaded facades (e) and private inner spaces (f).</w:t>
      </w:r>
    </w:p>
    <w:p w14:paraId="54345118" w14:textId="7F432C6D" w:rsidR="0080085A" w:rsidRPr="00315194" w:rsidRDefault="0080085A" w:rsidP="007006AC">
      <w:pPr>
        <w:spacing w:after="0" w:line="240" w:lineRule="auto"/>
        <w:contextualSpacing/>
        <w:jc w:val="both"/>
        <w:rPr>
          <w:rFonts w:ascii="Cambria" w:hAnsi="Cambria"/>
          <w:bCs/>
          <w:lang w:val="en-US"/>
          <w14:textOutline w14:w="0" w14:cap="flat" w14:cmpd="sng" w14:algn="ctr">
            <w14:noFill/>
            <w14:prstDash w14:val="solid"/>
            <w14:bevel/>
          </w14:textOutline>
        </w:rPr>
      </w:pPr>
    </w:p>
    <w:p w14:paraId="3971D0F0" w14:textId="6CD3CE6D" w:rsidR="00F01EEF" w:rsidRPr="00046407" w:rsidRDefault="00163198" w:rsidP="00046407">
      <w:pPr>
        <w:spacing w:after="0" w:line="240" w:lineRule="auto"/>
        <w:contextualSpacing/>
        <w:jc w:val="both"/>
        <w:rPr>
          <w:rFonts w:ascii="Cambria" w:eastAsia="Times New Roman" w:hAnsi="Cambria" w:cs="Times New Roman"/>
          <w:lang w:val="en-US"/>
        </w:rPr>
      </w:pPr>
      <w:r w:rsidRPr="00046407">
        <w:rPr>
          <w:rFonts w:ascii="Cambria" w:hAnsi="Cambria"/>
          <w:b/>
          <w:bCs/>
          <w:lang w:val="en-US"/>
        </w:rPr>
        <w:t>Strengths and weaknesses</w:t>
      </w:r>
    </w:p>
    <w:p w14:paraId="343CD1AA" w14:textId="31F4B95E" w:rsidR="004B5B7C" w:rsidRPr="00315194" w:rsidRDefault="00163198" w:rsidP="00046407">
      <w:pPr>
        <w:spacing w:after="0" w:line="240" w:lineRule="auto"/>
        <w:ind w:firstLine="567"/>
        <w:contextualSpacing/>
        <w:jc w:val="both"/>
        <w:rPr>
          <w:rFonts w:ascii="Cambria" w:eastAsia="Times New Roman" w:hAnsi="Cambria" w:cs="Times New Roman"/>
          <w:lang w:val="en-US"/>
        </w:rPr>
      </w:pPr>
      <w:r w:rsidRPr="00315194">
        <w:rPr>
          <w:rFonts w:ascii="Cambria" w:hAnsi="Cambria"/>
          <w:lang w:val="en-US"/>
        </w:rPr>
        <w:t xml:space="preserve">Cities are focal points of climate change fight and sustainable development of urban areas is a priority in most industrialized countries. </w:t>
      </w:r>
      <w:r w:rsidR="00C27721">
        <w:rPr>
          <w:rFonts w:ascii="Cambria" w:hAnsi="Cambria"/>
          <w:lang w:val="en-US"/>
        </w:rPr>
        <w:t>I</w:t>
      </w:r>
      <w:r w:rsidRPr="00315194">
        <w:rPr>
          <w:rFonts w:ascii="Cambria" w:hAnsi="Cambria"/>
          <w:lang w:val="en-US"/>
        </w:rPr>
        <w:t>n this context</w:t>
      </w:r>
      <w:r w:rsidR="00C27721">
        <w:rPr>
          <w:rFonts w:ascii="Cambria" w:hAnsi="Cambria"/>
          <w:lang w:val="en-US"/>
        </w:rPr>
        <w:t>,</w:t>
      </w:r>
      <w:r w:rsidRPr="00315194">
        <w:rPr>
          <w:rFonts w:ascii="Cambria" w:hAnsi="Cambria"/>
          <w:lang w:val="en-US"/>
        </w:rPr>
        <w:t xml:space="preserve"> </w:t>
      </w:r>
      <w:r w:rsidR="00721486" w:rsidRPr="00315194">
        <w:rPr>
          <w:rFonts w:ascii="Cambria" w:hAnsi="Cambria"/>
          <w:lang w:val="en-US"/>
        </w:rPr>
        <w:t>BIA</w:t>
      </w:r>
      <w:r w:rsidRPr="00315194">
        <w:rPr>
          <w:rFonts w:ascii="Cambria" w:hAnsi="Cambria"/>
          <w:lang w:val="en-US"/>
        </w:rPr>
        <w:t xml:space="preserve"> can provide planners and architects with new solutions to implement green architecture and green infrastructure while providing cities with fresh produce. Understanding advantages and limitations of building-integrated agriculture is crucial to develop smart solutions, enhancing the synergies </w:t>
      </w:r>
      <w:r w:rsidR="00C27721">
        <w:rPr>
          <w:rFonts w:ascii="Cambria" w:hAnsi="Cambria"/>
          <w:lang w:val="en-US"/>
        </w:rPr>
        <w:t>between</w:t>
      </w:r>
      <w:r w:rsidRPr="00315194">
        <w:rPr>
          <w:rFonts w:ascii="Cambria" w:hAnsi="Cambria"/>
          <w:lang w:val="en-US"/>
        </w:rPr>
        <w:t xml:space="preserve"> buildings and food systems. In this regard, social, educational and economic goals as well as environmental and food production goals must be taken into consideration when approaching </w:t>
      </w:r>
      <w:r w:rsidR="00721486" w:rsidRPr="00315194">
        <w:rPr>
          <w:rFonts w:ascii="Cambria" w:hAnsi="Cambria"/>
          <w:lang w:val="en-US"/>
        </w:rPr>
        <w:t>BIA</w:t>
      </w:r>
      <w:r w:rsidRPr="00315194">
        <w:rPr>
          <w:rFonts w:ascii="Cambria" w:hAnsi="Cambria"/>
          <w:lang w:val="en-US"/>
        </w:rPr>
        <w:t xml:space="preserve"> as they might be the key for the success of initiatives, involving all </w:t>
      </w:r>
      <w:r w:rsidR="00721486" w:rsidRPr="00315194">
        <w:rPr>
          <w:rFonts w:ascii="Cambria" w:hAnsi="Cambria"/>
          <w:lang w:val="en-US"/>
        </w:rPr>
        <w:t xml:space="preserve">three </w:t>
      </w:r>
      <w:r w:rsidRPr="00315194">
        <w:rPr>
          <w:rFonts w:ascii="Cambria" w:hAnsi="Cambria"/>
          <w:lang w:val="en-US"/>
        </w:rPr>
        <w:t>spheres of sustainability</w:t>
      </w:r>
      <w:r w:rsidR="00721486" w:rsidRPr="00315194">
        <w:rPr>
          <w:rFonts w:ascii="Cambria" w:hAnsi="Cambria"/>
          <w:lang w:val="en-US"/>
        </w:rPr>
        <w:t xml:space="preserve"> (social, environmental and economic)</w:t>
      </w:r>
      <w:r w:rsidRPr="00315194">
        <w:rPr>
          <w:rFonts w:ascii="Cambria" w:hAnsi="Cambria"/>
          <w:lang w:val="en-US"/>
        </w:rPr>
        <w:t xml:space="preserve">. For instance, defining the environmental aspects of these projects is crucial for architects and engineers to justify the integration of food production systems within their design. </w:t>
      </w:r>
      <w:proofErr w:type="spellStart"/>
      <w:r w:rsidRPr="00315194">
        <w:rPr>
          <w:rFonts w:ascii="Cambria" w:hAnsi="Cambria"/>
          <w:lang w:val="en-US"/>
        </w:rPr>
        <w:t>ZFarming</w:t>
      </w:r>
      <w:proofErr w:type="spellEnd"/>
      <w:r w:rsidRPr="00315194">
        <w:rPr>
          <w:rFonts w:ascii="Cambria" w:hAnsi="Cambria"/>
          <w:lang w:val="en-US"/>
        </w:rPr>
        <w:t xml:space="preserve"> and BIA can therefore be a source of inspiration for the development of green buildings, both in renovation or new construction projects </w:t>
      </w:r>
      <w:r w:rsidR="6761A512" w:rsidRPr="00315194">
        <w:rPr>
          <w:rFonts w:ascii="Cambria" w:hAnsi="Cambria"/>
          <w:lang w:val="en-US"/>
        </w:rPr>
        <w:t>(Specht et al., 2014)</w:t>
      </w:r>
      <w:r w:rsidRPr="00315194">
        <w:rPr>
          <w:rFonts w:ascii="Cambria" w:hAnsi="Cambria"/>
          <w:lang w:val="en-US"/>
        </w:rPr>
        <w:t>. Nonetheless, the use of advanced indoor and hydroponic technologies must be approached carefully and the cooperation with other practitioners like agronomists and engineers is fundamental to fully integrate the food spaces within the building structure.</w:t>
      </w:r>
    </w:p>
    <w:p w14:paraId="3971D0F2" w14:textId="77777777" w:rsidR="00F01EEF" w:rsidRPr="00046407" w:rsidRDefault="00F01EEF" w:rsidP="00046407">
      <w:pPr>
        <w:spacing w:after="0" w:line="240" w:lineRule="auto"/>
        <w:ind w:firstLine="567"/>
        <w:contextualSpacing/>
        <w:jc w:val="both"/>
        <w:rPr>
          <w:rFonts w:ascii="Cambria" w:eastAsia="Times New Roman" w:hAnsi="Cambria" w:cs="Times New Roman"/>
          <w:b/>
          <w:lang w:val="en-US"/>
        </w:rPr>
      </w:pPr>
    </w:p>
    <w:p w14:paraId="3971D0F3" w14:textId="41746C97" w:rsidR="00F01EEF" w:rsidRPr="00046407" w:rsidRDefault="00315194" w:rsidP="00046407">
      <w:pPr>
        <w:pStyle w:val="Didefault"/>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contextualSpacing/>
        <w:jc w:val="both"/>
        <w:rPr>
          <w:rFonts w:ascii="Cambria" w:eastAsia="Times New Roman" w:hAnsi="Cambria" w:cs="Times New Roman"/>
          <w:b/>
          <w:color w:val="0E101A"/>
          <w:sz w:val="22"/>
          <w:szCs w:val="22"/>
        </w:rPr>
      </w:pPr>
      <w:r w:rsidRPr="00315194">
        <w:rPr>
          <w:rFonts w:ascii="Cambria" w:hAnsi="Cambria"/>
          <w:b/>
          <w:iCs/>
          <w:color w:val="0E101A"/>
          <w:sz w:val="22"/>
          <w:szCs w:val="22"/>
        </w:rPr>
        <w:t>Food Security and</w:t>
      </w:r>
      <w:r w:rsidR="00163198" w:rsidRPr="00046407">
        <w:rPr>
          <w:rFonts w:ascii="Cambria" w:hAnsi="Cambria"/>
          <w:b/>
          <w:iCs/>
          <w:color w:val="0E101A"/>
          <w:sz w:val="22"/>
          <w:szCs w:val="22"/>
        </w:rPr>
        <w:t xml:space="preserve"> Health</w:t>
      </w:r>
      <w:r w:rsidR="00996204" w:rsidRPr="00315194">
        <w:rPr>
          <w:rFonts w:ascii="Cambria" w:hAnsi="Cambria"/>
          <w:b/>
          <w:iCs/>
          <w:color w:val="0E101A"/>
          <w:sz w:val="22"/>
          <w:szCs w:val="22"/>
        </w:rPr>
        <w:t>.</w:t>
      </w:r>
    </w:p>
    <w:p w14:paraId="3971D0F7" w14:textId="76F8FC10" w:rsidR="00F01EEF" w:rsidRPr="00046407" w:rsidRDefault="00163198" w:rsidP="00046407">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567"/>
        <w:contextualSpacing/>
        <w:jc w:val="both"/>
      </w:pPr>
      <w:r w:rsidRPr="00315194">
        <w:rPr>
          <w:rFonts w:ascii="Cambria" w:hAnsi="Cambria"/>
          <w:color w:val="0E101A"/>
          <w:sz w:val="22"/>
          <w:szCs w:val="22"/>
        </w:rPr>
        <w:t>UA projects are often linked to several health benefits</w:t>
      </w:r>
      <w:r w:rsidR="00721486" w:rsidRPr="00315194">
        <w:rPr>
          <w:rFonts w:ascii="Cambria" w:hAnsi="Cambria"/>
          <w:color w:val="0E101A"/>
          <w:sz w:val="22"/>
          <w:szCs w:val="22"/>
        </w:rPr>
        <w:t xml:space="preserve"> </w:t>
      </w:r>
      <w:r w:rsidR="00DD5BB0" w:rsidRPr="00315194">
        <w:rPr>
          <w:rFonts w:ascii="Cambria" w:hAnsi="Cambria"/>
          <w:color w:val="0E101A"/>
          <w:sz w:val="22"/>
          <w:szCs w:val="22"/>
        </w:rPr>
        <w:t xml:space="preserve">(Table 1), </w:t>
      </w:r>
      <w:r w:rsidR="00721486" w:rsidRPr="00315194">
        <w:rPr>
          <w:rFonts w:ascii="Cambria" w:hAnsi="Cambria"/>
          <w:color w:val="0E101A"/>
          <w:sz w:val="22"/>
          <w:szCs w:val="22"/>
        </w:rPr>
        <w:t xml:space="preserve">such as enhancement of </w:t>
      </w:r>
      <w:r w:rsidRPr="00315194">
        <w:rPr>
          <w:rFonts w:ascii="Cambria" w:hAnsi="Cambria"/>
          <w:color w:val="0E101A"/>
          <w:sz w:val="22"/>
          <w:szCs w:val="22"/>
        </w:rPr>
        <w:t xml:space="preserve">physical activities while gardening </w:t>
      </w:r>
      <w:r w:rsidR="00721486" w:rsidRPr="00315194">
        <w:rPr>
          <w:rFonts w:ascii="Cambria" w:hAnsi="Cambria"/>
          <w:color w:val="0E101A"/>
          <w:sz w:val="22"/>
          <w:szCs w:val="22"/>
        </w:rPr>
        <w:t xml:space="preserve">or </w:t>
      </w:r>
      <w:r w:rsidRPr="00315194">
        <w:rPr>
          <w:rFonts w:ascii="Cambria" w:hAnsi="Cambria"/>
          <w:color w:val="0E101A"/>
          <w:sz w:val="22"/>
          <w:szCs w:val="22"/>
        </w:rPr>
        <w:t>improv</w:t>
      </w:r>
      <w:r w:rsidR="00721486" w:rsidRPr="00315194">
        <w:rPr>
          <w:rFonts w:ascii="Cambria" w:hAnsi="Cambria"/>
          <w:color w:val="0E101A"/>
          <w:sz w:val="22"/>
          <w:szCs w:val="22"/>
        </w:rPr>
        <w:t>ed</w:t>
      </w:r>
      <w:r w:rsidRPr="00315194">
        <w:rPr>
          <w:rFonts w:ascii="Cambria" w:hAnsi="Cambria"/>
          <w:color w:val="0E101A"/>
          <w:sz w:val="22"/>
          <w:szCs w:val="22"/>
        </w:rPr>
        <w:t xml:space="preserve"> access to food in urban areas. Nonetheless, ground-based UA can present some hazards if not traded carefully: the proximity of industrial plants, dump sites and traffic areas may contaminate the plants or the soils; water can be poisoned by heavy metals and contaminations could be fatal to plants and dangerous for </w:t>
      </w:r>
      <w:r w:rsidR="00721486" w:rsidRPr="00315194">
        <w:rPr>
          <w:rFonts w:ascii="Cambria" w:hAnsi="Cambria"/>
          <w:color w:val="0E101A"/>
          <w:sz w:val="22"/>
          <w:szCs w:val="22"/>
        </w:rPr>
        <w:t>humans’</w:t>
      </w:r>
      <w:r w:rsidRPr="00315194">
        <w:rPr>
          <w:rFonts w:ascii="Cambria" w:hAnsi="Cambria"/>
          <w:color w:val="0E101A"/>
          <w:sz w:val="22"/>
          <w:szCs w:val="22"/>
        </w:rPr>
        <w:t xml:space="preserve"> </w:t>
      </w:r>
      <w:r w:rsidR="00721486" w:rsidRPr="00315194">
        <w:rPr>
          <w:rFonts w:ascii="Cambria" w:hAnsi="Cambria"/>
          <w:color w:val="0E101A"/>
          <w:sz w:val="22"/>
          <w:szCs w:val="22"/>
        </w:rPr>
        <w:t xml:space="preserve">health </w:t>
      </w:r>
      <w:r w:rsidR="19F01458" w:rsidRPr="00315194">
        <w:rPr>
          <w:rFonts w:ascii="Cambria" w:hAnsi="Cambria"/>
          <w:color w:val="0E101A"/>
          <w:sz w:val="22"/>
          <w:szCs w:val="22"/>
        </w:rPr>
        <w:t>(Santo et al., 2016)</w:t>
      </w:r>
      <w:r w:rsidRPr="00315194">
        <w:rPr>
          <w:rFonts w:ascii="Cambria" w:hAnsi="Cambria"/>
          <w:color w:val="0E101A"/>
          <w:sz w:val="22"/>
          <w:szCs w:val="22"/>
        </w:rPr>
        <w:t xml:space="preserve">. Furthermore, in densely populated urban areas, the risk of food-borne diseases throughout the population is high </w:t>
      </w:r>
      <w:r w:rsidR="2450CCC8" w:rsidRPr="00315194">
        <w:rPr>
          <w:rFonts w:ascii="Cambria" w:hAnsi="Cambria"/>
          <w:color w:val="0E101A"/>
          <w:sz w:val="22"/>
          <w:szCs w:val="22"/>
        </w:rPr>
        <w:t>(Specht et al., 2014)</w:t>
      </w:r>
      <w:r w:rsidRPr="00315194">
        <w:rPr>
          <w:rFonts w:ascii="Cambria" w:hAnsi="Cambria"/>
          <w:color w:val="0E101A"/>
          <w:sz w:val="22"/>
          <w:szCs w:val="22"/>
        </w:rPr>
        <w:t xml:space="preserve">. In the case of soil-based </w:t>
      </w:r>
      <w:proofErr w:type="spellStart"/>
      <w:r w:rsidRPr="00315194">
        <w:rPr>
          <w:rFonts w:ascii="Cambria" w:hAnsi="Cambria"/>
          <w:color w:val="0E101A"/>
          <w:sz w:val="22"/>
          <w:szCs w:val="22"/>
        </w:rPr>
        <w:t>ZFarming</w:t>
      </w:r>
      <w:proofErr w:type="spellEnd"/>
      <w:r w:rsidRPr="00315194">
        <w:rPr>
          <w:rFonts w:ascii="Cambria" w:hAnsi="Cambria"/>
          <w:color w:val="0E101A"/>
          <w:sz w:val="22"/>
          <w:szCs w:val="22"/>
        </w:rPr>
        <w:t xml:space="preserve">, risks of food contamination connected to air pollution are to be seriously </w:t>
      </w:r>
      <w:r w:rsidR="00C27721">
        <w:rPr>
          <w:rFonts w:ascii="Cambria" w:hAnsi="Cambria"/>
          <w:color w:val="0E101A"/>
          <w:sz w:val="22"/>
          <w:szCs w:val="22"/>
        </w:rPr>
        <w:t>considered</w:t>
      </w:r>
      <w:r w:rsidRPr="00315194">
        <w:rPr>
          <w:rFonts w:ascii="Cambria" w:hAnsi="Cambria"/>
          <w:color w:val="0E101A"/>
          <w:sz w:val="22"/>
          <w:szCs w:val="22"/>
        </w:rPr>
        <w:t xml:space="preserve">. In this regard, rooftop greenhouses and </w:t>
      </w:r>
      <w:r w:rsidR="00C27721">
        <w:rPr>
          <w:rFonts w:ascii="Cambria" w:hAnsi="Cambria"/>
          <w:color w:val="0E101A"/>
          <w:sz w:val="22"/>
          <w:szCs w:val="22"/>
        </w:rPr>
        <w:t>PFALs</w:t>
      </w:r>
      <w:r w:rsidRPr="00315194">
        <w:rPr>
          <w:rFonts w:ascii="Cambria" w:hAnsi="Cambria"/>
          <w:color w:val="0E101A"/>
          <w:sz w:val="22"/>
          <w:szCs w:val="22"/>
        </w:rPr>
        <w:t xml:space="preserve"> may dramatically reduce the risks of pollution and food pathogens, being the production carried on in a controlled environment</w:t>
      </w:r>
      <w:r w:rsidR="00C27721">
        <w:rPr>
          <w:rFonts w:ascii="Cambria" w:hAnsi="Cambria"/>
          <w:color w:val="0E101A"/>
          <w:sz w:val="22"/>
          <w:szCs w:val="22"/>
        </w:rPr>
        <w:t xml:space="preserve"> physically distant from main pollution sources</w:t>
      </w:r>
      <w:r w:rsidRPr="00315194">
        <w:rPr>
          <w:rFonts w:ascii="Cambria" w:hAnsi="Cambria"/>
          <w:color w:val="0E101A"/>
          <w:sz w:val="22"/>
          <w:szCs w:val="22"/>
        </w:rPr>
        <w:t xml:space="preserve">. Indoor production is said to reduce the use of pesticides and herbicides </w:t>
      </w:r>
      <w:r w:rsidR="11D47C3D" w:rsidRPr="00315194">
        <w:rPr>
          <w:rFonts w:ascii="Cambria" w:hAnsi="Cambria"/>
          <w:color w:val="0E101A"/>
          <w:sz w:val="22"/>
          <w:szCs w:val="22"/>
        </w:rPr>
        <w:t>(Graff, 2019)</w:t>
      </w:r>
      <w:r w:rsidRPr="00315194">
        <w:rPr>
          <w:rFonts w:ascii="Cambria" w:hAnsi="Cambria"/>
          <w:color w:val="0E101A"/>
          <w:sz w:val="22"/>
          <w:szCs w:val="22"/>
        </w:rPr>
        <w:t xml:space="preserve"> improving food quality and people’s health. The use of </w:t>
      </w:r>
      <w:r w:rsidR="00C27721">
        <w:rPr>
          <w:rFonts w:ascii="Cambria" w:hAnsi="Cambria"/>
          <w:color w:val="0E101A"/>
          <w:sz w:val="22"/>
          <w:szCs w:val="22"/>
        </w:rPr>
        <w:t>soilless</w:t>
      </w:r>
      <w:r w:rsidRPr="00315194">
        <w:rPr>
          <w:rFonts w:ascii="Cambria" w:hAnsi="Cambria"/>
          <w:color w:val="0E101A"/>
          <w:sz w:val="22"/>
          <w:szCs w:val="22"/>
        </w:rPr>
        <w:t xml:space="preserve"> technologies in BIA</w:t>
      </w:r>
      <w:r w:rsidR="00C27721">
        <w:rPr>
          <w:rFonts w:ascii="Cambria" w:hAnsi="Cambria"/>
          <w:color w:val="0E101A"/>
          <w:sz w:val="22"/>
          <w:szCs w:val="22"/>
        </w:rPr>
        <w:t xml:space="preserve"> (e.g., </w:t>
      </w:r>
      <w:r w:rsidRPr="00315194">
        <w:rPr>
          <w:rFonts w:ascii="Cambria" w:hAnsi="Cambria"/>
          <w:color w:val="0E101A"/>
          <w:sz w:val="22"/>
          <w:szCs w:val="22"/>
        </w:rPr>
        <w:t>hydroponic or aquaponic</w:t>
      </w:r>
      <w:r w:rsidR="00C27721">
        <w:rPr>
          <w:rFonts w:ascii="Cambria" w:hAnsi="Cambria"/>
          <w:color w:val="0E101A"/>
          <w:sz w:val="22"/>
          <w:szCs w:val="22"/>
        </w:rPr>
        <w:t>s)</w:t>
      </w:r>
      <w:r w:rsidRPr="00315194">
        <w:rPr>
          <w:rFonts w:ascii="Cambria" w:hAnsi="Cambria"/>
          <w:color w:val="0E101A"/>
          <w:sz w:val="22"/>
          <w:szCs w:val="22"/>
        </w:rPr>
        <w:t xml:space="preserve"> can also guarantee higher yields than conventional soil-based agriculture</w:t>
      </w:r>
      <w:r w:rsidR="00721486" w:rsidRPr="00315194">
        <w:rPr>
          <w:rFonts w:ascii="Cambria" w:hAnsi="Cambria"/>
          <w:color w:val="0E101A"/>
          <w:sz w:val="22"/>
          <w:szCs w:val="22"/>
        </w:rPr>
        <w:t>,</w:t>
      </w:r>
      <w:r w:rsidRPr="00315194">
        <w:rPr>
          <w:rFonts w:ascii="Cambria" w:hAnsi="Cambria"/>
          <w:color w:val="0E101A"/>
          <w:sz w:val="22"/>
          <w:szCs w:val="22"/>
        </w:rPr>
        <w:t xml:space="preserve"> being 5 to 7 times more productive </w:t>
      </w:r>
      <w:r w:rsidR="11FEDD2D" w:rsidRPr="00315194">
        <w:rPr>
          <w:rFonts w:ascii="Cambria" w:hAnsi="Cambria"/>
          <w:color w:val="0E101A"/>
          <w:sz w:val="22"/>
          <w:szCs w:val="22"/>
        </w:rPr>
        <w:t>(</w:t>
      </w:r>
      <w:proofErr w:type="spellStart"/>
      <w:r w:rsidR="11FEDD2D" w:rsidRPr="00315194">
        <w:rPr>
          <w:rFonts w:ascii="Cambria" w:hAnsi="Cambria"/>
          <w:color w:val="0E101A"/>
          <w:sz w:val="22"/>
          <w:szCs w:val="22"/>
        </w:rPr>
        <w:t>Sauerborn</w:t>
      </w:r>
      <w:proofErr w:type="spellEnd"/>
      <w:r w:rsidR="11FEDD2D" w:rsidRPr="00315194">
        <w:rPr>
          <w:rFonts w:ascii="Cambria" w:hAnsi="Cambria"/>
          <w:color w:val="0E101A"/>
          <w:sz w:val="22"/>
          <w:szCs w:val="22"/>
        </w:rPr>
        <w:t>, 2011)</w:t>
      </w:r>
      <w:r w:rsidRPr="00315194">
        <w:rPr>
          <w:rFonts w:ascii="Cambria" w:hAnsi="Cambria"/>
          <w:color w:val="0E101A"/>
          <w:sz w:val="22"/>
          <w:szCs w:val="22"/>
        </w:rPr>
        <w:t xml:space="preserve">. Whilst this may be an advantage, limitations concerning indoor production are related to the use of advanced technologies, which may require </w:t>
      </w:r>
      <w:r w:rsidRPr="00315194">
        <w:rPr>
          <w:rFonts w:ascii="Cambria" w:hAnsi="Cambria"/>
          <w:color w:val="0E101A"/>
          <w:sz w:val="22"/>
          <w:szCs w:val="22"/>
        </w:rPr>
        <w:lastRenderedPageBreak/>
        <w:t xml:space="preserve">technical backgrounds, limiting the access to the production of a great part of the local community. On the other hand, a controlled environment can be very fragile, and risks of plant diseases due to human cross-contamination can increase with multiple people working or visiting the production spaces </w:t>
      </w:r>
      <w:r w:rsidR="1FD2789A" w:rsidRPr="00315194">
        <w:rPr>
          <w:rFonts w:ascii="Cambria" w:hAnsi="Cambria"/>
          <w:color w:val="0E101A"/>
          <w:sz w:val="22"/>
          <w:szCs w:val="22"/>
        </w:rPr>
        <w:t>(Specht et al, 2014)</w:t>
      </w:r>
      <w:r w:rsidRPr="00315194">
        <w:rPr>
          <w:rFonts w:ascii="Cambria" w:hAnsi="Cambria"/>
          <w:color w:val="0E101A"/>
          <w:sz w:val="22"/>
          <w:szCs w:val="22"/>
        </w:rPr>
        <w:t>.</w:t>
      </w:r>
      <w:r w:rsidR="00C27721">
        <w:rPr>
          <w:rFonts w:ascii="Cambria" w:hAnsi="Cambria"/>
          <w:color w:val="0E101A"/>
          <w:sz w:val="22"/>
          <w:szCs w:val="22"/>
        </w:rPr>
        <w:t xml:space="preserve"> </w:t>
      </w:r>
      <w:r w:rsidRPr="00315194">
        <w:rPr>
          <w:rFonts w:ascii="Cambria" w:hAnsi="Cambria"/>
          <w:color w:val="0E101A"/>
          <w:sz w:val="22"/>
          <w:szCs w:val="22"/>
        </w:rPr>
        <w:t xml:space="preserve">In conclusion, BIA practices might guarantee safer food, being distant from the main roads and detached from the ground. Moreover, advanced production can guarantee higher yields and reduce the risks of food-borne diseases. Nonetheless, the application of advanced technologies and the relatively small productive spaces represent a limitation in the involvement of a </w:t>
      </w:r>
      <w:r w:rsidR="00C27721">
        <w:rPr>
          <w:rFonts w:ascii="Cambria" w:hAnsi="Cambria"/>
          <w:color w:val="0E101A"/>
          <w:sz w:val="22"/>
          <w:szCs w:val="22"/>
        </w:rPr>
        <w:t>large</w:t>
      </w:r>
      <w:r w:rsidRPr="00315194">
        <w:rPr>
          <w:rFonts w:ascii="Cambria" w:hAnsi="Cambria"/>
          <w:color w:val="0E101A"/>
          <w:sz w:val="22"/>
          <w:szCs w:val="22"/>
        </w:rPr>
        <w:t xml:space="preserve"> part of the local community, as well as a limitation for several crops (</w:t>
      </w:r>
      <w:r w:rsidR="006664DC" w:rsidRPr="00315194">
        <w:rPr>
          <w:rFonts w:ascii="Cambria" w:hAnsi="Cambria"/>
          <w:color w:val="0E101A"/>
          <w:sz w:val="22"/>
          <w:szCs w:val="22"/>
        </w:rPr>
        <w:t xml:space="preserve">e.g., </w:t>
      </w:r>
      <w:r w:rsidRPr="00315194">
        <w:rPr>
          <w:rFonts w:ascii="Cambria" w:hAnsi="Cambria"/>
          <w:color w:val="0E101A"/>
          <w:sz w:val="22"/>
          <w:szCs w:val="22"/>
        </w:rPr>
        <w:t>cereals, root vegetables and fruit trees) to be produced</w:t>
      </w:r>
      <w:r w:rsidR="006664DC" w:rsidRPr="00315194">
        <w:rPr>
          <w:rFonts w:ascii="Cambria" w:hAnsi="Cambria"/>
          <w:color w:val="0E101A"/>
          <w:sz w:val="22"/>
          <w:szCs w:val="22"/>
        </w:rPr>
        <w:t xml:space="preserve"> </w:t>
      </w:r>
      <w:r w:rsidR="060FB3B9" w:rsidRPr="00315194">
        <w:rPr>
          <w:rFonts w:ascii="Cambria" w:hAnsi="Cambria"/>
          <w:color w:val="0E101A"/>
          <w:sz w:val="22"/>
          <w:szCs w:val="22"/>
        </w:rPr>
        <w:t>(Specht et al, 2014)</w:t>
      </w:r>
      <w:r w:rsidRPr="00315194">
        <w:rPr>
          <w:rFonts w:ascii="Cambria" w:hAnsi="Cambria"/>
          <w:color w:val="0E101A"/>
          <w:sz w:val="22"/>
          <w:szCs w:val="22"/>
        </w:rPr>
        <w:t xml:space="preserve">. Hence, it is important </w:t>
      </w:r>
      <w:r w:rsidR="006664DC" w:rsidRPr="00315194">
        <w:rPr>
          <w:rFonts w:ascii="Cambria" w:hAnsi="Cambria"/>
          <w:color w:val="0E101A"/>
          <w:sz w:val="22"/>
          <w:szCs w:val="22"/>
        </w:rPr>
        <w:t xml:space="preserve">to bear in mind </w:t>
      </w:r>
      <w:r w:rsidRPr="00315194">
        <w:rPr>
          <w:rFonts w:ascii="Cambria" w:hAnsi="Cambria"/>
          <w:color w:val="0E101A"/>
          <w:sz w:val="22"/>
          <w:szCs w:val="22"/>
        </w:rPr>
        <w:t xml:space="preserve">that UA and BIA could rarely supply citizens with all the food they need </w:t>
      </w:r>
      <w:r w:rsidR="3CCB67B8" w:rsidRPr="00315194">
        <w:rPr>
          <w:rFonts w:ascii="Cambria" w:hAnsi="Cambria"/>
          <w:color w:val="0E101A"/>
          <w:sz w:val="22"/>
          <w:szCs w:val="22"/>
        </w:rPr>
        <w:t>(Specht et al., 2014)</w:t>
      </w:r>
      <w:r w:rsidRPr="00315194">
        <w:rPr>
          <w:rFonts w:ascii="Cambria" w:hAnsi="Cambria"/>
          <w:color w:val="0E101A"/>
          <w:sz w:val="22"/>
          <w:szCs w:val="22"/>
        </w:rPr>
        <w:t xml:space="preserve">, </w:t>
      </w:r>
      <w:r w:rsidR="006664DC" w:rsidRPr="00315194">
        <w:rPr>
          <w:rFonts w:ascii="Cambria" w:hAnsi="Cambria"/>
          <w:color w:val="0E101A"/>
          <w:sz w:val="22"/>
          <w:szCs w:val="22"/>
        </w:rPr>
        <w:t>therefore keeping the supply of food from rural areas of fundamental importance. N</w:t>
      </w:r>
      <w:r w:rsidRPr="00315194">
        <w:rPr>
          <w:rFonts w:ascii="Cambria" w:hAnsi="Cambria"/>
          <w:color w:val="0E101A"/>
          <w:sz w:val="22"/>
          <w:szCs w:val="22"/>
        </w:rPr>
        <w:t xml:space="preserve">onetheless, they can provide access to healthy fresh food in </w:t>
      </w:r>
      <w:r w:rsidR="00DD5BB0" w:rsidRPr="00315194">
        <w:rPr>
          <w:rFonts w:ascii="Cambria" w:hAnsi="Cambria"/>
          <w:color w:val="0E101A"/>
          <w:sz w:val="22"/>
          <w:szCs w:val="22"/>
        </w:rPr>
        <w:t>“</w:t>
      </w:r>
      <w:r w:rsidRPr="00315194">
        <w:rPr>
          <w:rFonts w:ascii="Cambria" w:hAnsi="Cambria"/>
          <w:color w:val="0E101A"/>
          <w:sz w:val="22"/>
          <w:szCs w:val="22"/>
        </w:rPr>
        <w:t>food desert</w:t>
      </w:r>
      <w:r w:rsidR="00DD5BB0" w:rsidRPr="00315194">
        <w:rPr>
          <w:rFonts w:ascii="Cambria" w:hAnsi="Cambria"/>
          <w:color w:val="0E101A"/>
          <w:sz w:val="22"/>
          <w:szCs w:val="22"/>
        </w:rPr>
        <w:t>”</w:t>
      </w:r>
      <w:r w:rsidRPr="00315194">
        <w:rPr>
          <w:rFonts w:ascii="Cambria" w:hAnsi="Cambria"/>
          <w:color w:val="0E101A"/>
          <w:sz w:val="22"/>
          <w:szCs w:val="22"/>
        </w:rPr>
        <w:t xml:space="preserve"> areas</w:t>
      </w:r>
      <w:r w:rsidR="00DD5BB0" w:rsidRPr="00315194">
        <w:rPr>
          <w:rFonts w:ascii="Cambria" w:hAnsi="Cambria"/>
          <w:color w:val="0E101A"/>
          <w:sz w:val="22"/>
          <w:szCs w:val="22"/>
        </w:rPr>
        <w:t xml:space="preserve"> </w:t>
      </w:r>
      <w:r w:rsidR="6D572452" w:rsidRPr="00315194">
        <w:rPr>
          <w:rFonts w:ascii="Cambria" w:hAnsi="Cambria"/>
          <w:color w:val="0E101A"/>
          <w:sz w:val="22"/>
          <w:szCs w:val="22"/>
        </w:rPr>
        <w:t>(Santo et al., 2017)</w:t>
      </w:r>
      <w:r w:rsidR="00DB7024" w:rsidRPr="00315194">
        <w:rPr>
          <w:rFonts w:ascii="Cambria" w:hAnsi="Cambria"/>
          <w:color w:val="0E101A"/>
          <w:sz w:val="22"/>
          <w:szCs w:val="22"/>
        </w:rPr>
        <w:t xml:space="preserve"> </w:t>
      </w:r>
      <w:r w:rsidR="00DD5BB0" w:rsidRPr="00315194">
        <w:rPr>
          <w:rFonts w:ascii="Cambria" w:hAnsi="Cambria"/>
          <w:color w:val="0E101A"/>
          <w:sz w:val="22"/>
          <w:szCs w:val="22"/>
        </w:rPr>
        <w:t>in which</w:t>
      </w:r>
      <w:r w:rsidRPr="00315194">
        <w:rPr>
          <w:rFonts w:ascii="Cambria" w:hAnsi="Cambria"/>
          <w:color w:val="0E101A"/>
          <w:sz w:val="22"/>
          <w:szCs w:val="22"/>
        </w:rPr>
        <w:t xml:space="preserve"> the lack of food markets</w:t>
      </w:r>
      <w:r w:rsidR="00DD5BB0" w:rsidRPr="00315194">
        <w:rPr>
          <w:rFonts w:ascii="Cambria" w:hAnsi="Cambria"/>
          <w:color w:val="0E101A"/>
          <w:sz w:val="22"/>
          <w:szCs w:val="22"/>
        </w:rPr>
        <w:t>, groceries</w:t>
      </w:r>
      <w:r w:rsidRPr="00315194">
        <w:rPr>
          <w:rFonts w:ascii="Cambria" w:hAnsi="Cambria"/>
          <w:color w:val="0E101A"/>
          <w:sz w:val="22"/>
          <w:szCs w:val="22"/>
        </w:rPr>
        <w:t xml:space="preserve"> and retails</w:t>
      </w:r>
      <w:r w:rsidR="00DD5BB0" w:rsidRPr="00315194">
        <w:rPr>
          <w:rFonts w:ascii="Cambria" w:hAnsi="Cambria"/>
          <w:color w:val="0E101A"/>
          <w:sz w:val="22"/>
          <w:szCs w:val="22"/>
        </w:rPr>
        <w:t xml:space="preserve"> represents a limit to food security </w:t>
      </w:r>
      <w:r w:rsidRPr="00315194">
        <w:rPr>
          <w:rFonts w:ascii="Cambria" w:hAnsi="Cambria"/>
          <w:color w:val="0E101A"/>
          <w:sz w:val="22"/>
          <w:szCs w:val="22"/>
        </w:rPr>
        <w:t>both in the northern and the southern hemisphere</w:t>
      </w:r>
      <w:r w:rsidR="00DB7024" w:rsidRPr="00315194">
        <w:rPr>
          <w:rFonts w:ascii="Cambria" w:hAnsi="Cambria"/>
          <w:color w:val="0E101A"/>
          <w:sz w:val="22"/>
          <w:szCs w:val="22"/>
        </w:rPr>
        <w:t xml:space="preserve"> (Table 1)</w:t>
      </w:r>
      <w:r w:rsidR="00DD5BB0" w:rsidRPr="00315194">
        <w:rPr>
          <w:rFonts w:ascii="Cambria" w:hAnsi="Cambria"/>
          <w:color w:val="0E101A"/>
          <w:sz w:val="22"/>
          <w:szCs w:val="22"/>
        </w:rPr>
        <w:t>.</w:t>
      </w:r>
    </w:p>
    <w:p w14:paraId="30B33B1C" w14:textId="77777777" w:rsidR="006664DC" w:rsidRPr="00315194" w:rsidRDefault="006664DC"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Cambria" w:eastAsia="Times New Roman" w:hAnsi="Cambria" w:cs="Times New Roman"/>
          <w:b/>
          <w:lang w:val="en-US"/>
        </w:rPr>
      </w:pPr>
    </w:p>
    <w:tbl>
      <w:tblPr>
        <w:tblStyle w:val="NormalTable0"/>
        <w:tblW w:w="8505" w:type="dxa"/>
        <w:jc w:val="center"/>
        <w:tblLayout w:type="fixed"/>
        <w:tblLook w:val="04A0" w:firstRow="1" w:lastRow="0" w:firstColumn="1" w:lastColumn="0" w:noHBand="0" w:noVBand="1"/>
      </w:tblPr>
      <w:tblGrid>
        <w:gridCol w:w="4820"/>
        <w:gridCol w:w="3685"/>
      </w:tblGrid>
      <w:tr w:rsidR="006664DC" w:rsidRPr="00315194" w14:paraId="001CE3F3" w14:textId="77777777" w:rsidTr="00CE0E74">
        <w:trPr>
          <w:trHeight w:val="20"/>
          <w:jc w:val="center"/>
        </w:trPr>
        <w:tc>
          <w:tcPr>
            <w:tcW w:w="8505" w:type="dxa"/>
            <w:gridSpan w:val="2"/>
            <w:tcBorders>
              <w:top w:val="single" w:sz="6" w:space="0" w:color="auto"/>
              <w:bottom w:val="single" w:sz="6" w:space="0" w:color="auto"/>
            </w:tcBorders>
            <w:shd w:val="clear" w:color="auto" w:fill="auto"/>
          </w:tcPr>
          <w:p w14:paraId="25852659" w14:textId="600CA4C8" w:rsidR="006664DC" w:rsidRPr="00046407" w:rsidRDefault="006664DC"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lang w:val="en-US"/>
              </w:rPr>
            </w:pPr>
            <w:r w:rsidRPr="00315194">
              <w:rPr>
                <w:rFonts w:ascii="Cambria" w:eastAsia="Times New Roman" w:hAnsi="Cambria" w:cs="Times New Roman"/>
                <w:lang w:val="en-US"/>
              </w:rPr>
              <w:t>Table 1. The food security and health dimension of Building Integrated Agriculture (BIA).</w:t>
            </w:r>
          </w:p>
        </w:tc>
      </w:tr>
      <w:tr w:rsidR="00DD5BB0" w:rsidRPr="00315194" w14:paraId="3971D0FB" w14:textId="77777777" w:rsidTr="00CE0E74">
        <w:trPr>
          <w:trHeight w:val="20"/>
          <w:jc w:val="center"/>
        </w:trPr>
        <w:tc>
          <w:tcPr>
            <w:tcW w:w="4820" w:type="dxa"/>
            <w:tcBorders>
              <w:top w:val="single" w:sz="6" w:space="0" w:color="auto"/>
              <w:bottom w:val="single" w:sz="6" w:space="0" w:color="auto"/>
            </w:tcBorders>
            <w:shd w:val="clear" w:color="auto" w:fill="D9E2F3" w:themeFill="accent1" w:themeFillTint="33"/>
          </w:tcPr>
          <w:p w14:paraId="3971D0F9" w14:textId="77777777" w:rsidR="00696886" w:rsidRPr="007F74AC" w:rsidRDefault="00696886" w:rsidP="00046407">
            <w:pPr>
              <w:pStyle w:val="Stiletabella7"/>
              <w:tabs>
                <w:tab w:val="left" w:pos="720"/>
                <w:tab w:val="left" w:pos="1440"/>
                <w:tab w:val="left" w:pos="2160"/>
                <w:tab w:val="left" w:pos="2880"/>
                <w:tab w:val="left" w:pos="3600"/>
              </w:tabs>
              <w:contextualSpacing/>
              <w:jc w:val="center"/>
              <w:rPr>
                <w:rFonts w:ascii="Arial Narrow" w:hAnsi="Arial Narrow"/>
                <w:sz w:val="22"/>
                <w:szCs w:val="22"/>
              </w:rPr>
            </w:pPr>
            <w:proofErr w:type="spellStart"/>
            <w:r w:rsidRPr="007F74AC">
              <w:rPr>
                <w:rFonts w:ascii="Arial Narrow" w:hAnsi="Arial Narrow"/>
                <w:sz w:val="22"/>
                <w:szCs w:val="22"/>
              </w:rPr>
              <w:t>Advantages</w:t>
            </w:r>
            <w:proofErr w:type="spellEnd"/>
          </w:p>
        </w:tc>
        <w:tc>
          <w:tcPr>
            <w:tcW w:w="3685" w:type="dxa"/>
            <w:tcBorders>
              <w:top w:val="single" w:sz="6" w:space="0" w:color="auto"/>
              <w:bottom w:val="single" w:sz="6" w:space="0" w:color="auto"/>
            </w:tcBorders>
            <w:shd w:val="clear" w:color="auto" w:fill="D9E2F3" w:themeFill="accent1" w:themeFillTint="33"/>
          </w:tcPr>
          <w:p w14:paraId="3971D0FA" w14:textId="253F3D69" w:rsidR="00696886" w:rsidRPr="007F74AC" w:rsidRDefault="00696886" w:rsidP="00046407">
            <w:pPr>
              <w:pStyle w:val="Stiletabella7"/>
              <w:tabs>
                <w:tab w:val="left" w:pos="720"/>
                <w:tab w:val="left" w:pos="1440"/>
                <w:tab w:val="left" w:pos="2160"/>
                <w:tab w:val="left" w:pos="2880"/>
                <w:tab w:val="left" w:pos="3600"/>
              </w:tabs>
              <w:contextualSpacing/>
              <w:jc w:val="center"/>
              <w:rPr>
                <w:rFonts w:ascii="Arial Narrow" w:hAnsi="Arial Narrow"/>
                <w:sz w:val="22"/>
                <w:szCs w:val="22"/>
              </w:rPr>
            </w:pPr>
            <w:proofErr w:type="spellStart"/>
            <w:r w:rsidRPr="007F74AC">
              <w:rPr>
                <w:rFonts w:ascii="Arial Narrow" w:hAnsi="Arial Narrow"/>
                <w:sz w:val="22"/>
                <w:szCs w:val="22"/>
              </w:rPr>
              <w:t>Limitations</w:t>
            </w:r>
            <w:proofErr w:type="spellEnd"/>
          </w:p>
        </w:tc>
      </w:tr>
      <w:tr w:rsidR="00CE0E74" w:rsidRPr="00315194" w14:paraId="3971D0FF" w14:textId="77777777" w:rsidTr="00CE0E74">
        <w:trPr>
          <w:trHeight w:val="20"/>
          <w:jc w:val="center"/>
        </w:trPr>
        <w:tc>
          <w:tcPr>
            <w:tcW w:w="4820" w:type="dxa"/>
            <w:tcBorders>
              <w:top w:val="single" w:sz="6" w:space="0" w:color="auto"/>
            </w:tcBorders>
            <w:shd w:val="clear" w:color="auto" w:fill="D9E2F3" w:themeFill="accent1" w:themeFillTint="33"/>
          </w:tcPr>
          <w:p w14:paraId="2E2215B0" w14:textId="77777777" w:rsidR="00CE0E74" w:rsidRPr="00CE0E74" w:rsidRDefault="00CE0E74" w:rsidP="00CE0E74">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CE0E74">
              <w:rPr>
                <w:rFonts w:ascii="Arial Narrow" w:hAnsi="Arial Narrow"/>
                <w:sz w:val="22"/>
                <w:szCs w:val="22"/>
                <w:lang w:val="en-US"/>
              </w:rPr>
              <w:t>Lower risks of food-borne disease and soil contamination (Specht et al, 2014).</w:t>
            </w:r>
          </w:p>
          <w:p w14:paraId="6CA6DC59" w14:textId="77777777" w:rsidR="00CE0E74" w:rsidRPr="007F74AC" w:rsidRDefault="00CE0E74" w:rsidP="00CE0E74">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 xml:space="preserve">May reduce </w:t>
            </w:r>
            <w:r w:rsidRPr="007F74AC">
              <w:rPr>
                <w:rFonts w:ascii="Arial Narrow" w:hAnsi="Arial Narrow"/>
                <w:b/>
                <w:sz w:val="22"/>
                <w:szCs w:val="22"/>
                <w:lang w:val="en-US"/>
              </w:rPr>
              <w:t>“</w:t>
            </w:r>
            <w:r w:rsidRPr="007F74AC">
              <w:rPr>
                <w:rFonts w:ascii="Arial Narrow" w:hAnsi="Arial Narrow"/>
                <w:sz w:val="22"/>
                <w:szCs w:val="22"/>
                <w:lang w:val="en-US"/>
              </w:rPr>
              <w:t>food desert</w:t>
            </w:r>
            <w:r>
              <w:rPr>
                <w:rFonts w:ascii="Arial Narrow" w:hAnsi="Arial Narrow"/>
                <w:sz w:val="22"/>
                <w:szCs w:val="22"/>
                <w:lang w:val="en-US"/>
              </w:rPr>
              <w:t>s</w:t>
            </w:r>
            <w:r w:rsidRPr="007F74AC">
              <w:rPr>
                <w:rFonts w:ascii="Arial Narrow" w:hAnsi="Arial Narrow"/>
                <w:b/>
                <w:sz w:val="22"/>
                <w:szCs w:val="22"/>
                <w:lang w:val="en-US"/>
              </w:rPr>
              <w:t xml:space="preserve">” </w:t>
            </w:r>
            <w:r w:rsidRPr="007F74AC">
              <w:rPr>
                <w:rFonts w:ascii="Arial Narrow" w:hAnsi="Arial Narrow"/>
                <w:sz w:val="22"/>
                <w:szCs w:val="22"/>
                <w:lang w:val="en-US"/>
              </w:rPr>
              <w:t>in developed countries, while providing more accessible food in developing regions of the w</w:t>
            </w:r>
            <w:r w:rsidRPr="00CE0E74">
              <w:rPr>
                <w:rFonts w:ascii="Arial Narrow" w:hAnsi="Arial Narrow"/>
                <w:sz w:val="22"/>
                <w:szCs w:val="22"/>
                <w:lang w:val="en-US"/>
              </w:rPr>
              <w:t>orld (Thomaier et al., 2014</w:t>
            </w:r>
            <w:r>
              <w:rPr>
                <w:rFonts w:ascii="Arial Narrow" w:hAnsi="Arial Narrow"/>
                <w:sz w:val="22"/>
                <w:szCs w:val="22"/>
                <w:lang w:val="en-US"/>
              </w:rPr>
              <w:t>)</w:t>
            </w:r>
          </w:p>
          <w:p w14:paraId="5860333F" w14:textId="266611CC" w:rsidR="00CE0E74" w:rsidRPr="00CE0E74" w:rsidRDefault="00CE0E74" w:rsidP="00CE0E74">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CE0E74">
              <w:rPr>
                <w:rFonts w:ascii="Arial Narrow" w:hAnsi="Arial Narrow"/>
                <w:sz w:val="22"/>
                <w:szCs w:val="22"/>
                <w:lang w:val="en-US"/>
              </w:rPr>
              <w:t>Increased yields and greater access to fresh food within the larger community (Santo et al., 2017).</w:t>
            </w:r>
          </w:p>
          <w:p w14:paraId="7D9AEDE5" w14:textId="77777777" w:rsidR="00CE0E74" w:rsidRPr="007F74AC" w:rsidRDefault="00CE0E74" w:rsidP="00CE0E74">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Address the issues of transparency, fairness and equality in food production, bringing closer consumers and producers (Thomaier et al., 2014).</w:t>
            </w:r>
          </w:p>
          <w:p w14:paraId="3BA56D9E" w14:textId="77777777" w:rsidR="00CE0E74" w:rsidRPr="007F74AC" w:rsidRDefault="00CE0E74" w:rsidP="00CE0E74">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May improve fruits and vegetables, consumption, or willingness to try fruits and vegetables, raising awareness on healthy diets (O’Brien et al., 2009).</w:t>
            </w:r>
          </w:p>
          <w:p w14:paraId="3971D0FD" w14:textId="546B10F3" w:rsidR="00CE0E74" w:rsidRPr="00CE0E74" w:rsidRDefault="00CE0E74" w:rsidP="00CE0E74">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 xml:space="preserve">Controlled production environments with improved air filtration and steady humidity and temperature have downstream health benefits on other building’s residents </w:t>
            </w:r>
            <w:r w:rsidRPr="007F74AC">
              <w:rPr>
                <w:rFonts w:ascii="Arial Narrow" w:eastAsia="Cambria" w:hAnsi="Arial Narrow" w:cs="Cambria"/>
                <w:color w:val="0E101A"/>
                <w:sz w:val="22"/>
                <w:szCs w:val="22"/>
                <w:lang w:val="en-US"/>
              </w:rPr>
              <w:t>(Santo et al., 2017)</w:t>
            </w:r>
            <w:r w:rsidRPr="007F74AC">
              <w:rPr>
                <w:rFonts w:ascii="Arial Narrow" w:hAnsi="Arial Narrow"/>
                <w:sz w:val="22"/>
                <w:szCs w:val="22"/>
                <w:lang w:val="en-US"/>
              </w:rPr>
              <w:t>.</w:t>
            </w:r>
          </w:p>
        </w:tc>
        <w:tc>
          <w:tcPr>
            <w:tcW w:w="3685" w:type="dxa"/>
            <w:tcBorders>
              <w:top w:val="single" w:sz="6" w:space="0" w:color="auto"/>
            </w:tcBorders>
            <w:shd w:val="clear" w:color="auto" w:fill="D9E2F3" w:themeFill="accent1" w:themeFillTint="33"/>
          </w:tcPr>
          <w:p w14:paraId="5DA42452" w14:textId="77777777" w:rsidR="00CE0E74" w:rsidRPr="007F74AC" w:rsidRDefault="00CE0E74" w:rsidP="00CE0E74">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In soil-based rooftop farming, air pollution might endanger the crops and people’s health (Specht et al, 2014; Thomaier et al., 2014).</w:t>
            </w:r>
          </w:p>
          <w:p w14:paraId="7D1233E1" w14:textId="77777777" w:rsidR="00CE0E74" w:rsidRPr="007F74AC" w:rsidRDefault="00CE0E74" w:rsidP="00CE0E74">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 xml:space="preserve">Food-borne diseases might affect plants due to the cross contamination with multiple actors involved in the production </w:t>
            </w:r>
            <w:r w:rsidRPr="00CE0E74">
              <w:rPr>
                <w:rFonts w:ascii="Arial Narrow" w:hAnsi="Arial Narrow"/>
                <w:sz w:val="22"/>
                <w:szCs w:val="22"/>
                <w:lang w:val="en-US"/>
              </w:rPr>
              <w:t>(Specht et al, 2014)</w:t>
            </w:r>
            <w:r w:rsidRPr="007F74AC">
              <w:rPr>
                <w:rFonts w:ascii="Arial Narrow" w:hAnsi="Arial Narrow"/>
                <w:sz w:val="22"/>
                <w:szCs w:val="22"/>
                <w:lang w:val="en-US"/>
              </w:rPr>
              <w:t>.</w:t>
            </w:r>
          </w:p>
          <w:p w14:paraId="3971D0FE" w14:textId="3E5D33A0" w:rsidR="00CE0E74" w:rsidRPr="007F74AC" w:rsidRDefault="00CE0E74" w:rsidP="00CE0E74">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Advanced technologies limit the access to food production to parts of the local community (Thomaier et al., 2014).</w:t>
            </w:r>
          </w:p>
        </w:tc>
      </w:tr>
    </w:tbl>
    <w:p w14:paraId="3971D116" w14:textId="77777777" w:rsidR="00F01EEF" w:rsidRPr="00315194" w:rsidRDefault="00F01EEF" w:rsidP="00CE0E74">
      <w:pPr>
        <w:spacing w:before="240" w:after="0" w:line="240" w:lineRule="auto"/>
        <w:contextualSpacing/>
        <w:jc w:val="both"/>
        <w:rPr>
          <w:rFonts w:ascii="Cambria" w:eastAsia="Times New Roman" w:hAnsi="Cambria" w:cs="Times New Roman"/>
          <w:lang w:val="en-US"/>
        </w:rPr>
      </w:pPr>
    </w:p>
    <w:p w14:paraId="3971D117" w14:textId="56E98F0A" w:rsidR="00F01EEF" w:rsidRPr="00CE0E74" w:rsidRDefault="00163198" w:rsidP="00CE0E74">
      <w:pPr>
        <w:pStyle w:val="Didefault"/>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contextualSpacing/>
        <w:jc w:val="both"/>
        <w:rPr>
          <w:rFonts w:ascii="Cambria" w:hAnsi="Cambria"/>
          <w:b/>
          <w:iCs/>
          <w:color w:val="0E101A"/>
          <w:sz w:val="22"/>
          <w:szCs w:val="22"/>
        </w:rPr>
      </w:pPr>
      <w:r w:rsidRPr="00CE0E74">
        <w:rPr>
          <w:rFonts w:ascii="Cambria" w:hAnsi="Cambria"/>
          <w:b/>
          <w:iCs/>
          <w:color w:val="0E101A"/>
          <w:sz w:val="22"/>
          <w:szCs w:val="22"/>
        </w:rPr>
        <w:t>Social Dimension</w:t>
      </w:r>
      <w:r w:rsidR="00996204" w:rsidRPr="00CE0E74">
        <w:rPr>
          <w:rFonts w:ascii="Cambria" w:hAnsi="Cambria"/>
          <w:b/>
          <w:iCs/>
          <w:color w:val="0E101A"/>
          <w:sz w:val="22"/>
          <w:szCs w:val="22"/>
        </w:rPr>
        <w:t>.</w:t>
      </w:r>
    </w:p>
    <w:p w14:paraId="3971D118" w14:textId="65E6FC8D" w:rsidR="00F01EEF" w:rsidRDefault="00163198" w:rsidP="00CE0E74">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contextualSpacing/>
        <w:jc w:val="both"/>
        <w:rPr>
          <w:rFonts w:ascii="Cambria" w:hAnsi="Cambria"/>
          <w:lang w:val="pt-PT"/>
        </w:rPr>
      </w:pPr>
      <w:r w:rsidRPr="00315194">
        <w:rPr>
          <w:rFonts w:ascii="Cambria" w:hAnsi="Cambria"/>
          <w:lang w:val="en-US"/>
        </w:rPr>
        <w:t xml:space="preserve">Most of the advantages connected to the social dimension of urban food production are connected to the possibility of educating people on healthier diets and sustainable food production while giving them new job opportunities and meeting places. Education is a powerful tool to boost social inclusion, especially in mixed-income and multicultural western cities. In this context, BIA has a huge potential in providing learning and educational facilities inside urban areas </w:t>
      </w:r>
      <w:r w:rsidR="2FCBD407" w:rsidRPr="00315194">
        <w:rPr>
          <w:rFonts w:ascii="Cambria" w:hAnsi="Cambria"/>
          <w:lang w:val="en-US"/>
        </w:rPr>
        <w:t>(Specht et al., 2014)</w:t>
      </w:r>
      <w:r w:rsidRPr="00315194">
        <w:rPr>
          <w:rFonts w:ascii="Cambria" w:hAnsi="Cambria"/>
          <w:lang w:val="en-US"/>
        </w:rPr>
        <w:t xml:space="preserve">, connecting production sites with multifunctional buildings. For instance, placing rooftop greenhouses on top of schools represents a powerful hands-on learning tool to teach children the pillars of sustainable food production. The synergy between schools and rooftop greenhouses, used as an extension of the teaching spaces, provides new opportunities for practical learning </w:t>
      </w:r>
      <w:r w:rsidR="5987F455" w:rsidRPr="00315194">
        <w:rPr>
          <w:rFonts w:ascii="Cambria" w:hAnsi="Cambria"/>
          <w:lang w:val="en-US"/>
        </w:rPr>
        <w:t>(Blyth, 2006)</w:t>
      </w:r>
      <w:r w:rsidRPr="00315194">
        <w:rPr>
          <w:rFonts w:ascii="Cambria" w:hAnsi="Cambria"/>
          <w:lang w:val="pt-PT"/>
        </w:rPr>
        <w:t xml:space="preserve">. </w:t>
      </w:r>
    </w:p>
    <w:p w14:paraId="607E7B48" w14:textId="2EF0F676" w:rsidR="00696886" w:rsidRDefault="00CE0E74" w:rsidP="00CE0E74">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contextualSpacing/>
        <w:jc w:val="both"/>
        <w:rPr>
          <w:rFonts w:ascii="Cambria" w:hAnsi="Cambria"/>
          <w:lang w:val="pt-PT"/>
        </w:rPr>
      </w:pPr>
      <w:proofErr w:type="spellStart"/>
      <w:r w:rsidRPr="00315194">
        <w:rPr>
          <w:rFonts w:ascii="Cambria" w:hAnsi="Cambria"/>
          <w:lang w:val="en-US"/>
        </w:rPr>
        <w:t>ZFarming</w:t>
      </w:r>
      <w:proofErr w:type="spellEnd"/>
      <w:r w:rsidRPr="00315194">
        <w:rPr>
          <w:rFonts w:ascii="Cambria" w:hAnsi="Cambria"/>
          <w:lang w:val="en-US"/>
        </w:rPr>
        <w:t xml:space="preserve"> initiatives can also implement forms of self-made agriculture for personal use, contributing to reduce “food desert</w:t>
      </w:r>
      <w:r>
        <w:rPr>
          <w:rFonts w:ascii="Cambria" w:hAnsi="Cambria"/>
          <w:lang w:val="en-US"/>
        </w:rPr>
        <w:t>s</w:t>
      </w:r>
      <w:r w:rsidRPr="00315194">
        <w:rPr>
          <w:rFonts w:ascii="Cambria" w:hAnsi="Cambria"/>
          <w:lang w:val="en-US"/>
        </w:rPr>
        <w:t xml:space="preserve">” (Santo et al., 2016). Nonetheless, BIA practices </w:t>
      </w:r>
      <w:r>
        <w:rPr>
          <w:rFonts w:ascii="Cambria" w:hAnsi="Cambria"/>
          <w:lang w:val="en-US"/>
        </w:rPr>
        <w:t xml:space="preserve">often </w:t>
      </w:r>
      <w:r w:rsidRPr="00315194">
        <w:rPr>
          <w:rFonts w:ascii="Cambria" w:hAnsi="Cambria"/>
          <w:lang w:val="en-US"/>
        </w:rPr>
        <w:t xml:space="preserve">require high-budget investments </w:t>
      </w:r>
      <w:r>
        <w:rPr>
          <w:rFonts w:ascii="Cambria" w:hAnsi="Cambria"/>
          <w:lang w:val="en-US"/>
        </w:rPr>
        <w:t xml:space="preserve">and </w:t>
      </w:r>
      <w:r w:rsidRPr="00315194">
        <w:rPr>
          <w:rFonts w:ascii="Cambria" w:hAnsi="Cambria"/>
          <w:lang w:val="en-US"/>
        </w:rPr>
        <w:t xml:space="preserve">may produce high-value crops that are not affordable </w:t>
      </w:r>
      <w:r>
        <w:rPr>
          <w:rFonts w:ascii="Cambria" w:hAnsi="Cambria"/>
          <w:lang w:val="en-US"/>
        </w:rPr>
        <w:t>by</w:t>
      </w:r>
      <w:r w:rsidRPr="00315194">
        <w:rPr>
          <w:rFonts w:ascii="Cambria" w:hAnsi="Cambria"/>
          <w:lang w:val="en-US"/>
        </w:rPr>
        <w:t xml:space="preserve"> the low-income population </w:t>
      </w:r>
      <w:r w:rsidRPr="00046407">
        <w:rPr>
          <w:rFonts w:ascii="Cambria" w:hAnsi="Cambria"/>
          <w:lang w:val="en-US"/>
        </w:rPr>
        <w:t>(Ackerman, 2011)</w:t>
      </w:r>
      <w:r w:rsidRPr="00C8379B">
        <w:rPr>
          <w:rFonts w:ascii="Cambria" w:hAnsi="Cambria"/>
          <w:lang w:val="en-US"/>
        </w:rPr>
        <w:t>.</w:t>
      </w:r>
      <w:r w:rsidRPr="00315194">
        <w:rPr>
          <w:rFonts w:ascii="Cambria" w:hAnsi="Cambria"/>
          <w:lang w:val="en-US"/>
        </w:rPr>
        <w:t xml:space="preserve"> Moreover, the high investments required </w:t>
      </w:r>
      <w:r w:rsidRPr="00315194">
        <w:rPr>
          <w:rFonts w:ascii="Cambria" w:hAnsi="Cambria"/>
          <w:lang w:val="en-US"/>
        </w:rPr>
        <w:lastRenderedPageBreak/>
        <w:t xml:space="preserve">and the consequent high value of the crops may push investors to implement BIA projects in those areas of the city where wealth is more concentrated, increasing the gap between wealthy areas and low-income neighborhoods in the same city </w:t>
      </w:r>
      <w:r w:rsidRPr="00C8379B">
        <w:rPr>
          <w:rFonts w:ascii="Cambria" w:hAnsi="Cambria"/>
          <w:lang w:val="en-US"/>
        </w:rPr>
        <w:t>(</w:t>
      </w:r>
      <w:proofErr w:type="spellStart"/>
      <w:r w:rsidRPr="00046407">
        <w:rPr>
          <w:rFonts w:ascii="Cambria" w:hAnsi="Cambria"/>
          <w:lang w:val="en-US"/>
        </w:rPr>
        <w:t>Jürkenbeck</w:t>
      </w:r>
      <w:proofErr w:type="spellEnd"/>
      <w:r w:rsidRPr="00046407">
        <w:rPr>
          <w:rFonts w:ascii="Cambria" w:hAnsi="Cambria"/>
          <w:lang w:val="en-US"/>
        </w:rPr>
        <w:t xml:space="preserve"> and </w:t>
      </w:r>
      <w:proofErr w:type="spellStart"/>
      <w:r w:rsidRPr="00046407">
        <w:rPr>
          <w:rFonts w:ascii="Cambria" w:hAnsi="Cambria"/>
          <w:lang w:val="en-US"/>
        </w:rPr>
        <w:t>Heumann</w:t>
      </w:r>
      <w:proofErr w:type="spellEnd"/>
      <w:r w:rsidRPr="00046407">
        <w:rPr>
          <w:rFonts w:ascii="Cambria" w:hAnsi="Cambria"/>
          <w:lang w:val="en-US"/>
        </w:rPr>
        <w:t>, 2019)</w:t>
      </w:r>
      <w:r w:rsidRPr="00C8379B">
        <w:rPr>
          <w:rFonts w:ascii="Cambria" w:hAnsi="Cambria"/>
          <w:lang w:val="en-US"/>
        </w:rPr>
        <w:t>.</w:t>
      </w:r>
      <w:r w:rsidRPr="00315194">
        <w:rPr>
          <w:rFonts w:ascii="Cambria" w:hAnsi="Cambria"/>
          <w:lang w:val="en-US"/>
        </w:rPr>
        <w:t xml:space="preserve"> Hence, whilst </w:t>
      </w:r>
      <w:r>
        <w:rPr>
          <w:rFonts w:ascii="Cambria" w:hAnsi="Cambria"/>
          <w:lang w:val="en-US"/>
        </w:rPr>
        <w:t xml:space="preserve">PFALs may allow for </w:t>
      </w:r>
      <w:r w:rsidRPr="00315194">
        <w:rPr>
          <w:rFonts w:ascii="Cambria" w:hAnsi="Cambria"/>
          <w:lang w:val="en-US"/>
        </w:rPr>
        <w:t>implement</w:t>
      </w:r>
      <w:r>
        <w:rPr>
          <w:rFonts w:ascii="Cambria" w:hAnsi="Cambria"/>
          <w:lang w:val="en-US"/>
        </w:rPr>
        <w:t>ing</w:t>
      </w:r>
      <w:r w:rsidRPr="00315194">
        <w:rPr>
          <w:rFonts w:ascii="Cambria" w:hAnsi="Cambria"/>
          <w:lang w:val="en-US"/>
        </w:rPr>
        <w:t xml:space="preserve"> diffuse systems of urban food production throughout the city, </w:t>
      </w:r>
      <w:r>
        <w:rPr>
          <w:rFonts w:ascii="Cambria" w:hAnsi="Cambria"/>
          <w:lang w:val="en-US"/>
        </w:rPr>
        <w:t xml:space="preserve">their </w:t>
      </w:r>
      <w:r w:rsidRPr="00315194">
        <w:rPr>
          <w:rFonts w:ascii="Cambria" w:hAnsi="Cambria"/>
          <w:lang w:val="en-US"/>
        </w:rPr>
        <w:t xml:space="preserve">costs may result in exclusive initiatives rather than inclusive ones. On top of that, it is easy to encounter a form of skepticism towards new advanced </w:t>
      </w:r>
      <w:r>
        <w:rPr>
          <w:rFonts w:ascii="Cambria" w:hAnsi="Cambria"/>
          <w:lang w:val="en-US"/>
        </w:rPr>
        <w:t xml:space="preserve">high-tech </w:t>
      </w:r>
      <w:r w:rsidRPr="00315194">
        <w:rPr>
          <w:rFonts w:ascii="Cambria" w:hAnsi="Cambria"/>
          <w:lang w:val="en-US"/>
        </w:rPr>
        <w:t xml:space="preserve">production methods (Specht et al., 2014), as </w:t>
      </w:r>
      <w:r>
        <w:rPr>
          <w:rFonts w:ascii="Cambria" w:hAnsi="Cambria"/>
          <w:lang w:val="en-US"/>
        </w:rPr>
        <w:t xml:space="preserve">European </w:t>
      </w:r>
      <w:r w:rsidRPr="00315194">
        <w:rPr>
          <w:rFonts w:ascii="Cambria" w:hAnsi="Cambria"/>
          <w:lang w:val="en-US"/>
        </w:rPr>
        <w:t xml:space="preserve">consumers seems to prefer organic agriculture and soil-based UA rather than </w:t>
      </w:r>
      <w:r>
        <w:rPr>
          <w:rFonts w:ascii="Cambria" w:hAnsi="Cambria"/>
          <w:lang w:val="en-US"/>
        </w:rPr>
        <w:t xml:space="preserve">hydroponically </w:t>
      </w:r>
      <w:r w:rsidRPr="00315194">
        <w:rPr>
          <w:rFonts w:ascii="Cambria" w:hAnsi="Cambria"/>
          <w:lang w:val="en-US"/>
        </w:rPr>
        <w:t xml:space="preserve">grown </w:t>
      </w:r>
      <w:r w:rsidRPr="00C8379B">
        <w:rPr>
          <w:rFonts w:ascii="Cambria" w:hAnsi="Cambria"/>
          <w:lang w:val="en-US"/>
        </w:rPr>
        <w:t>food (</w:t>
      </w:r>
      <w:proofErr w:type="spellStart"/>
      <w:r w:rsidRPr="00046407">
        <w:rPr>
          <w:rFonts w:ascii="Cambria" w:hAnsi="Cambria"/>
          <w:lang w:val="en-US"/>
        </w:rPr>
        <w:t>Jürkenbeck</w:t>
      </w:r>
      <w:proofErr w:type="spellEnd"/>
      <w:r w:rsidRPr="00046407">
        <w:rPr>
          <w:rFonts w:ascii="Cambria" w:hAnsi="Cambria"/>
          <w:lang w:val="en-US"/>
        </w:rPr>
        <w:t xml:space="preserve"> and </w:t>
      </w:r>
      <w:proofErr w:type="spellStart"/>
      <w:r w:rsidRPr="00046407">
        <w:rPr>
          <w:rFonts w:ascii="Cambria" w:hAnsi="Cambria"/>
          <w:lang w:val="en-US"/>
        </w:rPr>
        <w:t>Heumann</w:t>
      </w:r>
      <w:proofErr w:type="spellEnd"/>
      <w:r w:rsidRPr="00046407">
        <w:rPr>
          <w:rFonts w:ascii="Cambria" w:hAnsi="Cambria"/>
          <w:lang w:val="en-US"/>
        </w:rPr>
        <w:t>, 2019)</w:t>
      </w:r>
      <w:r w:rsidRPr="00C8379B">
        <w:rPr>
          <w:rFonts w:ascii="Cambria" w:hAnsi="Cambria"/>
          <w:lang w:val="en-US"/>
        </w:rPr>
        <w:t xml:space="preserve"> </w:t>
      </w:r>
      <w:r w:rsidRPr="00C8379B">
        <w:rPr>
          <w:rFonts w:ascii="Cambria" w:hAnsi="Cambria"/>
          <w:lang w:val="pt-PT"/>
        </w:rPr>
        <w:t>(</w:t>
      </w:r>
      <w:r w:rsidRPr="00315194">
        <w:rPr>
          <w:rFonts w:ascii="Cambria" w:hAnsi="Cambria"/>
          <w:lang w:val="pt-PT"/>
        </w:rPr>
        <w:t>Table 2).</w:t>
      </w:r>
    </w:p>
    <w:p w14:paraId="621F4D57" w14:textId="77777777" w:rsidR="00CE0E74" w:rsidRPr="00315194" w:rsidRDefault="00CE0E74" w:rsidP="00CE0E74">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contextualSpacing/>
        <w:jc w:val="both"/>
        <w:rPr>
          <w:rFonts w:ascii="Cambria" w:eastAsia="Times New Roman" w:hAnsi="Cambria" w:cs="Times New Roman"/>
          <w:lang w:val="en-US"/>
        </w:rPr>
      </w:pPr>
    </w:p>
    <w:tbl>
      <w:tblPr>
        <w:tblStyle w:val="NormalTable0"/>
        <w:tblW w:w="8505" w:type="dxa"/>
        <w:jc w:val="center"/>
        <w:tblLayout w:type="fixed"/>
        <w:tblLook w:val="04A0" w:firstRow="1" w:lastRow="0" w:firstColumn="1" w:lastColumn="0" w:noHBand="0" w:noVBand="1"/>
      </w:tblPr>
      <w:tblGrid>
        <w:gridCol w:w="4252"/>
        <w:gridCol w:w="4253"/>
      </w:tblGrid>
      <w:tr w:rsidR="00DD5BB0" w:rsidRPr="00315194" w14:paraId="1678D4DB" w14:textId="77777777" w:rsidTr="00046407">
        <w:trPr>
          <w:trHeight w:val="230"/>
          <w:jc w:val="center"/>
        </w:trPr>
        <w:tc>
          <w:tcPr>
            <w:tcW w:w="8505" w:type="dxa"/>
            <w:gridSpan w:val="2"/>
            <w:tcBorders>
              <w:top w:val="single" w:sz="6" w:space="0" w:color="auto"/>
            </w:tcBorders>
          </w:tcPr>
          <w:p w14:paraId="032DFE13" w14:textId="0E697131" w:rsidR="00DD5BB0" w:rsidRPr="00046407" w:rsidRDefault="00DD5BB0" w:rsidP="00046407">
            <w:pPr>
              <w:pStyle w:val="Stiletabella7"/>
              <w:tabs>
                <w:tab w:val="left" w:pos="720"/>
                <w:tab w:val="left" w:pos="1440"/>
                <w:tab w:val="left" w:pos="2160"/>
                <w:tab w:val="left" w:pos="2880"/>
                <w:tab w:val="left" w:pos="3600"/>
              </w:tabs>
              <w:contextualSpacing/>
              <w:rPr>
                <w:rFonts w:ascii="Cambria" w:hAnsi="Cambria"/>
                <w:b w:val="0"/>
                <w:sz w:val="22"/>
                <w:szCs w:val="22"/>
                <w:lang w:val="en-US"/>
              </w:rPr>
            </w:pPr>
            <w:r w:rsidRPr="00046407">
              <w:rPr>
                <w:rFonts w:ascii="Cambria" w:hAnsi="Cambria"/>
                <w:b w:val="0"/>
                <w:sz w:val="22"/>
                <w:szCs w:val="22"/>
                <w:lang w:val="en-US"/>
              </w:rPr>
              <w:t>Table 2. The social dimension of Building Integrated Agriculture (BIA).</w:t>
            </w:r>
          </w:p>
        </w:tc>
      </w:tr>
      <w:tr w:rsidR="00696886" w:rsidRPr="00315194" w14:paraId="6E8F62B3" w14:textId="77777777" w:rsidTr="00046407">
        <w:trPr>
          <w:trHeight w:val="241"/>
          <w:jc w:val="center"/>
        </w:trPr>
        <w:tc>
          <w:tcPr>
            <w:tcW w:w="4252" w:type="dxa"/>
            <w:tcBorders>
              <w:top w:val="single" w:sz="6" w:space="0" w:color="auto"/>
              <w:bottom w:val="single" w:sz="6" w:space="0" w:color="auto"/>
            </w:tcBorders>
            <w:shd w:val="clear" w:color="auto" w:fill="D9E2F3" w:themeFill="accent1" w:themeFillTint="33"/>
          </w:tcPr>
          <w:p w14:paraId="6F4C7636" w14:textId="77777777" w:rsidR="00696886" w:rsidRPr="007F74AC" w:rsidRDefault="00696886" w:rsidP="00046407">
            <w:pPr>
              <w:pStyle w:val="Stiletabella7"/>
              <w:tabs>
                <w:tab w:val="left" w:pos="720"/>
                <w:tab w:val="left" w:pos="1440"/>
                <w:tab w:val="left" w:pos="2160"/>
                <w:tab w:val="left" w:pos="2880"/>
                <w:tab w:val="left" w:pos="3600"/>
              </w:tabs>
              <w:contextualSpacing/>
              <w:jc w:val="center"/>
              <w:rPr>
                <w:rFonts w:ascii="Arial Narrow" w:hAnsi="Arial Narrow"/>
                <w:sz w:val="22"/>
                <w:szCs w:val="22"/>
              </w:rPr>
            </w:pPr>
            <w:proofErr w:type="spellStart"/>
            <w:r w:rsidRPr="007F74AC">
              <w:rPr>
                <w:rFonts w:ascii="Arial Narrow" w:hAnsi="Arial Narrow"/>
                <w:sz w:val="22"/>
                <w:szCs w:val="22"/>
              </w:rPr>
              <w:t>Advantages</w:t>
            </w:r>
            <w:proofErr w:type="spellEnd"/>
          </w:p>
        </w:tc>
        <w:tc>
          <w:tcPr>
            <w:tcW w:w="4253" w:type="dxa"/>
            <w:tcBorders>
              <w:top w:val="single" w:sz="6" w:space="0" w:color="auto"/>
              <w:bottom w:val="single" w:sz="6" w:space="0" w:color="auto"/>
            </w:tcBorders>
            <w:shd w:val="clear" w:color="auto" w:fill="D9E2F3" w:themeFill="accent1" w:themeFillTint="33"/>
          </w:tcPr>
          <w:p w14:paraId="635FD586" w14:textId="77777777" w:rsidR="00696886" w:rsidRPr="007F74AC" w:rsidRDefault="00696886" w:rsidP="00046407">
            <w:pPr>
              <w:pStyle w:val="Stiletabella7"/>
              <w:tabs>
                <w:tab w:val="left" w:pos="720"/>
                <w:tab w:val="left" w:pos="1440"/>
                <w:tab w:val="left" w:pos="2160"/>
                <w:tab w:val="left" w:pos="2880"/>
                <w:tab w:val="left" w:pos="3600"/>
              </w:tabs>
              <w:contextualSpacing/>
              <w:jc w:val="center"/>
              <w:rPr>
                <w:rFonts w:ascii="Arial Narrow" w:hAnsi="Arial Narrow"/>
                <w:sz w:val="22"/>
                <w:szCs w:val="22"/>
              </w:rPr>
            </w:pPr>
            <w:proofErr w:type="spellStart"/>
            <w:r w:rsidRPr="007F74AC">
              <w:rPr>
                <w:rFonts w:ascii="Arial Narrow" w:hAnsi="Arial Narrow"/>
                <w:sz w:val="22"/>
                <w:szCs w:val="22"/>
              </w:rPr>
              <w:t>Limitations</w:t>
            </w:r>
            <w:proofErr w:type="spellEnd"/>
          </w:p>
        </w:tc>
      </w:tr>
      <w:tr w:rsidR="00CE0E74" w:rsidRPr="00315194" w14:paraId="080EA4DA" w14:textId="77777777" w:rsidTr="00CE0E74">
        <w:trPr>
          <w:trHeight w:val="3239"/>
          <w:jc w:val="center"/>
        </w:trPr>
        <w:tc>
          <w:tcPr>
            <w:tcW w:w="4252" w:type="dxa"/>
            <w:tcBorders>
              <w:top w:val="single" w:sz="6" w:space="0" w:color="auto"/>
            </w:tcBorders>
            <w:shd w:val="clear" w:color="auto" w:fill="D9E2F3" w:themeFill="accent1" w:themeFillTint="33"/>
          </w:tcPr>
          <w:p w14:paraId="4CB7494F" w14:textId="77777777" w:rsidR="00CE0E74" w:rsidRPr="007F74AC" w:rsidRDefault="00CE0E74" w:rsidP="00CE0E74">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Foster opportunities for social inclusion, bringing people together and creating spaces to meet (Specht et al, 2014; Thomaier et al., 2014).</w:t>
            </w:r>
          </w:p>
          <w:p w14:paraId="2E8445CD" w14:textId="77777777" w:rsidR="00CE0E74" w:rsidRPr="007F74AC" w:rsidRDefault="00CE0E74" w:rsidP="00CE0E74">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 xml:space="preserve">Raise awareness on health-related topics such as sustainable food production and healthy diets </w:t>
            </w:r>
            <w:r w:rsidRPr="007F74AC">
              <w:rPr>
                <w:rFonts w:ascii="Arial Narrow" w:eastAsia="Cambria" w:hAnsi="Arial Narrow" w:cs="Cambria"/>
                <w:color w:val="auto"/>
                <w:sz w:val="22"/>
                <w:szCs w:val="22"/>
                <w:lang w:val="en-US"/>
              </w:rPr>
              <w:t>(Specht et al, 2014; Santo et al., 2017).</w:t>
            </w:r>
          </w:p>
          <w:p w14:paraId="237684BE" w14:textId="3E03BAAA" w:rsidR="00CE0E74" w:rsidRPr="007F74AC" w:rsidRDefault="00CE0E74" w:rsidP="00CE0E74">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 xml:space="preserve">Promote education for young people and low-income citizen opening to them new job-opportunities in the urban </w:t>
            </w:r>
            <w:proofErr w:type="spellStart"/>
            <w:r w:rsidRPr="007F74AC">
              <w:rPr>
                <w:rFonts w:ascii="Arial Narrow" w:hAnsi="Arial Narrow"/>
                <w:sz w:val="22"/>
                <w:szCs w:val="22"/>
                <w:lang w:val="en-US"/>
              </w:rPr>
              <w:t>agro</w:t>
            </w:r>
            <w:proofErr w:type="spellEnd"/>
            <w:r w:rsidRPr="007F74AC">
              <w:rPr>
                <w:rFonts w:ascii="Arial Narrow" w:hAnsi="Arial Narrow"/>
                <w:sz w:val="22"/>
                <w:szCs w:val="22"/>
                <w:lang w:val="en-US"/>
              </w:rPr>
              <w:t>-industry</w:t>
            </w:r>
            <w:r w:rsidRPr="007F74AC">
              <w:rPr>
                <w:rFonts w:ascii="Arial Narrow" w:eastAsia="Cambria" w:hAnsi="Arial Narrow" w:cs="Cambria"/>
                <w:color w:val="0E101A"/>
                <w:sz w:val="22"/>
                <w:szCs w:val="22"/>
                <w:lang w:val="en-US"/>
              </w:rPr>
              <w:t xml:space="preserve"> (Santo et al., 2017)</w:t>
            </w:r>
            <w:r w:rsidRPr="007F74AC">
              <w:rPr>
                <w:rFonts w:ascii="Arial Narrow" w:hAnsi="Arial Narrow"/>
                <w:sz w:val="22"/>
                <w:szCs w:val="22"/>
                <w:lang w:val="en-US"/>
              </w:rPr>
              <w:t>.</w:t>
            </w:r>
          </w:p>
          <w:p w14:paraId="0DCA51E2" w14:textId="14CF3A81" w:rsidR="00CE0E74" w:rsidRPr="007F74AC" w:rsidRDefault="00CE0E74" w:rsidP="00CE0E74">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 xml:space="preserve">Foster education for young and children, teaching sustainable life-styles and respect for the environment </w:t>
            </w:r>
            <w:r w:rsidRPr="007F74AC">
              <w:rPr>
                <w:rFonts w:ascii="Arial Narrow" w:eastAsia="Cambria" w:hAnsi="Arial Narrow" w:cs="Cambria"/>
                <w:color w:val="0E101A"/>
                <w:sz w:val="22"/>
                <w:szCs w:val="22"/>
                <w:lang w:val="en-US"/>
              </w:rPr>
              <w:t>(Santo et al., 2017)</w:t>
            </w:r>
            <w:r w:rsidRPr="007F74AC">
              <w:rPr>
                <w:rFonts w:ascii="Arial Narrow" w:hAnsi="Arial Narrow"/>
                <w:sz w:val="22"/>
                <w:szCs w:val="22"/>
                <w:lang w:val="en-US"/>
              </w:rPr>
              <w:t xml:space="preserve"> (Blyth and </w:t>
            </w:r>
            <w:proofErr w:type="spellStart"/>
            <w:r w:rsidRPr="007F74AC">
              <w:rPr>
                <w:rFonts w:ascii="Arial Narrow" w:hAnsi="Arial Narrow"/>
                <w:sz w:val="22"/>
                <w:szCs w:val="22"/>
                <w:lang w:val="en-US"/>
              </w:rPr>
              <w:t>Menagh</w:t>
            </w:r>
            <w:proofErr w:type="spellEnd"/>
            <w:r w:rsidRPr="007F74AC">
              <w:rPr>
                <w:rFonts w:ascii="Arial Narrow" w:hAnsi="Arial Narrow"/>
                <w:sz w:val="22"/>
                <w:szCs w:val="22"/>
                <w:lang w:val="en-US"/>
              </w:rPr>
              <w:t>, 2006).</w:t>
            </w:r>
          </w:p>
        </w:tc>
        <w:tc>
          <w:tcPr>
            <w:tcW w:w="4253" w:type="dxa"/>
            <w:tcBorders>
              <w:top w:val="single" w:sz="6" w:space="0" w:color="auto"/>
            </w:tcBorders>
            <w:shd w:val="clear" w:color="auto" w:fill="D9E2F3" w:themeFill="accent1" w:themeFillTint="33"/>
          </w:tcPr>
          <w:p w14:paraId="2EBB5ABC" w14:textId="77777777" w:rsidR="00CE0E74" w:rsidRPr="007F74AC" w:rsidRDefault="00CE0E74" w:rsidP="00CE0E74">
            <w:pPr>
              <w:pStyle w:val="Stiletabella2"/>
              <w:tabs>
                <w:tab w:val="left" w:pos="720"/>
                <w:tab w:val="left" w:pos="1440"/>
                <w:tab w:val="left" w:pos="2160"/>
                <w:tab w:val="left" w:pos="2880"/>
                <w:tab w:val="left" w:pos="3600"/>
              </w:tabs>
              <w:ind w:left="144" w:hanging="142"/>
              <w:contextualSpacing/>
              <w:rPr>
                <w:rFonts w:ascii="Arial Narrow" w:hAnsi="Arial Narrow"/>
                <w:sz w:val="22"/>
                <w:szCs w:val="22"/>
                <w:lang w:val="en-US"/>
              </w:rPr>
            </w:pPr>
            <w:r w:rsidRPr="007F74AC">
              <w:rPr>
                <w:rFonts w:ascii="Arial Narrow" w:hAnsi="Arial Narrow"/>
                <w:sz w:val="22"/>
                <w:szCs w:val="22"/>
                <w:lang w:val="en-US"/>
              </w:rPr>
              <w:t xml:space="preserve">High initial costs may limit investments in low-income neighborhood, increasing the gap between wealthy and poor areas of the city </w:t>
            </w:r>
            <w:r w:rsidRPr="007F74AC">
              <w:rPr>
                <w:rFonts w:ascii="Arial Narrow" w:eastAsia="Cambria" w:hAnsi="Arial Narrow" w:cs="Cambria"/>
                <w:color w:val="auto"/>
                <w:sz w:val="22"/>
                <w:szCs w:val="22"/>
                <w:lang w:val="en-US"/>
              </w:rPr>
              <w:t xml:space="preserve">(Specht et al, 2014; </w:t>
            </w:r>
            <w:r w:rsidRPr="007F74AC">
              <w:rPr>
                <w:rFonts w:ascii="Arial Narrow" w:eastAsia="Cambria" w:hAnsi="Arial Narrow" w:cs="Cambria"/>
                <w:color w:val="0E101A"/>
                <w:sz w:val="22"/>
                <w:szCs w:val="22"/>
                <w:lang w:val="en-US"/>
              </w:rPr>
              <w:t>Santo et al., 2017).</w:t>
            </w:r>
            <w:r w:rsidRPr="007F74AC">
              <w:rPr>
                <w:rFonts w:ascii="Arial Narrow" w:hAnsi="Arial Narrow"/>
                <w:sz w:val="22"/>
                <w:szCs w:val="22"/>
                <w:lang w:val="en-US"/>
              </w:rPr>
              <w:t xml:space="preserve"> </w:t>
            </w:r>
          </w:p>
          <w:p w14:paraId="64949990" w14:textId="5EF2CDDE" w:rsidR="00CE0E74" w:rsidRPr="007F74AC" w:rsidRDefault="00CE0E74" w:rsidP="00CE0E74">
            <w:pPr>
              <w:pStyle w:val="Stiletabella2"/>
              <w:tabs>
                <w:tab w:val="left" w:pos="720"/>
                <w:tab w:val="left" w:pos="1440"/>
                <w:tab w:val="left" w:pos="2160"/>
                <w:tab w:val="left" w:pos="2880"/>
                <w:tab w:val="left" w:pos="3600"/>
              </w:tabs>
              <w:ind w:left="144" w:hanging="142"/>
              <w:contextualSpacing/>
              <w:rPr>
                <w:rFonts w:ascii="Arial Narrow" w:hAnsi="Arial Narrow"/>
                <w:sz w:val="22"/>
                <w:szCs w:val="22"/>
                <w:lang w:val="en-US"/>
              </w:rPr>
            </w:pPr>
            <w:r w:rsidRPr="007F74AC">
              <w:rPr>
                <w:rFonts w:ascii="Arial Narrow" w:hAnsi="Arial Narrow"/>
                <w:sz w:val="22"/>
                <w:szCs w:val="22"/>
                <w:lang w:val="en-US"/>
              </w:rPr>
              <w:t>High-value crops may not be accessible for low income population, failing to achieve food security in food desert</w:t>
            </w:r>
            <w:r w:rsidR="003E343F">
              <w:rPr>
                <w:rFonts w:ascii="Arial Narrow" w:hAnsi="Arial Narrow"/>
                <w:sz w:val="22"/>
                <w:szCs w:val="22"/>
                <w:lang w:val="en-US"/>
              </w:rPr>
              <w:t xml:space="preserve">s </w:t>
            </w:r>
            <w:r w:rsidRPr="007F74AC">
              <w:rPr>
                <w:rFonts w:ascii="Arial Narrow" w:eastAsia="Cambria" w:hAnsi="Arial Narrow" w:cs="Cambria"/>
                <w:color w:val="auto"/>
                <w:sz w:val="22"/>
                <w:szCs w:val="22"/>
                <w:lang w:val="en-US"/>
              </w:rPr>
              <w:t>(Specht et al, 2014).</w:t>
            </w:r>
            <w:r w:rsidRPr="007F74AC">
              <w:rPr>
                <w:rFonts w:ascii="Arial Narrow" w:hAnsi="Arial Narrow"/>
                <w:color w:val="auto"/>
                <w:sz w:val="22"/>
                <w:szCs w:val="22"/>
                <w:highlight w:val="yellow"/>
                <w:lang w:val="en-US"/>
              </w:rPr>
              <w:t xml:space="preserve"> </w:t>
            </w:r>
          </w:p>
          <w:p w14:paraId="33D41D27" w14:textId="23D0B5FC" w:rsidR="00CE0E74" w:rsidRPr="007F74AC" w:rsidRDefault="00CE0E74" w:rsidP="00CE0E74">
            <w:pPr>
              <w:pStyle w:val="Stiletabella2"/>
              <w:tabs>
                <w:tab w:val="left" w:pos="720"/>
                <w:tab w:val="left" w:pos="1440"/>
                <w:tab w:val="left" w:pos="2160"/>
                <w:tab w:val="left" w:pos="2880"/>
                <w:tab w:val="left" w:pos="3600"/>
              </w:tabs>
              <w:ind w:left="144" w:hanging="142"/>
              <w:contextualSpacing/>
              <w:rPr>
                <w:rFonts w:ascii="Arial Narrow" w:hAnsi="Arial Narrow"/>
                <w:sz w:val="22"/>
                <w:szCs w:val="22"/>
                <w:lang w:val="en-US"/>
              </w:rPr>
            </w:pPr>
            <w:r w:rsidRPr="007F74AC">
              <w:rPr>
                <w:rFonts w:ascii="Arial Narrow" w:hAnsi="Arial Narrow"/>
                <w:sz w:val="22"/>
                <w:szCs w:val="22"/>
                <w:lang w:val="en-US"/>
              </w:rPr>
              <w:t>Advanced technology require</w:t>
            </w:r>
            <w:r w:rsidR="003E343F">
              <w:rPr>
                <w:rFonts w:ascii="Arial Narrow" w:hAnsi="Arial Narrow"/>
                <w:sz w:val="22"/>
                <w:szCs w:val="22"/>
                <w:lang w:val="en-US"/>
              </w:rPr>
              <w:t>s</w:t>
            </w:r>
            <w:r w:rsidRPr="007F74AC">
              <w:rPr>
                <w:rFonts w:ascii="Arial Narrow" w:hAnsi="Arial Narrow"/>
                <w:sz w:val="22"/>
                <w:szCs w:val="22"/>
                <w:lang w:val="en-US"/>
              </w:rPr>
              <w:t xml:space="preserve"> an existing know-how, limiting job opportunities to non-educated people </w:t>
            </w:r>
            <w:r w:rsidRPr="007F74AC">
              <w:rPr>
                <w:rFonts w:ascii="Arial Narrow" w:eastAsia="Cambria" w:hAnsi="Arial Narrow" w:cs="Cambria"/>
                <w:color w:val="auto"/>
                <w:sz w:val="22"/>
                <w:szCs w:val="22"/>
                <w:lang w:val="en-US"/>
              </w:rPr>
              <w:t>(Specht et al, 2014; Santo et al., 2017).</w:t>
            </w:r>
          </w:p>
          <w:p w14:paraId="25B41176" w14:textId="519D6404" w:rsidR="00CE0E74" w:rsidRPr="007F74AC" w:rsidRDefault="00CE0E74" w:rsidP="00CE0E74">
            <w:pPr>
              <w:pStyle w:val="Stiletabella2"/>
              <w:tabs>
                <w:tab w:val="left" w:pos="720"/>
                <w:tab w:val="left" w:pos="1440"/>
                <w:tab w:val="left" w:pos="2160"/>
                <w:tab w:val="left" w:pos="2880"/>
                <w:tab w:val="left" w:pos="3600"/>
              </w:tabs>
              <w:ind w:left="144" w:hanging="142"/>
              <w:contextualSpacing/>
              <w:rPr>
                <w:rFonts w:ascii="Arial Narrow" w:hAnsi="Arial Narrow"/>
                <w:sz w:val="22"/>
                <w:szCs w:val="22"/>
                <w:lang w:val="en-US"/>
              </w:rPr>
            </w:pPr>
            <w:r w:rsidRPr="007F74AC">
              <w:rPr>
                <w:rFonts w:ascii="Arial Narrow" w:hAnsi="Arial Narrow"/>
                <w:sz w:val="22"/>
                <w:szCs w:val="22"/>
                <w:lang w:val="en-US"/>
              </w:rPr>
              <w:t xml:space="preserve">Forms of skepticism regarding </w:t>
            </w:r>
            <w:r w:rsidR="003E343F">
              <w:rPr>
                <w:rFonts w:ascii="Arial Narrow" w:hAnsi="Arial Narrow"/>
                <w:sz w:val="22"/>
                <w:szCs w:val="22"/>
                <w:lang w:val="en-US"/>
              </w:rPr>
              <w:t xml:space="preserve">hydroponics </w:t>
            </w:r>
            <w:r w:rsidRPr="007F74AC">
              <w:rPr>
                <w:rFonts w:ascii="Arial Narrow" w:hAnsi="Arial Narrow"/>
                <w:sz w:val="22"/>
                <w:szCs w:val="22"/>
                <w:lang w:val="en-US"/>
              </w:rPr>
              <w:t xml:space="preserve">may discourage entrepreneur in investing </w:t>
            </w:r>
            <w:r w:rsidR="003E343F">
              <w:rPr>
                <w:rFonts w:ascii="Arial Narrow" w:hAnsi="Arial Narrow"/>
                <w:sz w:val="22"/>
                <w:szCs w:val="22"/>
                <w:lang w:val="en-US"/>
              </w:rPr>
              <w:t xml:space="preserve">on </w:t>
            </w:r>
            <w:proofErr w:type="spellStart"/>
            <w:r w:rsidRPr="007F74AC">
              <w:rPr>
                <w:rFonts w:ascii="Arial Narrow" w:hAnsi="Arial Narrow"/>
                <w:sz w:val="22"/>
                <w:szCs w:val="22"/>
                <w:lang w:val="en-US"/>
              </w:rPr>
              <w:t>ZFarming</w:t>
            </w:r>
            <w:proofErr w:type="spellEnd"/>
            <w:r w:rsidRPr="007F74AC">
              <w:rPr>
                <w:rFonts w:ascii="Arial Narrow" w:hAnsi="Arial Narrow"/>
                <w:color w:val="auto"/>
                <w:sz w:val="22"/>
                <w:szCs w:val="22"/>
                <w:lang w:val="en-US"/>
              </w:rPr>
              <w:t xml:space="preserve"> </w:t>
            </w:r>
            <w:r w:rsidRPr="007F74AC">
              <w:rPr>
                <w:rFonts w:ascii="Arial Narrow" w:eastAsia="Cambria" w:hAnsi="Arial Narrow" w:cs="Cambria"/>
                <w:color w:val="auto"/>
                <w:sz w:val="22"/>
                <w:szCs w:val="22"/>
                <w:lang w:val="en-US"/>
              </w:rPr>
              <w:t>(Specht et al, 2014).</w:t>
            </w:r>
            <w:r w:rsidRPr="007F74AC">
              <w:rPr>
                <w:rFonts w:ascii="Arial Narrow" w:hAnsi="Arial Narrow"/>
                <w:color w:val="auto"/>
                <w:sz w:val="22"/>
                <w:szCs w:val="22"/>
                <w:highlight w:val="yellow"/>
                <w:lang w:val="en-US"/>
              </w:rPr>
              <w:t xml:space="preserve"> </w:t>
            </w:r>
          </w:p>
        </w:tc>
      </w:tr>
    </w:tbl>
    <w:p w14:paraId="3971D11B" w14:textId="77777777" w:rsidR="00F01EEF" w:rsidRPr="00315194" w:rsidRDefault="00F01EEF" w:rsidP="00CE0E74">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contextualSpacing/>
        <w:jc w:val="both"/>
        <w:rPr>
          <w:rFonts w:ascii="Cambria" w:eastAsia="Times New Roman" w:hAnsi="Cambria" w:cs="Times New Roman"/>
          <w:lang w:val="en-US"/>
        </w:rPr>
      </w:pPr>
    </w:p>
    <w:p w14:paraId="3971D11C" w14:textId="1FCCF77F" w:rsidR="00F01EEF" w:rsidRPr="00046407" w:rsidRDefault="00163198" w:rsidP="00046407">
      <w:pPr>
        <w:pStyle w:val="Corpo"/>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contextualSpacing/>
        <w:jc w:val="both"/>
        <w:rPr>
          <w:rFonts w:ascii="Cambria" w:eastAsia="Times New Roman" w:hAnsi="Cambria" w:cs="Times New Roman"/>
          <w:b/>
          <w:iCs/>
          <w:lang w:val="en-US"/>
        </w:rPr>
      </w:pPr>
      <w:r w:rsidRPr="00046407">
        <w:rPr>
          <w:rFonts w:ascii="Cambria" w:hAnsi="Cambria"/>
          <w:b/>
          <w:iCs/>
          <w:lang w:val="en-US"/>
        </w:rPr>
        <w:t>Economic Dimension</w:t>
      </w:r>
      <w:r w:rsidR="00996204" w:rsidRPr="00315194">
        <w:rPr>
          <w:rFonts w:ascii="Cambria" w:hAnsi="Cambria"/>
          <w:b/>
          <w:iCs/>
          <w:lang w:val="en-US"/>
        </w:rPr>
        <w:t xml:space="preserve">. </w:t>
      </w:r>
    </w:p>
    <w:p w14:paraId="7DA39246" w14:textId="6B0108AA" w:rsidR="00194FA5" w:rsidRDefault="00163198"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firstLine="567"/>
        <w:contextualSpacing/>
        <w:jc w:val="both"/>
        <w:rPr>
          <w:rFonts w:ascii="Cambria" w:hAnsi="Cambria"/>
          <w:lang w:val="en-US"/>
        </w:rPr>
      </w:pPr>
      <w:r w:rsidRPr="00315194">
        <w:rPr>
          <w:rFonts w:ascii="Cambria" w:hAnsi="Cambria"/>
          <w:lang w:val="en-US"/>
        </w:rPr>
        <w:t>Bringing food production within the city boundaries has been considered an important asset to regenerate distressed area</w:t>
      </w:r>
      <w:r w:rsidR="00194FA5">
        <w:rPr>
          <w:rFonts w:ascii="Cambria" w:hAnsi="Cambria"/>
          <w:lang w:val="en-US"/>
        </w:rPr>
        <w:t>s</w:t>
      </w:r>
      <w:r w:rsidRPr="00315194">
        <w:rPr>
          <w:rFonts w:ascii="Cambria" w:hAnsi="Cambria"/>
          <w:lang w:val="en-US"/>
        </w:rPr>
        <w:t xml:space="preserve">, increase proprieties value and encourage further investments </w:t>
      </w:r>
      <w:r w:rsidR="5171C72E" w:rsidRPr="00315194">
        <w:rPr>
          <w:rFonts w:ascii="Cambria" w:hAnsi="Cambria"/>
          <w:lang w:val="en-US"/>
        </w:rPr>
        <w:t>(Santo et al., 2016)</w:t>
      </w:r>
      <w:r w:rsidR="00856854" w:rsidRPr="00315194">
        <w:rPr>
          <w:rFonts w:ascii="Cambria" w:hAnsi="Cambria"/>
          <w:lang w:val="en-US"/>
        </w:rPr>
        <w:t xml:space="preserve"> (Table 3)</w:t>
      </w:r>
      <w:r w:rsidRPr="00315194">
        <w:rPr>
          <w:rFonts w:ascii="Cambria" w:hAnsi="Cambria"/>
          <w:lang w:val="en-US"/>
        </w:rPr>
        <w:t xml:space="preserve">. </w:t>
      </w:r>
    </w:p>
    <w:p w14:paraId="460E5C9D" w14:textId="77777777" w:rsidR="00194FA5" w:rsidRDefault="00194FA5"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firstLine="567"/>
        <w:contextualSpacing/>
        <w:jc w:val="both"/>
        <w:rPr>
          <w:rFonts w:ascii="Cambria" w:hAnsi="Cambria"/>
          <w:lang w:val="en-US"/>
        </w:rPr>
      </w:pPr>
    </w:p>
    <w:tbl>
      <w:tblPr>
        <w:tblStyle w:val="NormalTable0"/>
        <w:tblW w:w="8632" w:type="dxa"/>
        <w:jc w:val="center"/>
        <w:tblLayout w:type="fixed"/>
        <w:tblLook w:val="04A0" w:firstRow="1" w:lastRow="0" w:firstColumn="1" w:lastColumn="0" w:noHBand="0" w:noVBand="1"/>
      </w:tblPr>
      <w:tblGrid>
        <w:gridCol w:w="4316"/>
        <w:gridCol w:w="4316"/>
      </w:tblGrid>
      <w:tr w:rsidR="00194FA5" w:rsidRPr="00315194" w14:paraId="1EF6C69B" w14:textId="77777777" w:rsidTr="007D6927">
        <w:trPr>
          <w:trHeight w:val="229"/>
          <w:jc w:val="center"/>
        </w:trPr>
        <w:tc>
          <w:tcPr>
            <w:tcW w:w="8632" w:type="dxa"/>
            <w:gridSpan w:val="2"/>
            <w:tcBorders>
              <w:top w:val="single" w:sz="6" w:space="0" w:color="auto"/>
            </w:tcBorders>
            <w:shd w:val="clear" w:color="auto" w:fill="auto"/>
          </w:tcPr>
          <w:p w14:paraId="3003DB09" w14:textId="77777777" w:rsidR="00194FA5" w:rsidRPr="00046407" w:rsidRDefault="00194FA5" w:rsidP="007D6927">
            <w:pPr>
              <w:pStyle w:val="Stiletabella7"/>
              <w:tabs>
                <w:tab w:val="left" w:pos="720"/>
                <w:tab w:val="left" w:pos="1440"/>
                <w:tab w:val="left" w:pos="2160"/>
                <w:tab w:val="left" w:pos="2880"/>
                <w:tab w:val="left" w:pos="3600"/>
              </w:tabs>
              <w:contextualSpacing/>
              <w:rPr>
                <w:rFonts w:ascii="Cambria" w:hAnsi="Cambria"/>
                <w:b w:val="0"/>
                <w:sz w:val="22"/>
                <w:szCs w:val="22"/>
                <w:lang w:val="en-US"/>
              </w:rPr>
            </w:pPr>
            <w:r w:rsidRPr="00046407">
              <w:rPr>
                <w:rFonts w:ascii="Cambria" w:hAnsi="Cambria"/>
                <w:b w:val="0"/>
                <w:sz w:val="22"/>
                <w:szCs w:val="22"/>
                <w:lang w:val="en-US"/>
              </w:rPr>
              <w:t xml:space="preserve">Table </w:t>
            </w:r>
            <w:r w:rsidRPr="00315194">
              <w:rPr>
                <w:rFonts w:ascii="Cambria" w:hAnsi="Cambria"/>
                <w:b w:val="0"/>
                <w:sz w:val="22"/>
                <w:szCs w:val="22"/>
                <w:lang w:val="en-US"/>
              </w:rPr>
              <w:t>3</w:t>
            </w:r>
            <w:r w:rsidRPr="00046407">
              <w:rPr>
                <w:rFonts w:ascii="Cambria" w:hAnsi="Cambria"/>
                <w:b w:val="0"/>
                <w:sz w:val="22"/>
                <w:szCs w:val="22"/>
                <w:lang w:val="en-US"/>
              </w:rPr>
              <w:t>. The economic dimension of Building Integrated Agriculture (BIA).</w:t>
            </w:r>
          </w:p>
        </w:tc>
      </w:tr>
      <w:tr w:rsidR="00194FA5" w:rsidRPr="00315194" w14:paraId="4B9BB263" w14:textId="77777777" w:rsidTr="007D6927">
        <w:trPr>
          <w:trHeight w:val="229"/>
          <w:jc w:val="center"/>
        </w:trPr>
        <w:tc>
          <w:tcPr>
            <w:tcW w:w="4316" w:type="dxa"/>
            <w:tcBorders>
              <w:top w:val="single" w:sz="6" w:space="0" w:color="auto"/>
              <w:bottom w:val="single" w:sz="6" w:space="0" w:color="auto"/>
            </w:tcBorders>
            <w:shd w:val="clear" w:color="auto" w:fill="D9E2F3" w:themeFill="accent1" w:themeFillTint="33"/>
          </w:tcPr>
          <w:p w14:paraId="7C2DF615" w14:textId="77777777" w:rsidR="00194FA5" w:rsidRPr="007F74AC" w:rsidRDefault="00194FA5" w:rsidP="007D6927">
            <w:pPr>
              <w:pStyle w:val="Stiletabella7"/>
              <w:tabs>
                <w:tab w:val="left" w:pos="720"/>
                <w:tab w:val="left" w:pos="1440"/>
                <w:tab w:val="left" w:pos="2160"/>
                <w:tab w:val="left" w:pos="2880"/>
                <w:tab w:val="left" w:pos="3600"/>
              </w:tabs>
              <w:contextualSpacing/>
              <w:jc w:val="center"/>
              <w:rPr>
                <w:rFonts w:ascii="Arial Narrow" w:hAnsi="Arial Narrow"/>
                <w:sz w:val="22"/>
                <w:szCs w:val="22"/>
              </w:rPr>
            </w:pPr>
            <w:proofErr w:type="spellStart"/>
            <w:r w:rsidRPr="007F74AC">
              <w:rPr>
                <w:rFonts w:ascii="Arial Narrow" w:hAnsi="Arial Narrow"/>
                <w:sz w:val="22"/>
                <w:szCs w:val="22"/>
              </w:rPr>
              <w:t>Advantages</w:t>
            </w:r>
            <w:proofErr w:type="spellEnd"/>
          </w:p>
        </w:tc>
        <w:tc>
          <w:tcPr>
            <w:tcW w:w="4316" w:type="dxa"/>
            <w:tcBorders>
              <w:top w:val="single" w:sz="6" w:space="0" w:color="auto"/>
              <w:bottom w:val="single" w:sz="6" w:space="0" w:color="auto"/>
            </w:tcBorders>
            <w:shd w:val="clear" w:color="auto" w:fill="D9E2F3" w:themeFill="accent1" w:themeFillTint="33"/>
          </w:tcPr>
          <w:p w14:paraId="0A46724D" w14:textId="77777777" w:rsidR="00194FA5" w:rsidRPr="007F74AC" w:rsidRDefault="00194FA5" w:rsidP="007D6927">
            <w:pPr>
              <w:pStyle w:val="Stiletabella7"/>
              <w:tabs>
                <w:tab w:val="left" w:pos="720"/>
                <w:tab w:val="left" w:pos="1440"/>
                <w:tab w:val="left" w:pos="2160"/>
                <w:tab w:val="left" w:pos="2880"/>
                <w:tab w:val="left" w:pos="3600"/>
              </w:tabs>
              <w:contextualSpacing/>
              <w:jc w:val="center"/>
              <w:rPr>
                <w:rFonts w:ascii="Arial Narrow" w:hAnsi="Arial Narrow"/>
                <w:sz w:val="22"/>
                <w:szCs w:val="22"/>
              </w:rPr>
            </w:pPr>
            <w:proofErr w:type="spellStart"/>
            <w:r w:rsidRPr="007F74AC">
              <w:rPr>
                <w:rFonts w:ascii="Arial Narrow" w:hAnsi="Arial Narrow"/>
                <w:sz w:val="22"/>
                <w:szCs w:val="22"/>
              </w:rPr>
              <w:t>Limitations</w:t>
            </w:r>
            <w:proofErr w:type="spellEnd"/>
          </w:p>
        </w:tc>
      </w:tr>
      <w:tr w:rsidR="00194FA5" w:rsidRPr="00315194" w14:paraId="34581673" w14:textId="77777777" w:rsidTr="00194FA5">
        <w:trPr>
          <w:trHeight w:val="4025"/>
          <w:jc w:val="center"/>
        </w:trPr>
        <w:tc>
          <w:tcPr>
            <w:tcW w:w="4316" w:type="dxa"/>
            <w:tcBorders>
              <w:top w:val="single" w:sz="6" w:space="0" w:color="auto"/>
            </w:tcBorders>
            <w:shd w:val="clear" w:color="auto" w:fill="D9E2F3" w:themeFill="accent1" w:themeFillTint="33"/>
          </w:tcPr>
          <w:p w14:paraId="4E5F769E" w14:textId="77777777" w:rsidR="00194FA5" w:rsidRPr="007F74AC" w:rsidRDefault="00194FA5" w:rsidP="00194FA5">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Attract investments for the redevelopment of distressed urban areas (</w:t>
            </w:r>
            <w:r w:rsidRPr="007F74AC">
              <w:rPr>
                <w:rFonts w:ascii="Arial Narrow" w:eastAsia="Cambria" w:hAnsi="Arial Narrow" w:cs="Cambria"/>
                <w:color w:val="auto"/>
                <w:sz w:val="22"/>
                <w:szCs w:val="22"/>
                <w:lang w:val="en-US"/>
              </w:rPr>
              <w:t>Specht et al, 2014</w:t>
            </w:r>
            <w:r w:rsidRPr="007F74AC">
              <w:rPr>
                <w:rFonts w:ascii="Arial Narrow" w:eastAsia="Cambria" w:hAnsi="Arial Narrow" w:cs="Cambria"/>
                <w:color w:val="341A51"/>
                <w:sz w:val="22"/>
                <w:szCs w:val="22"/>
                <w:lang w:val="en-US"/>
              </w:rPr>
              <w:t>;</w:t>
            </w:r>
            <w:r w:rsidRPr="007F74AC">
              <w:rPr>
                <w:rFonts w:ascii="Arial Narrow" w:hAnsi="Arial Narrow"/>
                <w:lang w:val="en-US"/>
              </w:rPr>
              <w:t xml:space="preserve"> </w:t>
            </w:r>
            <w:r w:rsidRPr="007F74AC">
              <w:rPr>
                <w:rFonts w:ascii="Arial Narrow" w:eastAsia="Cambria" w:hAnsi="Arial Narrow" w:cs="Cambria"/>
                <w:color w:val="341A51"/>
                <w:sz w:val="22"/>
                <w:szCs w:val="22"/>
                <w:lang w:val="en-US"/>
              </w:rPr>
              <w:t>Thomaier et al., 2014; Santo et al., 2016)</w:t>
            </w:r>
            <w:r w:rsidRPr="007F74AC">
              <w:rPr>
                <w:rFonts w:ascii="Arial Narrow" w:hAnsi="Arial Narrow"/>
                <w:sz w:val="22"/>
                <w:szCs w:val="22"/>
                <w:lang w:val="en-US"/>
              </w:rPr>
              <w:t>.</w:t>
            </w:r>
          </w:p>
          <w:p w14:paraId="3F566D68" w14:textId="77777777" w:rsidR="00194FA5" w:rsidRPr="007F74AC" w:rsidRDefault="00194FA5" w:rsidP="00194FA5">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 xml:space="preserve">Off-soil intensive production can generate high revenues, creating new job opportunities in the field of food production and other related activities (Thomaier et al., 2014; </w:t>
            </w:r>
            <w:r w:rsidRPr="007F74AC">
              <w:rPr>
                <w:rFonts w:ascii="Arial Narrow" w:eastAsia="Cambria" w:hAnsi="Arial Narrow" w:cs="Cambria"/>
                <w:color w:val="341A51"/>
                <w:sz w:val="22"/>
                <w:szCs w:val="22"/>
                <w:lang w:val="en-US"/>
              </w:rPr>
              <w:t>Santo et al., 2016)</w:t>
            </w:r>
            <w:r w:rsidRPr="007F74AC">
              <w:rPr>
                <w:rFonts w:ascii="Arial Narrow" w:hAnsi="Arial Narrow"/>
                <w:sz w:val="22"/>
                <w:szCs w:val="22"/>
                <w:lang w:val="en-US"/>
              </w:rPr>
              <w:t>.</w:t>
            </w:r>
          </w:p>
          <w:p w14:paraId="2F176592" w14:textId="71AFF8BC" w:rsidR="00194FA5" w:rsidRPr="007F74AC" w:rsidRDefault="00194FA5" w:rsidP="00194FA5">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Integrating food in buildings may improve sustainable design, attracting investments from real estate developers (Thomaier et al., 2014; Santo et al., 2016).</w:t>
            </w:r>
          </w:p>
        </w:tc>
        <w:tc>
          <w:tcPr>
            <w:tcW w:w="4316" w:type="dxa"/>
            <w:tcBorders>
              <w:top w:val="single" w:sz="6" w:space="0" w:color="auto"/>
            </w:tcBorders>
            <w:shd w:val="clear" w:color="auto" w:fill="D9E2F3" w:themeFill="accent1" w:themeFillTint="33"/>
          </w:tcPr>
          <w:p w14:paraId="055532AD" w14:textId="77777777" w:rsidR="00194FA5" w:rsidRPr="007F74AC" w:rsidRDefault="00194FA5" w:rsidP="00194FA5">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 xml:space="preserve">Investments in distressed urban areas might increase land value, marginalizing low-income citizens </w:t>
            </w:r>
            <w:r w:rsidRPr="007F74AC">
              <w:rPr>
                <w:rFonts w:ascii="Arial Narrow" w:eastAsia="Cambria" w:hAnsi="Arial Narrow" w:cs="Cambria"/>
                <w:color w:val="341A51"/>
                <w:sz w:val="22"/>
                <w:szCs w:val="22"/>
                <w:lang w:val="en-US"/>
              </w:rPr>
              <w:t>(</w:t>
            </w:r>
            <w:r w:rsidRPr="007F74AC">
              <w:rPr>
                <w:rFonts w:ascii="Arial Narrow" w:hAnsi="Arial Narrow"/>
                <w:sz w:val="22"/>
                <w:szCs w:val="22"/>
                <w:lang w:val="en-US"/>
              </w:rPr>
              <w:t>Hoover, 2016; Santo et al., 2016).</w:t>
            </w:r>
          </w:p>
          <w:p w14:paraId="3085C2C2" w14:textId="77777777" w:rsidR="00194FA5" w:rsidRPr="007F74AC" w:rsidRDefault="00194FA5" w:rsidP="00194FA5">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 xml:space="preserve">High initial costs might be unbearable for small entrepreneurs and start-ups that will be immediately cut out of the market </w:t>
            </w:r>
            <w:r w:rsidRPr="007F74AC">
              <w:rPr>
                <w:rFonts w:ascii="Arial Narrow" w:eastAsia="Cambria" w:hAnsi="Arial Narrow" w:cs="Cambria"/>
                <w:color w:val="341A51"/>
                <w:sz w:val="22"/>
                <w:szCs w:val="22"/>
                <w:lang w:val="en-US"/>
              </w:rPr>
              <w:t>(Specht et al, 2014</w:t>
            </w:r>
            <w:r w:rsidRPr="007F74AC">
              <w:rPr>
                <w:rFonts w:ascii="Arial Narrow" w:hAnsi="Arial Narrow"/>
                <w:sz w:val="22"/>
                <w:szCs w:val="22"/>
                <w:lang w:val="en-US"/>
              </w:rPr>
              <w:t>).</w:t>
            </w:r>
          </w:p>
          <w:p w14:paraId="168D50E4" w14:textId="77777777" w:rsidR="00194FA5" w:rsidRPr="007F74AC" w:rsidRDefault="00194FA5" w:rsidP="00194FA5">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 xml:space="preserve">For commercial oriented </w:t>
            </w:r>
            <w:proofErr w:type="spellStart"/>
            <w:r w:rsidRPr="007F74AC">
              <w:rPr>
                <w:rFonts w:ascii="Arial Narrow" w:hAnsi="Arial Narrow"/>
                <w:sz w:val="22"/>
                <w:szCs w:val="22"/>
                <w:lang w:val="en-US"/>
              </w:rPr>
              <w:t>ZFarming</w:t>
            </w:r>
            <w:proofErr w:type="spellEnd"/>
            <w:r w:rsidRPr="007F74AC">
              <w:rPr>
                <w:rFonts w:ascii="Arial Narrow" w:hAnsi="Arial Narrow"/>
                <w:sz w:val="22"/>
                <w:szCs w:val="22"/>
                <w:lang w:val="en-US"/>
              </w:rPr>
              <w:t xml:space="preserve"> projects, the high operational costs might be an obstacle to maintain long-term revenues (</w:t>
            </w:r>
            <w:proofErr w:type="spellStart"/>
            <w:r w:rsidRPr="007F74AC">
              <w:rPr>
                <w:rFonts w:ascii="Arial Narrow" w:hAnsi="Arial Narrow"/>
                <w:sz w:val="22"/>
                <w:szCs w:val="22"/>
                <w:lang w:val="en-US"/>
              </w:rPr>
              <w:t>Mok</w:t>
            </w:r>
            <w:proofErr w:type="spellEnd"/>
            <w:r w:rsidRPr="007F74AC">
              <w:rPr>
                <w:rFonts w:ascii="Arial Narrow" w:hAnsi="Arial Narrow"/>
                <w:sz w:val="22"/>
                <w:szCs w:val="22"/>
                <w:lang w:val="en-US"/>
              </w:rPr>
              <w:t xml:space="preserve"> et al., 2014; Santo et al., 2016).</w:t>
            </w:r>
          </w:p>
          <w:p w14:paraId="4664E816" w14:textId="77777777" w:rsidR="00194FA5" w:rsidRPr="007F74AC" w:rsidRDefault="00194FA5" w:rsidP="00194FA5">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 xml:space="preserve">Financing sources are vital to start </w:t>
            </w:r>
            <w:proofErr w:type="spellStart"/>
            <w:r w:rsidRPr="007F74AC">
              <w:rPr>
                <w:rFonts w:ascii="Arial Narrow" w:hAnsi="Arial Narrow"/>
                <w:sz w:val="22"/>
                <w:szCs w:val="22"/>
                <w:lang w:val="en-US"/>
              </w:rPr>
              <w:t>ZFarming</w:t>
            </w:r>
            <w:proofErr w:type="spellEnd"/>
            <w:r w:rsidRPr="007F74AC">
              <w:rPr>
                <w:rFonts w:ascii="Arial Narrow" w:hAnsi="Arial Narrow"/>
                <w:sz w:val="22"/>
                <w:szCs w:val="22"/>
                <w:lang w:val="en-US"/>
              </w:rPr>
              <w:t xml:space="preserve"> projects, thus their realization highly depends on external investors </w:t>
            </w:r>
            <w:r w:rsidRPr="007F74AC">
              <w:rPr>
                <w:rFonts w:ascii="Arial Narrow" w:eastAsia="Cambria" w:hAnsi="Arial Narrow" w:cs="Cambria"/>
                <w:color w:val="auto"/>
                <w:sz w:val="22"/>
                <w:szCs w:val="22"/>
                <w:lang w:val="en-US"/>
              </w:rPr>
              <w:t>(Specht et al, 2014; Thomaier et al., 2014; Santo et al., 2016)</w:t>
            </w:r>
            <w:r w:rsidRPr="007F74AC">
              <w:rPr>
                <w:rFonts w:ascii="Arial Narrow" w:hAnsi="Arial Narrow"/>
                <w:color w:val="auto"/>
                <w:sz w:val="22"/>
                <w:szCs w:val="22"/>
                <w:lang w:val="en-US"/>
              </w:rPr>
              <w:t>.</w:t>
            </w:r>
          </w:p>
          <w:p w14:paraId="2FA05134" w14:textId="282862BE" w:rsidR="00194FA5" w:rsidRPr="007F74AC" w:rsidRDefault="00194FA5" w:rsidP="00194FA5">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 xml:space="preserve">Profitability of </w:t>
            </w:r>
            <w:proofErr w:type="spellStart"/>
            <w:r w:rsidRPr="007F74AC">
              <w:rPr>
                <w:rFonts w:ascii="Arial Narrow" w:hAnsi="Arial Narrow"/>
                <w:sz w:val="22"/>
                <w:szCs w:val="22"/>
                <w:lang w:val="en-US"/>
              </w:rPr>
              <w:t>ZFarming</w:t>
            </w:r>
            <w:proofErr w:type="spellEnd"/>
            <w:r w:rsidRPr="007F74AC">
              <w:rPr>
                <w:rFonts w:ascii="Arial Narrow" w:hAnsi="Arial Narrow"/>
                <w:sz w:val="22"/>
                <w:szCs w:val="22"/>
                <w:lang w:val="en-US"/>
              </w:rPr>
              <w:t xml:space="preserve"> cannot be guaranteed only by food production only </w:t>
            </w:r>
            <w:r w:rsidRPr="007F74AC">
              <w:rPr>
                <w:rFonts w:ascii="Arial Narrow" w:eastAsia="Cambria" w:hAnsi="Arial Narrow" w:cs="Cambria"/>
                <w:color w:val="auto"/>
                <w:sz w:val="22"/>
                <w:szCs w:val="22"/>
                <w:lang w:val="en-US"/>
              </w:rPr>
              <w:t>(Santo et al., 2016)</w:t>
            </w:r>
            <w:r w:rsidRPr="007F74AC">
              <w:rPr>
                <w:rFonts w:ascii="Arial Narrow" w:hAnsi="Arial Narrow"/>
                <w:color w:val="auto"/>
                <w:sz w:val="22"/>
                <w:szCs w:val="22"/>
                <w:lang w:val="en-US"/>
              </w:rPr>
              <w:t>.</w:t>
            </w:r>
          </w:p>
        </w:tc>
      </w:tr>
    </w:tbl>
    <w:p w14:paraId="3971D121" w14:textId="3E35AE51" w:rsidR="00F01EEF" w:rsidRPr="00315194" w:rsidRDefault="00163198"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firstLine="567"/>
        <w:contextualSpacing/>
        <w:jc w:val="both"/>
        <w:rPr>
          <w:rFonts w:ascii="Cambria" w:eastAsia="Times New Roman" w:hAnsi="Cambria" w:cs="Times New Roman"/>
          <w:lang w:val="en-US"/>
        </w:rPr>
      </w:pPr>
      <w:r w:rsidRPr="00315194">
        <w:rPr>
          <w:rFonts w:ascii="Cambria" w:hAnsi="Cambria"/>
          <w:lang w:val="en-US"/>
        </w:rPr>
        <w:t>When talking about BIA initiatives, financing plays a key role in transforming projects from ideas into reality. The high cost of buildings retrofitting,</w:t>
      </w:r>
      <w:r w:rsidR="00EC62BF" w:rsidRPr="00315194">
        <w:rPr>
          <w:rFonts w:ascii="Cambria" w:hAnsi="Cambria"/>
          <w:lang w:val="en-US"/>
        </w:rPr>
        <w:t xml:space="preserve"> </w:t>
      </w:r>
      <w:r w:rsidRPr="00315194">
        <w:rPr>
          <w:rFonts w:ascii="Cambria" w:hAnsi="Cambria"/>
          <w:lang w:val="en-US"/>
        </w:rPr>
        <w:t xml:space="preserve">combined with the high costs of </w:t>
      </w:r>
      <w:r w:rsidRPr="00315194">
        <w:rPr>
          <w:rFonts w:ascii="Cambria" w:hAnsi="Cambria"/>
          <w:lang w:val="en-US"/>
        </w:rPr>
        <w:lastRenderedPageBreak/>
        <w:t xml:space="preserve">technological installations and possible structural consolidation, prevent many operations from being realized </w:t>
      </w:r>
      <w:r w:rsidR="0F100D86" w:rsidRPr="00315194">
        <w:rPr>
          <w:rFonts w:ascii="Cambria" w:hAnsi="Cambria"/>
          <w:lang w:val="en-US"/>
        </w:rPr>
        <w:t>(Specht et al., 2014)</w:t>
      </w:r>
      <w:r w:rsidRPr="00315194">
        <w:rPr>
          <w:rFonts w:ascii="Cambria" w:hAnsi="Cambria"/>
          <w:lang w:val="en-US"/>
        </w:rPr>
        <w:t xml:space="preserve">. Furthermore, food production might compete with other building’s functions: in the case of </w:t>
      </w:r>
      <w:r w:rsidR="00194FA5">
        <w:rPr>
          <w:rFonts w:ascii="Cambria" w:hAnsi="Cambria"/>
          <w:lang w:val="en-US"/>
        </w:rPr>
        <w:t>PFALs</w:t>
      </w:r>
      <w:r w:rsidRPr="00315194">
        <w:rPr>
          <w:rFonts w:ascii="Cambria" w:hAnsi="Cambria"/>
          <w:lang w:val="en-US"/>
        </w:rPr>
        <w:t>, it could be more valuable to regenerate buildings for housing or commercial purposes rather than for food activities. At the same time, rooftops can be used to install solar panel</w:t>
      </w:r>
      <w:r w:rsidR="00EC62BF" w:rsidRPr="00315194">
        <w:rPr>
          <w:rFonts w:ascii="Cambria" w:hAnsi="Cambria"/>
          <w:lang w:val="en-US"/>
        </w:rPr>
        <w:t>s</w:t>
      </w:r>
      <w:r w:rsidRPr="00315194">
        <w:rPr>
          <w:rFonts w:ascii="Cambria" w:hAnsi="Cambria"/>
          <w:lang w:val="en-US"/>
        </w:rPr>
        <w:t xml:space="preserve">, receiving financial aids from local municipalities </w:t>
      </w:r>
      <w:r w:rsidR="5A59013F" w:rsidRPr="00315194">
        <w:rPr>
          <w:rFonts w:ascii="Cambria" w:hAnsi="Cambria"/>
          <w:lang w:val="en-US"/>
        </w:rPr>
        <w:t>(Santo et al., 2016)</w:t>
      </w:r>
      <w:r w:rsidRPr="00315194">
        <w:rPr>
          <w:rFonts w:ascii="Cambria" w:hAnsi="Cambria"/>
          <w:lang w:val="pt-PT"/>
        </w:rPr>
        <w:t xml:space="preserve">. </w:t>
      </w:r>
      <w:r w:rsidRPr="00315194">
        <w:rPr>
          <w:rFonts w:ascii="Cambria" w:hAnsi="Cambria"/>
          <w:lang w:val="en-US"/>
        </w:rPr>
        <w:t xml:space="preserve">In this scenario, young entrepreneurs and small start-ups might be discouraged to carry on </w:t>
      </w:r>
      <w:proofErr w:type="spellStart"/>
      <w:r w:rsidRPr="00315194">
        <w:rPr>
          <w:rFonts w:ascii="Cambria" w:hAnsi="Cambria"/>
          <w:lang w:val="en-US"/>
        </w:rPr>
        <w:t>ZFarming</w:t>
      </w:r>
      <w:proofErr w:type="spellEnd"/>
      <w:r w:rsidRPr="00315194">
        <w:rPr>
          <w:rFonts w:ascii="Cambria" w:hAnsi="Cambria"/>
          <w:lang w:val="en-US"/>
        </w:rPr>
        <w:t xml:space="preserve"> and BIA projects. Nonetheless, </w:t>
      </w:r>
      <w:r w:rsidR="00EC62BF" w:rsidRPr="00315194">
        <w:rPr>
          <w:rFonts w:ascii="Cambria" w:hAnsi="Cambria"/>
          <w:lang w:val="en-US"/>
        </w:rPr>
        <w:t xml:space="preserve">UA </w:t>
      </w:r>
      <w:r w:rsidRPr="00315194">
        <w:rPr>
          <w:rFonts w:ascii="Cambria" w:hAnsi="Cambria"/>
          <w:lang w:val="en-US"/>
        </w:rPr>
        <w:t xml:space="preserve">projects have </w:t>
      </w:r>
      <w:r w:rsidR="00194FA5">
        <w:rPr>
          <w:rFonts w:ascii="Cambria" w:hAnsi="Cambria"/>
          <w:lang w:val="en-US"/>
        </w:rPr>
        <w:t>a great</w:t>
      </w:r>
      <w:r w:rsidRPr="00315194">
        <w:rPr>
          <w:rFonts w:ascii="Cambria" w:hAnsi="Cambria"/>
          <w:lang w:val="en-US"/>
        </w:rPr>
        <w:t xml:space="preserve"> potential to attract capital </w:t>
      </w:r>
      <w:r w:rsidR="3564F656" w:rsidRPr="00315194">
        <w:rPr>
          <w:rFonts w:ascii="Cambria" w:hAnsi="Cambria"/>
          <w:lang w:val="en-US"/>
        </w:rPr>
        <w:t>(Santo et al., 2014)</w:t>
      </w:r>
      <w:r w:rsidR="00EC62BF" w:rsidRPr="00315194">
        <w:rPr>
          <w:rFonts w:ascii="Cambria" w:hAnsi="Cambria"/>
          <w:lang w:val="en-US"/>
        </w:rPr>
        <w:t>. R</w:t>
      </w:r>
      <w:r w:rsidRPr="00315194">
        <w:rPr>
          <w:rFonts w:ascii="Cambria" w:hAnsi="Cambria"/>
          <w:lang w:val="en-US"/>
        </w:rPr>
        <w:t xml:space="preserve">eal estate developers are growing fond of the idea of improving the sustainable design with the integration of food production practices </w:t>
      </w:r>
      <w:r w:rsidR="65D81F59" w:rsidRPr="00315194">
        <w:rPr>
          <w:rFonts w:ascii="Cambria" w:hAnsi="Cambria"/>
          <w:lang w:val="en-US"/>
        </w:rPr>
        <w:t>(Thomaier et al., 2014)</w:t>
      </w:r>
      <w:r w:rsidRPr="00315194">
        <w:rPr>
          <w:rFonts w:ascii="Cambria" w:hAnsi="Cambria"/>
          <w:lang w:val="en-US"/>
        </w:rPr>
        <w:t xml:space="preserve">, sharing the cost of co-financing with new urban farmers. Transforming abandoned buildings into indoor farming is also catching the attention of developers and municipalities </w:t>
      </w:r>
      <w:r w:rsidR="452A91F2" w:rsidRPr="00315194">
        <w:rPr>
          <w:rFonts w:ascii="Cambria" w:hAnsi="Cambria"/>
          <w:lang w:val="en-US"/>
        </w:rPr>
        <w:t>(Thomaier et al., 2014)</w:t>
      </w:r>
      <w:r w:rsidRPr="00315194">
        <w:rPr>
          <w:rFonts w:ascii="Cambria" w:hAnsi="Cambria"/>
          <w:lang w:val="en-US"/>
        </w:rPr>
        <w:t xml:space="preserve">. Renovating the urban heritage and forsaken industrial architecture is, in fact, a successful sustainable planning strategy </w:t>
      </w:r>
      <w:r w:rsidR="0081EC24" w:rsidRPr="00315194">
        <w:rPr>
          <w:rFonts w:ascii="Cambria" w:hAnsi="Cambria"/>
          <w:lang w:val="en-US"/>
        </w:rPr>
        <w:t>(Kamari et al., 2017)</w:t>
      </w:r>
      <w:r w:rsidRPr="00315194">
        <w:rPr>
          <w:rFonts w:ascii="Cambria" w:hAnsi="Cambria"/>
          <w:lang w:val="en-US"/>
        </w:rPr>
        <w:t xml:space="preserve">. Nonetheless, the high costs of some </w:t>
      </w:r>
      <w:proofErr w:type="spellStart"/>
      <w:r w:rsidRPr="00315194">
        <w:rPr>
          <w:rFonts w:ascii="Cambria" w:hAnsi="Cambria"/>
          <w:lang w:val="en-US"/>
        </w:rPr>
        <w:t>ZFarming</w:t>
      </w:r>
      <w:proofErr w:type="spellEnd"/>
      <w:r w:rsidRPr="00315194">
        <w:rPr>
          <w:rFonts w:ascii="Cambria" w:hAnsi="Cambria"/>
          <w:lang w:val="en-US"/>
        </w:rPr>
        <w:t xml:space="preserve"> projects and the increased value of prope</w:t>
      </w:r>
      <w:r w:rsidR="00194FA5">
        <w:rPr>
          <w:rFonts w:ascii="Cambria" w:hAnsi="Cambria"/>
          <w:lang w:val="en-US"/>
        </w:rPr>
        <w:t>r</w:t>
      </w:r>
      <w:r w:rsidRPr="00315194">
        <w:rPr>
          <w:rFonts w:ascii="Cambria" w:hAnsi="Cambria"/>
          <w:lang w:val="en-US"/>
        </w:rPr>
        <w:t xml:space="preserve">ties and land connected to these investments may cause the displacement of disadvantaged categories in low-income areas, marginalizing </w:t>
      </w:r>
      <w:r w:rsidR="003B0010" w:rsidRPr="00315194">
        <w:rPr>
          <w:rFonts w:ascii="Cambria" w:hAnsi="Cambria"/>
          <w:lang w:val="en-US"/>
        </w:rPr>
        <w:t>and</w:t>
      </w:r>
      <w:r w:rsidRPr="00315194">
        <w:rPr>
          <w:rFonts w:ascii="Cambria" w:hAnsi="Cambria"/>
          <w:lang w:val="en-US"/>
        </w:rPr>
        <w:t xml:space="preserve"> pushing them out of their </w:t>
      </w:r>
      <w:r w:rsidRPr="00315194">
        <w:rPr>
          <w:rFonts w:ascii="Cambria" w:hAnsi="Cambria"/>
          <w:lang w:val="ar-SA"/>
        </w:rPr>
        <w:t>“</w:t>
      </w:r>
      <w:r w:rsidRPr="00315194">
        <w:rPr>
          <w:rFonts w:ascii="Cambria" w:hAnsi="Cambria"/>
          <w:lang w:val="en-US"/>
        </w:rPr>
        <w:t xml:space="preserve">land” </w:t>
      </w:r>
      <w:r w:rsidR="711FE619" w:rsidRPr="00315194">
        <w:rPr>
          <w:rFonts w:ascii="Cambria" w:hAnsi="Cambria"/>
          <w:lang w:val="en-US"/>
        </w:rPr>
        <w:t>(Hoover, 2013)</w:t>
      </w:r>
      <w:r w:rsidR="00856854" w:rsidRPr="00315194">
        <w:rPr>
          <w:rFonts w:ascii="Cambria" w:hAnsi="Cambria"/>
          <w:lang w:val="pt-PT"/>
        </w:rPr>
        <w:t xml:space="preserve"> (Table 3)</w:t>
      </w:r>
      <w:r w:rsidRPr="00315194">
        <w:rPr>
          <w:rFonts w:ascii="Cambria" w:hAnsi="Cambria"/>
          <w:lang w:val="pt-PT"/>
        </w:rPr>
        <w:t>.</w:t>
      </w:r>
      <w:r w:rsidR="00194FA5">
        <w:rPr>
          <w:rFonts w:ascii="Cambria" w:hAnsi="Cambria"/>
          <w:lang w:val="pt-PT"/>
        </w:rPr>
        <w:t xml:space="preserve"> </w:t>
      </w:r>
      <w:r w:rsidRPr="00315194">
        <w:rPr>
          <w:rFonts w:ascii="Cambria" w:hAnsi="Cambria"/>
          <w:lang w:val="en-US"/>
        </w:rPr>
        <w:t xml:space="preserve">In conclusion, many aspects of the Economic Dimensions are connected to the social aspects of BIA initiatives. Indoor farming and </w:t>
      </w:r>
      <w:r w:rsidR="00194FA5">
        <w:rPr>
          <w:rFonts w:ascii="Cambria" w:hAnsi="Cambria"/>
          <w:lang w:val="en-US"/>
        </w:rPr>
        <w:t>hydroponics</w:t>
      </w:r>
      <w:r w:rsidRPr="00315194">
        <w:rPr>
          <w:rFonts w:ascii="Cambria" w:hAnsi="Cambria"/>
          <w:lang w:val="en-US"/>
        </w:rPr>
        <w:t xml:space="preserve">, which allow high yields and may improve food sustainability, have the potential to create high revenues. To achieve </w:t>
      </w:r>
      <w:r w:rsidR="00194FA5">
        <w:rPr>
          <w:rFonts w:ascii="Cambria" w:hAnsi="Cambria"/>
          <w:lang w:val="en-US"/>
        </w:rPr>
        <w:t>this</w:t>
      </w:r>
      <w:r w:rsidRPr="00315194">
        <w:rPr>
          <w:rFonts w:ascii="Cambria" w:hAnsi="Cambria"/>
          <w:lang w:val="en-US"/>
        </w:rPr>
        <w:t xml:space="preserve">, new financing sources and adequate planning are required in order not to exclude low-income parts of the population from these initiatives and invest in educational and social spaces to make </w:t>
      </w:r>
      <w:proofErr w:type="spellStart"/>
      <w:r w:rsidRPr="00315194">
        <w:rPr>
          <w:rFonts w:ascii="Cambria" w:hAnsi="Cambria"/>
          <w:lang w:val="en-US"/>
        </w:rPr>
        <w:t>ZFarming</w:t>
      </w:r>
      <w:proofErr w:type="spellEnd"/>
      <w:r w:rsidRPr="00315194">
        <w:rPr>
          <w:rFonts w:ascii="Cambria" w:hAnsi="Cambria"/>
          <w:lang w:val="en-US"/>
        </w:rPr>
        <w:t xml:space="preserve"> more inclusive. </w:t>
      </w:r>
    </w:p>
    <w:p w14:paraId="3971D125" w14:textId="77777777" w:rsidR="00F01EEF" w:rsidRPr="00315194" w:rsidRDefault="00F01EEF"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firstLine="567"/>
        <w:contextualSpacing/>
        <w:jc w:val="both"/>
        <w:rPr>
          <w:rFonts w:ascii="Cambria" w:eastAsia="Times New Roman" w:hAnsi="Cambria" w:cs="Times New Roman"/>
          <w:lang w:val="en-US"/>
        </w:rPr>
      </w:pPr>
    </w:p>
    <w:p w14:paraId="3971D126" w14:textId="5882D1E7" w:rsidR="00F01EEF" w:rsidRPr="00046407" w:rsidRDefault="00163198" w:rsidP="00046407">
      <w:pPr>
        <w:pStyle w:val="Corpo"/>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contextualSpacing/>
        <w:jc w:val="both"/>
        <w:rPr>
          <w:rFonts w:ascii="Cambria" w:eastAsia="Times New Roman" w:hAnsi="Cambria" w:cs="Times New Roman"/>
          <w:b/>
          <w:iCs/>
          <w:lang w:val="en-US"/>
        </w:rPr>
      </w:pPr>
      <w:r w:rsidRPr="00046407">
        <w:rPr>
          <w:rFonts w:ascii="Cambria" w:hAnsi="Cambria"/>
          <w:b/>
          <w:iCs/>
          <w:lang w:val="en-US"/>
        </w:rPr>
        <w:t>Environmental Dimension</w:t>
      </w:r>
      <w:r w:rsidR="00996204" w:rsidRPr="00315194">
        <w:rPr>
          <w:rFonts w:ascii="Cambria" w:hAnsi="Cambria"/>
          <w:b/>
          <w:iCs/>
          <w:lang w:val="en-US"/>
        </w:rPr>
        <w:t>.</w:t>
      </w:r>
    </w:p>
    <w:p w14:paraId="3971D12B" w14:textId="7FFE3230" w:rsidR="00F01EEF" w:rsidRPr="00315194" w:rsidRDefault="00163198" w:rsidP="0044172E">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firstLine="567"/>
        <w:contextualSpacing/>
        <w:jc w:val="both"/>
        <w:rPr>
          <w:rFonts w:ascii="Cambria" w:eastAsia="Times New Roman" w:hAnsi="Cambria" w:cs="Times New Roman"/>
          <w:lang w:val="en-US"/>
        </w:rPr>
      </w:pPr>
      <w:r w:rsidRPr="00315194">
        <w:rPr>
          <w:rFonts w:ascii="Cambria" w:hAnsi="Cambria"/>
          <w:lang w:val="en-US"/>
        </w:rPr>
        <w:t xml:space="preserve">Urban </w:t>
      </w:r>
      <w:r w:rsidR="00856854" w:rsidRPr="00315194">
        <w:rPr>
          <w:rFonts w:ascii="Cambria" w:hAnsi="Cambria"/>
          <w:lang w:val="en-US"/>
        </w:rPr>
        <w:t>A</w:t>
      </w:r>
      <w:r w:rsidRPr="00315194">
        <w:rPr>
          <w:rFonts w:ascii="Cambria" w:hAnsi="Cambria"/>
          <w:lang w:val="en-US"/>
        </w:rPr>
        <w:t xml:space="preserve">griculture has been promoted as part of the transition towards a more environmentally sustainable food system </w:t>
      </w:r>
      <w:r w:rsidR="04F63960" w:rsidRPr="00315194">
        <w:rPr>
          <w:rFonts w:ascii="Cambria" w:hAnsi="Cambria"/>
          <w:lang w:val="en-US"/>
        </w:rPr>
        <w:t>(Santo et al., 2016)</w:t>
      </w:r>
      <w:r w:rsidRPr="00315194">
        <w:rPr>
          <w:rFonts w:ascii="Cambria" w:hAnsi="Cambria"/>
          <w:lang w:val="en-US"/>
        </w:rPr>
        <w:t>. Applications of UA are also considered to have a great potential in favoring the transition towards lower-carbon cities, making them more resilient against food shortages in case of future economic or pandemic cris</w:t>
      </w:r>
      <w:r w:rsidR="0044172E">
        <w:rPr>
          <w:rFonts w:ascii="Cambria" w:hAnsi="Cambria"/>
          <w:lang w:val="en-US"/>
        </w:rPr>
        <w:t>e</w:t>
      </w:r>
      <w:r w:rsidRPr="00315194">
        <w:rPr>
          <w:rFonts w:ascii="Cambria" w:hAnsi="Cambria"/>
          <w:lang w:val="en-US"/>
        </w:rPr>
        <w:t xml:space="preserve">s </w:t>
      </w:r>
      <w:r w:rsidR="41F02A33" w:rsidRPr="00315194">
        <w:rPr>
          <w:rFonts w:ascii="Cambria" w:hAnsi="Cambria"/>
          <w:lang w:val="en-US"/>
        </w:rPr>
        <w:t>(Barthel et al., 2013)</w:t>
      </w:r>
      <w:r w:rsidRPr="00315194">
        <w:rPr>
          <w:rFonts w:ascii="Cambria" w:hAnsi="Cambria"/>
          <w:lang w:val="en-US"/>
        </w:rPr>
        <w:t xml:space="preserve">. Further environmental benefits of UA are addressed to resolve climate change issues, enhancing resource-saving and resource efficiency </w:t>
      </w:r>
      <w:r w:rsidR="0A2B4DC0" w:rsidRPr="00315194">
        <w:rPr>
          <w:rFonts w:ascii="Cambria" w:hAnsi="Cambria"/>
          <w:lang w:val="en-US"/>
        </w:rPr>
        <w:t>(Specht et al., 2014)</w:t>
      </w:r>
      <w:r w:rsidRPr="00315194">
        <w:rPr>
          <w:rFonts w:ascii="Cambria" w:hAnsi="Cambria"/>
          <w:lang w:val="en-US"/>
        </w:rPr>
        <w:t xml:space="preserve">. In this regard, BIA projects are strategic in the development of green buildings, recycling resources and reducing food transport emissions. Eco-effective architecture design can be influenced by integrated agriculture systems, exploiting the synergies between buildings and food production spaces. For instance, water recycling and grey-water usage in BIA can dramatically reduce water consumption in urban food production </w:t>
      </w:r>
      <w:r w:rsidR="1C77A9AF" w:rsidRPr="00315194">
        <w:rPr>
          <w:rFonts w:ascii="Cambria" w:hAnsi="Cambria"/>
          <w:lang w:val="en-US"/>
        </w:rPr>
        <w:t>(</w:t>
      </w:r>
      <w:proofErr w:type="spellStart"/>
      <w:r w:rsidR="1C77A9AF" w:rsidRPr="00315194">
        <w:rPr>
          <w:rFonts w:ascii="Cambria" w:hAnsi="Cambria"/>
          <w:lang w:val="en-US"/>
        </w:rPr>
        <w:t>Caplow</w:t>
      </w:r>
      <w:proofErr w:type="spellEnd"/>
      <w:r w:rsidR="1C77A9AF" w:rsidRPr="00315194">
        <w:rPr>
          <w:rFonts w:ascii="Cambria" w:hAnsi="Cambria"/>
          <w:lang w:val="en-US"/>
        </w:rPr>
        <w:t>, 2009)</w:t>
      </w:r>
      <w:r w:rsidRPr="00315194">
        <w:rPr>
          <w:rFonts w:ascii="Cambria" w:hAnsi="Cambria"/>
          <w:lang w:val="en-US"/>
        </w:rPr>
        <w:t xml:space="preserve">. Rooftop gardens, and especially rooftop greenhouses may work as an additional insulation layer, with the double potential of (i) avoiding heat loss and (ii) cumulating heat that can be exchanged with the building </w:t>
      </w:r>
      <w:r w:rsidR="21429CCC" w:rsidRPr="00315194">
        <w:rPr>
          <w:rFonts w:ascii="Cambria" w:hAnsi="Cambria"/>
          <w:lang w:val="en-US"/>
        </w:rPr>
        <w:t>(Specht et a., 2014)</w:t>
      </w:r>
      <w:r w:rsidRPr="00315194">
        <w:rPr>
          <w:rFonts w:ascii="Cambria" w:hAnsi="Cambria"/>
          <w:lang w:val="en-US"/>
        </w:rPr>
        <w:t xml:space="preserve">. Integrating gardens and greenhouses on walls and rooftops can also contribute to reducing the urban heat-island effect thanks to plants' transpiration, </w:t>
      </w:r>
      <w:r w:rsidR="00856854" w:rsidRPr="00315194">
        <w:rPr>
          <w:rFonts w:ascii="Cambria" w:hAnsi="Cambria"/>
          <w:lang w:val="en-US"/>
        </w:rPr>
        <w:t>contemporar</w:t>
      </w:r>
      <w:r w:rsidR="0044172E">
        <w:rPr>
          <w:rFonts w:ascii="Cambria" w:hAnsi="Cambria"/>
          <w:lang w:val="en-US"/>
        </w:rPr>
        <w:t>il</w:t>
      </w:r>
      <w:r w:rsidR="00856854" w:rsidRPr="00315194">
        <w:rPr>
          <w:rFonts w:ascii="Cambria" w:hAnsi="Cambria"/>
          <w:lang w:val="en-US"/>
        </w:rPr>
        <w:t xml:space="preserve">y </w:t>
      </w:r>
      <w:r w:rsidRPr="00315194">
        <w:rPr>
          <w:rFonts w:ascii="Cambria" w:hAnsi="Cambria"/>
          <w:lang w:val="en-US"/>
        </w:rPr>
        <w:t xml:space="preserve">adding new food and green spaces in highly dense urban areas </w:t>
      </w:r>
      <w:r w:rsidR="4CAE2EB7" w:rsidRPr="00315194">
        <w:rPr>
          <w:rFonts w:ascii="Cambria" w:hAnsi="Cambria"/>
          <w:lang w:val="en-US"/>
        </w:rPr>
        <w:t>(Santo et al., 2016)</w:t>
      </w:r>
      <w:r w:rsidR="00E506D1" w:rsidRPr="00315194">
        <w:rPr>
          <w:rFonts w:ascii="Cambria" w:hAnsi="Cambria"/>
          <w:lang w:val="pt-PT"/>
        </w:rPr>
        <w:t xml:space="preserve"> (Table 4)</w:t>
      </w:r>
      <w:r w:rsidRPr="00315194">
        <w:rPr>
          <w:rFonts w:ascii="Cambria" w:hAnsi="Cambria"/>
          <w:lang w:val="pt-PT"/>
        </w:rPr>
        <w:t xml:space="preserve">. </w:t>
      </w:r>
      <w:r w:rsidR="0044172E">
        <w:rPr>
          <w:rFonts w:ascii="Cambria" w:hAnsi="Cambria"/>
          <w:lang w:val="en-US"/>
        </w:rPr>
        <w:t xml:space="preserve">It emerges that </w:t>
      </w:r>
      <w:proofErr w:type="spellStart"/>
      <w:r w:rsidRPr="00315194">
        <w:rPr>
          <w:rFonts w:ascii="Cambria" w:hAnsi="Cambria"/>
          <w:lang w:val="en-US"/>
        </w:rPr>
        <w:t>ZFarming</w:t>
      </w:r>
      <w:proofErr w:type="spellEnd"/>
      <w:r w:rsidRPr="00315194">
        <w:rPr>
          <w:rFonts w:ascii="Cambria" w:hAnsi="Cambria"/>
          <w:lang w:val="en-US"/>
        </w:rPr>
        <w:t xml:space="preserve"> and BIA projects might be a viable solution to mitigate climate change and help planners and architects in developing more sustainable cities. Nonetheless, combining the application of advanced resource-recycling technologies with food production systems requires high investments and it may be difficult to apply in case of retrofitting projects. The building-integrated energy use and food production issues are the most crucial to be solved</w:t>
      </w:r>
      <w:r w:rsidR="005C5E16" w:rsidRPr="00315194">
        <w:rPr>
          <w:rFonts w:ascii="Cambria" w:hAnsi="Cambria"/>
          <w:lang w:val="en-US"/>
        </w:rPr>
        <w:t>.</w:t>
      </w:r>
      <w:r w:rsidRPr="00315194">
        <w:rPr>
          <w:rFonts w:ascii="Cambria" w:hAnsi="Cambria"/>
          <w:lang w:val="en-US"/>
        </w:rPr>
        <w:t xml:space="preserve"> In this regard, planners, engineers, architects, agronomists and all the other practitioners involved in the development of BIA projects must work together to overcome those issues. Implementing resource efficiency is crucial to enhancing the sustainability of BIA projects. Soil-less agriculture and indoor production are, in-fact, resource-intensive operations that may increase GHG emissions and water usage in urban settlements </w:t>
      </w:r>
      <w:r w:rsidR="0F173DE4" w:rsidRPr="00315194">
        <w:rPr>
          <w:rFonts w:ascii="Cambria" w:hAnsi="Cambria"/>
          <w:lang w:val="en-US"/>
        </w:rPr>
        <w:t>(Sanyé-Mengual, 2015)</w:t>
      </w:r>
      <w:r w:rsidRPr="00315194">
        <w:rPr>
          <w:rFonts w:ascii="Cambria" w:hAnsi="Cambria"/>
          <w:lang w:val="en-US"/>
        </w:rPr>
        <w:t xml:space="preserve">, in particular, </w:t>
      </w:r>
      <w:r w:rsidR="0044172E">
        <w:rPr>
          <w:rFonts w:ascii="Cambria" w:hAnsi="Cambria"/>
          <w:lang w:val="en-US"/>
        </w:rPr>
        <w:t>PFALs</w:t>
      </w:r>
      <w:r w:rsidRPr="00315194">
        <w:rPr>
          <w:rFonts w:ascii="Cambria" w:hAnsi="Cambria"/>
          <w:lang w:val="en-US"/>
        </w:rPr>
        <w:t xml:space="preserve"> are highly </w:t>
      </w:r>
      <w:r w:rsidRPr="00315194">
        <w:rPr>
          <w:rFonts w:ascii="Cambria" w:hAnsi="Cambria"/>
          <w:lang w:val="en-US"/>
        </w:rPr>
        <w:lastRenderedPageBreak/>
        <w:t xml:space="preserve">energy consuming compared to solar-powered greenhouses. However, if appropriate crops and methods are chosen, BIA projects have the potential to dramatically reduce GHG emissions compared to industrial ground-based agriculture </w:t>
      </w:r>
      <w:r w:rsidR="13B36919" w:rsidRPr="00315194">
        <w:rPr>
          <w:rFonts w:ascii="Cambria" w:hAnsi="Cambria"/>
          <w:lang w:val="en-US"/>
        </w:rPr>
        <w:t>(Kulak et al., 2013)</w:t>
      </w:r>
      <w:r w:rsidR="00E506D1" w:rsidRPr="00315194">
        <w:rPr>
          <w:rFonts w:ascii="Cambria" w:hAnsi="Cambria"/>
          <w:lang w:val="pt-PT"/>
        </w:rPr>
        <w:t xml:space="preserve"> (Table 4)</w:t>
      </w:r>
      <w:r w:rsidRPr="00315194">
        <w:rPr>
          <w:rFonts w:ascii="Cambria" w:hAnsi="Cambria"/>
          <w:lang w:val="pt-PT"/>
        </w:rPr>
        <w:t>.</w:t>
      </w:r>
    </w:p>
    <w:p w14:paraId="72B62BA9" w14:textId="36DAE51F" w:rsidR="00AC4CC6" w:rsidRPr="00315194" w:rsidRDefault="00AC4CC6" w:rsidP="00046407">
      <w:pPr>
        <w:pStyle w:val="Corp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firstLine="567"/>
        <w:contextualSpacing/>
        <w:jc w:val="both"/>
        <w:rPr>
          <w:rFonts w:ascii="Cambria" w:eastAsia="Times New Roman" w:hAnsi="Cambria" w:cs="Times New Roman"/>
          <w:lang w:val="en-US"/>
        </w:rPr>
      </w:pPr>
    </w:p>
    <w:tbl>
      <w:tblPr>
        <w:tblStyle w:val="NormalTable0"/>
        <w:tblW w:w="8647" w:type="dxa"/>
        <w:jc w:val="center"/>
        <w:tblLayout w:type="fixed"/>
        <w:tblLook w:val="04A0" w:firstRow="1" w:lastRow="0" w:firstColumn="1" w:lastColumn="0" w:noHBand="0" w:noVBand="1"/>
      </w:tblPr>
      <w:tblGrid>
        <w:gridCol w:w="4323"/>
        <w:gridCol w:w="4324"/>
      </w:tblGrid>
      <w:tr w:rsidR="00F4222D" w:rsidRPr="00315194" w14:paraId="541BCAC6" w14:textId="77777777" w:rsidTr="00046407">
        <w:trPr>
          <w:trHeight w:val="278"/>
          <w:jc w:val="center"/>
        </w:trPr>
        <w:tc>
          <w:tcPr>
            <w:tcW w:w="8647" w:type="dxa"/>
            <w:gridSpan w:val="2"/>
            <w:tcBorders>
              <w:top w:val="single" w:sz="6" w:space="0" w:color="auto"/>
            </w:tcBorders>
            <w:shd w:val="clear" w:color="auto" w:fill="auto"/>
          </w:tcPr>
          <w:p w14:paraId="4C8CE436" w14:textId="37FF6CFD" w:rsidR="00F4222D" w:rsidRPr="00046407" w:rsidRDefault="00F4222D" w:rsidP="00046407">
            <w:pPr>
              <w:pStyle w:val="Stiletabella7"/>
              <w:tabs>
                <w:tab w:val="left" w:pos="720"/>
                <w:tab w:val="left" w:pos="1440"/>
                <w:tab w:val="left" w:pos="2160"/>
                <w:tab w:val="left" w:pos="2880"/>
                <w:tab w:val="left" w:pos="3600"/>
              </w:tabs>
              <w:contextualSpacing/>
              <w:jc w:val="both"/>
              <w:rPr>
                <w:rFonts w:ascii="Cambria" w:hAnsi="Cambria"/>
                <w:b w:val="0"/>
                <w:sz w:val="22"/>
                <w:szCs w:val="22"/>
                <w:lang w:val="en-US"/>
              </w:rPr>
            </w:pPr>
            <w:r w:rsidRPr="00046407">
              <w:rPr>
                <w:rFonts w:ascii="Cambria" w:hAnsi="Cambria"/>
                <w:b w:val="0"/>
                <w:sz w:val="22"/>
                <w:szCs w:val="22"/>
                <w:lang w:val="en-US"/>
              </w:rPr>
              <w:t>Table 4. The environmental dimension of Building Integrated Agriculture (BIA).</w:t>
            </w:r>
          </w:p>
        </w:tc>
      </w:tr>
      <w:tr w:rsidR="00AC4CC6" w:rsidRPr="00315194" w14:paraId="3971D130" w14:textId="77777777" w:rsidTr="00046407">
        <w:trPr>
          <w:trHeight w:val="229"/>
          <w:jc w:val="center"/>
        </w:trPr>
        <w:tc>
          <w:tcPr>
            <w:tcW w:w="4323" w:type="dxa"/>
            <w:tcBorders>
              <w:top w:val="single" w:sz="6" w:space="0" w:color="auto"/>
              <w:bottom w:val="single" w:sz="6" w:space="0" w:color="auto"/>
            </w:tcBorders>
            <w:shd w:val="clear" w:color="auto" w:fill="D9E2F3" w:themeFill="accent1" w:themeFillTint="33"/>
          </w:tcPr>
          <w:p w14:paraId="3971D12E" w14:textId="77777777" w:rsidR="00AC4CC6" w:rsidRPr="007F74AC" w:rsidRDefault="00AC4CC6" w:rsidP="00046407">
            <w:pPr>
              <w:pStyle w:val="Stiletabella7"/>
              <w:tabs>
                <w:tab w:val="left" w:pos="720"/>
                <w:tab w:val="left" w:pos="1440"/>
                <w:tab w:val="left" w:pos="2160"/>
                <w:tab w:val="left" w:pos="2880"/>
                <w:tab w:val="left" w:pos="3600"/>
              </w:tabs>
              <w:contextualSpacing/>
              <w:jc w:val="center"/>
              <w:rPr>
                <w:rFonts w:ascii="Arial Narrow" w:hAnsi="Arial Narrow"/>
                <w:sz w:val="22"/>
                <w:szCs w:val="22"/>
              </w:rPr>
            </w:pPr>
            <w:proofErr w:type="spellStart"/>
            <w:r w:rsidRPr="007F74AC">
              <w:rPr>
                <w:rFonts w:ascii="Arial Narrow" w:hAnsi="Arial Narrow"/>
                <w:sz w:val="22"/>
                <w:szCs w:val="22"/>
              </w:rPr>
              <w:t>Advantages</w:t>
            </w:r>
            <w:proofErr w:type="spellEnd"/>
          </w:p>
        </w:tc>
        <w:tc>
          <w:tcPr>
            <w:tcW w:w="4324" w:type="dxa"/>
            <w:tcBorders>
              <w:top w:val="single" w:sz="6" w:space="0" w:color="auto"/>
              <w:bottom w:val="single" w:sz="6" w:space="0" w:color="auto"/>
            </w:tcBorders>
            <w:shd w:val="clear" w:color="auto" w:fill="D9E2F3" w:themeFill="accent1" w:themeFillTint="33"/>
          </w:tcPr>
          <w:p w14:paraId="3971D12F" w14:textId="77777777" w:rsidR="00AC4CC6" w:rsidRPr="007F74AC" w:rsidRDefault="00AC4CC6" w:rsidP="00046407">
            <w:pPr>
              <w:pStyle w:val="Stiletabella7"/>
              <w:tabs>
                <w:tab w:val="left" w:pos="720"/>
                <w:tab w:val="left" w:pos="1440"/>
                <w:tab w:val="left" w:pos="2160"/>
                <w:tab w:val="left" w:pos="2880"/>
                <w:tab w:val="left" w:pos="3600"/>
              </w:tabs>
              <w:contextualSpacing/>
              <w:jc w:val="center"/>
              <w:rPr>
                <w:rFonts w:ascii="Arial Narrow" w:hAnsi="Arial Narrow"/>
                <w:sz w:val="22"/>
                <w:szCs w:val="22"/>
              </w:rPr>
            </w:pPr>
            <w:proofErr w:type="spellStart"/>
            <w:r w:rsidRPr="007F74AC">
              <w:rPr>
                <w:rFonts w:ascii="Arial Narrow" w:hAnsi="Arial Narrow"/>
                <w:sz w:val="22"/>
                <w:szCs w:val="22"/>
              </w:rPr>
              <w:t>Limitations</w:t>
            </w:r>
            <w:proofErr w:type="spellEnd"/>
          </w:p>
        </w:tc>
      </w:tr>
      <w:tr w:rsidR="0044172E" w:rsidRPr="00315194" w14:paraId="3971D134" w14:textId="77777777" w:rsidTr="0044172E">
        <w:trPr>
          <w:trHeight w:val="4819"/>
          <w:jc w:val="center"/>
        </w:trPr>
        <w:tc>
          <w:tcPr>
            <w:tcW w:w="4323" w:type="dxa"/>
            <w:tcBorders>
              <w:top w:val="single" w:sz="6" w:space="0" w:color="auto"/>
            </w:tcBorders>
            <w:shd w:val="clear" w:color="auto" w:fill="D9E2F3" w:themeFill="accent1" w:themeFillTint="33"/>
          </w:tcPr>
          <w:p w14:paraId="42A4FF91" w14:textId="77777777" w:rsidR="0044172E" w:rsidRPr="007F74AC" w:rsidRDefault="0044172E" w:rsidP="0044172E">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 xml:space="preserve">Shortening the food chain with potential reduction of GHG associated with food transportation </w:t>
            </w:r>
            <w:r w:rsidRPr="007F74AC">
              <w:rPr>
                <w:rFonts w:ascii="Arial Narrow" w:eastAsia="Cambria" w:hAnsi="Arial Narrow" w:cs="Cambria"/>
                <w:color w:val="auto"/>
                <w:sz w:val="22"/>
                <w:szCs w:val="22"/>
                <w:lang w:val="en-US"/>
              </w:rPr>
              <w:t>(Specht et al, 2014; Santo et al., 2016)</w:t>
            </w:r>
            <w:r w:rsidRPr="007F74AC">
              <w:rPr>
                <w:rFonts w:ascii="Arial Narrow" w:hAnsi="Arial Narrow"/>
                <w:color w:val="auto"/>
                <w:sz w:val="22"/>
                <w:szCs w:val="22"/>
                <w:lang w:val="en-US"/>
              </w:rPr>
              <w:t>.</w:t>
            </w:r>
          </w:p>
          <w:p w14:paraId="4EED3DCF" w14:textId="77777777" w:rsidR="0044172E" w:rsidRPr="007F74AC" w:rsidRDefault="0044172E" w:rsidP="0044172E">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Provision of new design strategies and tool for the development of green buildings, fostering synergies between buildings and food systems (</w:t>
            </w:r>
            <w:r w:rsidRPr="007F74AC">
              <w:rPr>
                <w:rFonts w:ascii="Arial Narrow" w:eastAsia="Cambria" w:hAnsi="Arial Narrow" w:cs="Cambria"/>
                <w:color w:val="auto"/>
                <w:sz w:val="22"/>
                <w:szCs w:val="22"/>
                <w:lang w:val="en-US"/>
              </w:rPr>
              <w:t>Specht et al, 2014; Thomaier et al., 2014)</w:t>
            </w:r>
            <w:r w:rsidRPr="007F74AC">
              <w:rPr>
                <w:rFonts w:ascii="Arial Narrow" w:hAnsi="Arial Narrow"/>
                <w:color w:val="auto"/>
                <w:sz w:val="22"/>
                <w:szCs w:val="22"/>
                <w:lang w:val="en-US"/>
              </w:rPr>
              <w:t>.</w:t>
            </w:r>
          </w:p>
          <w:p w14:paraId="7E6909C2" w14:textId="77777777" w:rsidR="0044172E" w:rsidRPr="007F74AC" w:rsidRDefault="0044172E" w:rsidP="0044172E">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Reduction of the urban-heat island thanks to plants transpiration (O’Brien et al., 2009; Wolf and Robbins, 2015).</w:t>
            </w:r>
          </w:p>
          <w:p w14:paraId="1EA85655" w14:textId="77777777" w:rsidR="0044172E" w:rsidRPr="007F74AC" w:rsidRDefault="0044172E" w:rsidP="0044172E">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 xml:space="preserve">High potential for water recycling in closed off-soil systems. Possible integration of grey and rain water to reduce to almost zero water inputs for food production </w:t>
            </w:r>
            <w:r w:rsidRPr="007F74AC">
              <w:rPr>
                <w:rFonts w:ascii="Arial Narrow" w:eastAsia="Cambria" w:hAnsi="Arial Narrow" w:cs="Cambria"/>
                <w:color w:val="auto"/>
                <w:sz w:val="22"/>
                <w:szCs w:val="22"/>
                <w:lang w:val="en-US"/>
              </w:rPr>
              <w:t>(Specht et al, 2014; Sanyé-Mengual, 2015; Santo et al., 2016).</w:t>
            </w:r>
          </w:p>
          <w:p w14:paraId="3971D132" w14:textId="63DBDFE7" w:rsidR="0044172E" w:rsidRPr="007F74AC" w:rsidRDefault="0044172E" w:rsidP="0044172E">
            <w:pPr>
              <w:pStyle w:val="Stiletabella2"/>
              <w:tabs>
                <w:tab w:val="left" w:pos="720"/>
                <w:tab w:val="left" w:pos="1440"/>
                <w:tab w:val="left" w:pos="2160"/>
                <w:tab w:val="left" w:pos="2880"/>
                <w:tab w:val="left" w:pos="3600"/>
              </w:tabs>
              <w:ind w:left="142" w:hanging="142"/>
              <w:contextualSpacing/>
              <w:rPr>
                <w:rFonts w:ascii="Arial Narrow" w:hAnsi="Arial Narrow"/>
                <w:sz w:val="22"/>
                <w:szCs w:val="22"/>
                <w:lang w:val="en-US"/>
              </w:rPr>
            </w:pPr>
            <w:r w:rsidRPr="007F74AC">
              <w:rPr>
                <w:rFonts w:ascii="Arial Narrow" w:hAnsi="Arial Narrow"/>
                <w:sz w:val="22"/>
                <w:szCs w:val="22"/>
                <w:lang w:val="en-US"/>
              </w:rPr>
              <w:t xml:space="preserve">Implementation of buildings’ energy efficiency in cooling and heating processes, exchanging resources </w:t>
            </w:r>
            <w:r w:rsidRPr="007F74AC">
              <w:rPr>
                <w:rFonts w:ascii="Arial Narrow" w:hAnsi="Arial Narrow"/>
                <w:color w:val="auto"/>
                <w:sz w:val="22"/>
                <w:szCs w:val="22"/>
                <w:lang w:val="en-US"/>
              </w:rPr>
              <w:t>(</w:t>
            </w:r>
            <w:r w:rsidRPr="007F74AC">
              <w:rPr>
                <w:rFonts w:ascii="Arial Narrow" w:eastAsia="Cambria" w:hAnsi="Arial Narrow" w:cs="Cambria"/>
                <w:color w:val="auto"/>
                <w:sz w:val="22"/>
                <w:szCs w:val="22"/>
                <w:lang w:val="en-US"/>
              </w:rPr>
              <w:t>Specht et al, 2014; Thomaier et al., 2014; Santo et al., 2016)</w:t>
            </w:r>
            <w:r w:rsidRPr="007F74AC">
              <w:rPr>
                <w:rFonts w:ascii="Arial Narrow" w:hAnsi="Arial Narrow"/>
                <w:color w:val="auto"/>
                <w:sz w:val="22"/>
                <w:szCs w:val="22"/>
                <w:lang w:val="en-US"/>
              </w:rPr>
              <w:t>.</w:t>
            </w:r>
          </w:p>
        </w:tc>
        <w:tc>
          <w:tcPr>
            <w:tcW w:w="4324" w:type="dxa"/>
            <w:tcBorders>
              <w:top w:val="single" w:sz="6" w:space="0" w:color="auto"/>
            </w:tcBorders>
            <w:shd w:val="clear" w:color="auto" w:fill="D9E2F3" w:themeFill="accent1" w:themeFillTint="33"/>
          </w:tcPr>
          <w:p w14:paraId="0A9E42C1" w14:textId="77777777" w:rsidR="0044172E" w:rsidRPr="007F74AC" w:rsidRDefault="0044172E" w:rsidP="0044172E">
            <w:pPr>
              <w:pStyle w:val="Stiletabella2"/>
              <w:tabs>
                <w:tab w:val="left" w:pos="720"/>
                <w:tab w:val="left" w:pos="1440"/>
                <w:tab w:val="left" w:pos="2160"/>
                <w:tab w:val="left" w:pos="2880"/>
                <w:tab w:val="left" w:pos="3600"/>
              </w:tabs>
              <w:ind w:left="72" w:hanging="72"/>
              <w:contextualSpacing/>
              <w:rPr>
                <w:rFonts w:ascii="Arial Narrow" w:hAnsi="Arial Narrow"/>
                <w:sz w:val="22"/>
                <w:szCs w:val="22"/>
                <w:lang w:val="en-US"/>
              </w:rPr>
            </w:pPr>
            <w:r w:rsidRPr="007F74AC">
              <w:rPr>
                <w:rFonts w:ascii="Arial Narrow" w:hAnsi="Arial Narrow"/>
                <w:sz w:val="22"/>
                <w:szCs w:val="22"/>
                <w:lang w:val="en-US"/>
              </w:rPr>
              <w:t xml:space="preserve">Transport foot-print is just a small percentage of current food system footprint. Reducing the food-mile might not result in actual gain in terms of GHG emissions </w:t>
            </w:r>
            <w:r w:rsidRPr="007F74AC">
              <w:rPr>
                <w:rFonts w:ascii="Arial Narrow" w:eastAsia="Cambria" w:hAnsi="Arial Narrow" w:cs="Cambria"/>
                <w:color w:val="auto"/>
                <w:sz w:val="22"/>
                <w:szCs w:val="22"/>
                <w:lang w:val="en-US"/>
              </w:rPr>
              <w:t>(Weber and Matthews, 2008; Specht et al, 2014; Santo et al., 2016).</w:t>
            </w:r>
          </w:p>
          <w:p w14:paraId="7473A041" w14:textId="77777777" w:rsidR="0044172E" w:rsidRPr="007F74AC" w:rsidRDefault="0044172E" w:rsidP="0044172E">
            <w:pPr>
              <w:pStyle w:val="Stiletabella2"/>
              <w:tabs>
                <w:tab w:val="left" w:pos="720"/>
                <w:tab w:val="left" w:pos="1440"/>
                <w:tab w:val="left" w:pos="2160"/>
                <w:tab w:val="left" w:pos="2880"/>
                <w:tab w:val="left" w:pos="3600"/>
              </w:tabs>
              <w:ind w:left="72" w:hanging="72"/>
              <w:contextualSpacing/>
              <w:rPr>
                <w:rFonts w:ascii="Arial Narrow" w:hAnsi="Arial Narrow"/>
                <w:sz w:val="22"/>
                <w:szCs w:val="22"/>
                <w:lang w:val="en-US"/>
              </w:rPr>
            </w:pPr>
            <w:r w:rsidRPr="007F74AC">
              <w:rPr>
                <w:rFonts w:ascii="Arial Narrow" w:hAnsi="Arial Narrow"/>
                <w:sz w:val="22"/>
                <w:szCs w:val="22"/>
                <w:lang w:val="en-US"/>
              </w:rPr>
              <w:t xml:space="preserve">Small-scale fragmented </w:t>
            </w:r>
            <w:proofErr w:type="spellStart"/>
            <w:r w:rsidRPr="007F74AC">
              <w:rPr>
                <w:rFonts w:ascii="Arial Narrow" w:hAnsi="Arial Narrow"/>
                <w:sz w:val="22"/>
                <w:szCs w:val="22"/>
                <w:lang w:val="en-US"/>
              </w:rPr>
              <w:t>ZFarming</w:t>
            </w:r>
            <w:proofErr w:type="spellEnd"/>
            <w:r w:rsidRPr="007F74AC">
              <w:rPr>
                <w:rFonts w:ascii="Arial Narrow" w:hAnsi="Arial Narrow"/>
                <w:sz w:val="22"/>
                <w:szCs w:val="22"/>
                <w:lang w:val="en-US"/>
              </w:rPr>
              <w:t xml:space="preserve"> projects might not be efficient in terms of resource consumption </w:t>
            </w:r>
            <w:r w:rsidRPr="007F74AC">
              <w:rPr>
                <w:rFonts w:ascii="Arial Narrow" w:eastAsia="Cambria" w:hAnsi="Arial Narrow" w:cs="Cambria"/>
                <w:color w:val="auto"/>
                <w:sz w:val="22"/>
                <w:szCs w:val="22"/>
                <w:lang w:val="en-US"/>
              </w:rPr>
              <w:t>(Santo et al., 2016)</w:t>
            </w:r>
            <w:r w:rsidRPr="007F74AC">
              <w:rPr>
                <w:rFonts w:ascii="Arial Narrow" w:hAnsi="Arial Narrow"/>
                <w:color w:val="auto"/>
                <w:sz w:val="22"/>
                <w:szCs w:val="22"/>
                <w:lang w:val="en-US"/>
              </w:rPr>
              <w:t>.</w:t>
            </w:r>
          </w:p>
          <w:p w14:paraId="3971D133" w14:textId="1F92F55E" w:rsidR="0044172E" w:rsidRPr="007F74AC" w:rsidRDefault="0044172E" w:rsidP="0044172E">
            <w:pPr>
              <w:pStyle w:val="Stiletabella2"/>
              <w:tabs>
                <w:tab w:val="left" w:pos="720"/>
                <w:tab w:val="left" w:pos="1440"/>
                <w:tab w:val="left" w:pos="2160"/>
                <w:tab w:val="left" w:pos="2880"/>
                <w:tab w:val="left" w:pos="3600"/>
              </w:tabs>
              <w:ind w:left="72" w:hanging="72"/>
              <w:contextualSpacing/>
              <w:rPr>
                <w:rFonts w:ascii="Arial Narrow" w:hAnsi="Arial Narrow"/>
                <w:sz w:val="22"/>
                <w:szCs w:val="22"/>
                <w:lang w:val="en-US"/>
              </w:rPr>
            </w:pPr>
            <w:r w:rsidRPr="007F74AC">
              <w:rPr>
                <w:rFonts w:ascii="Arial Narrow" w:hAnsi="Arial Narrow"/>
                <w:sz w:val="22"/>
                <w:szCs w:val="22"/>
                <w:lang w:val="en-US"/>
              </w:rPr>
              <w:t xml:space="preserve">Intensive indoor farming and soilless systems require high energy inputs to operate. Appropriate crops and methods must be chosen to avoid an increase in GHG emissions for advanced urban production </w:t>
            </w:r>
            <w:r w:rsidRPr="007F74AC">
              <w:rPr>
                <w:rFonts w:ascii="Arial Narrow" w:eastAsia="Cambria" w:hAnsi="Arial Narrow" w:cs="Cambria"/>
                <w:color w:val="auto"/>
                <w:sz w:val="22"/>
                <w:szCs w:val="22"/>
                <w:lang w:val="en-US"/>
              </w:rPr>
              <w:t>(Specht et al, 2014; Sanyé-Mengual, 2015; Santo et al., 2016)</w:t>
            </w:r>
            <w:r w:rsidRPr="007F74AC">
              <w:rPr>
                <w:rFonts w:ascii="Arial Narrow" w:hAnsi="Arial Narrow"/>
                <w:color w:val="auto"/>
                <w:sz w:val="22"/>
                <w:szCs w:val="22"/>
                <w:lang w:val="en-US"/>
              </w:rPr>
              <w:t>.</w:t>
            </w:r>
          </w:p>
        </w:tc>
      </w:tr>
    </w:tbl>
    <w:p w14:paraId="174EB2B0" w14:textId="77777777" w:rsidR="000E4212" w:rsidRPr="00315194" w:rsidRDefault="000E4212" w:rsidP="00046407">
      <w:pPr>
        <w:spacing w:before="240" w:after="0" w:line="240" w:lineRule="auto"/>
        <w:contextualSpacing/>
        <w:jc w:val="both"/>
        <w:rPr>
          <w:rFonts w:ascii="Cambria" w:eastAsia="Times New Roman" w:hAnsi="Cambria" w:cs="Times New Roman"/>
          <w:lang w:val="en-US"/>
          <w14:textOutline w14:w="0" w14:cap="flat" w14:cmpd="sng" w14:algn="ctr">
            <w14:noFill/>
            <w14:prstDash w14:val="solid"/>
            <w14:bevel/>
          </w14:textOutline>
        </w:rPr>
      </w:pPr>
    </w:p>
    <w:p w14:paraId="3971D148" w14:textId="7A472B22" w:rsidR="00F01EEF" w:rsidRPr="00046407" w:rsidRDefault="00163198" w:rsidP="00046407">
      <w:pPr>
        <w:spacing w:before="240" w:after="0" w:line="240" w:lineRule="auto"/>
        <w:contextualSpacing/>
        <w:jc w:val="both"/>
        <w:rPr>
          <w:rFonts w:ascii="Cambria" w:eastAsia="Times New Roman" w:hAnsi="Cambria" w:cs="Times New Roman"/>
          <w:b/>
          <w:bCs/>
          <w:lang w:val="en-US"/>
        </w:rPr>
      </w:pPr>
      <w:r w:rsidRPr="00046407">
        <w:rPr>
          <w:rFonts w:ascii="Cambria" w:hAnsi="Cambria"/>
          <w:b/>
          <w:bCs/>
          <w:lang w:val="en-US"/>
        </w:rPr>
        <w:t>CONCLUSIONS</w:t>
      </w:r>
    </w:p>
    <w:p w14:paraId="3D48AF62" w14:textId="587CDFCD" w:rsidR="00D42069" w:rsidRPr="00315194" w:rsidRDefault="00163198" w:rsidP="00D42069">
      <w:pPr>
        <w:spacing w:before="240" w:after="0" w:line="240" w:lineRule="auto"/>
        <w:ind w:firstLine="567"/>
        <w:contextualSpacing/>
        <w:jc w:val="both"/>
        <w:rPr>
          <w:rFonts w:ascii="Cambria" w:eastAsia="Times New Roman" w:hAnsi="Cambria" w:cs="Times New Roman"/>
          <w:lang w:val="en-US"/>
        </w:rPr>
      </w:pPr>
      <w:r w:rsidRPr="00315194">
        <w:rPr>
          <w:rFonts w:ascii="Cambria" w:hAnsi="Cambria"/>
          <w:lang w:val="en-US"/>
        </w:rPr>
        <w:t>The new urbanization trends and the need for a sustainable transition of our contemporary food system may be the spark for the implementation of a new sustainable, environmental and people-friendly urban food system</w:t>
      </w:r>
      <w:r w:rsidR="00E506D1" w:rsidRPr="00315194">
        <w:rPr>
          <w:rFonts w:ascii="Cambria" w:hAnsi="Cambria"/>
          <w:lang w:val="en-US"/>
        </w:rPr>
        <w:t>,</w:t>
      </w:r>
      <w:r w:rsidRPr="00315194">
        <w:rPr>
          <w:rFonts w:ascii="Cambria" w:hAnsi="Cambria"/>
          <w:lang w:val="en-US"/>
        </w:rPr>
        <w:t xml:space="preserve"> where the agricultural production is fully integrated within the architectural landscape promoting a novel circular food economy. When an urban food system goes circular it supports more resource-efficient and regenerative agricultural practices like precision and organic farming, </w:t>
      </w:r>
      <w:r w:rsidR="00E506D1" w:rsidRPr="00315194">
        <w:rPr>
          <w:rFonts w:ascii="Cambria" w:hAnsi="Cambria"/>
          <w:lang w:val="en-US"/>
        </w:rPr>
        <w:t xml:space="preserve">as well as </w:t>
      </w:r>
      <w:r w:rsidRPr="00315194">
        <w:rPr>
          <w:rFonts w:ascii="Cambria" w:hAnsi="Cambria"/>
          <w:lang w:val="en-US"/>
        </w:rPr>
        <w:t>low and high tech protected cultivations. Here, the use of all by-products and waste streams along the whole food supply chain is recirculated</w:t>
      </w:r>
      <w:r w:rsidR="00E506D1" w:rsidRPr="00315194">
        <w:rPr>
          <w:rFonts w:ascii="Cambria" w:hAnsi="Cambria"/>
          <w:lang w:val="en-US"/>
        </w:rPr>
        <w:t xml:space="preserve">, making </w:t>
      </w:r>
      <w:r w:rsidRPr="00315194">
        <w:rPr>
          <w:rFonts w:ascii="Cambria" w:hAnsi="Cambria"/>
          <w:lang w:val="en-US"/>
        </w:rPr>
        <w:t>wastes and inputs collide</w:t>
      </w:r>
      <w:r w:rsidR="00E506D1" w:rsidRPr="00315194">
        <w:rPr>
          <w:rFonts w:ascii="Cambria" w:hAnsi="Cambria"/>
          <w:lang w:val="en-US"/>
        </w:rPr>
        <w:t xml:space="preserve"> and </w:t>
      </w:r>
      <w:r w:rsidRPr="00315194">
        <w:rPr>
          <w:rFonts w:ascii="Cambria" w:hAnsi="Cambria"/>
          <w:lang w:val="en-US"/>
        </w:rPr>
        <w:t>limiting the use and exhaustion of resources like soil, energy and fertilizer</w:t>
      </w:r>
      <w:r w:rsidR="00E506D1" w:rsidRPr="00315194">
        <w:rPr>
          <w:rFonts w:ascii="Cambria" w:hAnsi="Cambria"/>
          <w:lang w:val="en-US"/>
        </w:rPr>
        <w:t>s</w:t>
      </w:r>
      <w:r w:rsidRPr="00D42069">
        <w:rPr>
          <w:rFonts w:ascii="Cambria" w:hAnsi="Cambria"/>
          <w:color w:val="auto"/>
          <w:lang w:val="en-US"/>
        </w:rPr>
        <w:t xml:space="preserve">. In </w:t>
      </w:r>
      <w:r w:rsidRPr="00315194">
        <w:rPr>
          <w:rFonts w:ascii="Cambria" w:hAnsi="Cambria"/>
          <w:lang w:val="en-US"/>
        </w:rPr>
        <w:t>urban areas, circular food strategies can be connected with the built environment and the principles of circular construction, thus promoting sustainable design principles such as modular construction and the use of building materials within high value closed loops for efficient assembly</w:t>
      </w:r>
      <w:r w:rsidR="00E506D1" w:rsidRPr="00315194">
        <w:rPr>
          <w:rFonts w:ascii="Cambria" w:hAnsi="Cambria"/>
          <w:lang w:val="en-US"/>
        </w:rPr>
        <w:t xml:space="preserve"> and </w:t>
      </w:r>
      <w:r w:rsidRPr="00315194">
        <w:rPr>
          <w:rFonts w:ascii="Cambria" w:hAnsi="Cambria"/>
          <w:lang w:val="en-US"/>
        </w:rPr>
        <w:t xml:space="preserve">disassembly techniques. Hence, adopting circular urban horticulture in BIA projects is an opportunity to connect all the different spheres of sustainability with the urban living. In this context, BIA initiatives are the means to spread circular horticulture in cities, intended as a circular economy of food that consciously emulates natural systems of regeneration so that waste does not exist, but instead works as input for another cycle </w:t>
      </w:r>
      <w:r w:rsidR="1E8C672F" w:rsidRPr="00315194">
        <w:rPr>
          <w:rFonts w:ascii="Cambria" w:hAnsi="Cambria"/>
          <w:lang w:val="en-US"/>
        </w:rPr>
        <w:t>(Ellen MacArthur Foundation, 2019)</w:t>
      </w:r>
      <w:r w:rsidRPr="00315194">
        <w:rPr>
          <w:rFonts w:ascii="Cambria" w:hAnsi="Cambria"/>
          <w:lang w:val="en-US"/>
        </w:rPr>
        <w:t xml:space="preserve">. Today, thanks to </w:t>
      </w:r>
      <w:r w:rsidR="00D42069">
        <w:rPr>
          <w:rFonts w:ascii="Cambria" w:hAnsi="Cambria"/>
          <w:lang w:val="en-US"/>
        </w:rPr>
        <w:t>hydroponics</w:t>
      </w:r>
      <w:r w:rsidRPr="00315194">
        <w:rPr>
          <w:rFonts w:ascii="Cambria" w:hAnsi="Cambria"/>
          <w:lang w:val="en-US"/>
        </w:rPr>
        <w:t>, it is possible to fully integrate greenhouses and plant factories in buildings, generating new synergistic relationships between the two entities</w:t>
      </w:r>
      <w:r w:rsidR="00D42069">
        <w:rPr>
          <w:rFonts w:ascii="Cambria" w:hAnsi="Cambria"/>
          <w:lang w:val="en-US"/>
        </w:rPr>
        <w:t>.</w:t>
      </w:r>
      <w:r w:rsidRPr="00315194">
        <w:rPr>
          <w:rFonts w:ascii="Cambria" w:hAnsi="Cambria"/>
          <w:lang w:val="en-US"/>
        </w:rPr>
        <w:t xml:space="preserve"> </w:t>
      </w:r>
      <w:r w:rsidR="00D42069">
        <w:rPr>
          <w:rFonts w:ascii="Cambria" w:hAnsi="Cambria"/>
          <w:lang w:val="en-US"/>
        </w:rPr>
        <w:t>Indeed, t</w:t>
      </w:r>
      <w:r w:rsidR="00D42069" w:rsidRPr="00315194">
        <w:rPr>
          <w:rFonts w:ascii="Cambria" w:hAnsi="Cambria"/>
          <w:lang w:val="en-US"/>
        </w:rPr>
        <w:t>he target in BIA cultivation systems should always be to save resources and energy and to develop zero emission. Nonetheless, it must be taken into consideration that the degree of circularity and sustainability of BIA projects highly depends on the quality of the inputs (</w:t>
      </w:r>
      <w:proofErr w:type="spellStart"/>
      <w:r w:rsidR="00D42069" w:rsidRPr="00315194">
        <w:rPr>
          <w:rFonts w:ascii="Cambria" w:hAnsi="Cambria"/>
          <w:lang w:val="en-US"/>
        </w:rPr>
        <w:t>Sabeh</w:t>
      </w:r>
      <w:proofErr w:type="spellEnd"/>
      <w:r w:rsidR="00D42069" w:rsidRPr="00315194">
        <w:rPr>
          <w:rFonts w:ascii="Cambria" w:hAnsi="Cambria"/>
          <w:lang w:val="en-US"/>
        </w:rPr>
        <w:t xml:space="preserve">, 2016) and the technical knowledge possessed by the practitioners. For instance, in hydroponic production, the quality and quantity of water flowing through the </w:t>
      </w:r>
      <w:r w:rsidR="00D42069" w:rsidRPr="00315194">
        <w:rPr>
          <w:rFonts w:ascii="Cambria" w:hAnsi="Cambria"/>
          <w:lang w:val="en-US"/>
        </w:rPr>
        <w:lastRenderedPageBreak/>
        <w:t xml:space="preserve">system is fundamental to determine and design the circular production system. In this scenario, designing the right treatments for all the resources recovered from the buildings is crucial to maintain a </w:t>
      </w:r>
      <w:proofErr w:type="gramStart"/>
      <w:r w:rsidR="00D42069" w:rsidRPr="00315194">
        <w:rPr>
          <w:rFonts w:ascii="Cambria" w:hAnsi="Cambria"/>
          <w:lang w:val="en-US"/>
        </w:rPr>
        <w:t>high quality</w:t>
      </w:r>
      <w:proofErr w:type="gramEnd"/>
      <w:r w:rsidR="00D42069" w:rsidRPr="00315194">
        <w:rPr>
          <w:rFonts w:ascii="Cambria" w:hAnsi="Cambria"/>
          <w:lang w:val="en-US"/>
        </w:rPr>
        <w:t xml:space="preserve"> production in building-integrated agriculture developments</w:t>
      </w:r>
      <w:r w:rsidR="00D42069">
        <w:rPr>
          <w:rFonts w:ascii="Cambria" w:hAnsi="Cambria"/>
          <w:lang w:val="en-US"/>
        </w:rPr>
        <w:t>.</w:t>
      </w:r>
    </w:p>
    <w:p w14:paraId="3971D14D" w14:textId="77777777" w:rsidR="00F01EEF" w:rsidRPr="00315194" w:rsidRDefault="00F01EEF" w:rsidP="00D42069">
      <w:pPr>
        <w:spacing w:after="0" w:line="240" w:lineRule="auto"/>
        <w:contextualSpacing/>
        <w:jc w:val="both"/>
        <w:rPr>
          <w:rFonts w:ascii="Cambria" w:eastAsia="Times New Roman" w:hAnsi="Cambria" w:cs="Times New Roman"/>
          <w:lang w:val="en-US"/>
        </w:rPr>
      </w:pPr>
    </w:p>
    <w:p w14:paraId="3971D155" w14:textId="0D51E562" w:rsidR="00F01EEF" w:rsidRPr="00315194" w:rsidRDefault="00163198" w:rsidP="00D42069">
      <w:pPr>
        <w:spacing w:after="0" w:line="240" w:lineRule="auto"/>
        <w:contextualSpacing/>
        <w:jc w:val="both"/>
        <w:rPr>
          <w:rFonts w:ascii="Cambria" w:eastAsia="Times New Roman" w:hAnsi="Cambria" w:cs="Times New Roman"/>
          <w:lang w:val="en-US"/>
        </w:rPr>
      </w:pPr>
      <w:r w:rsidRPr="00046407">
        <w:rPr>
          <w:rFonts w:ascii="Cambria" w:hAnsi="Cambria"/>
          <w:b/>
          <w:lang w:val="en-US"/>
        </w:rPr>
        <w:t>Literature Cited</w:t>
      </w:r>
    </w:p>
    <w:p w14:paraId="5931ACF5" w14:textId="77777777" w:rsidR="00EF7180" w:rsidRPr="00046407" w:rsidRDefault="00EF7180" w:rsidP="00D42069">
      <w:pPr>
        <w:spacing w:line="240" w:lineRule="auto"/>
        <w:contextualSpacing/>
        <w:jc w:val="both"/>
        <w:rPr>
          <w:rFonts w:ascii="Cambria" w:hAnsi="Cambria"/>
          <w:sz w:val="18"/>
          <w:szCs w:val="18"/>
          <w:lang w:val="en-US"/>
        </w:rPr>
      </w:pPr>
    </w:p>
    <w:p w14:paraId="61C520EC"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 xml:space="preserve">Ackerman, K. (2011). The potential for urban agriculture in </w:t>
      </w:r>
      <w:proofErr w:type="spellStart"/>
      <w:r w:rsidRPr="007A0835">
        <w:rPr>
          <w:rFonts w:ascii="Cambria" w:hAnsi="Cambria"/>
          <w:sz w:val="18"/>
          <w:szCs w:val="18"/>
          <w:lang w:val="en-US"/>
          <w14:textOutline w14:w="0" w14:cap="flat" w14:cmpd="sng" w14:algn="ctr">
            <w14:noFill/>
            <w14:prstDash w14:val="solid"/>
            <w14:bevel/>
          </w14:textOutline>
        </w:rPr>
        <w:t>NewYorkCity</w:t>
      </w:r>
      <w:proofErr w:type="spellEnd"/>
      <w:r w:rsidRPr="007A0835">
        <w:rPr>
          <w:rFonts w:ascii="Cambria" w:hAnsi="Cambria"/>
          <w:sz w:val="18"/>
          <w:szCs w:val="18"/>
          <w:lang w:val="en-US"/>
          <w14:textOutline w14:w="0" w14:cap="flat" w14:cmpd="sng" w14:algn="ctr">
            <w14:noFill/>
            <w14:prstDash w14:val="solid"/>
            <w14:bevel/>
          </w14:textOutline>
        </w:rPr>
        <w:t>: Growing capacity, food security, and green infrastructure. New York: Urban Design Lab, Earth Institute, Columbia University.</w:t>
      </w:r>
    </w:p>
    <w:p w14:paraId="628CE97B" w14:textId="77777777" w:rsidR="00EF7180" w:rsidRPr="00525761" w:rsidRDefault="00EF7180" w:rsidP="00406AE4">
      <w:pPr>
        <w:spacing w:before="120" w:after="0" w:line="240" w:lineRule="auto"/>
        <w:jc w:val="both"/>
        <w:rPr>
          <w:rFonts w:ascii="Cambria" w:hAnsi="Cambria"/>
          <w:sz w:val="18"/>
          <w:szCs w:val="18"/>
          <w:lang w:val="it-IT"/>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Al-</w:t>
      </w:r>
      <w:proofErr w:type="spellStart"/>
      <w:r w:rsidRPr="007A0835">
        <w:rPr>
          <w:rFonts w:ascii="Cambria" w:hAnsi="Cambria"/>
          <w:sz w:val="18"/>
          <w:szCs w:val="18"/>
          <w:lang w:val="en-US"/>
          <w14:textOutline w14:w="0" w14:cap="flat" w14:cmpd="sng" w14:algn="ctr">
            <w14:noFill/>
            <w14:prstDash w14:val="solid"/>
            <w14:bevel/>
          </w14:textOutline>
        </w:rPr>
        <w:t>Kodmany</w:t>
      </w:r>
      <w:proofErr w:type="spellEnd"/>
      <w:r w:rsidRPr="007A0835">
        <w:rPr>
          <w:rFonts w:ascii="Cambria" w:hAnsi="Cambria"/>
          <w:sz w:val="18"/>
          <w:szCs w:val="18"/>
          <w:lang w:val="en-US"/>
          <w14:textOutline w14:w="0" w14:cap="flat" w14:cmpd="sng" w14:algn="ctr">
            <w14:noFill/>
            <w14:prstDash w14:val="solid"/>
            <w14:bevel/>
          </w14:textOutline>
        </w:rPr>
        <w:t xml:space="preserve">, K. (2018). The Vertical Farm: A Review of Developments and Implications for the Vertical City. </w:t>
      </w:r>
      <w:proofErr w:type="spellStart"/>
      <w:r w:rsidRPr="00525761">
        <w:rPr>
          <w:rFonts w:ascii="Cambria" w:hAnsi="Cambria"/>
          <w:sz w:val="18"/>
          <w:szCs w:val="18"/>
          <w:lang w:val="it-IT"/>
          <w14:textOutline w14:w="0" w14:cap="flat" w14:cmpd="sng" w14:algn="ctr">
            <w14:noFill/>
            <w14:prstDash w14:val="solid"/>
            <w14:bevel/>
          </w14:textOutline>
        </w:rPr>
        <w:t>Buildings</w:t>
      </w:r>
      <w:proofErr w:type="spellEnd"/>
      <w:r w:rsidRPr="00525761">
        <w:rPr>
          <w:rFonts w:ascii="Cambria" w:hAnsi="Cambria"/>
          <w:sz w:val="18"/>
          <w:szCs w:val="18"/>
          <w:lang w:val="it-IT"/>
          <w14:textOutline w14:w="0" w14:cap="flat" w14:cmpd="sng" w14:algn="ctr">
            <w14:noFill/>
            <w14:prstDash w14:val="solid"/>
            <w14:bevel/>
          </w14:textOutline>
        </w:rPr>
        <w:t>, 8, 24.</w:t>
      </w:r>
    </w:p>
    <w:p w14:paraId="5AFB3229" w14:textId="1F0F4AB3" w:rsidR="00EF7180"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EF7180">
        <w:rPr>
          <w:rFonts w:ascii="Cambria" w:hAnsi="Cambria"/>
          <w:sz w:val="18"/>
          <w:szCs w:val="18"/>
          <w:lang w:val="it-IT"/>
          <w14:textOutline w14:w="0" w14:cap="flat" w14:cmpd="sng" w14:algn="ctr">
            <w14:noFill/>
            <w14:prstDash w14:val="solid"/>
            <w14:bevel/>
          </w14:textOutline>
        </w:rPr>
        <w:t xml:space="preserve">Appolloni, E., Vitali, C., Petricciuolo, E., Minelli, G., Cleri, A., Cleri, E., ... </w:t>
      </w:r>
      <w:r w:rsidRPr="007A0835">
        <w:rPr>
          <w:rFonts w:ascii="Cambria" w:hAnsi="Cambria"/>
          <w:sz w:val="18"/>
          <w:szCs w:val="18"/>
          <w:lang w:val="en-US"/>
          <w14:textOutline w14:w="0" w14:cap="flat" w14:cmpd="sng" w14:algn="ctr">
            <w14:noFill/>
            <w14:prstDash w14:val="solid"/>
            <w14:bevel/>
          </w14:textOutline>
        </w:rPr>
        <w:t xml:space="preserve">&amp; Orsini, F. (2019, December). </w:t>
      </w:r>
      <w:proofErr w:type="spellStart"/>
      <w:r w:rsidRPr="007A0835">
        <w:rPr>
          <w:rFonts w:ascii="Cambria" w:hAnsi="Cambria"/>
          <w:sz w:val="18"/>
          <w:szCs w:val="18"/>
          <w:lang w:val="en-US"/>
          <w14:textOutline w14:w="0" w14:cap="flat" w14:cmpd="sng" w14:algn="ctr">
            <w14:noFill/>
            <w14:prstDash w14:val="solid"/>
            <w14:bevel/>
          </w14:textOutline>
        </w:rPr>
        <w:t>DolomiNet</w:t>
      </w:r>
      <w:proofErr w:type="spellEnd"/>
      <w:r w:rsidRPr="007A0835">
        <w:rPr>
          <w:rFonts w:ascii="Cambria" w:hAnsi="Cambria"/>
          <w:sz w:val="18"/>
          <w:szCs w:val="18"/>
          <w:lang w:val="en-US"/>
          <w14:textOutline w14:w="0" w14:cap="flat" w14:cmpd="sng" w14:algn="ctr">
            <w14:noFill/>
            <w14:prstDash w14:val="solid"/>
            <w14:bevel/>
          </w14:textOutline>
        </w:rPr>
        <w:t xml:space="preserve">: building a network of vertical farms in the heart of Italian Alps. In I International Symposium on Botanical Gardens and Landscapes 1298 (pp. 497-510). </w:t>
      </w:r>
    </w:p>
    <w:p w14:paraId="28B168BB" w14:textId="7958671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EF7180">
        <w:rPr>
          <w:rFonts w:ascii="Cambria" w:hAnsi="Cambria"/>
          <w:sz w:val="18"/>
          <w:szCs w:val="18"/>
          <w:lang w:val="it-IT"/>
          <w14:textOutline w14:w="0" w14:cap="flat" w14:cmpd="sng" w14:algn="ctr">
            <w14:noFill/>
            <w14:prstDash w14:val="solid"/>
            <w14:bevel/>
          </w14:textOutline>
        </w:rPr>
        <w:t xml:space="preserve">Appolloni, E., Orsini, F., Specht, K., Thomaier, S., Sanyé-Mengual, E., Pennisi, G., &amp; Gianquinto, G. (2021). </w:t>
      </w:r>
      <w:r w:rsidRPr="00EF7180">
        <w:rPr>
          <w:rFonts w:ascii="Cambria" w:hAnsi="Cambria"/>
          <w:sz w:val="18"/>
          <w:szCs w:val="18"/>
          <w:lang w:val="en-US"/>
          <w14:textOutline w14:w="0" w14:cap="flat" w14:cmpd="sng" w14:algn="ctr">
            <w14:noFill/>
            <w14:prstDash w14:val="solid"/>
            <w14:bevel/>
          </w14:textOutline>
        </w:rPr>
        <w:t>The global rise of Urban Rooftop Agriculture: a review of worldwide cases. Journal of Cleaner Production, 126556.</w:t>
      </w:r>
    </w:p>
    <w:p w14:paraId="71C029EE"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 xml:space="preserve">Barthel, S., Parker, J., &amp; </w:t>
      </w:r>
      <w:proofErr w:type="spellStart"/>
      <w:r w:rsidRPr="007A0835">
        <w:rPr>
          <w:rFonts w:ascii="Cambria" w:hAnsi="Cambria"/>
          <w:sz w:val="18"/>
          <w:szCs w:val="18"/>
          <w:lang w:val="en-US"/>
          <w14:textOutline w14:w="0" w14:cap="flat" w14:cmpd="sng" w14:algn="ctr">
            <w14:noFill/>
            <w14:prstDash w14:val="solid"/>
            <w14:bevel/>
          </w14:textOutline>
        </w:rPr>
        <w:t>Ernstson</w:t>
      </w:r>
      <w:proofErr w:type="spellEnd"/>
      <w:r w:rsidRPr="007A0835">
        <w:rPr>
          <w:rFonts w:ascii="Cambria" w:hAnsi="Cambria"/>
          <w:sz w:val="18"/>
          <w:szCs w:val="18"/>
          <w:lang w:val="en-US"/>
          <w14:textOutline w14:w="0" w14:cap="flat" w14:cmpd="sng" w14:algn="ctr">
            <w14:noFill/>
            <w14:prstDash w14:val="solid"/>
            <w14:bevel/>
          </w14:textOutline>
        </w:rPr>
        <w:t>, H. (2013). Food and green space in cities: A resilience lens on gardens and urban environmental movements. Urban Studies.</w:t>
      </w:r>
    </w:p>
    <w:p w14:paraId="741583E6"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 xml:space="preserve">Blyth, A., </w:t>
      </w:r>
      <w:proofErr w:type="spellStart"/>
      <w:r w:rsidRPr="007A0835">
        <w:rPr>
          <w:rFonts w:ascii="Cambria" w:hAnsi="Cambria"/>
          <w:sz w:val="18"/>
          <w:szCs w:val="18"/>
          <w:lang w:val="en-US"/>
          <w14:textOutline w14:w="0" w14:cap="flat" w14:cmpd="sng" w14:algn="ctr">
            <w14:noFill/>
            <w14:prstDash w14:val="solid"/>
            <w14:bevel/>
          </w14:textOutline>
        </w:rPr>
        <w:t>Menagh</w:t>
      </w:r>
      <w:proofErr w:type="spellEnd"/>
      <w:r w:rsidRPr="007A0835">
        <w:rPr>
          <w:rFonts w:ascii="Cambria" w:hAnsi="Cambria"/>
          <w:sz w:val="18"/>
          <w:szCs w:val="18"/>
          <w:lang w:val="en-US"/>
          <w14:textOutline w14:w="0" w14:cap="flat" w14:cmpd="sng" w14:algn="ctr">
            <w14:noFill/>
            <w14:prstDash w14:val="solid"/>
            <w14:bevel/>
          </w14:textOutline>
        </w:rPr>
        <w:t>, L. (2006). From rooftop to restaurant. A university cafe fed by a rooftop garden, 50–54. Fall: The Canadian Organic Grower.</w:t>
      </w:r>
    </w:p>
    <w:p w14:paraId="7871F2E1"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Bohn, K., Viljoen, A. (2011). The edible city: Envisioning the continuous productive urban landscape (CPUL). Field Journal 4 (1): 149–161.</w:t>
      </w:r>
    </w:p>
    <w:p w14:paraId="467FAA55"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proofErr w:type="spellStart"/>
      <w:r w:rsidRPr="007A0835">
        <w:rPr>
          <w:rFonts w:ascii="Cambria" w:hAnsi="Cambria"/>
          <w:sz w:val="18"/>
          <w:szCs w:val="18"/>
          <w:lang w:val="en-US"/>
          <w14:textOutline w14:w="0" w14:cap="flat" w14:cmpd="sng" w14:algn="ctr">
            <w14:noFill/>
            <w14:prstDash w14:val="solid"/>
            <w14:bevel/>
          </w14:textOutline>
        </w:rPr>
        <w:t>Caplow</w:t>
      </w:r>
      <w:proofErr w:type="spellEnd"/>
      <w:r w:rsidRPr="007A0835">
        <w:rPr>
          <w:rFonts w:ascii="Cambria" w:hAnsi="Cambria"/>
          <w:sz w:val="18"/>
          <w:szCs w:val="18"/>
          <w:lang w:val="en-US"/>
          <w14:textOutline w14:w="0" w14:cap="flat" w14:cmpd="sng" w14:algn="ctr">
            <w14:noFill/>
            <w14:prstDash w14:val="solid"/>
            <w14:bevel/>
          </w14:textOutline>
        </w:rPr>
        <w:t xml:space="preserve">, T. (2009). Building integrated agriculture: Philosophy and practice. In Urban futures 2030: Urban development and urban lifestyles of the future, ed. Heinrich </w:t>
      </w:r>
      <w:proofErr w:type="spellStart"/>
      <w:r w:rsidRPr="007A0835">
        <w:rPr>
          <w:rFonts w:ascii="Cambria" w:hAnsi="Cambria"/>
          <w:sz w:val="18"/>
          <w:szCs w:val="18"/>
          <w:lang w:val="en-US"/>
          <w14:textOutline w14:w="0" w14:cap="flat" w14:cmpd="sng" w14:algn="ctr">
            <w14:noFill/>
            <w14:prstDash w14:val="solid"/>
            <w14:bevel/>
          </w14:textOutline>
        </w:rPr>
        <w:t>Bo¨ll</w:t>
      </w:r>
      <w:proofErr w:type="spellEnd"/>
      <w:r w:rsidRPr="007A0835">
        <w:rPr>
          <w:rFonts w:ascii="Cambria" w:hAnsi="Cambria"/>
          <w:sz w:val="18"/>
          <w:szCs w:val="18"/>
          <w:lang w:val="en-US"/>
          <w14:textOutline w14:w="0" w14:cap="flat" w14:cmpd="sng" w14:algn="ctr">
            <w14:noFill/>
            <w14:prstDash w14:val="solid"/>
            <w14:bevel/>
          </w14:textOutline>
        </w:rPr>
        <w:t xml:space="preserve"> Foundation, 54–58. Berlin, Germany: </w:t>
      </w:r>
      <w:proofErr w:type="spellStart"/>
      <w:r w:rsidRPr="007A0835">
        <w:rPr>
          <w:rFonts w:ascii="Cambria" w:hAnsi="Cambria"/>
          <w:sz w:val="18"/>
          <w:szCs w:val="18"/>
          <w:lang w:val="en-US"/>
          <w14:textOutline w14:w="0" w14:cap="flat" w14:cmpd="sng" w14:algn="ctr">
            <w14:noFill/>
            <w14:prstDash w14:val="solid"/>
            <w14:bevel/>
          </w14:textOutline>
        </w:rPr>
        <w:t>Heinrich-Bo¨ll-Stiftung</w:t>
      </w:r>
      <w:proofErr w:type="spellEnd"/>
      <w:r w:rsidRPr="007A0835">
        <w:rPr>
          <w:rFonts w:ascii="Cambria" w:hAnsi="Cambria"/>
          <w:sz w:val="18"/>
          <w:szCs w:val="18"/>
          <w:lang w:val="en-US"/>
          <w14:textOutline w14:w="0" w14:cap="flat" w14:cmpd="sng" w14:algn="ctr">
            <w14:noFill/>
            <w14:prstDash w14:val="solid"/>
            <w14:bevel/>
          </w14:textOutline>
        </w:rPr>
        <w:t>.</w:t>
      </w:r>
    </w:p>
    <w:p w14:paraId="2AB65DD1"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proofErr w:type="spellStart"/>
      <w:r w:rsidRPr="007A0835">
        <w:rPr>
          <w:rFonts w:ascii="Cambria" w:hAnsi="Cambria"/>
          <w:sz w:val="18"/>
          <w:szCs w:val="18"/>
          <w:lang w:val="en-US"/>
          <w14:textOutline w14:w="0" w14:cap="flat" w14:cmpd="sng" w14:algn="ctr">
            <w14:noFill/>
            <w14:prstDash w14:val="solid"/>
            <w14:bevel/>
          </w14:textOutline>
        </w:rPr>
        <w:t>Cockrall</w:t>
      </w:r>
      <w:proofErr w:type="spellEnd"/>
      <w:r w:rsidRPr="007A0835">
        <w:rPr>
          <w:rFonts w:ascii="Cambria" w:hAnsi="Cambria"/>
          <w:sz w:val="18"/>
          <w:szCs w:val="18"/>
          <w:lang w:val="en-US"/>
          <w14:textOutline w14:w="0" w14:cap="flat" w14:cmpd="sng" w14:algn="ctr">
            <w14:noFill/>
            <w14:prstDash w14:val="solid"/>
            <w14:bevel/>
          </w14:textOutline>
        </w:rPr>
        <w:t>-King, J. (2012). Food and the City. (Prometheus book)</w:t>
      </w:r>
    </w:p>
    <w:p w14:paraId="3139D3B9" w14:textId="7721D5AA" w:rsidR="00EF7180"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Cohen, N., Reynolds, K., Sanghvi, R. (2012). Five borough farm: Seeding the future of urban agriculture in New York City. New York: Design Trust for Public Space.</w:t>
      </w:r>
    </w:p>
    <w:p w14:paraId="680ECF32" w14:textId="6A37D763"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EF7180">
        <w:rPr>
          <w:rFonts w:ascii="Cambria" w:hAnsi="Cambria"/>
          <w:sz w:val="18"/>
          <w:szCs w:val="18"/>
          <w:lang w:val="en-US"/>
          <w14:textOutline w14:w="0" w14:cap="flat" w14:cmpd="sng" w14:algn="ctr">
            <w14:noFill/>
            <w14:prstDash w14:val="solid"/>
            <w14:bevel/>
          </w14:textOutline>
        </w:rPr>
        <w:t>COP 21</w:t>
      </w:r>
      <w:r>
        <w:rPr>
          <w:rFonts w:ascii="Cambria" w:hAnsi="Cambria"/>
          <w:sz w:val="18"/>
          <w:szCs w:val="18"/>
          <w:lang w:val="en-US"/>
          <w14:textOutline w14:w="0" w14:cap="flat" w14:cmpd="sng" w14:algn="ctr">
            <w14:noFill/>
            <w14:prstDash w14:val="solid"/>
            <w14:bevel/>
          </w14:textOutline>
        </w:rPr>
        <w:t>.</w:t>
      </w:r>
      <w:r w:rsidRPr="00EF7180">
        <w:rPr>
          <w:rFonts w:ascii="Cambria" w:hAnsi="Cambria"/>
          <w:sz w:val="18"/>
          <w:szCs w:val="18"/>
          <w:lang w:val="en-US"/>
          <w14:textOutline w14:w="0" w14:cap="flat" w14:cmpd="sng" w14:algn="ctr">
            <w14:noFill/>
            <w14:prstDash w14:val="solid"/>
            <w14:bevel/>
          </w14:textOutline>
        </w:rPr>
        <w:t xml:space="preserve"> (2016). https://unfccc.int/process-and-meetings/conferences/past-conferences/paris-climate-change-conference-november-2015/cop-21/cop-21-decisions</w:t>
      </w:r>
    </w:p>
    <w:p w14:paraId="127C2DE9"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 xml:space="preserve">D’Ostuni M., Trombadore A., Orsini F. (2022) Food in the City: Enabling Integrated Solutions for Urban Agriculture and Food Production in Buildings. In: </w:t>
      </w:r>
      <w:proofErr w:type="spellStart"/>
      <w:r w:rsidRPr="007A0835">
        <w:rPr>
          <w:rFonts w:ascii="Cambria" w:hAnsi="Cambria"/>
          <w:sz w:val="18"/>
          <w:szCs w:val="18"/>
          <w:lang w:val="en-US"/>
          <w14:textOutline w14:w="0" w14:cap="flat" w14:cmpd="sng" w14:algn="ctr">
            <w14:noFill/>
            <w14:prstDash w14:val="solid"/>
            <w14:bevel/>
          </w14:textOutline>
        </w:rPr>
        <w:t>Sayigh</w:t>
      </w:r>
      <w:proofErr w:type="spellEnd"/>
      <w:r w:rsidRPr="007A0835">
        <w:rPr>
          <w:rFonts w:ascii="Cambria" w:hAnsi="Cambria"/>
          <w:sz w:val="18"/>
          <w:szCs w:val="18"/>
          <w:lang w:val="en-US"/>
          <w14:textOutline w14:w="0" w14:cap="flat" w14:cmpd="sng" w14:algn="ctr">
            <w14:noFill/>
            <w14:prstDash w14:val="solid"/>
            <w14:bevel/>
          </w14:textOutline>
        </w:rPr>
        <w:t xml:space="preserve"> A., Trombadore A. (eds) The Importance of Greenery in Sustainable Buildings. Innovative Renewable Energy. Springer, Cham. https://doi.</w:t>
      </w:r>
      <w:r>
        <w:rPr>
          <w:rFonts w:ascii="Cambria" w:hAnsi="Cambria"/>
          <w:sz w:val="18"/>
          <w:szCs w:val="18"/>
          <w:lang w:val="en-US"/>
          <w14:textOutline w14:w="0" w14:cap="flat" w14:cmpd="sng" w14:algn="ctr">
            <w14:noFill/>
            <w14:prstDash w14:val="solid"/>
            <w14:bevel/>
          </w14:textOutline>
        </w:rPr>
        <w:t>org/10.1007/978-3-030-68556-0_8</w:t>
      </w:r>
    </w:p>
    <w:p w14:paraId="529DFA02"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525761">
        <w:rPr>
          <w:rFonts w:ascii="Cambria" w:hAnsi="Cambria"/>
          <w:sz w:val="18"/>
          <w:szCs w:val="18"/>
          <w:lang w:val="en-US"/>
          <w14:textOutline w14:w="0" w14:cap="flat" w14:cmpd="sng" w14:algn="ctr">
            <w14:noFill/>
            <w14:prstDash w14:val="solid"/>
            <w14:bevel/>
          </w14:textOutline>
        </w:rPr>
        <w:t xml:space="preserve">Dimitri, C., </w:t>
      </w:r>
      <w:proofErr w:type="spellStart"/>
      <w:r w:rsidRPr="00525761">
        <w:rPr>
          <w:rFonts w:ascii="Cambria" w:hAnsi="Cambria"/>
          <w:sz w:val="18"/>
          <w:szCs w:val="18"/>
          <w:lang w:val="en-US"/>
          <w14:textOutline w14:w="0" w14:cap="flat" w14:cmpd="sng" w14:algn="ctr">
            <w14:noFill/>
            <w14:prstDash w14:val="solid"/>
            <w14:bevel/>
          </w14:textOutline>
        </w:rPr>
        <w:t>Oberholtzer</w:t>
      </w:r>
      <w:proofErr w:type="spellEnd"/>
      <w:r w:rsidRPr="00525761">
        <w:rPr>
          <w:rFonts w:ascii="Cambria" w:hAnsi="Cambria"/>
          <w:sz w:val="18"/>
          <w:szCs w:val="18"/>
          <w:lang w:val="en-US"/>
          <w14:textOutline w14:w="0" w14:cap="flat" w14:cmpd="sng" w14:algn="ctr">
            <w14:noFill/>
            <w14:prstDash w14:val="solid"/>
            <w14:bevel/>
          </w14:textOutline>
        </w:rPr>
        <w:t xml:space="preserve">, L., Pressman, A. (2015). </w:t>
      </w:r>
      <w:r w:rsidRPr="007A0835">
        <w:rPr>
          <w:rFonts w:ascii="Cambria" w:hAnsi="Cambria"/>
          <w:sz w:val="18"/>
          <w:szCs w:val="18"/>
          <w:lang w:val="en-US"/>
          <w14:textOutline w14:w="0" w14:cap="flat" w14:cmpd="sng" w14:algn="ctr">
            <w14:noFill/>
            <w14:prstDash w14:val="solid"/>
            <w14:bevel/>
          </w14:textOutline>
        </w:rPr>
        <w:t>The promises of farming in the city: introduction to the urban</w:t>
      </w:r>
      <w:r>
        <w:rPr>
          <w:rFonts w:ascii="Cambria" w:hAnsi="Cambria"/>
          <w:sz w:val="18"/>
          <w:szCs w:val="18"/>
          <w:lang w:val="en-US"/>
          <w14:textOutline w14:w="0" w14:cap="flat" w14:cmpd="sng" w14:algn="ctr">
            <w14:noFill/>
            <w14:prstDash w14:val="solid"/>
            <w14:bevel/>
          </w14:textOutline>
        </w:rPr>
        <w:t xml:space="preserve"> agriculture themed issue. </w:t>
      </w:r>
      <w:r w:rsidRPr="007A0835">
        <w:rPr>
          <w:rFonts w:ascii="Cambria" w:hAnsi="Cambria"/>
          <w:sz w:val="18"/>
          <w:szCs w:val="18"/>
          <w:lang w:val="en-US"/>
          <w14:textOutline w14:w="0" w14:cap="flat" w14:cmpd="sng" w14:algn="ctr">
            <w14:noFill/>
            <w14:prstDash w14:val="solid"/>
            <w14:bevel/>
          </w14:textOutline>
        </w:rPr>
        <w:t>Renewable Agriculture and Food Systems, 30 (1), pp. 1–2.</w:t>
      </w:r>
    </w:p>
    <w:p w14:paraId="0D76D558" w14:textId="32C4324B" w:rsidR="00EF7180"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proofErr w:type="spellStart"/>
      <w:r w:rsidRPr="007A0835">
        <w:rPr>
          <w:rFonts w:ascii="Cambria" w:hAnsi="Cambria"/>
          <w:sz w:val="18"/>
          <w:szCs w:val="18"/>
          <w:lang w:val="en-US"/>
          <w14:textOutline w14:w="0" w14:cap="flat" w14:cmpd="sng" w14:algn="ctr">
            <w14:noFill/>
            <w14:prstDash w14:val="solid"/>
            <w14:bevel/>
          </w14:textOutline>
        </w:rPr>
        <w:t>Dubbeling</w:t>
      </w:r>
      <w:proofErr w:type="spellEnd"/>
      <w:r w:rsidRPr="007A0835">
        <w:rPr>
          <w:rFonts w:ascii="Cambria" w:hAnsi="Cambria"/>
          <w:sz w:val="18"/>
          <w:szCs w:val="18"/>
          <w:lang w:val="en-US"/>
          <w14:textOutline w14:w="0" w14:cap="flat" w14:cmpd="sng" w14:algn="ctr">
            <w14:noFill/>
            <w14:prstDash w14:val="solid"/>
            <w14:bevel/>
          </w14:textOutline>
        </w:rPr>
        <w:t xml:space="preserve">, M. (2011). Integrating urban agriculture in the urban landscape. Urban </w:t>
      </w:r>
      <w:r>
        <w:rPr>
          <w:rFonts w:ascii="Cambria" w:hAnsi="Cambria"/>
          <w:sz w:val="18"/>
          <w:szCs w:val="18"/>
          <w:lang w:val="en-US"/>
          <w14:textOutline w14:w="0" w14:cap="flat" w14:cmpd="sng" w14:algn="ctr">
            <w14:noFill/>
            <w14:prstDash w14:val="solid"/>
            <w14:bevel/>
          </w14:textOutline>
        </w:rPr>
        <w:t>Agriculture Magazine 25: 43–46.</w:t>
      </w:r>
    </w:p>
    <w:p w14:paraId="6B4E0BE9" w14:textId="3D12EBCD" w:rsidR="00EF7180"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EF7180">
        <w:rPr>
          <w:rFonts w:ascii="Cambria" w:hAnsi="Cambria"/>
          <w:sz w:val="18"/>
          <w:szCs w:val="18"/>
          <w:lang w:val="en-US"/>
          <w14:textOutline w14:w="0" w14:cap="flat" w14:cmpd="sng" w14:algn="ctr">
            <w14:noFill/>
            <w14:prstDash w14:val="solid"/>
            <w14:bevel/>
          </w14:textOutline>
        </w:rPr>
        <w:t>Ellen MacArthur Foundation (2015). Towards a Circular Economy: Business Rationale for an Accelerated Transition. [Online] Available at: https://www.ellenmacarthurfoundation.org/assets/downloads/TCE_Ellen-MacArthur-Foundation_9-Dec-2015.pdf.</w:t>
      </w:r>
    </w:p>
    <w:p w14:paraId="68D23CB7" w14:textId="416C1AD4"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Ellen MacArthur Foundation (2019) Cities and circular economy for food. [Online] Available at: https://www.ellenmacarthurfoundation.org/publications/citie</w:t>
      </w:r>
      <w:r>
        <w:rPr>
          <w:rFonts w:ascii="Cambria" w:hAnsi="Cambria"/>
          <w:sz w:val="18"/>
          <w:szCs w:val="18"/>
          <w:lang w:val="en-US"/>
          <w14:textOutline w14:w="0" w14:cap="flat" w14:cmpd="sng" w14:algn="ctr">
            <w14:noFill/>
            <w14:prstDash w14:val="solid"/>
            <w14:bevel/>
          </w14:textOutline>
        </w:rPr>
        <w:t>s-and-circular-economy-for-food</w:t>
      </w:r>
    </w:p>
    <w:p w14:paraId="3E38DA65"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proofErr w:type="spellStart"/>
      <w:r w:rsidRPr="007A0835">
        <w:rPr>
          <w:rFonts w:ascii="Cambria" w:hAnsi="Cambria"/>
          <w:sz w:val="18"/>
          <w:szCs w:val="18"/>
          <w:lang w:val="en-US"/>
          <w14:textOutline w14:w="0" w14:cap="flat" w14:cmpd="sng" w14:algn="ctr">
            <w14:noFill/>
            <w14:prstDash w14:val="solid"/>
            <w14:bevel/>
          </w14:textOutline>
        </w:rPr>
        <w:t>Goto</w:t>
      </w:r>
      <w:proofErr w:type="spellEnd"/>
      <w:r w:rsidRPr="007A0835">
        <w:rPr>
          <w:rFonts w:ascii="Cambria" w:hAnsi="Cambria"/>
          <w:sz w:val="18"/>
          <w:szCs w:val="18"/>
          <w:lang w:val="en-US"/>
          <w14:textOutline w14:w="0" w14:cap="flat" w14:cmpd="sng" w14:algn="ctr">
            <w14:noFill/>
            <w14:prstDash w14:val="solid"/>
            <w14:bevel/>
          </w14:textOutline>
        </w:rPr>
        <w:t xml:space="preserve">, E. (2012). Plant production in a closed plant factory with artificial lighting. Acta </w:t>
      </w:r>
      <w:proofErr w:type="spellStart"/>
      <w:r w:rsidRPr="007A0835">
        <w:rPr>
          <w:rFonts w:ascii="Cambria" w:hAnsi="Cambria"/>
          <w:sz w:val="18"/>
          <w:szCs w:val="18"/>
          <w:lang w:val="en-US"/>
          <w14:textOutline w14:w="0" w14:cap="flat" w14:cmpd="sng" w14:algn="ctr">
            <w14:noFill/>
            <w14:prstDash w14:val="solid"/>
            <w14:bevel/>
          </w14:textOutline>
        </w:rPr>
        <w:t>Hortic</w:t>
      </w:r>
      <w:proofErr w:type="spellEnd"/>
      <w:r w:rsidRPr="007A0835">
        <w:rPr>
          <w:rFonts w:ascii="Cambria" w:hAnsi="Cambria"/>
          <w:sz w:val="18"/>
          <w:szCs w:val="18"/>
          <w:lang w:val="en-US"/>
          <w14:textOutline w14:w="0" w14:cap="flat" w14:cmpd="sng" w14:algn="ctr">
            <w14:noFill/>
            <w14:prstDash w14:val="solid"/>
            <w14:bevel/>
          </w14:textOutline>
        </w:rPr>
        <w:t>. 956, 37–49. http://dx.doi.org/</w:t>
      </w:r>
      <w:r>
        <w:rPr>
          <w:rFonts w:ascii="Cambria" w:hAnsi="Cambria"/>
          <w:sz w:val="18"/>
          <w:szCs w:val="18"/>
          <w:lang w:val="en-US"/>
          <w14:textOutline w14:w="0" w14:cap="flat" w14:cmpd="sng" w14:algn="ctr">
            <w14:noFill/>
            <w14:prstDash w14:val="solid"/>
            <w14:bevel/>
          </w14:textOutline>
        </w:rPr>
        <w:t>10.17660/actahortic.2012.956.2.</w:t>
      </w:r>
    </w:p>
    <w:p w14:paraId="261F36D9"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 xml:space="preserve">Graamans, L. Baeza, E., Van den Dobbelsteen, A. </w:t>
      </w:r>
      <w:proofErr w:type="spellStart"/>
      <w:r w:rsidRPr="007A0835">
        <w:rPr>
          <w:rFonts w:ascii="Cambria" w:hAnsi="Cambria"/>
          <w:sz w:val="18"/>
          <w:szCs w:val="18"/>
          <w:lang w:val="en-US"/>
          <w14:textOutline w14:w="0" w14:cap="flat" w14:cmpd="sng" w14:algn="ctr">
            <w14:noFill/>
            <w14:prstDash w14:val="solid"/>
            <w14:bevel/>
          </w14:textOutline>
        </w:rPr>
        <w:t>Tsafaras</w:t>
      </w:r>
      <w:proofErr w:type="spellEnd"/>
      <w:r w:rsidRPr="007A0835">
        <w:rPr>
          <w:rFonts w:ascii="Cambria" w:hAnsi="Cambria"/>
          <w:sz w:val="18"/>
          <w:szCs w:val="18"/>
          <w:lang w:val="en-US"/>
          <w14:textOutline w14:w="0" w14:cap="flat" w14:cmpd="sng" w14:algn="ctr">
            <w14:noFill/>
            <w14:prstDash w14:val="solid"/>
            <w14:bevel/>
          </w14:textOutline>
        </w:rPr>
        <w:t>, I. Stanghellini, C. (2018) Plant factories versus greenhouses: Comparison of resource use efficiency. Agricultural Systems, 160, 31-43. https://doi.</w:t>
      </w:r>
      <w:r>
        <w:rPr>
          <w:rFonts w:ascii="Cambria" w:hAnsi="Cambria"/>
          <w:sz w:val="18"/>
          <w:szCs w:val="18"/>
          <w:lang w:val="en-US"/>
          <w14:textOutline w14:w="0" w14:cap="flat" w14:cmpd="sng" w14:algn="ctr">
            <w14:noFill/>
            <w14:prstDash w14:val="solid"/>
            <w14:bevel/>
          </w14:textOutline>
        </w:rPr>
        <w:t>org/10.1016/j.agsy.2017.11.003.</w:t>
      </w:r>
    </w:p>
    <w:p w14:paraId="1687FABA"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Graff, G. (2009). A greener revolution: An argument for vertical farming, (Plan Canada)</w:t>
      </w:r>
    </w:p>
    <w:p w14:paraId="79AA6784"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Holt-</w:t>
      </w:r>
      <w:proofErr w:type="spellStart"/>
      <w:r w:rsidRPr="007A0835">
        <w:rPr>
          <w:rFonts w:ascii="Cambria" w:hAnsi="Cambria"/>
          <w:sz w:val="18"/>
          <w:szCs w:val="18"/>
          <w:lang w:val="en-US"/>
          <w14:textOutline w14:w="0" w14:cap="flat" w14:cmpd="sng" w14:algn="ctr">
            <w14:noFill/>
            <w14:prstDash w14:val="solid"/>
            <w14:bevel/>
          </w14:textOutline>
        </w:rPr>
        <w:t>Giménez</w:t>
      </w:r>
      <w:proofErr w:type="spellEnd"/>
      <w:r w:rsidRPr="007A0835">
        <w:rPr>
          <w:rFonts w:ascii="Cambria" w:hAnsi="Cambria"/>
          <w:sz w:val="18"/>
          <w:szCs w:val="18"/>
          <w:lang w:val="en-US"/>
          <w14:textOutline w14:w="0" w14:cap="flat" w14:cmpd="sng" w14:algn="ctr">
            <w14:noFill/>
            <w14:prstDash w14:val="solid"/>
            <w14:bevel/>
          </w14:textOutline>
        </w:rPr>
        <w:t>, E. (2018) “Can we feed the world without de</w:t>
      </w:r>
      <w:r>
        <w:rPr>
          <w:rFonts w:ascii="Cambria" w:hAnsi="Cambria"/>
          <w:sz w:val="18"/>
          <w:szCs w:val="18"/>
          <w:lang w:val="en-US"/>
          <w14:textOutline w14:w="0" w14:cap="flat" w14:cmpd="sng" w14:algn="ctr">
            <w14:noFill/>
            <w14:prstDash w14:val="solid"/>
            <w14:bevel/>
          </w14:textOutline>
        </w:rPr>
        <w:t>stroying it?”</w:t>
      </w:r>
      <w:r w:rsidRPr="007A0835">
        <w:rPr>
          <w:rFonts w:ascii="Cambria" w:hAnsi="Cambria"/>
          <w:sz w:val="18"/>
          <w:szCs w:val="18"/>
          <w:lang w:val="en-US"/>
          <w14:textOutline w14:w="0" w14:cap="flat" w14:cmpd="sng" w14:algn="ctr">
            <w14:noFill/>
            <w14:prstDash w14:val="solid"/>
            <w14:bevel/>
          </w14:textOutline>
        </w:rPr>
        <w:t xml:space="preserve"> (Polity Press London).</w:t>
      </w:r>
    </w:p>
    <w:p w14:paraId="19522AC4"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lastRenderedPageBreak/>
        <w:t>Hoover, B.M. (2013). White spaces in black and Latino places: Urban agriculture and food sovereignty. Journal of Agriculture, Food Systems, and Community Development.</w:t>
      </w:r>
    </w:p>
    <w:p w14:paraId="003F65C4" w14:textId="2EF78F0E"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Pr>
          <w:rFonts w:ascii="Cambria" w:hAnsi="Cambria"/>
          <w:sz w:val="18"/>
          <w:szCs w:val="18"/>
          <w:lang w:val="en-US"/>
          <w14:textOutline w14:w="0" w14:cap="flat" w14:cmpd="sng" w14:algn="ctr">
            <w14:noFill/>
            <w14:prstDash w14:val="solid"/>
            <w14:bevel/>
          </w14:textOutline>
        </w:rPr>
        <w:t>IPCC.</w:t>
      </w:r>
      <w:r w:rsidRPr="007A0835">
        <w:rPr>
          <w:rFonts w:ascii="Cambria" w:hAnsi="Cambria"/>
          <w:sz w:val="18"/>
          <w:szCs w:val="18"/>
          <w:lang w:val="en-US"/>
          <w14:textOutline w14:w="0" w14:cap="flat" w14:cmpd="sng" w14:algn="ctr">
            <w14:noFill/>
            <w14:prstDash w14:val="solid"/>
            <w14:bevel/>
          </w14:textOutline>
        </w:rPr>
        <w:t xml:space="preserve"> (2014). Climate Change 2014: Impacts, Adaptation, and Vulnerability. Part B: Regional Aspects. Contribution of Working Group II to the Fifth Assessment Report of the Intergovernmental Panel on Climate Change [Barros, V.R., C.B. Field, D.J. Dokken, M.D. </w:t>
      </w:r>
      <w:proofErr w:type="spellStart"/>
      <w:r w:rsidRPr="007A0835">
        <w:rPr>
          <w:rFonts w:ascii="Cambria" w:hAnsi="Cambria"/>
          <w:sz w:val="18"/>
          <w:szCs w:val="18"/>
          <w:lang w:val="en-US"/>
          <w14:textOutline w14:w="0" w14:cap="flat" w14:cmpd="sng" w14:algn="ctr">
            <w14:noFill/>
            <w14:prstDash w14:val="solid"/>
            <w14:bevel/>
          </w14:textOutline>
        </w:rPr>
        <w:t>Mastrandrea</w:t>
      </w:r>
      <w:proofErr w:type="spellEnd"/>
      <w:r w:rsidRPr="007A0835">
        <w:rPr>
          <w:rFonts w:ascii="Cambria" w:hAnsi="Cambria"/>
          <w:sz w:val="18"/>
          <w:szCs w:val="18"/>
          <w:lang w:val="en-US"/>
          <w14:textOutline w14:w="0" w14:cap="flat" w14:cmpd="sng" w14:algn="ctr">
            <w14:noFill/>
            <w14:prstDash w14:val="solid"/>
            <w14:bevel/>
          </w14:textOutline>
        </w:rPr>
        <w:t xml:space="preserve">, K.J. Mach, T.E. </w:t>
      </w:r>
      <w:proofErr w:type="spellStart"/>
      <w:r w:rsidRPr="007A0835">
        <w:rPr>
          <w:rFonts w:ascii="Cambria" w:hAnsi="Cambria"/>
          <w:sz w:val="18"/>
          <w:szCs w:val="18"/>
          <w:lang w:val="en-US"/>
          <w14:textOutline w14:w="0" w14:cap="flat" w14:cmpd="sng" w14:algn="ctr">
            <w14:noFill/>
            <w14:prstDash w14:val="solid"/>
            <w14:bevel/>
          </w14:textOutline>
        </w:rPr>
        <w:t>Bilir</w:t>
      </w:r>
      <w:proofErr w:type="spellEnd"/>
      <w:r w:rsidRPr="007A0835">
        <w:rPr>
          <w:rFonts w:ascii="Cambria" w:hAnsi="Cambria"/>
          <w:sz w:val="18"/>
          <w:szCs w:val="18"/>
          <w:lang w:val="en-US"/>
          <w14:textOutline w14:w="0" w14:cap="flat" w14:cmpd="sng" w14:algn="ctr">
            <w14:noFill/>
            <w14:prstDash w14:val="solid"/>
            <w14:bevel/>
          </w14:textOutline>
        </w:rPr>
        <w:t xml:space="preserve">, M. Chatterjee, K.L. </w:t>
      </w:r>
      <w:proofErr w:type="spellStart"/>
      <w:r w:rsidRPr="007A0835">
        <w:rPr>
          <w:rFonts w:ascii="Cambria" w:hAnsi="Cambria"/>
          <w:sz w:val="18"/>
          <w:szCs w:val="18"/>
          <w:lang w:val="en-US"/>
          <w14:textOutline w14:w="0" w14:cap="flat" w14:cmpd="sng" w14:algn="ctr">
            <w14:noFill/>
            <w14:prstDash w14:val="solid"/>
            <w14:bevel/>
          </w14:textOutline>
        </w:rPr>
        <w:t>Ebi</w:t>
      </w:r>
      <w:proofErr w:type="spellEnd"/>
      <w:r w:rsidRPr="007A0835">
        <w:rPr>
          <w:rFonts w:ascii="Cambria" w:hAnsi="Cambria"/>
          <w:sz w:val="18"/>
          <w:szCs w:val="18"/>
          <w:lang w:val="en-US"/>
          <w14:textOutline w14:w="0" w14:cap="flat" w14:cmpd="sng" w14:algn="ctr">
            <w14:noFill/>
            <w14:prstDash w14:val="solid"/>
            <w14:bevel/>
          </w14:textOutline>
        </w:rPr>
        <w:t xml:space="preserve">, Y.O. Estrada, R.C. Genova, B. </w:t>
      </w:r>
      <w:proofErr w:type="spellStart"/>
      <w:r w:rsidRPr="007A0835">
        <w:rPr>
          <w:rFonts w:ascii="Cambria" w:hAnsi="Cambria"/>
          <w:sz w:val="18"/>
          <w:szCs w:val="18"/>
          <w:lang w:val="en-US"/>
          <w14:textOutline w14:w="0" w14:cap="flat" w14:cmpd="sng" w14:algn="ctr">
            <w14:noFill/>
            <w14:prstDash w14:val="solid"/>
            <w14:bevel/>
          </w14:textOutline>
        </w:rPr>
        <w:t>Girma</w:t>
      </w:r>
      <w:proofErr w:type="spellEnd"/>
      <w:r w:rsidRPr="007A0835">
        <w:rPr>
          <w:rFonts w:ascii="Cambria" w:hAnsi="Cambria"/>
          <w:sz w:val="18"/>
          <w:szCs w:val="18"/>
          <w:lang w:val="en-US"/>
          <w14:textOutline w14:w="0" w14:cap="flat" w14:cmpd="sng" w14:algn="ctr">
            <w14:noFill/>
            <w14:prstDash w14:val="solid"/>
            <w14:bevel/>
          </w14:textOutline>
        </w:rPr>
        <w:t xml:space="preserve">, E.S. Kissel, A.N. Levy, S. MacCracken, P.R. </w:t>
      </w:r>
      <w:proofErr w:type="spellStart"/>
      <w:r w:rsidRPr="007A0835">
        <w:rPr>
          <w:rFonts w:ascii="Cambria" w:hAnsi="Cambria"/>
          <w:sz w:val="18"/>
          <w:szCs w:val="18"/>
          <w:lang w:val="en-US"/>
          <w14:textOutline w14:w="0" w14:cap="flat" w14:cmpd="sng" w14:algn="ctr">
            <w14:noFill/>
            <w14:prstDash w14:val="solid"/>
            <w14:bevel/>
          </w14:textOutline>
        </w:rPr>
        <w:t>Mastrandrea</w:t>
      </w:r>
      <w:proofErr w:type="spellEnd"/>
      <w:r w:rsidRPr="007A0835">
        <w:rPr>
          <w:rFonts w:ascii="Cambria" w:hAnsi="Cambria"/>
          <w:sz w:val="18"/>
          <w:szCs w:val="18"/>
          <w:lang w:val="en-US"/>
          <w14:textOutline w14:w="0" w14:cap="flat" w14:cmpd="sng" w14:algn="ctr">
            <w14:noFill/>
            <w14:prstDash w14:val="solid"/>
            <w14:bevel/>
          </w14:textOutline>
        </w:rPr>
        <w:t>, and L.L. White (eds.)]. Cambridge University Press, Cambridge, United Kingdom and New York, NY, USA, pp. 688.</w:t>
      </w:r>
    </w:p>
    <w:p w14:paraId="139ACE91"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proofErr w:type="spellStart"/>
      <w:r w:rsidRPr="007A0835">
        <w:rPr>
          <w:rFonts w:ascii="Cambria" w:hAnsi="Cambria"/>
          <w:sz w:val="18"/>
          <w:szCs w:val="18"/>
          <w:lang w:val="en-US"/>
          <w14:textOutline w14:w="0" w14:cap="flat" w14:cmpd="sng" w14:algn="ctr">
            <w14:noFill/>
            <w14:prstDash w14:val="solid"/>
            <w14:bevel/>
          </w14:textOutline>
        </w:rPr>
        <w:t>Jürkenbeck</w:t>
      </w:r>
      <w:proofErr w:type="spellEnd"/>
      <w:r w:rsidRPr="007A0835">
        <w:rPr>
          <w:rFonts w:ascii="Cambria" w:hAnsi="Cambria"/>
          <w:sz w:val="18"/>
          <w:szCs w:val="18"/>
          <w:lang w:val="en-US"/>
          <w14:textOutline w14:w="0" w14:cap="flat" w14:cmpd="sng" w14:algn="ctr">
            <w14:noFill/>
            <w14:prstDash w14:val="solid"/>
            <w14:bevel/>
          </w14:textOutline>
        </w:rPr>
        <w:t xml:space="preserve">, K., </w:t>
      </w:r>
      <w:proofErr w:type="spellStart"/>
      <w:r w:rsidRPr="007A0835">
        <w:rPr>
          <w:rFonts w:ascii="Cambria" w:hAnsi="Cambria"/>
          <w:sz w:val="18"/>
          <w:szCs w:val="18"/>
          <w:lang w:val="en-US"/>
          <w14:textOutline w14:w="0" w14:cap="flat" w14:cmpd="sng" w14:algn="ctr">
            <w14:noFill/>
            <w14:prstDash w14:val="solid"/>
            <w14:bevel/>
          </w14:textOutline>
        </w:rPr>
        <w:t>Heumann</w:t>
      </w:r>
      <w:proofErr w:type="spellEnd"/>
      <w:r w:rsidRPr="007A0835">
        <w:rPr>
          <w:rFonts w:ascii="Cambria" w:hAnsi="Cambria"/>
          <w:sz w:val="18"/>
          <w:szCs w:val="18"/>
          <w:lang w:val="en-US"/>
          <w14:textOutline w14:w="0" w14:cap="flat" w14:cmpd="sng" w14:algn="ctr">
            <w14:noFill/>
            <w14:prstDash w14:val="solid"/>
            <w14:bevel/>
          </w14:textOutline>
        </w:rPr>
        <w:t>, A., Spiller, A. (2019). Sustainability Matters: Consumer Acceptance of Different Vertical Farming Systems. Sustainability, 11, 4052.</w:t>
      </w:r>
    </w:p>
    <w:p w14:paraId="34F34F9E"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525761">
        <w:rPr>
          <w:rFonts w:ascii="Cambria" w:hAnsi="Cambria"/>
          <w:sz w:val="18"/>
          <w:szCs w:val="18"/>
          <w:lang w:val="en-US"/>
          <w14:textOutline w14:w="0" w14:cap="flat" w14:cmpd="sng" w14:algn="ctr">
            <w14:noFill/>
            <w14:prstDash w14:val="solid"/>
            <w14:bevel/>
          </w14:textOutline>
        </w:rPr>
        <w:t xml:space="preserve">Kamari, A., Corrao R., </w:t>
      </w:r>
      <w:proofErr w:type="spellStart"/>
      <w:r w:rsidRPr="00525761">
        <w:rPr>
          <w:rFonts w:ascii="Cambria" w:hAnsi="Cambria"/>
          <w:sz w:val="18"/>
          <w:szCs w:val="18"/>
          <w:lang w:val="en-US"/>
          <w14:textOutline w14:w="0" w14:cap="flat" w14:cmpd="sng" w14:algn="ctr">
            <w14:noFill/>
            <w14:prstDash w14:val="solid"/>
            <w14:bevel/>
          </w14:textOutline>
        </w:rPr>
        <w:t>Kirkegaard</w:t>
      </w:r>
      <w:proofErr w:type="spellEnd"/>
      <w:r w:rsidRPr="00525761">
        <w:rPr>
          <w:rFonts w:ascii="Cambria" w:hAnsi="Cambria"/>
          <w:sz w:val="18"/>
          <w:szCs w:val="18"/>
          <w:lang w:val="en-US"/>
          <w14:textOutline w14:w="0" w14:cap="flat" w14:cmpd="sng" w14:algn="ctr">
            <w14:noFill/>
            <w14:prstDash w14:val="solid"/>
            <w14:bevel/>
          </w14:textOutline>
        </w:rPr>
        <w:t xml:space="preserve"> P.H. (2017). </w:t>
      </w:r>
      <w:r w:rsidRPr="007A0835">
        <w:rPr>
          <w:rFonts w:ascii="Cambria" w:hAnsi="Cambria"/>
          <w:sz w:val="18"/>
          <w:szCs w:val="18"/>
          <w:lang w:val="en-US"/>
          <w14:textOutline w14:w="0" w14:cap="flat" w14:cmpd="sng" w14:algn="ctr">
            <w14:noFill/>
            <w14:prstDash w14:val="solid"/>
            <w14:bevel/>
          </w14:textOutline>
        </w:rPr>
        <w:t>Sustainability focused decision-making in building renovation, International Journal of Sustainable Bui</w:t>
      </w:r>
      <w:r>
        <w:rPr>
          <w:rFonts w:ascii="Cambria" w:hAnsi="Cambria"/>
          <w:sz w:val="18"/>
          <w:szCs w:val="18"/>
          <w:lang w:val="en-US"/>
          <w14:textOutline w14:w="0" w14:cap="flat" w14:cmpd="sng" w14:algn="ctr">
            <w14:noFill/>
            <w14:prstDash w14:val="solid"/>
            <w14:bevel/>
          </w14:textOutline>
        </w:rPr>
        <w:t xml:space="preserve">lt Environment, 6 (2) 330-350. </w:t>
      </w:r>
    </w:p>
    <w:p w14:paraId="75422A0D"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 xml:space="preserve">Kulak, M., Graves, A., Chatterton, J. (2013). Reducing greenhouse gas emissions with urban agriculture: A Life Cycle Assessment perspective. Landscape Urban Plan, 111, 68-78. </w:t>
      </w:r>
    </w:p>
    <w:p w14:paraId="065423C5"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Lehmann, S. (2010). The Principles of Green Urbanism: Transforming the City for Sustainability. (Earthscan, London, UK).</w:t>
      </w:r>
    </w:p>
    <w:p w14:paraId="64ECF788"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proofErr w:type="spellStart"/>
      <w:r w:rsidRPr="007A0835">
        <w:rPr>
          <w:rFonts w:ascii="Cambria" w:hAnsi="Cambria"/>
          <w:sz w:val="18"/>
          <w:szCs w:val="18"/>
          <w:lang w:val="en-US"/>
          <w14:textOutline w14:w="0" w14:cap="flat" w14:cmpd="sng" w14:algn="ctr">
            <w14:noFill/>
            <w14:prstDash w14:val="solid"/>
            <w14:bevel/>
          </w14:textOutline>
        </w:rPr>
        <w:t>Lyson</w:t>
      </w:r>
      <w:proofErr w:type="spellEnd"/>
      <w:r w:rsidRPr="007A0835">
        <w:rPr>
          <w:rFonts w:ascii="Cambria" w:hAnsi="Cambria"/>
          <w:sz w:val="18"/>
          <w:szCs w:val="18"/>
          <w:lang w:val="en-US"/>
          <w14:textOutline w14:w="0" w14:cap="flat" w14:cmpd="sng" w14:algn="ctr">
            <w14:noFill/>
            <w14:prstDash w14:val="solid"/>
            <w14:bevel/>
          </w14:textOutline>
        </w:rPr>
        <w:t xml:space="preserve">, T.A. (2007). Civic agriculture and the North American food system. In C.C. Hinrichs and T.A. </w:t>
      </w:r>
      <w:proofErr w:type="spellStart"/>
      <w:r w:rsidRPr="007A0835">
        <w:rPr>
          <w:rFonts w:ascii="Cambria" w:hAnsi="Cambria"/>
          <w:sz w:val="18"/>
          <w:szCs w:val="18"/>
          <w:lang w:val="en-US"/>
          <w14:textOutline w14:w="0" w14:cap="flat" w14:cmpd="sng" w14:algn="ctr">
            <w14:noFill/>
            <w14:prstDash w14:val="solid"/>
            <w14:bevel/>
          </w14:textOutline>
        </w:rPr>
        <w:t>Lyson</w:t>
      </w:r>
      <w:proofErr w:type="spellEnd"/>
      <w:r w:rsidRPr="007A0835">
        <w:rPr>
          <w:rFonts w:ascii="Cambria" w:hAnsi="Cambria"/>
          <w:sz w:val="18"/>
          <w:szCs w:val="18"/>
          <w:lang w:val="en-US"/>
          <w14:textOutline w14:w="0" w14:cap="flat" w14:cmpd="sng" w14:algn="ctr">
            <w14:noFill/>
            <w14:prstDash w14:val="solid"/>
            <w14:bevel/>
          </w14:textOutline>
        </w:rPr>
        <w:t xml:space="preserve"> (eds). Remaking the North America Food System. Strategies for Sustainability. University of Nebraska Press, Lincoln and London, UK. p. 19–32.</w:t>
      </w:r>
    </w:p>
    <w:p w14:paraId="71E11ABC" w14:textId="784FF85A"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McKinse</w:t>
      </w:r>
      <w:r>
        <w:rPr>
          <w:rFonts w:ascii="Cambria" w:hAnsi="Cambria"/>
          <w:sz w:val="18"/>
          <w:szCs w:val="18"/>
          <w:lang w:val="en-US"/>
          <w14:textOutline w14:w="0" w14:cap="flat" w14:cmpd="sng" w14:algn="ctr">
            <w14:noFill/>
            <w14:prstDash w14:val="solid"/>
            <w14:bevel/>
          </w14:textOutline>
        </w:rPr>
        <w:t>y Global Institute</w:t>
      </w:r>
      <w:r w:rsidRPr="007A0835">
        <w:rPr>
          <w:rFonts w:ascii="Cambria" w:hAnsi="Cambria"/>
          <w:sz w:val="18"/>
          <w:szCs w:val="18"/>
          <w:lang w:val="en-US"/>
          <w14:textOutline w14:w="0" w14:cap="flat" w14:cmpd="sng" w14:algn="ctr">
            <w14:noFill/>
            <w14:prstDash w14:val="solid"/>
            <w14:bevel/>
          </w14:textOutline>
        </w:rPr>
        <w:t xml:space="preserve"> (2016). Bridging Global Infrastructure Gaps. Available at https://www.mckinsey.com/industries/capital-projects-and-infrastructure/our-insights/bridg</w:t>
      </w:r>
      <w:r>
        <w:rPr>
          <w:rFonts w:ascii="Cambria" w:hAnsi="Cambria"/>
          <w:sz w:val="18"/>
          <w:szCs w:val="18"/>
          <w:lang w:val="en-US"/>
          <w14:textOutline w14:w="0" w14:cap="flat" w14:cmpd="sng" w14:algn="ctr">
            <w14:noFill/>
            <w14:prstDash w14:val="solid"/>
            <w14:bevel/>
          </w14:textOutline>
        </w:rPr>
        <w:t>ing-global-infrastructure-gaps.</w:t>
      </w:r>
    </w:p>
    <w:p w14:paraId="63CB8193"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proofErr w:type="spellStart"/>
      <w:r w:rsidRPr="007A0835">
        <w:rPr>
          <w:rFonts w:ascii="Cambria" w:hAnsi="Cambria"/>
          <w:sz w:val="18"/>
          <w:szCs w:val="18"/>
          <w:lang w:val="en-US"/>
          <w14:textOutline w14:w="0" w14:cap="flat" w14:cmpd="sng" w14:algn="ctr">
            <w14:noFill/>
            <w14:prstDash w14:val="solid"/>
            <w14:bevel/>
          </w14:textOutline>
        </w:rPr>
        <w:t>Mok</w:t>
      </w:r>
      <w:proofErr w:type="spellEnd"/>
      <w:r w:rsidRPr="007A0835">
        <w:rPr>
          <w:rFonts w:ascii="Cambria" w:hAnsi="Cambria"/>
          <w:sz w:val="18"/>
          <w:szCs w:val="18"/>
          <w:lang w:val="en-US"/>
          <w14:textOutline w14:w="0" w14:cap="flat" w14:cmpd="sng" w14:algn="ctr">
            <w14:noFill/>
            <w14:prstDash w14:val="solid"/>
            <w14:bevel/>
          </w14:textOutline>
        </w:rPr>
        <w:t>, H.F., Williamson, V.G., Grove, J.R., Burry, K., Barker, S.F., &amp; Hamilton, A.J. (2014). Strawberry fields forever? Urban agriculture in developed countries: a review. Agronomy for Sustainable Development.</w:t>
      </w:r>
    </w:p>
    <w:p w14:paraId="1136D82B"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525761">
        <w:rPr>
          <w:rFonts w:ascii="Cambria" w:hAnsi="Cambria"/>
          <w:sz w:val="18"/>
          <w:szCs w:val="18"/>
          <w:lang w:val="en-US"/>
          <w14:textOutline w14:w="0" w14:cap="flat" w14:cmpd="sng" w14:algn="ctr">
            <w14:noFill/>
            <w14:prstDash w14:val="solid"/>
            <w14:bevel/>
          </w14:textOutline>
        </w:rPr>
        <w:t xml:space="preserve">Nadal, A., </w:t>
      </w:r>
      <w:proofErr w:type="spellStart"/>
      <w:r w:rsidRPr="00525761">
        <w:rPr>
          <w:rFonts w:ascii="Cambria" w:hAnsi="Cambria"/>
          <w:sz w:val="18"/>
          <w:szCs w:val="18"/>
          <w:lang w:val="en-US"/>
          <w14:textOutline w14:w="0" w14:cap="flat" w14:cmpd="sng" w14:algn="ctr">
            <w14:noFill/>
            <w14:prstDash w14:val="solid"/>
            <w14:bevel/>
          </w14:textOutline>
        </w:rPr>
        <w:t>Cerón</w:t>
      </w:r>
      <w:proofErr w:type="spellEnd"/>
      <w:r w:rsidRPr="00525761">
        <w:rPr>
          <w:rFonts w:ascii="Cambria" w:hAnsi="Cambria"/>
          <w:sz w:val="18"/>
          <w:szCs w:val="18"/>
          <w:lang w:val="en-US"/>
          <w14:textOutline w14:w="0" w14:cap="flat" w14:cmpd="sng" w14:algn="ctr">
            <w14:noFill/>
            <w14:prstDash w14:val="solid"/>
            <w14:bevel/>
          </w14:textOutline>
        </w:rPr>
        <w:t xml:space="preserve">, I., Cuerva, E., Gabarrell, X., Josa, A., Pons, O., </w:t>
      </w:r>
      <w:proofErr w:type="spellStart"/>
      <w:r w:rsidRPr="00525761">
        <w:rPr>
          <w:rFonts w:ascii="Cambria" w:hAnsi="Cambria"/>
          <w:sz w:val="18"/>
          <w:szCs w:val="18"/>
          <w:lang w:val="en-US"/>
          <w14:textOutline w14:w="0" w14:cap="flat" w14:cmpd="sng" w14:algn="ctr">
            <w14:noFill/>
            <w14:prstDash w14:val="solid"/>
            <w14:bevel/>
          </w14:textOutline>
        </w:rPr>
        <w:t>Rieradevall</w:t>
      </w:r>
      <w:proofErr w:type="spellEnd"/>
      <w:r w:rsidRPr="00525761">
        <w:rPr>
          <w:rFonts w:ascii="Cambria" w:hAnsi="Cambria"/>
          <w:sz w:val="18"/>
          <w:szCs w:val="18"/>
          <w:lang w:val="en-US"/>
          <w14:textOutline w14:w="0" w14:cap="flat" w14:cmpd="sng" w14:algn="ctr">
            <w14:noFill/>
            <w14:prstDash w14:val="solid"/>
            <w14:bevel/>
          </w14:textOutline>
        </w:rPr>
        <w:t xml:space="preserve">, J. (2015). </w:t>
      </w:r>
      <w:r w:rsidRPr="007A0835">
        <w:rPr>
          <w:rFonts w:ascii="Cambria" w:hAnsi="Cambria"/>
          <w:sz w:val="18"/>
          <w:szCs w:val="18"/>
          <w:lang w:val="en-US"/>
          <w14:textOutline w14:w="0" w14:cap="flat" w14:cmpd="sng" w14:algn="ctr">
            <w14:noFill/>
            <w14:prstDash w14:val="solid"/>
            <w14:bevel/>
          </w14:textOutline>
        </w:rPr>
        <w:t xml:space="preserve">Urban Agriculture in the Framework of Sustainable Urbanism. </w:t>
      </w:r>
      <w:proofErr w:type="spellStart"/>
      <w:r w:rsidRPr="007A0835">
        <w:rPr>
          <w:rFonts w:ascii="Cambria" w:hAnsi="Cambria"/>
          <w:sz w:val="18"/>
          <w:szCs w:val="18"/>
          <w:lang w:val="en-US"/>
          <w14:textOutline w14:w="0" w14:cap="flat" w14:cmpd="sng" w14:algn="ctr">
            <w14:noFill/>
            <w14:prstDash w14:val="solid"/>
            <w14:bevel/>
          </w14:textOutline>
        </w:rPr>
        <w:t>Temesde</w:t>
      </w:r>
      <w:proofErr w:type="spellEnd"/>
      <w:r w:rsidRPr="007A0835">
        <w:rPr>
          <w:rFonts w:ascii="Cambria" w:hAnsi="Cambria"/>
          <w:sz w:val="18"/>
          <w:szCs w:val="18"/>
          <w:lang w:val="en-US"/>
          <w14:textOutline w14:w="0" w14:cap="flat" w14:cmpd="sng" w14:algn="ctr">
            <w14:noFill/>
            <w14:prstDash w14:val="solid"/>
            <w14:bevel/>
          </w14:textOutline>
        </w:rPr>
        <w:t xml:space="preserve"> </w:t>
      </w:r>
      <w:proofErr w:type="spellStart"/>
      <w:r w:rsidRPr="007A0835">
        <w:rPr>
          <w:rFonts w:ascii="Cambria" w:hAnsi="Cambria"/>
          <w:sz w:val="18"/>
          <w:szCs w:val="18"/>
          <w:lang w:val="en-US"/>
          <w14:textOutline w14:w="0" w14:cap="flat" w14:cmpd="sng" w14:algn="ctr">
            <w14:noFill/>
            <w14:prstDash w14:val="solid"/>
            <w14:bevel/>
          </w14:textOutline>
        </w:rPr>
        <w:t>Disseny</w:t>
      </w:r>
      <w:proofErr w:type="spellEnd"/>
      <w:r w:rsidRPr="007A0835">
        <w:rPr>
          <w:rFonts w:ascii="Cambria" w:hAnsi="Cambria"/>
          <w:sz w:val="18"/>
          <w:szCs w:val="18"/>
          <w:lang w:val="en-US"/>
          <w14:textOutline w14:w="0" w14:cap="flat" w14:cmpd="sng" w14:algn="ctr">
            <w14:noFill/>
            <w14:prstDash w14:val="solid"/>
            <w14:bevel/>
          </w14:textOutline>
        </w:rPr>
        <w:t>, 0(31), 92–103. https://www.raco.cat/index.php/Temes/</w:t>
      </w:r>
      <w:r>
        <w:rPr>
          <w:rFonts w:ascii="Cambria" w:hAnsi="Cambria"/>
          <w:sz w:val="18"/>
          <w:szCs w:val="18"/>
          <w:lang w:val="en-US"/>
          <w14:textOutline w14:w="0" w14:cap="flat" w14:cmpd="sng" w14:algn="ctr">
            <w14:noFill/>
            <w14:prstDash w14:val="solid"/>
            <w14:bevel/>
          </w14:textOutline>
        </w:rPr>
        <w:t>article/viewFile/299595/390474.</w:t>
      </w:r>
    </w:p>
    <w:p w14:paraId="000FB574"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O’Brien, R., Story, M., &amp; Heim, S. (2009). Impact of garden-based youth nutrition intervention programs: a review. Journal of the American Dietetic Association.</w:t>
      </w:r>
    </w:p>
    <w:p w14:paraId="75B0CFB8" w14:textId="77777777" w:rsidR="00EF7180" w:rsidRPr="00525761" w:rsidRDefault="00EF7180" w:rsidP="00406AE4">
      <w:pPr>
        <w:spacing w:before="120" w:after="0" w:line="240" w:lineRule="auto"/>
        <w:jc w:val="both"/>
        <w:rPr>
          <w:rFonts w:ascii="Cambria" w:hAnsi="Cambria"/>
          <w:sz w:val="18"/>
          <w:szCs w:val="18"/>
          <w:lang w:val="it-IT"/>
          <w14:textOutline w14:w="0" w14:cap="flat" w14:cmpd="sng" w14:algn="ctr">
            <w14:noFill/>
            <w14:prstDash w14:val="solid"/>
            <w14:bevel/>
          </w14:textOutline>
        </w:rPr>
      </w:pPr>
      <w:r w:rsidRPr="00525761">
        <w:rPr>
          <w:rFonts w:ascii="Cambria" w:hAnsi="Cambria"/>
          <w:sz w:val="18"/>
          <w:szCs w:val="18"/>
          <w:lang w:val="en-US"/>
          <w14:textOutline w14:w="0" w14:cap="flat" w14:cmpd="sng" w14:algn="ctr">
            <w14:noFill/>
            <w14:prstDash w14:val="solid"/>
            <w14:bevel/>
          </w14:textOutline>
        </w:rPr>
        <w:t xml:space="preserve">Orsini, F., </w:t>
      </w:r>
      <w:proofErr w:type="spellStart"/>
      <w:r w:rsidRPr="00525761">
        <w:rPr>
          <w:rFonts w:ascii="Cambria" w:hAnsi="Cambria"/>
          <w:sz w:val="18"/>
          <w:szCs w:val="18"/>
          <w:lang w:val="en-US"/>
          <w14:textOutline w14:w="0" w14:cap="flat" w14:cmpd="sng" w14:algn="ctr">
            <w14:noFill/>
            <w14:prstDash w14:val="solid"/>
            <w14:bevel/>
          </w14:textOutline>
        </w:rPr>
        <w:t>Dubbeling</w:t>
      </w:r>
      <w:proofErr w:type="spellEnd"/>
      <w:r w:rsidRPr="00525761">
        <w:rPr>
          <w:rFonts w:ascii="Cambria" w:hAnsi="Cambria"/>
          <w:sz w:val="18"/>
          <w:szCs w:val="18"/>
          <w:lang w:val="en-US"/>
          <w14:textOutline w14:w="0" w14:cap="flat" w14:cmpd="sng" w14:algn="ctr">
            <w14:noFill/>
            <w14:prstDash w14:val="solid"/>
            <w14:bevel/>
          </w14:textOutline>
        </w:rPr>
        <w:t xml:space="preserve">, M., De Zeeuw, H., &amp; Gianquinto, G. (Eds.). </w:t>
      </w:r>
      <w:r w:rsidRPr="00525761">
        <w:rPr>
          <w:rFonts w:ascii="Cambria" w:hAnsi="Cambria"/>
          <w:sz w:val="18"/>
          <w:szCs w:val="18"/>
          <w:lang w:val="it-IT"/>
          <w14:textOutline w14:w="0" w14:cap="flat" w14:cmpd="sng" w14:algn="ctr">
            <w14:noFill/>
            <w14:prstDash w14:val="solid"/>
            <w14:bevel/>
          </w14:textOutline>
        </w:rPr>
        <w:t xml:space="preserve">(2017). </w:t>
      </w:r>
      <w:proofErr w:type="spellStart"/>
      <w:r w:rsidRPr="00525761">
        <w:rPr>
          <w:rFonts w:ascii="Cambria" w:hAnsi="Cambria"/>
          <w:sz w:val="18"/>
          <w:szCs w:val="18"/>
          <w:lang w:val="it-IT"/>
          <w14:textOutline w14:w="0" w14:cap="flat" w14:cmpd="sng" w14:algn="ctr">
            <w14:noFill/>
            <w14:prstDash w14:val="solid"/>
            <w14:bevel/>
          </w14:textOutline>
        </w:rPr>
        <w:t>Rooftop</w:t>
      </w:r>
      <w:proofErr w:type="spellEnd"/>
      <w:r w:rsidRPr="00525761">
        <w:rPr>
          <w:rFonts w:ascii="Cambria" w:hAnsi="Cambria"/>
          <w:sz w:val="18"/>
          <w:szCs w:val="18"/>
          <w:lang w:val="it-IT"/>
          <w14:textOutline w14:w="0" w14:cap="flat" w14:cmpd="sng" w14:algn="ctr">
            <w14:noFill/>
            <w14:prstDash w14:val="solid"/>
            <w14:bevel/>
          </w14:textOutline>
        </w:rPr>
        <w:t xml:space="preserve"> </w:t>
      </w:r>
      <w:proofErr w:type="spellStart"/>
      <w:r w:rsidRPr="00525761">
        <w:rPr>
          <w:rFonts w:ascii="Cambria" w:hAnsi="Cambria"/>
          <w:sz w:val="18"/>
          <w:szCs w:val="18"/>
          <w:lang w:val="it-IT"/>
          <w14:textOutline w14:w="0" w14:cap="flat" w14:cmpd="sng" w14:algn="ctr">
            <w14:noFill/>
            <w14:prstDash w14:val="solid"/>
            <w14:bevel/>
          </w14:textOutline>
        </w:rPr>
        <w:t>urban</w:t>
      </w:r>
      <w:proofErr w:type="spellEnd"/>
      <w:r w:rsidRPr="00525761">
        <w:rPr>
          <w:rFonts w:ascii="Cambria" w:hAnsi="Cambria"/>
          <w:sz w:val="18"/>
          <w:szCs w:val="18"/>
          <w:lang w:val="it-IT"/>
          <w14:textOutline w14:w="0" w14:cap="flat" w14:cmpd="sng" w14:algn="ctr">
            <w14:noFill/>
            <w14:prstDash w14:val="solid"/>
            <w14:bevel/>
          </w14:textOutline>
        </w:rPr>
        <w:t xml:space="preserve"> agriculture. (Springer International Publishing). </w:t>
      </w:r>
    </w:p>
    <w:p w14:paraId="1B1DC8F9"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it-IT"/>
          <w14:textOutline w14:w="0" w14:cap="flat" w14:cmpd="sng" w14:algn="ctr">
            <w14:noFill/>
            <w14:prstDash w14:val="solid"/>
            <w14:bevel/>
          </w14:textOutline>
        </w:rPr>
        <w:t xml:space="preserve">Orsini, F., Pennisi, G., D'Alessandro, A., Kratochvilova, D., Steffan, G., Paoletti, M., Sabbatini, G., D'Ostuni, M., Trombadore, A. and Gianquinto, G. (2020). </w:t>
      </w:r>
      <w:r w:rsidRPr="007A0835">
        <w:rPr>
          <w:rFonts w:ascii="Cambria" w:hAnsi="Cambria"/>
          <w:sz w:val="18"/>
          <w:szCs w:val="18"/>
          <w:lang w:val="en-US"/>
          <w14:textOutline w14:w="0" w14:cap="flat" w14:cmpd="sng" w14:algn="ctr">
            <w14:noFill/>
            <w14:prstDash w14:val="solid"/>
            <w14:bevel/>
          </w14:textOutline>
        </w:rPr>
        <w:t>Bridging interdisciplinary knowledge for sustainable urban landscapes: results from the international student competition UrbanFarm</w:t>
      </w:r>
      <w:r>
        <w:rPr>
          <w:rFonts w:ascii="Cambria" w:hAnsi="Cambria"/>
          <w:sz w:val="18"/>
          <w:szCs w:val="18"/>
          <w:lang w:val="en-US"/>
          <w14:textOutline w14:w="0" w14:cap="flat" w14:cmpd="sng" w14:algn="ctr">
            <w14:noFill/>
            <w14:prstDash w14:val="solid"/>
            <w14:bevel/>
          </w14:textOutline>
        </w:rPr>
        <w:t xml:space="preserve">2019. Acta </w:t>
      </w:r>
      <w:proofErr w:type="spellStart"/>
      <w:r>
        <w:rPr>
          <w:rFonts w:ascii="Cambria" w:hAnsi="Cambria"/>
          <w:sz w:val="18"/>
          <w:szCs w:val="18"/>
          <w:lang w:val="en-US"/>
          <w14:textOutline w14:w="0" w14:cap="flat" w14:cmpd="sng" w14:algn="ctr">
            <w14:noFill/>
            <w14:prstDash w14:val="solid"/>
            <w14:bevel/>
          </w14:textOutline>
        </w:rPr>
        <w:t>Hortic</w:t>
      </w:r>
      <w:proofErr w:type="spellEnd"/>
      <w:r>
        <w:rPr>
          <w:rFonts w:ascii="Cambria" w:hAnsi="Cambria"/>
          <w:sz w:val="18"/>
          <w:szCs w:val="18"/>
          <w:lang w:val="en-US"/>
          <w14:textOutline w14:w="0" w14:cap="flat" w14:cmpd="sng" w14:algn="ctr">
            <w14:noFill/>
            <w14:prstDash w14:val="solid"/>
            <w14:bevel/>
          </w14:textOutline>
        </w:rPr>
        <w:t xml:space="preserve">. 1298, 97-106 </w:t>
      </w:r>
      <w:r w:rsidRPr="007A0835">
        <w:rPr>
          <w:rFonts w:ascii="Cambria" w:hAnsi="Cambria"/>
          <w:sz w:val="18"/>
          <w:szCs w:val="18"/>
          <w:lang w:val="en-US"/>
          <w14:textOutline w14:w="0" w14:cap="flat" w14:cmpd="sng" w14:algn="ctr">
            <w14:noFill/>
            <w14:prstDash w14:val="solid"/>
            <w14:bevel/>
          </w14:textOutline>
        </w:rPr>
        <w:t>DOI: 1</w:t>
      </w:r>
      <w:r>
        <w:rPr>
          <w:rFonts w:ascii="Cambria" w:hAnsi="Cambria"/>
          <w:sz w:val="18"/>
          <w:szCs w:val="18"/>
          <w:lang w:val="en-US"/>
          <w14:textOutline w14:w="0" w14:cap="flat" w14:cmpd="sng" w14:algn="ctr">
            <w14:noFill/>
            <w14:prstDash w14:val="solid"/>
            <w14:bevel/>
          </w14:textOutline>
        </w:rPr>
        <w:t>0.17660/ActaHortic.2020.1298.15</w:t>
      </w:r>
      <w:r w:rsidRPr="007A0835">
        <w:rPr>
          <w:rFonts w:ascii="Cambria" w:hAnsi="Cambria"/>
          <w:sz w:val="18"/>
          <w:szCs w:val="18"/>
          <w:lang w:val="en-US"/>
          <w14:textOutline w14:w="0" w14:cap="flat" w14:cmpd="sng" w14:algn="ctr">
            <w14:noFill/>
            <w14:prstDash w14:val="solid"/>
            <w14:bevel/>
          </w14:textOutline>
        </w:rPr>
        <w:t>https://doi.org/10.17660/ActaHort</w:t>
      </w:r>
      <w:r>
        <w:rPr>
          <w:rFonts w:ascii="Cambria" w:hAnsi="Cambria"/>
          <w:sz w:val="18"/>
          <w:szCs w:val="18"/>
          <w:lang w:val="en-US"/>
          <w14:textOutline w14:w="0" w14:cap="flat" w14:cmpd="sng" w14:algn="ctr">
            <w14:noFill/>
            <w14:prstDash w14:val="solid"/>
            <w14:bevel/>
          </w14:textOutline>
        </w:rPr>
        <w:t>ic.2020.1298.15</w:t>
      </w:r>
    </w:p>
    <w:p w14:paraId="60B3B4C6"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proofErr w:type="spellStart"/>
      <w:r w:rsidRPr="007A0835">
        <w:rPr>
          <w:rFonts w:ascii="Cambria" w:hAnsi="Cambria"/>
          <w:sz w:val="18"/>
          <w:szCs w:val="18"/>
          <w:lang w:val="en-US"/>
          <w14:textOutline w14:w="0" w14:cap="flat" w14:cmpd="sng" w14:algn="ctr">
            <w14:noFill/>
            <w14:prstDash w14:val="solid"/>
            <w14:bevel/>
          </w14:textOutline>
        </w:rPr>
        <w:t>Proksch</w:t>
      </w:r>
      <w:proofErr w:type="spellEnd"/>
      <w:r w:rsidRPr="007A0835">
        <w:rPr>
          <w:rFonts w:ascii="Cambria" w:hAnsi="Cambria"/>
          <w:sz w:val="18"/>
          <w:szCs w:val="18"/>
          <w:lang w:val="en-US"/>
          <w14:textOutline w14:w="0" w14:cap="flat" w14:cmpd="sng" w14:algn="ctr">
            <w14:noFill/>
            <w14:prstDash w14:val="solid"/>
            <w14:bevel/>
          </w14:textOutline>
        </w:rPr>
        <w:t xml:space="preserve"> G., </w:t>
      </w:r>
      <w:proofErr w:type="spellStart"/>
      <w:r w:rsidRPr="007A0835">
        <w:rPr>
          <w:rFonts w:ascii="Cambria" w:hAnsi="Cambria"/>
          <w:sz w:val="18"/>
          <w:szCs w:val="18"/>
          <w:lang w:val="en-US"/>
          <w14:textOutline w14:w="0" w14:cap="flat" w14:cmpd="sng" w14:algn="ctr">
            <w14:noFill/>
            <w14:prstDash w14:val="solid"/>
            <w14:bevel/>
          </w14:textOutline>
        </w:rPr>
        <w:t>Ianchenko</w:t>
      </w:r>
      <w:proofErr w:type="spellEnd"/>
      <w:r w:rsidRPr="007A0835">
        <w:rPr>
          <w:rFonts w:ascii="Cambria" w:hAnsi="Cambria"/>
          <w:sz w:val="18"/>
          <w:szCs w:val="18"/>
          <w:lang w:val="en-US"/>
          <w14:textOutline w14:w="0" w14:cap="flat" w14:cmpd="sng" w14:algn="ctr">
            <w14:noFill/>
            <w14:prstDash w14:val="solid"/>
            <w14:bevel/>
          </w14:textOutline>
        </w:rPr>
        <w:t xml:space="preserve"> A., Kotzen B. (2019) Aquaponics in the Built Environment. In: Goddek S., Joyce A., Kotzen B., Burnell G. (eds) Aquaponics Food Production Systems. Springer, Cham. https://doi.or</w:t>
      </w:r>
      <w:r>
        <w:rPr>
          <w:rFonts w:ascii="Cambria" w:hAnsi="Cambria"/>
          <w:sz w:val="18"/>
          <w:szCs w:val="18"/>
          <w:lang w:val="en-US"/>
          <w14:textOutline w14:w="0" w14:cap="flat" w14:cmpd="sng" w14:algn="ctr">
            <w14:noFill/>
            <w14:prstDash w14:val="solid"/>
            <w14:bevel/>
          </w14:textOutline>
        </w:rPr>
        <w:t>g/10.1007/978-3-030-15943-6_21.</w:t>
      </w:r>
    </w:p>
    <w:p w14:paraId="692AF23C"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proofErr w:type="spellStart"/>
      <w:r w:rsidRPr="007A0835">
        <w:rPr>
          <w:rFonts w:ascii="Cambria" w:hAnsi="Cambria"/>
          <w:sz w:val="18"/>
          <w:szCs w:val="18"/>
          <w:lang w:val="en-US"/>
          <w14:textOutline w14:w="0" w14:cap="flat" w14:cmpd="sng" w14:algn="ctr">
            <w14:noFill/>
            <w14:prstDash w14:val="solid"/>
            <w14:bevel/>
          </w14:textOutline>
        </w:rPr>
        <w:t>Puri</w:t>
      </w:r>
      <w:proofErr w:type="spellEnd"/>
      <w:r w:rsidRPr="007A0835">
        <w:rPr>
          <w:rFonts w:ascii="Cambria" w:hAnsi="Cambria"/>
          <w:sz w:val="18"/>
          <w:szCs w:val="18"/>
          <w:lang w:val="en-US"/>
          <w14:textOutline w14:w="0" w14:cap="flat" w14:cmpd="sng" w14:algn="ctr">
            <w14:noFill/>
            <w14:prstDash w14:val="solid"/>
            <w14:bevel/>
          </w14:textOutline>
        </w:rPr>
        <w:t xml:space="preserve">, V. </w:t>
      </w:r>
      <w:proofErr w:type="spellStart"/>
      <w:r w:rsidRPr="007A0835">
        <w:rPr>
          <w:rFonts w:ascii="Cambria" w:hAnsi="Cambria"/>
          <w:sz w:val="18"/>
          <w:szCs w:val="18"/>
          <w:lang w:val="en-US"/>
          <w14:textOutline w14:w="0" w14:cap="flat" w14:cmpd="sng" w14:algn="ctr">
            <w14:noFill/>
            <w14:prstDash w14:val="solid"/>
            <w14:bevel/>
          </w14:textOutline>
        </w:rPr>
        <w:t>Caplow</w:t>
      </w:r>
      <w:proofErr w:type="spellEnd"/>
      <w:r w:rsidRPr="007A0835">
        <w:rPr>
          <w:rFonts w:ascii="Cambria" w:hAnsi="Cambria"/>
          <w:sz w:val="18"/>
          <w:szCs w:val="18"/>
          <w:lang w:val="en-US"/>
          <w14:textOutline w14:w="0" w14:cap="flat" w14:cmpd="sng" w14:algn="ctr">
            <w14:noFill/>
            <w14:prstDash w14:val="solid"/>
            <w14:bevel/>
          </w14:textOutline>
        </w:rPr>
        <w:t>, T. (2009). How to grow food in the 100% renewable city: Building-integrated agriculture. In P. Droege (ed.). 100% Renewable: Energy Autonomy in Action. (Earthscan, London, UK). p. 229–241.</w:t>
      </w:r>
    </w:p>
    <w:p w14:paraId="2F9BCDA0"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proofErr w:type="spellStart"/>
      <w:r w:rsidRPr="007A0835">
        <w:rPr>
          <w:rFonts w:ascii="Cambria" w:hAnsi="Cambria"/>
          <w:sz w:val="18"/>
          <w:szCs w:val="18"/>
          <w:lang w:val="en-US"/>
          <w14:textOutline w14:w="0" w14:cap="flat" w14:cmpd="sng" w14:algn="ctr">
            <w14:noFill/>
            <w14:prstDash w14:val="solid"/>
            <w14:bevel/>
          </w14:textOutline>
        </w:rPr>
        <w:t>Roggema</w:t>
      </w:r>
      <w:proofErr w:type="spellEnd"/>
      <w:r w:rsidRPr="007A0835">
        <w:rPr>
          <w:rFonts w:ascii="Cambria" w:hAnsi="Cambria"/>
          <w:sz w:val="18"/>
          <w:szCs w:val="18"/>
          <w:lang w:val="en-US"/>
          <w14:textOutline w14:w="0" w14:cap="flat" w14:cmpd="sng" w14:algn="ctr">
            <w14:noFill/>
            <w14:prstDash w14:val="solid"/>
            <w14:bevel/>
          </w14:textOutline>
        </w:rPr>
        <w:t xml:space="preserve">, R. (2016). Introduction- On the brink of why and how: sustainable urban food planning grows up. In </w:t>
      </w:r>
      <w:proofErr w:type="spellStart"/>
      <w:r w:rsidRPr="007A0835">
        <w:rPr>
          <w:rFonts w:ascii="Cambria" w:hAnsi="Cambria"/>
          <w:sz w:val="18"/>
          <w:szCs w:val="18"/>
          <w:lang w:val="en-US"/>
          <w14:textOutline w14:w="0" w14:cap="flat" w14:cmpd="sng" w14:algn="ctr">
            <w14:noFill/>
            <w14:prstDash w14:val="solid"/>
            <w14:bevel/>
          </w14:textOutline>
        </w:rPr>
        <w:t>Roggema</w:t>
      </w:r>
      <w:proofErr w:type="spellEnd"/>
      <w:r w:rsidRPr="007A0835">
        <w:rPr>
          <w:rFonts w:ascii="Cambria" w:hAnsi="Cambria"/>
          <w:sz w:val="18"/>
          <w:szCs w:val="18"/>
          <w:lang w:val="en-US"/>
          <w14:textOutline w14:w="0" w14:cap="flat" w14:cmpd="sng" w14:algn="ctr">
            <w14:noFill/>
            <w14:prstDash w14:val="solid"/>
            <w14:bevel/>
          </w14:textOutline>
        </w:rPr>
        <w:t>, R. (ed.), Sustainable urban agriculture and food planning, (Routledge).</w:t>
      </w:r>
    </w:p>
    <w:p w14:paraId="072C4733"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proofErr w:type="spellStart"/>
      <w:r>
        <w:rPr>
          <w:rFonts w:ascii="Cambria" w:hAnsi="Cambria"/>
          <w:sz w:val="18"/>
          <w:szCs w:val="18"/>
          <w:lang w:val="en-US"/>
          <w14:textOutline w14:w="0" w14:cap="flat" w14:cmpd="sng" w14:algn="ctr">
            <w14:noFill/>
            <w14:prstDash w14:val="solid"/>
            <w14:bevel/>
          </w14:textOutline>
        </w:rPr>
        <w:t>Sabeh</w:t>
      </w:r>
      <w:proofErr w:type="spellEnd"/>
      <w:r>
        <w:rPr>
          <w:rFonts w:ascii="Cambria" w:hAnsi="Cambria"/>
          <w:sz w:val="18"/>
          <w:szCs w:val="18"/>
          <w:lang w:val="en-US"/>
          <w14:textOutline w14:w="0" w14:cap="flat" w14:cmpd="sng" w14:algn="ctr">
            <w14:noFill/>
            <w14:prstDash w14:val="solid"/>
            <w14:bevel/>
          </w14:textOutline>
        </w:rPr>
        <w:t>, N. (2016).</w:t>
      </w:r>
      <w:r w:rsidRPr="007A0835">
        <w:rPr>
          <w:rFonts w:ascii="Cambria" w:hAnsi="Cambria"/>
          <w:sz w:val="18"/>
          <w:szCs w:val="18"/>
          <w:lang w:val="en-US"/>
          <w14:textOutline w14:w="0" w14:cap="flat" w14:cmpd="sng" w14:algn="ctr">
            <w14:noFill/>
            <w14:prstDash w14:val="solid"/>
            <w14:bevel/>
          </w14:textOutline>
        </w:rPr>
        <w:t xml:space="preserve"> Rooftop Plant Production Systems in Urban Areas. In Plant Factory, (eds) </w:t>
      </w:r>
      <w:proofErr w:type="spellStart"/>
      <w:r w:rsidRPr="007A0835">
        <w:rPr>
          <w:rFonts w:ascii="Cambria" w:hAnsi="Cambria"/>
          <w:sz w:val="18"/>
          <w:szCs w:val="18"/>
          <w:lang w:val="en-US"/>
          <w14:textOutline w14:w="0" w14:cap="flat" w14:cmpd="sng" w14:algn="ctr">
            <w14:noFill/>
            <w14:prstDash w14:val="solid"/>
            <w14:bevel/>
          </w14:textOutline>
        </w:rPr>
        <w:t>Kozai</w:t>
      </w:r>
      <w:proofErr w:type="spellEnd"/>
      <w:r w:rsidRPr="007A0835">
        <w:rPr>
          <w:rFonts w:ascii="Cambria" w:hAnsi="Cambria"/>
          <w:sz w:val="18"/>
          <w:szCs w:val="18"/>
          <w:lang w:val="en-US"/>
          <w14:textOutline w14:w="0" w14:cap="flat" w14:cmpd="sng" w14:algn="ctr">
            <w14:noFill/>
            <w14:prstDash w14:val="solid"/>
            <w14:bevel/>
          </w14:textOutline>
        </w:rPr>
        <w:t xml:space="preserve">, T. </w:t>
      </w:r>
      <w:proofErr w:type="spellStart"/>
      <w:r w:rsidRPr="007A0835">
        <w:rPr>
          <w:rFonts w:ascii="Cambria" w:hAnsi="Cambria"/>
          <w:sz w:val="18"/>
          <w:szCs w:val="18"/>
          <w:lang w:val="en-US"/>
          <w14:textOutline w14:w="0" w14:cap="flat" w14:cmpd="sng" w14:algn="ctr">
            <w14:noFill/>
            <w14:prstDash w14:val="solid"/>
            <w14:bevel/>
          </w14:textOutline>
        </w:rPr>
        <w:t>Niu</w:t>
      </w:r>
      <w:proofErr w:type="spellEnd"/>
      <w:r w:rsidRPr="007A0835">
        <w:rPr>
          <w:rFonts w:ascii="Cambria" w:hAnsi="Cambria"/>
          <w:sz w:val="18"/>
          <w:szCs w:val="18"/>
          <w:lang w:val="en-US"/>
          <w14:textOutline w14:w="0" w14:cap="flat" w14:cmpd="sng" w14:algn="ctr">
            <w14:noFill/>
            <w14:prstDash w14:val="solid"/>
            <w14:bevel/>
          </w14:textOutline>
        </w:rPr>
        <w:t xml:space="preserve">, G. </w:t>
      </w:r>
      <w:proofErr w:type="spellStart"/>
      <w:r w:rsidRPr="007A0835">
        <w:rPr>
          <w:rFonts w:ascii="Cambria" w:hAnsi="Cambria"/>
          <w:sz w:val="18"/>
          <w:szCs w:val="18"/>
          <w:lang w:val="en-US"/>
          <w14:textOutline w14:w="0" w14:cap="flat" w14:cmpd="sng" w14:algn="ctr">
            <w14:noFill/>
            <w14:prstDash w14:val="solid"/>
            <w14:bevel/>
          </w14:textOutline>
        </w:rPr>
        <w:t>Takagaki</w:t>
      </w:r>
      <w:proofErr w:type="spellEnd"/>
      <w:r w:rsidRPr="007A0835">
        <w:rPr>
          <w:rFonts w:ascii="Cambria" w:hAnsi="Cambria"/>
          <w:sz w:val="18"/>
          <w:szCs w:val="18"/>
          <w:lang w:val="en-US"/>
          <w14:textOutline w14:w="0" w14:cap="flat" w14:cmpd="sng" w14:algn="ctr">
            <w14:noFill/>
            <w14:prstDash w14:val="solid"/>
            <w14:bevel/>
          </w14:textOutline>
        </w:rPr>
        <w:t xml:space="preserve">, </w:t>
      </w:r>
      <w:proofErr w:type="gramStart"/>
      <w:r w:rsidRPr="007A0835">
        <w:rPr>
          <w:rFonts w:ascii="Cambria" w:hAnsi="Cambria"/>
          <w:sz w:val="18"/>
          <w:szCs w:val="18"/>
          <w:lang w:val="en-US"/>
          <w14:textOutline w14:w="0" w14:cap="flat" w14:cmpd="sng" w14:algn="ctr">
            <w14:noFill/>
            <w14:prstDash w14:val="solid"/>
            <w14:bevel/>
          </w14:textOutline>
        </w:rPr>
        <w:t>M.(</w:t>
      </w:r>
      <w:proofErr w:type="gramEnd"/>
      <w:r w:rsidRPr="007A0835">
        <w:rPr>
          <w:rFonts w:ascii="Cambria" w:hAnsi="Cambria"/>
          <w:sz w:val="18"/>
          <w:szCs w:val="18"/>
          <w:lang w:val="en-US"/>
          <w14:textOutline w14:w="0" w14:cap="flat" w14:cmpd="sng" w14:algn="ctr">
            <w14:noFill/>
            <w14:prstDash w14:val="solid"/>
            <w14:bevel/>
          </w14:textOutline>
        </w:rPr>
        <w:t>Academic Press), 105-111.</w:t>
      </w:r>
    </w:p>
    <w:p w14:paraId="48B41B5C"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it-IT"/>
          <w14:textOutline w14:w="0" w14:cap="flat" w14:cmpd="sng" w14:algn="ctr">
            <w14:noFill/>
            <w14:prstDash w14:val="solid"/>
            <w14:bevel/>
          </w14:textOutline>
        </w:rPr>
        <w:t xml:space="preserve">Santo, R. Palmer, A. Kim, B. (2016). </w:t>
      </w:r>
      <w:r w:rsidRPr="007A0835">
        <w:rPr>
          <w:rFonts w:ascii="Cambria" w:hAnsi="Cambria"/>
          <w:sz w:val="18"/>
          <w:szCs w:val="18"/>
          <w:lang w:val="en-US"/>
          <w14:textOutline w14:w="0" w14:cap="flat" w14:cmpd="sng" w14:algn="ctr">
            <w14:noFill/>
            <w14:prstDash w14:val="solid"/>
            <w14:bevel/>
          </w14:textOutline>
        </w:rPr>
        <w:t>Vacant lots to Vibrant Plots: A review of the benefits and limitations of urban agriculture. (Johns Hopkins Center for a Livable Future).</w:t>
      </w:r>
    </w:p>
    <w:p w14:paraId="408A7C3A"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Sanyé-Mengual, E. (2015). Sustainability assessment of urban rooftop farming using an interdisciplinary approach [PhD Thesis].</w:t>
      </w:r>
    </w:p>
    <w:p w14:paraId="1BCC94D0"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proofErr w:type="spellStart"/>
      <w:r w:rsidRPr="007A0835">
        <w:rPr>
          <w:rFonts w:ascii="Cambria" w:hAnsi="Cambria"/>
          <w:sz w:val="18"/>
          <w:szCs w:val="18"/>
          <w:lang w:val="en-US"/>
          <w14:textOutline w14:w="0" w14:cap="flat" w14:cmpd="sng" w14:algn="ctr">
            <w14:noFill/>
            <w14:prstDash w14:val="solid"/>
            <w14:bevel/>
          </w14:textOutline>
        </w:rPr>
        <w:t>Sauerborn</w:t>
      </w:r>
      <w:proofErr w:type="spellEnd"/>
      <w:r w:rsidRPr="007A0835">
        <w:rPr>
          <w:rFonts w:ascii="Cambria" w:hAnsi="Cambria"/>
          <w:sz w:val="18"/>
          <w:szCs w:val="18"/>
          <w:lang w:val="en-US"/>
          <w14:textOutline w14:w="0" w14:cap="flat" w14:cmpd="sng" w14:algn="ctr">
            <w14:noFill/>
            <w14:prstDash w14:val="solid"/>
            <w14:bevel/>
          </w14:textOutline>
        </w:rPr>
        <w:t xml:space="preserve">, J. (2011). </w:t>
      </w:r>
      <w:proofErr w:type="spellStart"/>
      <w:r w:rsidRPr="007A0835">
        <w:rPr>
          <w:rFonts w:ascii="Cambria" w:hAnsi="Cambria"/>
          <w:sz w:val="18"/>
          <w:szCs w:val="18"/>
          <w:lang w:val="en-US"/>
          <w14:textOutline w14:w="0" w14:cap="flat" w14:cmpd="sng" w14:algn="ctr">
            <w14:noFill/>
            <w14:prstDash w14:val="solid"/>
            <w14:bevel/>
          </w14:textOutline>
        </w:rPr>
        <w:t>Skyfarming</w:t>
      </w:r>
      <w:proofErr w:type="spellEnd"/>
      <w:r w:rsidRPr="007A0835">
        <w:rPr>
          <w:rFonts w:ascii="Cambria" w:hAnsi="Cambria"/>
          <w:sz w:val="18"/>
          <w:szCs w:val="18"/>
          <w:lang w:val="en-US"/>
          <w14:textOutline w14:w="0" w14:cap="flat" w14:cmpd="sng" w14:algn="ctr">
            <w14:noFill/>
            <w14:prstDash w14:val="solid"/>
            <w14:bevel/>
          </w14:textOutline>
        </w:rPr>
        <w:t>: An alternative to horizontal croplands. (Engineering and Technology for a Sustainable World).</w:t>
      </w:r>
    </w:p>
    <w:p w14:paraId="1275BDF1"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lastRenderedPageBreak/>
        <w:t xml:space="preserve">Specht, K., Siebert, R., Opitz, I., </w:t>
      </w:r>
      <w:proofErr w:type="spellStart"/>
      <w:r w:rsidRPr="007A0835">
        <w:rPr>
          <w:rFonts w:ascii="Cambria" w:hAnsi="Cambria"/>
          <w:sz w:val="18"/>
          <w:szCs w:val="18"/>
          <w:lang w:val="en-US"/>
          <w14:textOutline w14:w="0" w14:cap="flat" w14:cmpd="sng" w14:algn="ctr">
            <w14:noFill/>
            <w14:prstDash w14:val="solid"/>
            <w14:bevel/>
          </w14:textOutline>
        </w:rPr>
        <w:t>Freisinger</w:t>
      </w:r>
      <w:proofErr w:type="spellEnd"/>
      <w:r w:rsidRPr="007A0835">
        <w:rPr>
          <w:rFonts w:ascii="Cambria" w:hAnsi="Cambria"/>
          <w:sz w:val="18"/>
          <w:szCs w:val="18"/>
          <w:lang w:val="en-US"/>
          <w14:textOutline w14:w="0" w14:cap="flat" w14:cmpd="sng" w14:algn="ctr">
            <w14:noFill/>
            <w14:prstDash w14:val="solid"/>
            <w14:bevel/>
          </w14:textOutline>
        </w:rPr>
        <w:t xml:space="preserve">, U., </w:t>
      </w:r>
      <w:proofErr w:type="spellStart"/>
      <w:r w:rsidRPr="007A0835">
        <w:rPr>
          <w:rFonts w:ascii="Cambria" w:hAnsi="Cambria"/>
          <w:sz w:val="18"/>
          <w:szCs w:val="18"/>
          <w:lang w:val="en-US"/>
          <w14:textOutline w14:w="0" w14:cap="flat" w14:cmpd="sng" w14:algn="ctr">
            <w14:noFill/>
            <w14:prstDash w14:val="solid"/>
            <w14:bevel/>
          </w14:textOutline>
        </w:rPr>
        <w:t>Sawicka</w:t>
      </w:r>
      <w:proofErr w:type="spellEnd"/>
      <w:r w:rsidRPr="007A0835">
        <w:rPr>
          <w:rFonts w:ascii="Cambria" w:hAnsi="Cambria"/>
          <w:sz w:val="18"/>
          <w:szCs w:val="18"/>
          <w:lang w:val="en-US"/>
          <w14:textOutline w14:w="0" w14:cap="flat" w14:cmpd="sng" w14:algn="ctr">
            <w14:noFill/>
            <w14:prstDash w14:val="solid"/>
            <w14:bevel/>
          </w14:textOutline>
        </w:rPr>
        <w:t xml:space="preserve">, M., Werner, A., Thomaier, S., </w:t>
      </w:r>
      <w:proofErr w:type="spellStart"/>
      <w:r w:rsidRPr="007A0835">
        <w:rPr>
          <w:rFonts w:ascii="Cambria" w:hAnsi="Cambria"/>
          <w:sz w:val="18"/>
          <w:szCs w:val="18"/>
          <w:lang w:val="en-US"/>
          <w14:textOutline w14:w="0" w14:cap="flat" w14:cmpd="sng" w14:algn="ctr">
            <w14:noFill/>
            <w14:prstDash w14:val="solid"/>
            <w14:bevel/>
          </w14:textOutline>
        </w:rPr>
        <w:t>Henckel</w:t>
      </w:r>
      <w:proofErr w:type="spellEnd"/>
      <w:r w:rsidRPr="007A0835">
        <w:rPr>
          <w:rFonts w:ascii="Cambria" w:hAnsi="Cambria"/>
          <w:sz w:val="18"/>
          <w:szCs w:val="18"/>
          <w:lang w:val="en-US"/>
          <w14:textOutline w14:w="0" w14:cap="flat" w14:cmpd="sng" w14:algn="ctr">
            <w14:noFill/>
            <w14:prstDash w14:val="solid"/>
            <w14:bevel/>
          </w14:textOutline>
        </w:rPr>
        <w:t xml:space="preserve">, D., Walk, H., </w:t>
      </w:r>
      <w:proofErr w:type="spellStart"/>
      <w:r w:rsidRPr="007A0835">
        <w:rPr>
          <w:rFonts w:ascii="Cambria" w:hAnsi="Cambria"/>
          <w:sz w:val="18"/>
          <w:szCs w:val="18"/>
          <w:lang w:val="en-US"/>
          <w14:textOutline w14:w="0" w14:cap="flat" w14:cmpd="sng" w14:algn="ctr">
            <w14:noFill/>
            <w14:prstDash w14:val="solid"/>
            <w14:bevel/>
          </w14:textOutline>
        </w:rPr>
        <w:t>Dierich</w:t>
      </w:r>
      <w:proofErr w:type="spellEnd"/>
      <w:r w:rsidRPr="007A0835">
        <w:rPr>
          <w:rFonts w:ascii="Cambria" w:hAnsi="Cambria"/>
          <w:sz w:val="18"/>
          <w:szCs w:val="18"/>
          <w:lang w:val="en-US"/>
          <w14:textOutline w14:w="0" w14:cap="flat" w14:cmpd="sng" w14:algn="ctr">
            <w14:noFill/>
            <w14:prstDash w14:val="solid"/>
            <w14:bevel/>
          </w14:textOutline>
        </w:rPr>
        <w:t>, A. (2014). Urban agriculture of the future: An overview of sustainability aspects of food production in and on buildings. Agriculture and Human Values. 31.</w:t>
      </w:r>
    </w:p>
    <w:p w14:paraId="4A0479E0"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Pr>
          <w:rFonts w:ascii="Cambria" w:hAnsi="Cambria"/>
          <w:sz w:val="18"/>
          <w:szCs w:val="18"/>
          <w:lang w:val="en-US"/>
          <w14:textOutline w14:w="0" w14:cap="flat" w14:cmpd="sng" w14:algn="ctr">
            <w14:noFill/>
            <w14:prstDash w14:val="solid"/>
            <w14:bevel/>
          </w14:textOutline>
        </w:rPr>
        <w:t xml:space="preserve">Stevens, C., </w:t>
      </w:r>
      <w:proofErr w:type="spellStart"/>
      <w:r w:rsidRPr="007A0835">
        <w:rPr>
          <w:rFonts w:ascii="Cambria" w:hAnsi="Cambria"/>
          <w:sz w:val="18"/>
          <w:szCs w:val="18"/>
          <w:lang w:val="en-US"/>
          <w14:textOutline w14:w="0" w14:cap="flat" w14:cmpd="sng" w14:algn="ctr">
            <w14:noFill/>
            <w14:prstDash w14:val="solid"/>
            <w14:bevel/>
          </w14:textOutline>
        </w:rPr>
        <w:t>Kanie</w:t>
      </w:r>
      <w:proofErr w:type="spellEnd"/>
      <w:r w:rsidRPr="007A0835">
        <w:rPr>
          <w:rFonts w:ascii="Cambria" w:hAnsi="Cambria"/>
          <w:sz w:val="18"/>
          <w:szCs w:val="18"/>
          <w:lang w:val="en-US"/>
          <w14:textOutline w14:w="0" w14:cap="flat" w14:cmpd="sng" w14:algn="ctr">
            <w14:noFill/>
            <w14:prstDash w14:val="solid"/>
            <w14:bevel/>
          </w14:textOutline>
        </w:rPr>
        <w:t xml:space="preserve">, N. (2016). The transformative potential of the sustainable development goals (SDGs). </w:t>
      </w:r>
    </w:p>
    <w:p w14:paraId="28C4707A"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 xml:space="preserve">Thomaier, S., Specht, K., </w:t>
      </w:r>
      <w:proofErr w:type="spellStart"/>
      <w:r w:rsidRPr="007A0835">
        <w:rPr>
          <w:rFonts w:ascii="Cambria" w:hAnsi="Cambria"/>
          <w:sz w:val="18"/>
          <w:szCs w:val="18"/>
          <w:lang w:val="en-US"/>
          <w14:textOutline w14:w="0" w14:cap="flat" w14:cmpd="sng" w14:algn="ctr">
            <w14:noFill/>
            <w14:prstDash w14:val="solid"/>
            <w14:bevel/>
          </w14:textOutline>
        </w:rPr>
        <w:t>Henckel</w:t>
      </w:r>
      <w:proofErr w:type="spellEnd"/>
      <w:r w:rsidRPr="007A0835">
        <w:rPr>
          <w:rFonts w:ascii="Cambria" w:hAnsi="Cambria"/>
          <w:sz w:val="18"/>
          <w:szCs w:val="18"/>
          <w:lang w:val="en-US"/>
          <w14:textOutline w14:w="0" w14:cap="flat" w14:cmpd="sng" w14:algn="ctr">
            <w14:noFill/>
            <w14:prstDash w14:val="solid"/>
            <w14:bevel/>
          </w14:textOutline>
        </w:rPr>
        <w:t xml:space="preserve">, D., </w:t>
      </w:r>
      <w:proofErr w:type="spellStart"/>
      <w:r w:rsidRPr="007A0835">
        <w:rPr>
          <w:rFonts w:ascii="Cambria" w:hAnsi="Cambria"/>
          <w:sz w:val="18"/>
          <w:szCs w:val="18"/>
          <w:lang w:val="en-US"/>
          <w14:textOutline w14:w="0" w14:cap="flat" w14:cmpd="sng" w14:algn="ctr">
            <w14:noFill/>
            <w14:prstDash w14:val="solid"/>
            <w14:bevel/>
          </w14:textOutline>
        </w:rPr>
        <w:t>Dierich</w:t>
      </w:r>
      <w:proofErr w:type="spellEnd"/>
      <w:r w:rsidRPr="007A0835">
        <w:rPr>
          <w:rFonts w:ascii="Cambria" w:hAnsi="Cambria"/>
          <w:sz w:val="18"/>
          <w:szCs w:val="18"/>
          <w:lang w:val="en-US"/>
          <w14:textOutline w14:w="0" w14:cap="flat" w14:cmpd="sng" w14:algn="ctr">
            <w14:noFill/>
            <w14:prstDash w14:val="solid"/>
            <w14:bevel/>
          </w14:textOutline>
        </w:rPr>
        <w:t xml:space="preserve">, A., Siebert, R., </w:t>
      </w:r>
      <w:proofErr w:type="spellStart"/>
      <w:r w:rsidRPr="007A0835">
        <w:rPr>
          <w:rFonts w:ascii="Cambria" w:hAnsi="Cambria"/>
          <w:sz w:val="18"/>
          <w:szCs w:val="18"/>
          <w:lang w:val="en-US"/>
          <w14:textOutline w14:w="0" w14:cap="flat" w14:cmpd="sng" w14:algn="ctr">
            <w14:noFill/>
            <w14:prstDash w14:val="solid"/>
            <w14:bevel/>
          </w14:textOutline>
        </w:rPr>
        <w:t>Freisinger</w:t>
      </w:r>
      <w:proofErr w:type="spellEnd"/>
      <w:r w:rsidRPr="007A0835">
        <w:rPr>
          <w:rFonts w:ascii="Cambria" w:hAnsi="Cambria"/>
          <w:sz w:val="18"/>
          <w:szCs w:val="18"/>
          <w:lang w:val="en-US"/>
          <w14:textOutline w14:w="0" w14:cap="flat" w14:cmpd="sng" w14:algn="ctr">
            <w14:noFill/>
            <w14:prstDash w14:val="solid"/>
            <w14:bevel/>
          </w14:textOutline>
        </w:rPr>
        <w:t xml:space="preserve">, U., </w:t>
      </w:r>
      <w:proofErr w:type="spellStart"/>
      <w:r w:rsidRPr="007A0835">
        <w:rPr>
          <w:rFonts w:ascii="Cambria" w:hAnsi="Cambria"/>
          <w:sz w:val="18"/>
          <w:szCs w:val="18"/>
          <w:lang w:val="en-US"/>
          <w14:textOutline w14:w="0" w14:cap="flat" w14:cmpd="sng" w14:algn="ctr">
            <w14:noFill/>
            <w14:prstDash w14:val="solid"/>
            <w14:bevel/>
          </w14:textOutline>
        </w:rPr>
        <w:t>Sawicka</w:t>
      </w:r>
      <w:proofErr w:type="spellEnd"/>
      <w:r w:rsidRPr="007A0835">
        <w:rPr>
          <w:rFonts w:ascii="Cambria" w:hAnsi="Cambria"/>
          <w:sz w:val="18"/>
          <w:szCs w:val="18"/>
          <w:lang w:val="en-US"/>
          <w14:textOutline w14:w="0" w14:cap="flat" w14:cmpd="sng" w14:algn="ctr">
            <w14:noFill/>
            <w14:prstDash w14:val="solid"/>
            <w14:bevel/>
          </w14:textOutline>
        </w:rPr>
        <w:t xml:space="preserve">, </w:t>
      </w:r>
      <w:proofErr w:type="gramStart"/>
      <w:r w:rsidRPr="007A0835">
        <w:rPr>
          <w:rFonts w:ascii="Cambria" w:hAnsi="Cambria"/>
          <w:sz w:val="18"/>
          <w:szCs w:val="18"/>
          <w:lang w:val="en-US"/>
          <w14:textOutline w14:w="0" w14:cap="flat" w14:cmpd="sng" w14:algn="ctr">
            <w14:noFill/>
            <w14:prstDash w14:val="solid"/>
            <w14:bevel/>
          </w14:textOutline>
        </w:rPr>
        <w:t>M..</w:t>
      </w:r>
      <w:proofErr w:type="gramEnd"/>
      <w:r w:rsidRPr="007A0835">
        <w:rPr>
          <w:rFonts w:ascii="Cambria" w:hAnsi="Cambria"/>
          <w:sz w:val="18"/>
          <w:szCs w:val="18"/>
          <w:lang w:val="en-US"/>
          <w14:textOutline w14:w="0" w14:cap="flat" w14:cmpd="sng" w14:algn="ctr">
            <w14:noFill/>
            <w14:prstDash w14:val="solid"/>
            <w14:bevel/>
          </w14:textOutline>
        </w:rPr>
        <w:t xml:space="preserve"> (2014). Farming in and on urban buildings: Present practice and specific novelties of Zero-Acreage Farming (</w:t>
      </w:r>
      <w:proofErr w:type="spellStart"/>
      <w:r w:rsidRPr="007A0835">
        <w:rPr>
          <w:rFonts w:ascii="Cambria" w:hAnsi="Cambria"/>
          <w:sz w:val="18"/>
          <w:szCs w:val="18"/>
          <w:lang w:val="en-US"/>
          <w14:textOutline w14:w="0" w14:cap="flat" w14:cmpd="sng" w14:algn="ctr">
            <w14:noFill/>
            <w14:prstDash w14:val="solid"/>
            <w14:bevel/>
          </w14:textOutline>
        </w:rPr>
        <w:t>ZFarming</w:t>
      </w:r>
      <w:proofErr w:type="spellEnd"/>
      <w:r w:rsidRPr="007A0835">
        <w:rPr>
          <w:rFonts w:ascii="Cambria" w:hAnsi="Cambria"/>
          <w:sz w:val="18"/>
          <w:szCs w:val="18"/>
          <w:lang w:val="en-US"/>
          <w14:textOutline w14:w="0" w14:cap="flat" w14:cmpd="sng" w14:algn="ctr">
            <w14:noFill/>
            <w14:prstDash w14:val="solid"/>
            <w14:bevel/>
          </w14:textOutline>
        </w:rPr>
        <w:t xml:space="preserve">). Renewable Agriculture and Food Systems. 30. </w:t>
      </w:r>
    </w:p>
    <w:p w14:paraId="131BB397"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proofErr w:type="spellStart"/>
      <w:r w:rsidRPr="007A0835">
        <w:rPr>
          <w:rFonts w:ascii="Cambria" w:hAnsi="Cambria"/>
          <w:sz w:val="18"/>
          <w:szCs w:val="18"/>
          <w:lang w:val="en-US"/>
          <w14:textOutline w14:w="0" w14:cap="flat" w14:cmpd="sng" w14:algn="ctr">
            <w14:noFill/>
            <w14:prstDash w14:val="solid"/>
            <w14:bevel/>
          </w14:textOutline>
        </w:rPr>
        <w:t>Tuijl</w:t>
      </w:r>
      <w:proofErr w:type="spellEnd"/>
      <w:r w:rsidRPr="007A0835">
        <w:rPr>
          <w:rFonts w:ascii="Cambria" w:hAnsi="Cambria"/>
          <w:sz w:val="18"/>
          <w:szCs w:val="18"/>
          <w:lang w:val="en-US"/>
          <w14:textOutline w14:w="0" w14:cap="flat" w14:cmpd="sng" w14:algn="ctr">
            <w14:noFill/>
            <w14:prstDash w14:val="solid"/>
            <w14:bevel/>
          </w14:textOutline>
        </w:rPr>
        <w:t>, E., Hospers, G.J., van den Berg, L. (2018). Opportunities and Challenges of Urban Agriculture for Sustainable City Development. European Spatial Research and Policy. 25. 5 (22). 10.18778/1231-1952.25.2.01.</w:t>
      </w:r>
    </w:p>
    <w:p w14:paraId="28C57555"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U.N. (2015). SDG 11 - Sustainable cities and communities. https://www.un.org/</w:t>
      </w:r>
      <w:r>
        <w:rPr>
          <w:rFonts w:ascii="Cambria" w:hAnsi="Cambria"/>
          <w:sz w:val="18"/>
          <w:szCs w:val="18"/>
          <w:lang w:val="en-US"/>
          <w14:textOutline w14:w="0" w14:cap="flat" w14:cmpd="sng" w14:algn="ctr">
            <w14:noFill/>
            <w14:prstDash w14:val="solid"/>
            <w14:bevel/>
          </w14:textOutline>
        </w:rPr>
        <w:t xml:space="preserve">sustainabledevelopment/cities/ </w:t>
      </w:r>
    </w:p>
    <w:p w14:paraId="3A3310AD"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United Nations Framework Convention on Climate Change. (2017). Urban environment related mitigation benefits and co-benefits of policies, practices and actions for enhancing mitigation ambition and options for supporting their implementation. (The Secretariat Paper Report).</w:t>
      </w:r>
    </w:p>
    <w:p w14:paraId="54138BAC"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Weber, C.L., Matthews, H.S. (2008). Food-miles and the relative climate impacts of food choices in the United States. Environmental Science &amp; Technology, 42(10), 3508-3513.</w:t>
      </w:r>
    </w:p>
    <w:p w14:paraId="0CE222A0" w14:textId="77777777" w:rsidR="00EF7180" w:rsidRPr="007A0835" w:rsidRDefault="00EF7180" w:rsidP="00406AE4">
      <w:pPr>
        <w:spacing w:before="120" w:after="0" w:line="240" w:lineRule="auto"/>
        <w:jc w:val="both"/>
        <w:rPr>
          <w:rFonts w:ascii="Cambria" w:hAnsi="Cambria"/>
          <w:sz w:val="18"/>
          <w:szCs w:val="18"/>
          <w:lang w:val="en-US"/>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WEF World Economic Forum Circular. (2018) Economy in Cities Evolving the model for a sustainable urban future. White paper. Available at: https://www.weforum.org/whitepapers/circular-economy-in-cities-evolving-the-model-</w:t>
      </w:r>
      <w:r>
        <w:rPr>
          <w:rFonts w:ascii="Cambria" w:hAnsi="Cambria"/>
          <w:sz w:val="18"/>
          <w:szCs w:val="18"/>
          <w:lang w:val="en-US"/>
          <w14:textOutline w14:w="0" w14:cap="flat" w14:cmpd="sng" w14:algn="ctr">
            <w14:noFill/>
            <w14:prstDash w14:val="solid"/>
            <w14:bevel/>
          </w14:textOutline>
        </w:rPr>
        <w:t>for-a-sustainable-urban-future.</w:t>
      </w:r>
    </w:p>
    <w:p w14:paraId="5A56FF22" w14:textId="500750BD" w:rsidR="00EF7180" w:rsidRPr="00A4197A" w:rsidRDefault="00EF7180" w:rsidP="00406AE4">
      <w:pPr>
        <w:spacing w:before="120" w:after="0" w:line="240" w:lineRule="auto"/>
        <w:jc w:val="both"/>
        <w:rPr>
          <w:rFonts w:ascii="Helvetica Neue" w:hAnsi="Helvetica Neue"/>
          <w:lang w:val="it-IT"/>
          <w14:textOutline w14:w="0" w14:cap="flat" w14:cmpd="sng" w14:algn="ctr">
            <w14:noFill/>
            <w14:prstDash w14:val="solid"/>
            <w14:bevel/>
          </w14:textOutline>
        </w:rPr>
      </w:pPr>
      <w:r w:rsidRPr="007A0835">
        <w:rPr>
          <w:rFonts w:ascii="Cambria" w:hAnsi="Cambria"/>
          <w:sz w:val="18"/>
          <w:szCs w:val="18"/>
          <w:lang w:val="en-US"/>
          <w14:textOutline w14:w="0" w14:cap="flat" w14:cmpd="sng" w14:algn="ctr">
            <w14:noFill/>
            <w14:prstDash w14:val="solid"/>
            <w14:bevel/>
          </w14:textOutline>
        </w:rPr>
        <w:t>Wolf, K. L., Robbins, A. S. (2015). Metro nature, environmental health, and economic value. Environmental Health Perspectives, 123(5), 390-398.</w:t>
      </w:r>
    </w:p>
    <w:sectPr w:rsidR="00EF7180" w:rsidRPr="00A4197A" w:rsidSect="00046407">
      <w:headerReference w:type="default" r:id="rId16"/>
      <w:footerReference w:type="default" r:id="rId17"/>
      <w:pgSz w:w="11900" w:h="16840"/>
      <w:pgMar w:top="1531" w:right="1644" w:bottom="1985" w:left="1588" w:header="709" w:footer="709" w:gutter="0"/>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6899A0D" w16cex:dateUtc="2021-10-27T16:30:33.464Z"/>
  <w16cex:commentExtensible w16cex:durableId="19E90D98" w16cex:dateUtc="2021-10-27T16:30:41.762Z"/>
  <w16cex:commentExtensible w16cex:durableId="0A91CF4D" w16cex:dateUtc="2021-10-27T16:32:24.15Z"/>
  <w16cex:commentExtensible w16cex:durableId="7AFF68B9" w16cex:dateUtc="2021-10-27T16:33:12.488Z"/>
  <w16cex:commentExtensible w16cex:durableId="4C8D4D73" w16cex:dateUtc="2021-10-27T16:37:31.314Z"/>
  <w16cex:commentExtensible w16cex:durableId="2183AE65" w16cex:dateUtc="2021-10-27T16:37:42.8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F5C2D" w14:textId="77777777" w:rsidR="00200A57" w:rsidRDefault="00200A57">
      <w:pPr>
        <w:spacing w:after="0" w:line="240" w:lineRule="auto"/>
      </w:pPr>
      <w:r>
        <w:separator/>
      </w:r>
    </w:p>
  </w:endnote>
  <w:endnote w:type="continuationSeparator" w:id="0">
    <w:p w14:paraId="74A7E747" w14:textId="77777777" w:rsidR="00200A57" w:rsidRDefault="00200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Roman">
    <w:altName w:val="Times New Roman"/>
    <w:charset w:val="00"/>
    <w:family w:val="roman"/>
    <w:pitch w:val="default"/>
  </w:font>
  <w:font w:name="Helvetica Neue">
    <w:altName w:val="Myriad Pro"/>
    <w:charset w:val="00"/>
    <w:family w:val="roman"/>
    <w:pitch w:val="default"/>
  </w:font>
  <w:font w:name="Helvetica Neue Light">
    <w:altName w:val="Arial Nova Light"/>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1D192" w14:textId="77777777" w:rsidR="003C54C2" w:rsidRDefault="003C54C2">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8C885" w14:textId="77777777" w:rsidR="00200A57" w:rsidRDefault="00200A57">
      <w:pPr>
        <w:spacing w:after="0" w:line="240" w:lineRule="auto"/>
      </w:pPr>
      <w:r>
        <w:separator/>
      </w:r>
    </w:p>
  </w:footnote>
  <w:footnote w:type="continuationSeparator" w:id="0">
    <w:p w14:paraId="7605A054" w14:textId="77777777" w:rsidR="00200A57" w:rsidRDefault="00200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1D191" w14:textId="77777777" w:rsidR="003C54C2" w:rsidRDefault="003C54C2">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74307"/>
    <w:multiLevelType w:val="hybridMultilevel"/>
    <w:tmpl w:val="5C3A9ABE"/>
    <w:styleLink w:val="Conlettere"/>
    <w:lvl w:ilvl="0" w:tplc="028AADD4">
      <w:start w:val="1"/>
      <w:numFmt w:val="lowerRoman"/>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D0C560C">
      <w:start w:val="1"/>
      <w:numFmt w:val="lowerRoman"/>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166442">
      <w:start w:val="1"/>
      <w:numFmt w:val="lowerRoman"/>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5782B52">
      <w:start w:val="1"/>
      <w:numFmt w:val="lowerRoman"/>
      <w:lvlText w:val="(%4)"/>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86827C">
      <w:start w:val="1"/>
      <w:numFmt w:val="lowerRoman"/>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88E01C">
      <w:start w:val="1"/>
      <w:numFmt w:val="lowerRoman"/>
      <w:lvlText w:val="(%6)"/>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71AE75C">
      <w:start w:val="1"/>
      <w:numFmt w:val="lowerRoman"/>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D223F08">
      <w:start w:val="1"/>
      <w:numFmt w:val="lowerRoman"/>
      <w:lvlText w:val="(%8)"/>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21E6138">
      <w:start w:val="1"/>
      <w:numFmt w:val="lowerRoman"/>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E160BE4"/>
    <w:multiLevelType w:val="hybridMultilevel"/>
    <w:tmpl w:val="286AF09C"/>
    <w:lvl w:ilvl="0" w:tplc="59DA7880">
      <w:numFmt w:val="bullet"/>
      <w:lvlText w:val="-"/>
      <w:lvlJc w:val="left"/>
      <w:pPr>
        <w:ind w:left="720" w:hanging="360"/>
      </w:pPr>
      <w:rPr>
        <w:rFonts w:ascii="Calibri" w:eastAsia="Arial Unicode M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8772BB"/>
    <w:multiLevelType w:val="hybridMultilevel"/>
    <w:tmpl w:val="83B428B8"/>
    <w:lvl w:ilvl="0" w:tplc="7CECD456">
      <w:start w:val="1"/>
      <w:numFmt w:val="upperLetter"/>
      <w:lvlText w:val="%1)"/>
      <w:lvlJc w:val="left"/>
      <w:pPr>
        <w:tabs>
          <w:tab w:val="left" w:pos="920"/>
          <w:tab w:val="left" w:pos="1840"/>
        </w:tabs>
        <w:ind w:left="438" w:hanging="438"/>
      </w:pPr>
      <w:rPr>
        <w:rFonts w:hAnsi="Arial Unicode MS"/>
        <w:b/>
        <w:bCs/>
        <w:caps w:val="0"/>
        <w:smallCaps w:val="0"/>
        <w:strike w:val="0"/>
        <w:dstrike w:val="0"/>
        <w:outline w:val="0"/>
        <w:emboss w:val="0"/>
        <w:imprint w:val="0"/>
        <w:spacing w:val="0"/>
        <w:w w:val="100"/>
        <w:kern w:val="0"/>
        <w:position w:val="0"/>
        <w:highlight w:val="none"/>
        <w:vertAlign w:val="baseline"/>
      </w:rPr>
    </w:lvl>
    <w:lvl w:ilvl="1" w:tplc="8AFA2B98">
      <w:start w:val="1"/>
      <w:numFmt w:val="upperLetter"/>
      <w:lvlText w:val="%2)"/>
      <w:lvlJc w:val="left"/>
      <w:pPr>
        <w:tabs>
          <w:tab w:val="left" w:pos="920"/>
          <w:tab w:val="left" w:pos="1840"/>
        </w:tabs>
        <w:ind w:left="1313"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2" w:tplc="E9DC4EB2">
      <w:start w:val="1"/>
      <w:numFmt w:val="upperLetter"/>
      <w:lvlText w:val="%3)"/>
      <w:lvlJc w:val="left"/>
      <w:pPr>
        <w:tabs>
          <w:tab w:val="left" w:pos="920"/>
          <w:tab w:val="left" w:pos="1840"/>
        </w:tabs>
        <w:ind w:left="2313"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5B762038">
      <w:start w:val="1"/>
      <w:numFmt w:val="upperLetter"/>
      <w:lvlText w:val="%4)"/>
      <w:lvlJc w:val="left"/>
      <w:pPr>
        <w:tabs>
          <w:tab w:val="left" w:pos="920"/>
          <w:tab w:val="left" w:pos="1840"/>
        </w:tabs>
        <w:ind w:left="3313"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4" w:tplc="4B7E825C">
      <w:start w:val="1"/>
      <w:numFmt w:val="upperLetter"/>
      <w:lvlText w:val="%5)"/>
      <w:lvlJc w:val="left"/>
      <w:pPr>
        <w:tabs>
          <w:tab w:val="left" w:pos="920"/>
          <w:tab w:val="left" w:pos="1840"/>
        </w:tabs>
        <w:ind w:left="4313"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5" w:tplc="8738F9D4">
      <w:start w:val="1"/>
      <w:numFmt w:val="upperLetter"/>
      <w:lvlText w:val="%6)"/>
      <w:lvlJc w:val="left"/>
      <w:pPr>
        <w:tabs>
          <w:tab w:val="left" w:pos="920"/>
          <w:tab w:val="left" w:pos="1840"/>
        </w:tabs>
        <w:ind w:left="5313"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05086CD4">
      <w:start w:val="1"/>
      <w:numFmt w:val="upperLetter"/>
      <w:lvlText w:val="%7)"/>
      <w:lvlJc w:val="left"/>
      <w:pPr>
        <w:tabs>
          <w:tab w:val="left" w:pos="920"/>
          <w:tab w:val="left" w:pos="1840"/>
        </w:tabs>
        <w:ind w:left="6313"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7" w:tplc="98C8CBBC">
      <w:start w:val="1"/>
      <w:numFmt w:val="upperLetter"/>
      <w:lvlText w:val="%8)"/>
      <w:lvlJc w:val="left"/>
      <w:pPr>
        <w:tabs>
          <w:tab w:val="left" w:pos="920"/>
          <w:tab w:val="left" w:pos="1840"/>
        </w:tabs>
        <w:ind w:left="7313"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8" w:tplc="65943882">
      <w:start w:val="1"/>
      <w:numFmt w:val="upperLetter"/>
      <w:lvlText w:val="%9)"/>
      <w:lvlJc w:val="left"/>
      <w:pPr>
        <w:tabs>
          <w:tab w:val="left" w:pos="920"/>
          <w:tab w:val="left" w:pos="1840"/>
        </w:tabs>
        <w:ind w:left="8313"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F3D15BA"/>
    <w:multiLevelType w:val="hybridMultilevel"/>
    <w:tmpl w:val="6BAE6A54"/>
    <w:lvl w:ilvl="0" w:tplc="B7E2CF3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C705A7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D769F5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576E75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0EACDF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32EBA1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54A37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D7A198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A66B1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D530095"/>
    <w:multiLevelType w:val="hybridMultilevel"/>
    <w:tmpl w:val="5C3A9ABE"/>
    <w:numStyleLink w:val="Conlettere"/>
  </w:abstractNum>
  <w:abstractNum w:abstractNumId="5" w15:restartNumberingAfterBreak="0">
    <w:nsid w:val="370624B7"/>
    <w:multiLevelType w:val="hybridMultilevel"/>
    <w:tmpl w:val="E6A26EA0"/>
    <w:lvl w:ilvl="0" w:tplc="BA2E2F7A">
      <w:start w:val="1"/>
      <w:numFmt w:val="decimal"/>
      <w:lvlText w:val="%1."/>
      <w:lvlJc w:val="left"/>
      <w:pPr>
        <w:ind w:left="0" w:hanging="360"/>
      </w:pPr>
      <w:rPr>
        <w:rFonts w:eastAsia="Arial Unicode MS" w:cs="Arial Unicode MS" w:hint="default"/>
      </w:rPr>
    </w:lvl>
    <w:lvl w:ilvl="1" w:tplc="04100019" w:tentative="1">
      <w:start w:val="1"/>
      <w:numFmt w:val="lowerLetter"/>
      <w:lvlText w:val="%2."/>
      <w:lvlJc w:val="left"/>
      <w:pPr>
        <w:ind w:left="720" w:hanging="360"/>
      </w:pPr>
    </w:lvl>
    <w:lvl w:ilvl="2" w:tplc="0410001B" w:tentative="1">
      <w:start w:val="1"/>
      <w:numFmt w:val="lowerRoman"/>
      <w:lvlText w:val="%3."/>
      <w:lvlJc w:val="right"/>
      <w:pPr>
        <w:ind w:left="1440" w:hanging="180"/>
      </w:pPr>
    </w:lvl>
    <w:lvl w:ilvl="3" w:tplc="0410000F" w:tentative="1">
      <w:start w:val="1"/>
      <w:numFmt w:val="decimal"/>
      <w:lvlText w:val="%4."/>
      <w:lvlJc w:val="left"/>
      <w:pPr>
        <w:ind w:left="2160" w:hanging="360"/>
      </w:pPr>
    </w:lvl>
    <w:lvl w:ilvl="4" w:tplc="04100019" w:tentative="1">
      <w:start w:val="1"/>
      <w:numFmt w:val="lowerLetter"/>
      <w:lvlText w:val="%5."/>
      <w:lvlJc w:val="left"/>
      <w:pPr>
        <w:ind w:left="2880" w:hanging="360"/>
      </w:pPr>
    </w:lvl>
    <w:lvl w:ilvl="5" w:tplc="0410001B" w:tentative="1">
      <w:start w:val="1"/>
      <w:numFmt w:val="lowerRoman"/>
      <w:lvlText w:val="%6."/>
      <w:lvlJc w:val="right"/>
      <w:pPr>
        <w:ind w:left="3600" w:hanging="180"/>
      </w:pPr>
    </w:lvl>
    <w:lvl w:ilvl="6" w:tplc="0410000F" w:tentative="1">
      <w:start w:val="1"/>
      <w:numFmt w:val="decimal"/>
      <w:lvlText w:val="%7."/>
      <w:lvlJc w:val="left"/>
      <w:pPr>
        <w:ind w:left="4320" w:hanging="360"/>
      </w:pPr>
    </w:lvl>
    <w:lvl w:ilvl="7" w:tplc="04100019" w:tentative="1">
      <w:start w:val="1"/>
      <w:numFmt w:val="lowerLetter"/>
      <w:lvlText w:val="%8."/>
      <w:lvlJc w:val="left"/>
      <w:pPr>
        <w:ind w:left="5040" w:hanging="360"/>
      </w:pPr>
    </w:lvl>
    <w:lvl w:ilvl="8" w:tplc="0410001B" w:tentative="1">
      <w:start w:val="1"/>
      <w:numFmt w:val="lowerRoman"/>
      <w:lvlText w:val="%9."/>
      <w:lvlJc w:val="right"/>
      <w:pPr>
        <w:ind w:left="5760" w:hanging="180"/>
      </w:pPr>
    </w:lvl>
  </w:abstractNum>
  <w:abstractNum w:abstractNumId="6" w15:restartNumberingAfterBreak="0">
    <w:nsid w:val="3FDF1BA0"/>
    <w:multiLevelType w:val="hybridMultilevel"/>
    <w:tmpl w:val="2FDA14A2"/>
    <w:lvl w:ilvl="0" w:tplc="FFFFFFF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431B1D65"/>
    <w:multiLevelType w:val="hybridMultilevel"/>
    <w:tmpl w:val="E9EEF4A4"/>
    <w:styleLink w:val="Numerato"/>
    <w:lvl w:ilvl="0" w:tplc="D9F41696">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00"/>
      </w:pPr>
      <w:rPr>
        <w:rFonts w:ascii="Times Roman" w:eastAsia="Times Roman" w:hAnsi="Times Roman" w:cs="Times Roman"/>
        <w:b w:val="0"/>
        <w:bCs w:val="0"/>
        <w:i/>
        <w:iCs/>
        <w:caps w:val="0"/>
        <w:smallCaps w:val="0"/>
        <w:strike w:val="0"/>
        <w:dstrike w:val="0"/>
        <w:outline w:val="0"/>
        <w:emboss w:val="0"/>
        <w:imprint w:val="0"/>
        <w:color w:val="0E101A"/>
        <w:spacing w:val="0"/>
        <w:w w:val="100"/>
        <w:kern w:val="0"/>
        <w:position w:val="0"/>
        <w:highlight w:val="none"/>
        <w:vertAlign w:val="baseline"/>
      </w:rPr>
    </w:lvl>
    <w:lvl w:ilvl="1" w:tplc="EA78B752">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98" w:hanging="458"/>
      </w:pPr>
      <w:rPr>
        <w:rFonts w:ascii="Times Roman" w:eastAsia="Times Roman" w:hAnsi="Times Roman" w:cs="Times Roman"/>
        <w:b w:val="0"/>
        <w:bCs w:val="0"/>
        <w:i/>
        <w:iCs/>
        <w:caps w:val="0"/>
        <w:smallCaps w:val="0"/>
        <w:strike w:val="0"/>
        <w:dstrike w:val="0"/>
        <w:outline w:val="0"/>
        <w:emboss w:val="0"/>
        <w:imprint w:val="0"/>
        <w:color w:val="0E101A"/>
        <w:spacing w:val="0"/>
        <w:w w:val="100"/>
        <w:kern w:val="0"/>
        <w:position w:val="0"/>
        <w:highlight w:val="none"/>
        <w:vertAlign w:val="baseline"/>
      </w:rPr>
    </w:lvl>
    <w:lvl w:ilvl="2" w:tplc="51189A30">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18" w:hanging="458"/>
      </w:pPr>
      <w:rPr>
        <w:rFonts w:ascii="Times Roman" w:eastAsia="Times Roman" w:hAnsi="Times Roman" w:cs="Times Roman"/>
        <w:b w:val="0"/>
        <w:bCs w:val="0"/>
        <w:i/>
        <w:iCs/>
        <w:caps w:val="0"/>
        <w:smallCaps w:val="0"/>
        <w:strike w:val="0"/>
        <w:dstrike w:val="0"/>
        <w:outline w:val="0"/>
        <w:emboss w:val="0"/>
        <w:imprint w:val="0"/>
        <w:color w:val="0E101A"/>
        <w:spacing w:val="0"/>
        <w:w w:val="100"/>
        <w:kern w:val="0"/>
        <w:position w:val="0"/>
        <w:highlight w:val="none"/>
        <w:vertAlign w:val="baseline"/>
      </w:rPr>
    </w:lvl>
    <w:lvl w:ilvl="3" w:tplc="9B548BA6">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38" w:hanging="458"/>
      </w:pPr>
      <w:rPr>
        <w:rFonts w:ascii="Times Roman" w:eastAsia="Times Roman" w:hAnsi="Times Roman" w:cs="Times Roman"/>
        <w:b w:val="0"/>
        <w:bCs w:val="0"/>
        <w:i/>
        <w:iCs/>
        <w:caps w:val="0"/>
        <w:smallCaps w:val="0"/>
        <w:strike w:val="0"/>
        <w:dstrike w:val="0"/>
        <w:outline w:val="0"/>
        <w:emboss w:val="0"/>
        <w:imprint w:val="0"/>
        <w:color w:val="0E101A"/>
        <w:spacing w:val="0"/>
        <w:w w:val="100"/>
        <w:kern w:val="0"/>
        <w:position w:val="0"/>
        <w:highlight w:val="none"/>
        <w:vertAlign w:val="baseline"/>
      </w:rPr>
    </w:lvl>
    <w:lvl w:ilvl="4" w:tplc="F43ADE2A">
      <w:start w:val="1"/>
      <w:numFmt w:val="decimal"/>
      <w:lvlText w:val="%5."/>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558" w:hanging="458"/>
      </w:pPr>
      <w:rPr>
        <w:rFonts w:ascii="Times Roman" w:eastAsia="Times Roman" w:hAnsi="Times Roman" w:cs="Times Roman"/>
        <w:b w:val="0"/>
        <w:bCs w:val="0"/>
        <w:i/>
        <w:iCs/>
        <w:caps w:val="0"/>
        <w:smallCaps w:val="0"/>
        <w:strike w:val="0"/>
        <w:dstrike w:val="0"/>
        <w:outline w:val="0"/>
        <w:emboss w:val="0"/>
        <w:imprint w:val="0"/>
        <w:color w:val="0E101A"/>
        <w:spacing w:val="0"/>
        <w:w w:val="100"/>
        <w:kern w:val="0"/>
        <w:position w:val="0"/>
        <w:highlight w:val="none"/>
        <w:vertAlign w:val="baseline"/>
      </w:rPr>
    </w:lvl>
    <w:lvl w:ilvl="5" w:tplc="B4909332">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778" w:hanging="458"/>
      </w:pPr>
      <w:rPr>
        <w:rFonts w:ascii="Times Roman" w:eastAsia="Times Roman" w:hAnsi="Times Roman" w:cs="Times Roman"/>
        <w:b w:val="0"/>
        <w:bCs w:val="0"/>
        <w:i/>
        <w:iCs/>
        <w:caps w:val="0"/>
        <w:smallCaps w:val="0"/>
        <w:strike w:val="0"/>
        <w:dstrike w:val="0"/>
        <w:outline w:val="0"/>
        <w:emboss w:val="0"/>
        <w:imprint w:val="0"/>
        <w:color w:val="0E101A"/>
        <w:spacing w:val="0"/>
        <w:w w:val="100"/>
        <w:kern w:val="0"/>
        <w:position w:val="0"/>
        <w:highlight w:val="none"/>
        <w:vertAlign w:val="baseline"/>
      </w:rPr>
    </w:lvl>
    <w:lvl w:ilvl="6" w:tplc="517A15E8">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998" w:hanging="458"/>
      </w:pPr>
      <w:rPr>
        <w:rFonts w:ascii="Times Roman" w:eastAsia="Times Roman" w:hAnsi="Times Roman" w:cs="Times Roman"/>
        <w:b w:val="0"/>
        <w:bCs w:val="0"/>
        <w:i/>
        <w:iCs/>
        <w:caps w:val="0"/>
        <w:smallCaps w:val="0"/>
        <w:strike w:val="0"/>
        <w:dstrike w:val="0"/>
        <w:outline w:val="0"/>
        <w:emboss w:val="0"/>
        <w:imprint w:val="0"/>
        <w:color w:val="0E101A"/>
        <w:spacing w:val="0"/>
        <w:w w:val="100"/>
        <w:kern w:val="0"/>
        <w:position w:val="0"/>
        <w:highlight w:val="none"/>
        <w:vertAlign w:val="baseline"/>
      </w:rPr>
    </w:lvl>
    <w:lvl w:ilvl="7" w:tplc="A31A8A4A">
      <w:start w:val="1"/>
      <w:numFmt w:val="decimal"/>
      <w:lvlText w:val="%8."/>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218" w:hanging="458"/>
      </w:pPr>
      <w:rPr>
        <w:rFonts w:ascii="Times Roman" w:eastAsia="Times Roman" w:hAnsi="Times Roman" w:cs="Times Roman"/>
        <w:b w:val="0"/>
        <w:bCs w:val="0"/>
        <w:i/>
        <w:iCs/>
        <w:caps w:val="0"/>
        <w:smallCaps w:val="0"/>
        <w:strike w:val="0"/>
        <w:dstrike w:val="0"/>
        <w:outline w:val="0"/>
        <w:emboss w:val="0"/>
        <w:imprint w:val="0"/>
        <w:color w:val="0E101A"/>
        <w:spacing w:val="0"/>
        <w:w w:val="100"/>
        <w:kern w:val="0"/>
        <w:position w:val="0"/>
        <w:highlight w:val="none"/>
        <w:vertAlign w:val="baseline"/>
      </w:rPr>
    </w:lvl>
    <w:lvl w:ilvl="8" w:tplc="B7E67510">
      <w:start w:val="1"/>
      <w:numFmt w:val="decimal"/>
      <w:lvlText w:val="%9."/>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438" w:hanging="458"/>
      </w:pPr>
      <w:rPr>
        <w:rFonts w:ascii="Times Roman" w:eastAsia="Times Roman" w:hAnsi="Times Roman" w:cs="Times Roman"/>
        <w:b w:val="0"/>
        <w:bCs w:val="0"/>
        <w:i/>
        <w:iCs/>
        <w:caps w:val="0"/>
        <w:smallCaps w:val="0"/>
        <w:strike w:val="0"/>
        <w:dstrike w:val="0"/>
        <w:outline w:val="0"/>
        <w:emboss w:val="0"/>
        <w:imprint w:val="0"/>
        <w:color w:val="0E101A"/>
        <w:spacing w:val="0"/>
        <w:w w:val="100"/>
        <w:kern w:val="0"/>
        <w:position w:val="0"/>
        <w:highlight w:val="none"/>
        <w:vertAlign w:val="baseline"/>
      </w:rPr>
    </w:lvl>
  </w:abstractNum>
  <w:abstractNum w:abstractNumId="8" w15:restartNumberingAfterBreak="0">
    <w:nsid w:val="509077E4"/>
    <w:multiLevelType w:val="hybridMultilevel"/>
    <w:tmpl w:val="C40C76A6"/>
    <w:lvl w:ilvl="0" w:tplc="FFFFFFFF">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E5E19A4"/>
    <w:multiLevelType w:val="hybridMultilevel"/>
    <w:tmpl w:val="E9EEF4A4"/>
    <w:numStyleLink w:val="Numerato"/>
  </w:abstractNum>
  <w:num w:numId="1">
    <w:abstractNumId w:val="7"/>
  </w:num>
  <w:num w:numId="2">
    <w:abstractNumId w:val="9"/>
  </w:num>
  <w:num w:numId="3">
    <w:abstractNumId w:val="9"/>
    <w:lvlOverride w:ilvl="0">
      <w:startOverride w:val="2"/>
    </w:lvlOverride>
  </w:num>
  <w:num w:numId="4">
    <w:abstractNumId w:val="9"/>
    <w:lvlOverride w:ilvl="0">
      <w:startOverride w:val="3"/>
    </w:lvlOverride>
  </w:num>
  <w:num w:numId="5">
    <w:abstractNumId w:val="0"/>
  </w:num>
  <w:num w:numId="6">
    <w:abstractNumId w:val="4"/>
  </w:num>
  <w:num w:numId="7">
    <w:abstractNumId w:val="3"/>
  </w:num>
  <w:num w:numId="8">
    <w:abstractNumId w:val="3"/>
    <w:lvlOverride w:ilvl="0">
      <w:lvl w:ilvl="0" w:tplc="B7E2CF3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C705A7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D769F5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576E75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0EACDF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32EBA1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E54A37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D7A198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3A66B1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2"/>
  </w:num>
  <w:num w:numId="10">
    <w:abstractNumId w:val="9"/>
    <w:lvlOverride w:ilvl="0">
      <w:startOverride w:val="1"/>
      <w:lvl w:ilvl="0" w:tplc="DB366416">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3B08098">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FE06F54">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0EC8DA4">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0E0FDE8">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750048E">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C2AE7EE">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018AA9C">
        <w:start w:val="1"/>
        <w:numFmt w:val="decimal"/>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02C12D4">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1"/>
  </w:num>
  <w:num w:numId="12">
    <w:abstractNumId w:val="5"/>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de-DE" w:vendorID="64" w:dllVersion="6" w:nlCheck="1" w:checkStyle="0"/>
  <w:activeWritingStyle w:appName="MSWord" w:lang="en-US"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de-DE" w:vendorID="64" w:dllVersion="4096" w:nlCheck="1" w:checkStyle="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EEF"/>
    <w:rsid w:val="0002224E"/>
    <w:rsid w:val="00031C0B"/>
    <w:rsid w:val="00032396"/>
    <w:rsid w:val="00037DC2"/>
    <w:rsid w:val="00046407"/>
    <w:rsid w:val="0006605A"/>
    <w:rsid w:val="0008336D"/>
    <w:rsid w:val="000A3122"/>
    <w:rsid w:val="000E4212"/>
    <w:rsid w:val="00134BBC"/>
    <w:rsid w:val="00163198"/>
    <w:rsid w:val="00180F6F"/>
    <w:rsid w:val="00194FA5"/>
    <w:rsid w:val="001A53A8"/>
    <w:rsid w:val="001B6A6A"/>
    <w:rsid w:val="00200A57"/>
    <w:rsid w:val="00203093"/>
    <w:rsid w:val="00213624"/>
    <w:rsid w:val="00270CC8"/>
    <w:rsid w:val="0027529B"/>
    <w:rsid w:val="002850F5"/>
    <w:rsid w:val="002854BE"/>
    <w:rsid w:val="00311EF4"/>
    <w:rsid w:val="00315194"/>
    <w:rsid w:val="00333B3C"/>
    <w:rsid w:val="003400F4"/>
    <w:rsid w:val="00381BC5"/>
    <w:rsid w:val="003B0010"/>
    <w:rsid w:val="003C2840"/>
    <w:rsid w:val="003C54C2"/>
    <w:rsid w:val="003D29FB"/>
    <w:rsid w:val="003E343F"/>
    <w:rsid w:val="003E69F1"/>
    <w:rsid w:val="003E7DB0"/>
    <w:rsid w:val="00406AE4"/>
    <w:rsid w:val="0044172E"/>
    <w:rsid w:val="00444E39"/>
    <w:rsid w:val="0044A4CC"/>
    <w:rsid w:val="00450326"/>
    <w:rsid w:val="00467BB8"/>
    <w:rsid w:val="0047324C"/>
    <w:rsid w:val="00486864"/>
    <w:rsid w:val="004B5B7C"/>
    <w:rsid w:val="004D6402"/>
    <w:rsid w:val="00523FBC"/>
    <w:rsid w:val="00525761"/>
    <w:rsid w:val="00541638"/>
    <w:rsid w:val="00542FED"/>
    <w:rsid w:val="00577798"/>
    <w:rsid w:val="005919E3"/>
    <w:rsid w:val="005B2BEE"/>
    <w:rsid w:val="005C5E16"/>
    <w:rsid w:val="005D0BFB"/>
    <w:rsid w:val="006664DC"/>
    <w:rsid w:val="00667C10"/>
    <w:rsid w:val="00696886"/>
    <w:rsid w:val="006A2A58"/>
    <w:rsid w:val="006A5459"/>
    <w:rsid w:val="007006AC"/>
    <w:rsid w:val="00700AF7"/>
    <w:rsid w:val="00721486"/>
    <w:rsid w:val="007A0835"/>
    <w:rsid w:val="007B6EAF"/>
    <w:rsid w:val="007D179D"/>
    <w:rsid w:val="007D1902"/>
    <w:rsid w:val="007D2540"/>
    <w:rsid w:val="007F3C95"/>
    <w:rsid w:val="007F4C37"/>
    <w:rsid w:val="007F74AC"/>
    <w:rsid w:val="0080085A"/>
    <w:rsid w:val="0081EC24"/>
    <w:rsid w:val="0083427D"/>
    <w:rsid w:val="008346C2"/>
    <w:rsid w:val="00844F7B"/>
    <w:rsid w:val="00856854"/>
    <w:rsid w:val="00863F95"/>
    <w:rsid w:val="0087389F"/>
    <w:rsid w:val="008D7710"/>
    <w:rsid w:val="008F3806"/>
    <w:rsid w:val="00931DF6"/>
    <w:rsid w:val="0094572C"/>
    <w:rsid w:val="00994599"/>
    <w:rsid w:val="00996204"/>
    <w:rsid w:val="009B459C"/>
    <w:rsid w:val="009B6DCB"/>
    <w:rsid w:val="009D0EE5"/>
    <w:rsid w:val="00A340AB"/>
    <w:rsid w:val="00A4197A"/>
    <w:rsid w:val="00A66595"/>
    <w:rsid w:val="00A70DAF"/>
    <w:rsid w:val="00A77AF4"/>
    <w:rsid w:val="00A816FF"/>
    <w:rsid w:val="00A87857"/>
    <w:rsid w:val="00A94A50"/>
    <w:rsid w:val="00AB248A"/>
    <w:rsid w:val="00AB45A4"/>
    <w:rsid w:val="00AC3F8F"/>
    <w:rsid w:val="00AC4CC6"/>
    <w:rsid w:val="00AC6046"/>
    <w:rsid w:val="00B30E62"/>
    <w:rsid w:val="00B63AEB"/>
    <w:rsid w:val="00BB723D"/>
    <w:rsid w:val="00BD4D20"/>
    <w:rsid w:val="00C15DD3"/>
    <w:rsid w:val="00C16C53"/>
    <w:rsid w:val="00C27721"/>
    <w:rsid w:val="00C8379B"/>
    <w:rsid w:val="00C93209"/>
    <w:rsid w:val="00CE0E74"/>
    <w:rsid w:val="00CE4195"/>
    <w:rsid w:val="00D42069"/>
    <w:rsid w:val="00D92B3A"/>
    <w:rsid w:val="00DB7024"/>
    <w:rsid w:val="00DD0A50"/>
    <w:rsid w:val="00DD190E"/>
    <w:rsid w:val="00DD5BB0"/>
    <w:rsid w:val="00DD79C2"/>
    <w:rsid w:val="00DE32C3"/>
    <w:rsid w:val="00E506D1"/>
    <w:rsid w:val="00E550F5"/>
    <w:rsid w:val="00E55790"/>
    <w:rsid w:val="00E81B7F"/>
    <w:rsid w:val="00E952F4"/>
    <w:rsid w:val="00EA6A56"/>
    <w:rsid w:val="00EC62BF"/>
    <w:rsid w:val="00EF7180"/>
    <w:rsid w:val="00F01EEF"/>
    <w:rsid w:val="00F02279"/>
    <w:rsid w:val="00F4222D"/>
    <w:rsid w:val="00FA061A"/>
    <w:rsid w:val="00FC24C3"/>
    <w:rsid w:val="00FD5E5F"/>
    <w:rsid w:val="00FD69FF"/>
    <w:rsid w:val="012FE93D"/>
    <w:rsid w:val="016FBC65"/>
    <w:rsid w:val="023D7CDA"/>
    <w:rsid w:val="04F63960"/>
    <w:rsid w:val="05A2D4A9"/>
    <w:rsid w:val="060FB3B9"/>
    <w:rsid w:val="077DE9BA"/>
    <w:rsid w:val="08D13CB2"/>
    <w:rsid w:val="093BE25E"/>
    <w:rsid w:val="0959CC94"/>
    <w:rsid w:val="09737937"/>
    <w:rsid w:val="0A04F205"/>
    <w:rsid w:val="0A2B4DC0"/>
    <w:rsid w:val="0B5AAAAE"/>
    <w:rsid w:val="0C505F44"/>
    <w:rsid w:val="0F100D86"/>
    <w:rsid w:val="0F173DE4"/>
    <w:rsid w:val="0F88FB9F"/>
    <w:rsid w:val="0FA36C78"/>
    <w:rsid w:val="105BCAC9"/>
    <w:rsid w:val="116DF5A9"/>
    <w:rsid w:val="119B1715"/>
    <w:rsid w:val="11D47C3D"/>
    <w:rsid w:val="11FEDD2D"/>
    <w:rsid w:val="12188EF3"/>
    <w:rsid w:val="13B36919"/>
    <w:rsid w:val="148389E4"/>
    <w:rsid w:val="15A1A93D"/>
    <w:rsid w:val="15EE5F02"/>
    <w:rsid w:val="16EC0016"/>
    <w:rsid w:val="1782D2AD"/>
    <w:rsid w:val="17B5A280"/>
    <w:rsid w:val="18154514"/>
    <w:rsid w:val="19490642"/>
    <w:rsid w:val="19F01458"/>
    <w:rsid w:val="1A59DAF1"/>
    <w:rsid w:val="1B0EF3CC"/>
    <w:rsid w:val="1B1056E6"/>
    <w:rsid w:val="1BAE3662"/>
    <w:rsid w:val="1BC75EBF"/>
    <w:rsid w:val="1C77A9AF"/>
    <w:rsid w:val="1E8C672F"/>
    <w:rsid w:val="1FD2789A"/>
    <w:rsid w:val="2115EF3F"/>
    <w:rsid w:val="21429CCC"/>
    <w:rsid w:val="2197E026"/>
    <w:rsid w:val="23D270A4"/>
    <w:rsid w:val="23ECF611"/>
    <w:rsid w:val="243821F7"/>
    <w:rsid w:val="2450CCC8"/>
    <w:rsid w:val="265A1672"/>
    <w:rsid w:val="26AAF681"/>
    <w:rsid w:val="276FC2B9"/>
    <w:rsid w:val="27A0E3FD"/>
    <w:rsid w:val="28188711"/>
    <w:rsid w:val="283E74B5"/>
    <w:rsid w:val="298AC9CF"/>
    <w:rsid w:val="2C245C41"/>
    <w:rsid w:val="2C630320"/>
    <w:rsid w:val="2D618D4B"/>
    <w:rsid w:val="2D8AFA5F"/>
    <w:rsid w:val="2DD4B908"/>
    <w:rsid w:val="2DDEAE11"/>
    <w:rsid w:val="2FC4A3A9"/>
    <w:rsid w:val="2FCBD407"/>
    <w:rsid w:val="3094E3AE"/>
    <w:rsid w:val="32456762"/>
    <w:rsid w:val="334C09B6"/>
    <w:rsid w:val="34BB417E"/>
    <w:rsid w:val="354F124C"/>
    <w:rsid w:val="3564F656"/>
    <w:rsid w:val="374716B2"/>
    <w:rsid w:val="385D06D3"/>
    <w:rsid w:val="3956A46E"/>
    <w:rsid w:val="39DC029F"/>
    <w:rsid w:val="3A439BB1"/>
    <w:rsid w:val="3B8CD7D6"/>
    <w:rsid w:val="3B9426C7"/>
    <w:rsid w:val="3CCB67B8"/>
    <w:rsid w:val="3D9CE8EA"/>
    <w:rsid w:val="3F00E3E1"/>
    <w:rsid w:val="3F37F983"/>
    <w:rsid w:val="3FA03E8F"/>
    <w:rsid w:val="410DDDFA"/>
    <w:rsid w:val="41F02A33"/>
    <w:rsid w:val="43363B9E"/>
    <w:rsid w:val="44994916"/>
    <w:rsid w:val="44BB659A"/>
    <w:rsid w:val="44C02A71"/>
    <w:rsid w:val="452A91F2"/>
    <w:rsid w:val="4583AA80"/>
    <w:rsid w:val="46305F97"/>
    <w:rsid w:val="4861C90B"/>
    <w:rsid w:val="4897BAC6"/>
    <w:rsid w:val="4BD605DB"/>
    <w:rsid w:val="4C4DC478"/>
    <w:rsid w:val="4C53079F"/>
    <w:rsid w:val="4CAE2EB7"/>
    <w:rsid w:val="4CE464B3"/>
    <w:rsid w:val="4DEE04FC"/>
    <w:rsid w:val="4E861F6A"/>
    <w:rsid w:val="5171C72E"/>
    <w:rsid w:val="52C9EA9C"/>
    <w:rsid w:val="52F426AB"/>
    <w:rsid w:val="531C5BE0"/>
    <w:rsid w:val="533A7DDA"/>
    <w:rsid w:val="53EA78CE"/>
    <w:rsid w:val="54CB65B5"/>
    <w:rsid w:val="54EF7698"/>
    <w:rsid w:val="5573D556"/>
    <w:rsid w:val="55801DF6"/>
    <w:rsid w:val="568B46F9"/>
    <w:rsid w:val="56B9B28F"/>
    <w:rsid w:val="56C9060E"/>
    <w:rsid w:val="575B61C9"/>
    <w:rsid w:val="57771C66"/>
    <w:rsid w:val="57C797CE"/>
    <w:rsid w:val="5816D928"/>
    <w:rsid w:val="58C2D80D"/>
    <w:rsid w:val="5987F455"/>
    <w:rsid w:val="59B3D8FD"/>
    <w:rsid w:val="59BC017D"/>
    <w:rsid w:val="5A0C2677"/>
    <w:rsid w:val="5A59013F"/>
    <w:rsid w:val="5B458FBF"/>
    <w:rsid w:val="5B596840"/>
    <w:rsid w:val="5B653402"/>
    <w:rsid w:val="5C1B657E"/>
    <w:rsid w:val="5C527B0F"/>
    <w:rsid w:val="5CE16020"/>
    <w:rsid w:val="5CFA887D"/>
    <w:rsid w:val="5E851E07"/>
    <w:rsid w:val="5E8596E5"/>
    <w:rsid w:val="5FB02687"/>
    <w:rsid w:val="6004C6A1"/>
    <w:rsid w:val="60391416"/>
    <w:rsid w:val="60FC6AA4"/>
    <w:rsid w:val="6170F894"/>
    <w:rsid w:val="6253A33A"/>
    <w:rsid w:val="626C15FF"/>
    <w:rsid w:val="62ABF0B4"/>
    <w:rsid w:val="62F153E2"/>
    <w:rsid w:val="633F66CD"/>
    <w:rsid w:val="642D574A"/>
    <w:rsid w:val="64C6D7BC"/>
    <w:rsid w:val="64EC7205"/>
    <w:rsid w:val="6553ED37"/>
    <w:rsid w:val="65D81F59"/>
    <w:rsid w:val="6693BEAF"/>
    <w:rsid w:val="6761A512"/>
    <w:rsid w:val="67A944A4"/>
    <w:rsid w:val="69069AE3"/>
    <w:rsid w:val="69761570"/>
    <w:rsid w:val="69D46661"/>
    <w:rsid w:val="6A54268F"/>
    <w:rsid w:val="6AE66373"/>
    <w:rsid w:val="6B526638"/>
    <w:rsid w:val="6BEDD0B6"/>
    <w:rsid w:val="6D572452"/>
    <w:rsid w:val="6D6352E3"/>
    <w:rsid w:val="6E1D9722"/>
    <w:rsid w:val="6E7BD75F"/>
    <w:rsid w:val="6ECDCEF9"/>
    <w:rsid w:val="6F28CD5D"/>
    <w:rsid w:val="6FD9263D"/>
    <w:rsid w:val="711FE619"/>
    <w:rsid w:val="71814359"/>
    <w:rsid w:val="719EAF16"/>
    <w:rsid w:val="71C1A7BC"/>
    <w:rsid w:val="7243E9DD"/>
    <w:rsid w:val="72C25610"/>
    <w:rsid w:val="736EB2F4"/>
    <w:rsid w:val="75465DCE"/>
    <w:rsid w:val="76439874"/>
    <w:rsid w:val="769518DF"/>
    <w:rsid w:val="77F1D074"/>
    <w:rsid w:val="78422417"/>
    <w:rsid w:val="7966E026"/>
    <w:rsid w:val="7AFC570D"/>
    <w:rsid w:val="7B0D91E4"/>
    <w:rsid w:val="7D9314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1D0B0"/>
  <w15:docId w15:val="{0BE3D4BD-1838-41BD-B80E-1184D9C59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200" w:line="276" w:lineRule="auto"/>
    </w:pPr>
    <w:rPr>
      <w:rFonts w:ascii="Calibri" w:hAnsi="Calibri" w:cs="Arial Unicode MS"/>
      <w:color w:val="000000"/>
      <w:sz w:val="22"/>
      <w:szCs w:val="22"/>
      <w:u w:color="00000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Didascalia">
    <w:name w:val="caption"/>
    <w:pPr>
      <w:suppressAutoHyphens/>
      <w:outlineLvl w:val="0"/>
    </w:pPr>
    <w:rPr>
      <w:rFonts w:ascii="Calibri" w:hAnsi="Calibri" w:cs="Arial Unicode MS"/>
      <w:color w:val="000000"/>
      <w:sz w:val="36"/>
      <w:szCs w:val="36"/>
      <w14:textOutline w14:w="12700" w14:cap="flat" w14:cmpd="sng" w14:algn="ctr">
        <w14:noFill/>
        <w14:prstDash w14:val="solid"/>
        <w14:miter w14:lim="400000"/>
      </w14:textOutline>
    </w:rPr>
  </w:style>
  <w:style w:type="paragraph" w:customStyle="1" w:styleId="Label">
    <w:name w:val="Label"/>
    <w:pPr>
      <w:suppressAutoHyphens/>
      <w:outlineLvl w:val="0"/>
    </w:pPr>
    <w:rPr>
      <w:rFonts w:ascii="Calibri" w:hAnsi="Calibri" w:cs="Arial Unicode MS"/>
      <w:color w:val="000000"/>
      <w:sz w:val="36"/>
      <w:szCs w:val="36"/>
      <w14:textOutline w14:w="12700" w14:cap="flat" w14:cmpd="sng" w14:algn="ctr">
        <w14:noFill/>
        <w14:prstDash w14:val="solid"/>
        <w14:miter w14:lim="400000"/>
      </w14:textOutline>
    </w:rPr>
  </w:style>
  <w:style w:type="paragraph" w:customStyle="1" w:styleId="Didascaliaoggetto">
    <w:name w:val="Didascalia oggetto"/>
    <w:pPr>
      <w:jc w:val="center"/>
    </w:pPr>
    <w:rPr>
      <w:rFonts w:ascii="Helvetica Neue Light" w:hAnsi="Helvetica Neue Light" w:cs="Arial Unicode MS"/>
      <w:color w:val="000000"/>
      <w:sz w:val="24"/>
      <w:szCs w:val="24"/>
      <w14:textOutline w14:w="0" w14:cap="flat" w14:cmpd="sng" w14:algn="ctr">
        <w14:noFill/>
        <w14:prstDash w14:val="solid"/>
        <w14:bevel/>
      </w14:textOutline>
    </w:rPr>
  </w:style>
  <w:style w:type="paragraph" w:customStyle="1" w:styleId="Didefault">
    <w:name w:val="Di 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Numerato">
    <w:name w:val="Numerato"/>
    <w:pPr>
      <w:numPr>
        <w:numId w:val="1"/>
      </w:numPr>
    </w:pPr>
  </w:style>
  <w:style w:type="paragraph" w:customStyle="1" w:styleId="Corpo">
    <w:name w:val="Corpo"/>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Conlettere">
    <w:name w:val="Con lettere"/>
    <w:pPr>
      <w:numPr>
        <w:numId w:val="5"/>
      </w:numPr>
    </w:pPr>
  </w:style>
  <w:style w:type="paragraph" w:customStyle="1" w:styleId="Titolooggetto">
    <w:name w:val="Titolo oggetto"/>
    <w:pPr>
      <w:jc w:val="center"/>
    </w:pPr>
    <w:rPr>
      <w:rFonts w:ascii="Helvetica Neue" w:hAnsi="Helvetica Neue" w:cs="Arial Unicode MS"/>
      <w:color w:val="000000"/>
      <w:sz w:val="24"/>
      <w:szCs w:val="24"/>
      <w14:textOutline w14:w="0" w14:cap="flat" w14:cmpd="sng" w14:algn="ctr">
        <w14:noFill/>
        <w14:prstDash w14:val="solid"/>
        <w14:bevel/>
      </w14:textOutline>
    </w:rPr>
  </w:style>
  <w:style w:type="paragraph" w:styleId="Sottotitolo">
    <w:name w:val="Subtitle"/>
    <w:next w:val="Corpo0"/>
    <w:uiPriority w:val="11"/>
    <w:qFormat/>
    <w:pPr>
      <w:keepNext/>
    </w:pPr>
    <w:rPr>
      <w:rFonts w:ascii="Helvetica Neue" w:hAnsi="Helvetica Neue" w:cs="Arial Unicode MS"/>
      <w:color w:val="000000"/>
      <w:sz w:val="40"/>
      <w:szCs w:val="40"/>
      <w14:textOutline w14:w="0" w14:cap="flat" w14:cmpd="sng" w14:algn="ctr">
        <w14:noFill/>
        <w14:prstDash w14:val="solid"/>
        <w14:bevel/>
      </w14:textOutline>
    </w:rPr>
  </w:style>
  <w:style w:type="paragraph" w:customStyle="1" w:styleId="Corpo0">
    <w:name w:val="Corpo0"/>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Stiletabella7">
    <w:name w:val="Stile tabella 7"/>
    <w:rPr>
      <w:rFonts w:ascii="Helvetica Neue" w:eastAsia="Helvetica Neue" w:hAnsi="Helvetica Neue" w:cs="Helvetica Neue"/>
      <w:b/>
      <w:bCs/>
      <w:color w:val="323232"/>
      <w14:textOutline w14:w="0" w14:cap="flat" w14:cmpd="sng" w14:algn="ctr">
        <w14:noFill/>
        <w14:prstDash w14:val="solid"/>
        <w14:bevel/>
      </w14:textOutline>
    </w:rPr>
  </w:style>
  <w:style w:type="paragraph" w:customStyle="1" w:styleId="Stiletabella2">
    <w:name w:val="Stile tabella 2"/>
    <w:rPr>
      <w:rFonts w:ascii="Helvetica Neue" w:eastAsia="Helvetica Neue" w:hAnsi="Helvetica Neue" w:cs="Helvetica Neue"/>
      <w:color w:val="000000"/>
      <w14:textOutline w14:w="0" w14:cap="flat" w14:cmpd="sng" w14:algn="ctr">
        <w14:noFill/>
        <w14:prstDash w14:val="solid"/>
        <w14:bevel/>
      </w14:textOutline>
    </w:rPr>
  </w:style>
  <w:style w:type="character" w:customStyle="1" w:styleId="Hyperlink0">
    <w:name w:val="Hyperlink.0"/>
    <w:basedOn w:val="Collegamentoipertestuale"/>
    <w:rPr>
      <w:outline w:val="0"/>
      <w:color w:val="0563C1"/>
      <w:u w:val="single" w:color="0563C1"/>
    </w:rPr>
  </w:style>
  <w:style w:type="character" w:customStyle="1" w:styleId="Hyperlink1">
    <w:name w:val="Hyperlink.1"/>
    <w:basedOn w:val="Hyperlink0"/>
    <w:rPr>
      <w:outline w:val="0"/>
      <w:color w:val="FFFFFF" w:themeColor="background1"/>
      <w:u w:val="single" w:color="0563C1"/>
      <w14:textFill>
        <w14:noFill/>
      </w14:textFill>
    </w:rPr>
  </w:style>
  <w:style w:type="character" w:styleId="Rimandocommento">
    <w:name w:val="annotation reference"/>
    <w:basedOn w:val="Carpredefinitoparagrafo"/>
    <w:uiPriority w:val="99"/>
    <w:semiHidden/>
    <w:unhideWhenUsed/>
    <w:rsid w:val="00700AF7"/>
    <w:rPr>
      <w:sz w:val="16"/>
      <w:szCs w:val="16"/>
    </w:rPr>
  </w:style>
  <w:style w:type="paragraph" w:styleId="Testocommento">
    <w:name w:val="annotation text"/>
    <w:basedOn w:val="Normale"/>
    <w:link w:val="TestocommentoCarattere"/>
    <w:uiPriority w:val="99"/>
    <w:semiHidden/>
    <w:unhideWhenUsed/>
    <w:rsid w:val="00700AF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00AF7"/>
    <w:rPr>
      <w:rFonts w:ascii="Calibri" w:hAnsi="Calibri" w:cs="Arial Unicode MS"/>
      <w:color w:val="000000"/>
      <w:u w:color="000000"/>
      <w:lang w:val="de-DE"/>
    </w:rPr>
  </w:style>
  <w:style w:type="paragraph" w:styleId="Soggettocommento">
    <w:name w:val="annotation subject"/>
    <w:basedOn w:val="Testocommento"/>
    <w:next w:val="Testocommento"/>
    <w:link w:val="SoggettocommentoCarattere"/>
    <w:uiPriority w:val="99"/>
    <w:semiHidden/>
    <w:unhideWhenUsed/>
    <w:rsid w:val="00700AF7"/>
    <w:rPr>
      <w:b/>
      <w:bCs/>
    </w:rPr>
  </w:style>
  <w:style w:type="character" w:customStyle="1" w:styleId="SoggettocommentoCarattere">
    <w:name w:val="Soggetto commento Carattere"/>
    <w:basedOn w:val="TestocommentoCarattere"/>
    <w:link w:val="Soggettocommento"/>
    <w:uiPriority w:val="99"/>
    <w:semiHidden/>
    <w:rsid w:val="00700AF7"/>
    <w:rPr>
      <w:rFonts w:ascii="Calibri" w:hAnsi="Calibri" w:cs="Arial Unicode MS"/>
      <w:b/>
      <w:bCs/>
      <w:color w:val="000000"/>
      <w:u w:color="000000"/>
      <w:lang w:val="de-DE"/>
    </w:rPr>
  </w:style>
  <w:style w:type="paragraph" w:styleId="Testofumetto">
    <w:name w:val="Balloon Text"/>
    <w:basedOn w:val="Normale"/>
    <w:link w:val="TestofumettoCarattere"/>
    <w:uiPriority w:val="99"/>
    <w:semiHidden/>
    <w:unhideWhenUsed/>
    <w:rsid w:val="00700AF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0AF7"/>
    <w:rPr>
      <w:rFonts w:ascii="Segoe UI" w:hAnsi="Segoe UI" w:cs="Segoe UI"/>
      <w:color w:val="000000"/>
      <w:sz w:val="18"/>
      <w:szCs w:val="18"/>
      <w:u w:color="000000"/>
      <w:lang w:val="de-DE"/>
    </w:rPr>
  </w:style>
  <w:style w:type="table" w:styleId="Tabellasemplice-3">
    <w:name w:val="Plain Table 3"/>
    <w:basedOn w:val="Tabellanormale"/>
    <w:uiPriority w:val="43"/>
    <w:rsid w:val="00EA6A5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elenco2">
    <w:name w:val="List Table 2"/>
    <w:basedOn w:val="Tabellanormale"/>
    <w:uiPriority w:val="47"/>
    <w:rsid w:val="00EA6A5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oode.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4dcecc3152804e3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oode.eu" TargetMode="External"/><Relationship Id="rId5" Type="http://schemas.openxmlformats.org/officeDocument/2006/relationships/numbering" Target="numbering.xml"/><Relationship Id="rId15" Type="http://schemas.openxmlformats.org/officeDocument/2006/relationships/image" Target="media/image3.tif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47FD09BCAF6447959A49003AA4380D" ma:contentTypeVersion="14" ma:contentTypeDescription="Create a new document." ma:contentTypeScope="" ma:versionID="65e71fd5e7c24aa814d5386f3729107a">
  <xsd:schema xmlns:xsd="http://www.w3.org/2001/XMLSchema" xmlns:xs="http://www.w3.org/2001/XMLSchema" xmlns:p="http://schemas.microsoft.com/office/2006/metadata/properties" xmlns:ns3="76e18221-65ce-44dd-b748-e4115a2a1622" xmlns:ns4="b063890b-b85c-4aec-aa7b-591ee9435e1d" targetNamespace="http://schemas.microsoft.com/office/2006/metadata/properties" ma:root="true" ma:fieldsID="3cdac33ee419ac1ed198c6ef8ba2b08d" ns3:_="" ns4:_="">
    <xsd:import namespace="76e18221-65ce-44dd-b748-e4115a2a1622"/>
    <xsd:import namespace="b063890b-b85c-4aec-aa7b-591ee9435e1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18221-65ce-44dd-b748-e4115a2a162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63890b-b85c-4aec-aa7b-591ee9435e1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70B37-491C-4972-8526-E5716632A566}">
  <ds:schemaRefs>
    <ds:schemaRef ds:uri="http://schemas.openxmlformats.org/package/2006/metadata/core-properties"/>
    <ds:schemaRef ds:uri="http://www.w3.org/XML/1998/namespace"/>
    <ds:schemaRef ds:uri="http://schemas.microsoft.com/office/infopath/2007/PartnerControls"/>
    <ds:schemaRef ds:uri="http://purl.org/dc/dcmitype/"/>
    <ds:schemaRef ds:uri="http://purl.org/dc/elements/1.1/"/>
    <ds:schemaRef ds:uri="b063890b-b85c-4aec-aa7b-591ee9435e1d"/>
    <ds:schemaRef ds:uri="http://schemas.microsoft.com/office/2006/documentManagement/types"/>
    <ds:schemaRef ds:uri="http://purl.org/dc/terms/"/>
    <ds:schemaRef ds:uri="76e18221-65ce-44dd-b748-e4115a2a1622"/>
    <ds:schemaRef ds:uri="http://schemas.microsoft.com/office/2006/metadata/properties"/>
  </ds:schemaRefs>
</ds:datastoreItem>
</file>

<file path=customXml/itemProps2.xml><?xml version="1.0" encoding="utf-8"?>
<ds:datastoreItem xmlns:ds="http://schemas.openxmlformats.org/officeDocument/2006/customXml" ds:itemID="{1F4D0DB6-59B5-444C-8730-070D324AB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18221-65ce-44dd-b748-e4115a2a1622"/>
    <ds:schemaRef ds:uri="b063890b-b85c-4aec-aa7b-591ee9435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B3ECD6-4FA0-481A-8996-888DC231F0ED}">
  <ds:schemaRefs>
    <ds:schemaRef ds:uri="http://schemas.microsoft.com/sharepoint/v3/contenttype/forms"/>
  </ds:schemaRefs>
</ds:datastoreItem>
</file>

<file path=customXml/itemProps4.xml><?xml version="1.0" encoding="utf-8"?>
<ds:datastoreItem xmlns:ds="http://schemas.openxmlformats.org/officeDocument/2006/customXml" ds:itemID="{95E4E2E9-E2CC-4F96-86F6-E71D291BF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7481</Words>
  <Characters>42645</Characters>
  <Application>Microsoft Office Word</Application>
  <DocSecurity>0</DocSecurity>
  <Lines>355</Lines>
  <Paragraphs>100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Francesco Orsini</dc:creator>
  <cp:lastModifiedBy>Francesco Orsini</cp:lastModifiedBy>
  <cp:revision>2</cp:revision>
  <dcterms:created xsi:type="dcterms:W3CDTF">2021-11-15T06:49:00Z</dcterms:created>
  <dcterms:modified xsi:type="dcterms:W3CDTF">2021-11-15T06:49:00Z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0x0101007C47FD09BCAF6447959A49003AA4380D</vt:lpwstr>
  </property>
</Properties>
</file>