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07AF5" w14:textId="48C344E9" w:rsidR="00E81F23" w:rsidRDefault="00A86E5E" w:rsidP="00507497">
      <w:pPr>
        <w:spacing w:line="360" w:lineRule="auto"/>
        <w:jc w:val="both"/>
        <w:rPr>
          <w:b/>
          <w:sz w:val="32"/>
          <w:szCs w:val="32"/>
          <w:lang w:val="en-US"/>
        </w:rPr>
      </w:pPr>
      <w:r w:rsidRPr="00E81F23">
        <w:rPr>
          <w:b/>
          <w:sz w:val="32"/>
          <w:szCs w:val="32"/>
          <w:lang w:val="en-US"/>
        </w:rPr>
        <w:t>Supplementary</w:t>
      </w:r>
      <w:r w:rsidR="00B70029">
        <w:rPr>
          <w:b/>
          <w:sz w:val="32"/>
          <w:szCs w:val="32"/>
          <w:lang w:val="en-US"/>
        </w:rPr>
        <w:t xml:space="preserve"> Materials</w:t>
      </w:r>
    </w:p>
    <w:p w14:paraId="085AE77E" w14:textId="77777777" w:rsidR="00B70029" w:rsidRPr="00A65999" w:rsidRDefault="00B70029" w:rsidP="00B70029">
      <w:pPr>
        <w:spacing w:line="480" w:lineRule="auto"/>
        <w:rPr>
          <w:sz w:val="24"/>
          <w:szCs w:val="24"/>
          <w:highlight w:val="white"/>
          <w:lang w:val="en-US"/>
        </w:rPr>
      </w:pPr>
      <w:r w:rsidRPr="00A65999">
        <w:rPr>
          <w:sz w:val="24"/>
          <w:szCs w:val="24"/>
          <w:highlight w:val="white"/>
          <w:lang w:val="en-US"/>
        </w:rPr>
        <w:t xml:space="preserve">Title: </w:t>
      </w:r>
    </w:p>
    <w:p w14:paraId="226F81E6" w14:textId="77777777" w:rsidR="00B70029" w:rsidRPr="00A65999" w:rsidRDefault="00B70029" w:rsidP="00B70029">
      <w:pPr>
        <w:spacing w:line="480" w:lineRule="auto"/>
        <w:rPr>
          <w:sz w:val="16"/>
          <w:szCs w:val="16"/>
          <w:lang w:val="en-US"/>
        </w:rPr>
      </w:pPr>
      <w:r w:rsidRPr="00A65999">
        <w:rPr>
          <w:sz w:val="20"/>
          <w:szCs w:val="20"/>
          <w:lang w:val="en-US"/>
        </w:rPr>
        <w:t>Probability Estimation of Narcolepsy Type 1 in DTA mice using Unlabeled EEG and EMG Data</w:t>
      </w:r>
    </w:p>
    <w:p w14:paraId="2AD72614" w14:textId="77777777" w:rsidR="00B70029" w:rsidRPr="00A65999" w:rsidRDefault="00B70029" w:rsidP="00B70029">
      <w:pPr>
        <w:spacing w:line="480" w:lineRule="auto"/>
        <w:rPr>
          <w:sz w:val="20"/>
          <w:szCs w:val="20"/>
          <w:lang w:val="en-US"/>
        </w:rPr>
      </w:pPr>
      <w:r w:rsidRPr="00A65999">
        <w:rPr>
          <w:sz w:val="20"/>
          <w:szCs w:val="20"/>
          <w:lang w:val="en-US"/>
        </w:rPr>
        <w:t xml:space="preserve"> </w:t>
      </w:r>
    </w:p>
    <w:p w14:paraId="1ADC98B9" w14:textId="77777777" w:rsidR="00B70029" w:rsidRPr="00A65999" w:rsidRDefault="00B70029" w:rsidP="00B70029">
      <w:pPr>
        <w:spacing w:line="480" w:lineRule="auto"/>
        <w:rPr>
          <w:sz w:val="24"/>
          <w:szCs w:val="24"/>
          <w:highlight w:val="white"/>
          <w:lang w:val="en-US"/>
        </w:rPr>
      </w:pPr>
      <w:r w:rsidRPr="00A65999">
        <w:rPr>
          <w:sz w:val="24"/>
          <w:szCs w:val="24"/>
          <w:highlight w:val="white"/>
          <w:lang w:val="en-US"/>
        </w:rPr>
        <w:t xml:space="preserve">Authors: </w:t>
      </w:r>
    </w:p>
    <w:p w14:paraId="1BDBA150" w14:textId="5FFA9DAC" w:rsidR="00B70029" w:rsidRPr="00A65999" w:rsidRDefault="00B70029" w:rsidP="00B70029">
      <w:pPr>
        <w:spacing w:line="480" w:lineRule="auto"/>
        <w:rPr>
          <w:sz w:val="20"/>
          <w:szCs w:val="20"/>
          <w:highlight w:val="white"/>
          <w:vertAlign w:val="superscript"/>
          <w:lang w:val="en-US"/>
        </w:rPr>
      </w:pPr>
      <w:r w:rsidRPr="00A65999">
        <w:rPr>
          <w:sz w:val="20"/>
          <w:szCs w:val="20"/>
          <w:highlight w:val="white"/>
          <w:lang w:val="en-US"/>
        </w:rPr>
        <w:t>Laura Rose</w:t>
      </w:r>
      <w:r w:rsidRPr="00A65999">
        <w:rPr>
          <w:sz w:val="20"/>
          <w:szCs w:val="20"/>
          <w:highlight w:val="white"/>
          <w:vertAlign w:val="superscript"/>
          <w:lang w:val="en-US"/>
        </w:rPr>
        <w:t>1</w:t>
      </w:r>
      <w:r w:rsidRPr="00A65999">
        <w:rPr>
          <w:sz w:val="20"/>
          <w:szCs w:val="20"/>
          <w:highlight w:val="white"/>
          <w:lang w:val="en-US"/>
        </w:rPr>
        <w:t>, Alexander Neergaard Zahid</w:t>
      </w:r>
      <w:r w:rsidRPr="00A65999">
        <w:rPr>
          <w:sz w:val="20"/>
          <w:szCs w:val="20"/>
          <w:highlight w:val="white"/>
          <w:vertAlign w:val="superscript"/>
          <w:lang w:val="en-US"/>
        </w:rPr>
        <w:t>2</w:t>
      </w:r>
      <w:r w:rsidRPr="00A65999">
        <w:rPr>
          <w:sz w:val="20"/>
          <w:szCs w:val="20"/>
          <w:highlight w:val="white"/>
          <w:lang w:val="en-US"/>
        </w:rPr>
        <w:t>, Louise Piilgaard</w:t>
      </w:r>
      <w:r w:rsidRPr="00A65999">
        <w:rPr>
          <w:sz w:val="20"/>
          <w:szCs w:val="20"/>
          <w:highlight w:val="white"/>
          <w:vertAlign w:val="superscript"/>
          <w:lang w:val="en-US"/>
        </w:rPr>
        <w:t>1</w:t>
      </w:r>
      <w:r w:rsidRPr="00A65999">
        <w:rPr>
          <w:sz w:val="20"/>
          <w:szCs w:val="20"/>
          <w:highlight w:val="white"/>
          <w:lang w:val="en-US"/>
        </w:rPr>
        <w:t>, Christine Egebjerg</w:t>
      </w:r>
      <w:r w:rsidRPr="00A65999">
        <w:rPr>
          <w:sz w:val="20"/>
          <w:szCs w:val="20"/>
          <w:highlight w:val="white"/>
          <w:vertAlign w:val="superscript"/>
          <w:lang w:val="en-US"/>
        </w:rPr>
        <w:t>1</w:t>
      </w:r>
      <w:r w:rsidRPr="00A65999">
        <w:rPr>
          <w:sz w:val="20"/>
          <w:szCs w:val="20"/>
          <w:highlight w:val="white"/>
          <w:lang w:val="en-US"/>
        </w:rPr>
        <w:t>, Frederikke Lynge Sørensen</w:t>
      </w:r>
      <w:r w:rsidRPr="00A65999">
        <w:rPr>
          <w:sz w:val="20"/>
          <w:szCs w:val="20"/>
          <w:highlight w:val="white"/>
          <w:vertAlign w:val="superscript"/>
          <w:lang w:val="en-US"/>
        </w:rPr>
        <w:t>3</w:t>
      </w:r>
      <w:r w:rsidRPr="00A65999">
        <w:rPr>
          <w:sz w:val="20"/>
          <w:szCs w:val="20"/>
          <w:highlight w:val="white"/>
          <w:lang w:val="en-US"/>
        </w:rPr>
        <w:t>, Mie Andersen</w:t>
      </w:r>
      <w:r w:rsidRPr="00A65999">
        <w:rPr>
          <w:sz w:val="20"/>
          <w:szCs w:val="20"/>
          <w:highlight w:val="white"/>
          <w:vertAlign w:val="superscript"/>
          <w:lang w:val="en-US"/>
        </w:rPr>
        <w:t>3</w:t>
      </w:r>
      <w:r w:rsidRPr="00A65999">
        <w:rPr>
          <w:sz w:val="20"/>
          <w:szCs w:val="20"/>
          <w:highlight w:val="white"/>
          <w:lang w:val="en-US"/>
        </w:rPr>
        <w:t>, Tessa Radovanovic</w:t>
      </w:r>
      <w:r w:rsidRPr="00A65999">
        <w:rPr>
          <w:sz w:val="20"/>
          <w:szCs w:val="20"/>
          <w:highlight w:val="white"/>
          <w:vertAlign w:val="superscript"/>
          <w:lang w:val="en-US"/>
        </w:rPr>
        <w:t>3</w:t>
      </w:r>
      <w:r w:rsidRPr="00A65999">
        <w:rPr>
          <w:sz w:val="20"/>
          <w:szCs w:val="20"/>
          <w:highlight w:val="white"/>
          <w:lang w:val="en-US"/>
        </w:rPr>
        <w:t>, Anastasia Tsopanidou</w:t>
      </w:r>
      <w:r w:rsidRPr="00A65999">
        <w:rPr>
          <w:sz w:val="20"/>
          <w:szCs w:val="20"/>
          <w:highlight w:val="white"/>
          <w:vertAlign w:val="superscript"/>
          <w:lang w:val="en-US"/>
        </w:rPr>
        <w:t>3</w:t>
      </w:r>
      <w:r w:rsidRPr="00A65999">
        <w:rPr>
          <w:sz w:val="20"/>
          <w:szCs w:val="20"/>
          <w:highlight w:val="white"/>
          <w:lang w:val="en-US"/>
        </w:rPr>
        <w:t>, Stefano Bastianini</w:t>
      </w:r>
      <w:r w:rsidRPr="00A65999">
        <w:rPr>
          <w:sz w:val="20"/>
          <w:szCs w:val="20"/>
          <w:highlight w:val="white"/>
          <w:vertAlign w:val="superscript"/>
          <w:lang w:val="en-US"/>
        </w:rPr>
        <w:t>4</w:t>
      </w:r>
      <w:r w:rsidRPr="00A65999">
        <w:rPr>
          <w:sz w:val="20"/>
          <w:szCs w:val="20"/>
          <w:highlight w:val="white"/>
          <w:lang w:val="en-US"/>
        </w:rPr>
        <w:t>, Chiara Berteotti</w:t>
      </w:r>
      <w:r w:rsidRPr="00A65999">
        <w:rPr>
          <w:sz w:val="20"/>
          <w:szCs w:val="20"/>
          <w:highlight w:val="white"/>
          <w:vertAlign w:val="superscript"/>
          <w:lang w:val="en-US"/>
        </w:rPr>
        <w:t>4</w:t>
      </w:r>
      <w:r w:rsidRPr="00A65999">
        <w:rPr>
          <w:sz w:val="20"/>
          <w:szCs w:val="20"/>
          <w:highlight w:val="white"/>
          <w:lang w:val="en-US"/>
        </w:rPr>
        <w:t>,</w:t>
      </w:r>
      <w:r w:rsidRPr="00A65999">
        <w:rPr>
          <w:sz w:val="20"/>
          <w:szCs w:val="20"/>
          <w:lang w:val="en-US"/>
        </w:rPr>
        <w:t xml:space="preserve"> </w:t>
      </w:r>
      <w:r w:rsidRPr="00A65999">
        <w:rPr>
          <w:sz w:val="20"/>
          <w:szCs w:val="20"/>
          <w:highlight w:val="white"/>
          <w:lang w:val="en-US"/>
        </w:rPr>
        <w:t>Viviana Lo Martire</w:t>
      </w:r>
      <w:r w:rsidRPr="00A65999">
        <w:rPr>
          <w:sz w:val="20"/>
          <w:szCs w:val="20"/>
          <w:highlight w:val="white"/>
          <w:vertAlign w:val="superscript"/>
          <w:lang w:val="en-US"/>
        </w:rPr>
        <w:t>4</w:t>
      </w:r>
      <w:r w:rsidRPr="00A65999">
        <w:rPr>
          <w:sz w:val="20"/>
          <w:szCs w:val="20"/>
          <w:highlight w:val="white"/>
          <w:lang w:val="en-US"/>
        </w:rPr>
        <w:t>, Micaela Borsa</w:t>
      </w:r>
      <w:r w:rsidRPr="00A65999">
        <w:rPr>
          <w:sz w:val="20"/>
          <w:szCs w:val="20"/>
          <w:highlight w:val="white"/>
          <w:vertAlign w:val="superscript"/>
          <w:lang w:val="en-US"/>
        </w:rPr>
        <w:t>5,6</w:t>
      </w:r>
      <w:r w:rsidRPr="00A65999">
        <w:rPr>
          <w:sz w:val="20"/>
          <w:szCs w:val="20"/>
          <w:highlight w:val="white"/>
          <w:lang w:val="en-US"/>
        </w:rPr>
        <w:t>, Ryan K. Tisdale</w:t>
      </w:r>
      <w:r w:rsidRPr="00A65999">
        <w:rPr>
          <w:sz w:val="20"/>
          <w:szCs w:val="20"/>
          <w:highlight w:val="white"/>
          <w:vertAlign w:val="superscript"/>
          <w:lang w:val="en-US"/>
        </w:rPr>
        <w:t>7</w:t>
      </w:r>
      <w:r>
        <w:rPr>
          <w:sz w:val="20"/>
          <w:szCs w:val="20"/>
          <w:highlight w:val="white"/>
          <w:vertAlign w:val="superscript"/>
          <w:lang w:val="en-US"/>
        </w:rPr>
        <w:t>,11</w:t>
      </w:r>
      <w:r w:rsidRPr="00A65999">
        <w:rPr>
          <w:sz w:val="20"/>
          <w:szCs w:val="20"/>
          <w:highlight w:val="white"/>
          <w:lang w:val="en-US"/>
        </w:rPr>
        <w:t>, Yu Sun</w:t>
      </w:r>
      <w:r w:rsidRPr="00A65999">
        <w:rPr>
          <w:sz w:val="20"/>
          <w:szCs w:val="20"/>
          <w:highlight w:val="white"/>
          <w:vertAlign w:val="superscript"/>
          <w:lang w:val="en-US"/>
        </w:rPr>
        <w:t>7</w:t>
      </w:r>
      <w:r w:rsidRPr="00A65999">
        <w:rPr>
          <w:sz w:val="20"/>
          <w:szCs w:val="20"/>
          <w:highlight w:val="white"/>
          <w:lang w:val="en-US"/>
        </w:rPr>
        <w:t>, Maiken Nedergaard</w:t>
      </w:r>
      <w:r w:rsidRPr="00A65999">
        <w:rPr>
          <w:sz w:val="20"/>
          <w:szCs w:val="20"/>
          <w:highlight w:val="white"/>
          <w:vertAlign w:val="superscript"/>
          <w:lang w:val="en-US"/>
        </w:rPr>
        <w:t>3</w:t>
      </w:r>
      <w:r w:rsidRPr="00A65999">
        <w:rPr>
          <w:sz w:val="20"/>
          <w:szCs w:val="20"/>
          <w:highlight w:val="white"/>
          <w:lang w:val="en-US"/>
        </w:rPr>
        <w:t>, Alessandro Silvani</w:t>
      </w:r>
      <w:r w:rsidRPr="00A65999">
        <w:rPr>
          <w:sz w:val="20"/>
          <w:szCs w:val="20"/>
          <w:highlight w:val="white"/>
          <w:vertAlign w:val="superscript"/>
          <w:lang w:val="en-US"/>
        </w:rPr>
        <w:t>4</w:t>
      </w:r>
      <w:r w:rsidRPr="00A65999">
        <w:rPr>
          <w:sz w:val="20"/>
          <w:szCs w:val="20"/>
          <w:highlight w:val="white"/>
          <w:lang w:val="en-US"/>
        </w:rPr>
        <w:t>,</w:t>
      </w:r>
      <w:r w:rsidRPr="00A65999">
        <w:rPr>
          <w:sz w:val="20"/>
          <w:szCs w:val="20"/>
          <w:lang w:val="en-US"/>
        </w:rPr>
        <w:t xml:space="preserve"> Giovanna Zoccoli</w:t>
      </w:r>
      <w:r w:rsidRPr="00A65999">
        <w:rPr>
          <w:sz w:val="20"/>
          <w:szCs w:val="20"/>
          <w:vertAlign w:val="superscript"/>
          <w:lang w:val="en-US"/>
        </w:rPr>
        <w:t>4</w:t>
      </w:r>
      <w:r w:rsidRPr="00A65999">
        <w:rPr>
          <w:sz w:val="20"/>
          <w:szCs w:val="20"/>
          <w:lang w:val="en-US"/>
        </w:rPr>
        <w:t>, Antoine Adamantidis</w:t>
      </w:r>
      <w:r w:rsidRPr="00A65999">
        <w:rPr>
          <w:sz w:val="20"/>
          <w:szCs w:val="20"/>
          <w:vertAlign w:val="superscript"/>
          <w:lang w:val="en-US"/>
        </w:rPr>
        <w:t>5,6</w:t>
      </w:r>
      <w:r w:rsidRPr="00A65999">
        <w:rPr>
          <w:sz w:val="20"/>
          <w:szCs w:val="20"/>
          <w:lang w:val="en-US"/>
        </w:rPr>
        <w:t>, Thomas S. Kilduff</w:t>
      </w:r>
      <w:r w:rsidRPr="00A65999">
        <w:rPr>
          <w:sz w:val="20"/>
          <w:szCs w:val="20"/>
          <w:vertAlign w:val="superscript"/>
          <w:lang w:val="en-US"/>
        </w:rPr>
        <w:t>7</w:t>
      </w:r>
      <w:r w:rsidRPr="00A65999">
        <w:rPr>
          <w:sz w:val="20"/>
          <w:szCs w:val="20"/>
          <w:lang w:val="en-US"/>
        </w:rPr>
        <w:t>,  Noriaki Sakai</w:t>
      </w:r>
      <w:r w:rsidRPr="00A65999">
        <w:rPr>
          <w:sz w:val="20"/>
          <w:szCs w:val="20"/>
          <w:vertAlign w:val="superscript"/>
          <w:lang w:val="en-US"/>
        </w:rPr>
        <w:t>8</w:t>
      </w:r>
      <w:r w:rsidRPr="00A65999">
        <w:rPr>
          <w:sz w:val="20"/>
          <w:szCs w:val="20"/>
          <w:lang w:val="en-US"/>
        </w:rPr>
        <w:t>, Seiji Nishino</w:t>
      </w:r>
      <w:r w:rsidRPr="00A65999">
        <w:rPr>
          <w:sz w:val="20"/>
          <w:szCs w:val="20"/>
          <w:vertAlign w:val="superscript"/>
          <w:lang w:val="en-US"/>
        </w:rPr>
        <w:t>8</w:t>
      </w:r>
      <w:r w:rsidRPr="00A65999">
        <w:rPr>
          <w:sz w:val="20"/>
          <w:szCs w:val="20"/>
          <w:lang w:val="en-US"/>
        </w:rPr>
        <w:t xml:space="preserve">, </w:t>
      </w:r>
      <w:r w:rsidRPr="00A65999">
        <w:rPr>
          <w:sz w:val="20"/>
          <w:szCs w:val="20"/>
          <w:highlight w:val="white"/>
          <w:lang w:val="en-US"/>
        </w:rPr>
        <w:t>Sébastien Arthaud</w:t>
      </w:r>
      <w:r w:rsidRPr="00A65999">
        <w:rPr>
          <w:sz w:val="20"/>
          <w:szCs w:val="20"/>
          <w:highlight w:val="white"/>
          <w:vertAlign w:val="superscript"/>
          <w:lang w:val="en-US"/>
        </w:rPr>
        <w:t>9</w:t>
      </w:r>
      <w:r w:rsidRPr="00A65999">
        <w:rPr>
          <w:sz w:val="20"/>
          <w:szCs w:val="20"/>
          <w:highlight w:val="white"/>
          <w:lang w:val="en-US"/>
        </w:rPr>
        <w:t>, Christelle Peyron</w:t>
      </w:r>
      <w:r w:rsidRPr="00A65999">
        <w:rPr>
          <w:sz w:val="20"/>
          <w:szCs w:val="20"/>
          <w:highlight w:val="white"/>
          <w:vertAlign w:val="superscript"/>
          <w:lang w:val="en-US"/>
        </w:rPr>
        <w:t>9</w:t>
      </w:r>
      <w:r w:rsidRPr="00A65999">
        <w:rPr>
          <w:sz w:val="20"/>
          <w:szCs w:val="20"/>
          <w:highlight w:val="white"/>
          <w:lang w:val="en-US"/>
        </w:rPr>
        <w:t>, Patrice Fort</w:t>
      </w:r>
      <w:r w:rsidRPr="00A65999">
        <w:rPr>
          <w:sz w:val="20"/>
          <w:szCs w:val="20"/>
          <w:highlight w:val="white"/>
          <w:vertAlign w:val="superscript"/>
          <w:lang w:val="en-US"/>
        </w:rPr>
        <w:t>9</w:t>
      </w:r>
      <w:r w:rsidRPr="00A65999">
        <w:rPr>
          <w:sz w:val="20"/>
          <w:szCs w:val="20"/>
          <w:highlight w:val="white"/>
          <w:lang w:val="en-US"/>
        </w:rPr>
        <w:t>, Morten Mørup</w:t>
      </w:r>
      <w:r w:rsidRPr="00A65999">
        <w:rPr>
          <w:sz w:val="20"/>
          <w:szCs w:val="20"/>
          <w:highlight w:val="white"/>
          <w:vertAlign w:val="superscript"/>
          <w:lang w:val="en-US"/>
        </w:rPr>
        <w:t>2</w:t>
      </w:r>
      <w:r w:rsidRPr="00A65999">
        <w:rPr>
          <w:sz w:val="20"/>
          <w:szCs w:val="20"/>
          <w:highlight w:val="white"/>
          <w:lang w:val="en-US"/>
        </w:rPr>
        <w:t>, Emmanuel Mignot</w:t>
      </w:r>
      <w:r w:rsidRPr="00A65999">
        <w:rPr>
          <w:sz w:val="20"/>
          <w:szCs w:val="20"/>
          <w:highlight w:val="white"/>
          <w:vertAlign w:val="superscript"/>
          <w:lang w:val="en-US"/>
        </w:rPr>
        <w:t>10,¥</w:t>
      </w:r>
      <w:r w:rsidRPr="00A65999">
        <w:rPr>
          <w:sz w:val="20"/>
          <w:szCs w:val="20"/>
          <w:highlight w:val="white"/>
          <w:lang w:val="en-US"/>
        </w:rPr>
        <w:t>, Birgitte Rahbek Kornum</w:t>
      </w:r>
      <w:r w:rsidRPr="00A65999">
        <w:rPr>
          <w:sz w:val="20"/>
          <w:szCs w:val="20"/>
          <w:highlight w:val="white"/>
          <w:vertAlign w:val="superscript"/>
          <w:lang w:val="en-US"/>
        </w:rPr>
        <w:t>1,</w:t>
      </w:r>
      <w:r>
        <w:rPr>
          <w:sz w:val="20"/>
          <w:szCs w:val="20"/>
          <w:highlight w:val="white"/>
          <w:vertAlign w:val="superscript"/>
          <w:lang w:val="en-US"/>
        </w:rPr>
        <w:t xml:space="preserve">*, </w:t>
      </w:r>
      <w:r w:rsidRPr="00A65999">
        <w:rPr>
          <w:sz w:val="20"/>
          <w:szCs w:val="20"/>
          <w:highlight w:val="white"/>
          <w:vertAlign w:val="superscript"/>
          <w:lang w:val="en-US"/>
        </w:rPr>
        <w:t>¥</w:t>
      </w:r>
    </w:p>
    <w:p w14:paraId="53C84511" w14:textId="77777777" w:rsidR="00B70029" w:rsidRPr="00A65999" w:rsidRDefault="00B70029" w:rsidP="00B70029">
      <w:pPr>
        <w:spacing w:line="480" w:lineRule="auto"/>
        <w:rPr>
          <w:sz w:val="14"/>
          <w:szCs w:val="14"/>
          <w:highlight w:val="white"/>
          <w:lang w:val="en-US"/>
        </w:rPr>
      </w:pPr>
      <w:r w:rsidRPr="00A65999">
        <w:rPr>
          <w:sz w:val="14"/>
          <w:szCs w:val="14"/>
          <w:highlight w:val="white"/>
          <w:lang w:val="en-US"/>
        </w:rPr>
        <w:t xml:space="preserve"> </w:t>
      </w:r>
    </w:p>
    <w:p w14:paraId="450E7032" w14:textId="3735CF41" w:rsidR="00B70029" w:rsidRPr="00B70029" w:rsidRDefault="00B70029" w:rsidP="00B70029">
      <w:pPr>
        <w:keepLines/>
        <w:spacing w:line="480" w:lineRule="auto"/>
        <w:rPr>
          <w:sz w:val="18"/>
          <w:szCs w:val="18"/>
          <w:highlight w:val="white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1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Department of Neuroscience, Faculty of Health and Medical Sciences, University of Copenhagen, Copenhagen, Denmark</w:t>
      </w:r>
    </w:p>
    <w:p w14:paraId="55F311E5" w14:textId="265CC309" w:rsidR="00B70029" w:rsidRPr="00B70029" w:rsidRDefault="00B70029" w:rsidP="00B70029">
      <w:pPr>
        <w:keepLines/>
        <w:spacing w:line="480" w:lineRule="auto"/>
        <w:rPr>
          <w:sz w:val="18"/>
          <w:szCs w:val="18"/>
          <w:highlight w:val="white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2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Department of Applied Mathematics and Computer Science, Technical University of Denmark, Kgs. Lyngby, Denmark</w:t>
      </w:r>
    </w:p>
    <w:p w14:paraId="69024EF6" w14:textId="4FB3029D" w:rsidR="00B70029" w:rsidRPr="00B70029" w:rsidRDefault="00B70029" w:rsidP="00B70029">
      <w:pPr>
        <w:keepLines/>
        <w:spacing w:line="480" w:lineRule="auto"/>
        <w:rPr>
          <w:sz w:val="18"/>
          <w:szCs w:val="18"/>
          <w:highlight w:val="white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3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Division of Glial Disease and Therapeutics, Center for Translational Neuromedicine, University of Copenhagen, Copenhagen, Denmark</w:t>
      </w:r>
    </w:p>
    <w:p w14:paraId="189C2C3B" w14:textId="217832C7" w:rsidR="00B70029" w:rsidRPr="00B70029" w:rsidRDefault="00B70029" w:rsidP="00B70029">
      <w:pPr>
        <w:keepLines/>
        <w:spacing w:line="480" w:lineRule="auto"/>
        <w:rPr>
          <w:sz w:val="18"/>
          <w:szCs w:val="18"/>
          <w:highlight w:val="white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4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Department of Biomedical and Neuromotor Sciences, University of Bologna, Bologna, Italy</w:t>
      </w:r>
      <w:r w:rsidRPr="00B70029"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 xml:space="preserve"> </w:t>
      </w:r>
    </w:p>
    <w:p w14:paraId="3A598663" w14:textId="1B40CBCB" w:rsidR="00B70029" w:rsidRPr="00B70029" w:rsidRDefault="00B70029" w:rsidP="00B70029">
      <w:pPr>
        <w:keepLines/>
        <w:spacing w:line="480" w:lineRule="auto"/>
        <w:rPr>
          <w:sz w:val="18"/>
          <w:szCs w:val="18"/>
          <w:highlight w:val="white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5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Zentrum für Experimentelle Neurologie, Department of Neurology, University Hospital Bern, Bern, Switzerland</w:t>
      </w:r>
    </w:p>
    <w:p w14:paraId="17854B39" w14:textId="1FD6F9DF" w:rsidR="00B70029" w:rsidRPr="00B70029" w:rsidRDefault="00B70029" w:rsidP="00B70029">
      <w:pPr>
        <w:keepLines/>
        <w:spacing w:line="480" w:lineRule="auto"/>
        <w:rPr>
          <w:sz w:val="18"/>
          <w:szCs w:val="18"/>
          <w:highlight w:val="white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6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Department of Biomedical Research, University of Bern, Bern, Switzerland</w:t>
      </w:r>
    </w:p>
    <w:p w14:paraId="6FA39994" w14:textId="153CB2A9" w:rsidR="00B70029" w:rsidRPr="00B70029" w:rsidRDefault="00B70029" w:rsidP="00B70029">
      <w:pPr>
        <w:keepLines/>
        <w:spacing w:line="480" w:lineRule="auto"/>
        <w:rPr>
          <w:sz w:val="18"/>
          <w:szCs w:val="18"/>
          <w:lang w:val="en-US"/>
        </w:rPr>
      </w:pPr>
      <w:r w:rsidRPr="00B70029">
        <w:rPr>
          <w:sz w:val="18"/>
          <w:szCs w:val="18"/>
          <w:vertAlign w:val="superscript"/>
          <w:lang w:val="en-US"/>
        </w:rPr>
        <w:t>7</w:t>
      </w:r>
      <w:r>
        <w:rPr>
          <w:sz w:val="18"/>
          <w:szCs w:val="18"/>
          <w:vertAlign w:val="superscript"/>
          <w:lang w:val="en-US"/>
        </w:rPr>
        <w:t xml:space="preserve"> </w:t>
      </w:r>
      <w:r w:rsidRPr="00B70029">
        <w:rPr>
          <w:sz w:val="18"/>
          <w:szCs w:val="18"/>
          <w:lang w:val="en-US"/>
        </w:rPr>
        <w:t>Center for Neuroscience, Biosciences Division, SRI International, Menlo Park, CA, USA</w:t>
      </w:r>
    </w:p>
    <w:p w14:paraId="7247B4BB" w14:textId="549EBE48" w:rsidR="00B70029" w:rsidRPr="00B70029" w:rsidRDefault="00B70029" w:rsidP="00B70029">
      <w:pPr>
        <w:keepLines/>
        <w:spacing w:line="480" w:lineRule="auto"/>
        <w:rPr>
          <w:sz w:val="18"/>
          <w:szCs w:val="18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8</w:t>
      </w:r>
      <w:r>
        <w:rPr>
          <w:sz w:val="18"/>
          <w:szCs w:val="18"/>
          <w:highlight w:val="white"/>
          <w:vertAlign w:val="superscript"/>
          <w:lang w:val="en-US"/>
        </w:rPr>
        <w:t xml:space="preserve"> </w:t>
      </w:r>
      <w:r w:rsidRPr="00B70029">
        <w:rPr>
          <w:sz w:val="18"/>
          <w:szCs w:val="18"/>
          <w:highlight w:val="white"/>
          <w:lang w:val="en-US"/>
        </w:rPr>
        <w:t>Department of Psychiatry and Behavioral Sciences, Stanford University School of Medicine,</w:t>
      </w:r>
      <w:r w:rsidRPr="00B70029">
        <w:rPr>
          <w:sz w:val="18"/>
          <w:szCs w:val="18"/>
          <w:lang w:val="en-US"/>
        </w:rPr>
        <w:t xml:space="preserve"> Stanford, CA, USA</w:t>
      </w:r>
    </w:p>
    <w:p w14:paraId="43ED4E6A" w14:textId="68F6B588" w:rsidR="00B70029" w:rsidRPr="00B70029" w:rsidRDefault="00B70029" w:rsidP="00B70029">
      <w:pPr>
        <w:keepLines/>
        <w:spacing w:line="480" w:lineRule="auto"/>
        <w:rPr>
          <w:sz w:val="18"/>
          <w:szCs w:val="18"/>
          <w:lang w:val="en-US"/>
        </w:rPr>
      </w:pPr>
      <w:r w:rsidRPr="00B70029">
        <w:rPr>
          <w:sz w:val="18"/>
          <w:szCs w:val="18"/>
          <w:vertAlign w:val="superscript"/>
          <w:lang w:val="en-US"/>
        </w:rPr>
        <w:t>9</w:t>
      </w:r>
      <w:r>
        <w:rPr>
          <w:sz w:val="18"/>
          <w:szCs w:val="18"/>
          <w:vertAlign w:val="superscript"/>
          <w:lang w:val="en-US"/>
        </w:rPr>
        <w:t xml:space="preserve"> </w:t>
      </w:r>
      <w:r w:rsidRPr="00B70029">
        <w:rPr>
          <w:sz w:val="18"/>
          <w:szCs w:val="18"/>
          <w:lang w:val="en-US"/>
        </w:rPr>
        <w:t>Center for Neuroscience Research in Lyon (CRNL), SLEEP Team, Université de Lyon, Lyon, France</w:t>
      </w:r>
    </w:p>
    <w:p w14:paraId="01E60251" w14:textId="5B9F1964" w:rsidR="00B70029" w:rsidRPr="00B70029" w:rsidRDefault="00B70029" w:rsidP="00B70029">
      <w:pPr>
        <w:keepLines/>
        <w:spacing w:line="480" w:lineRule="auto"/>
        <w:rPr>
          <w:sz w:val="18"/>
          <w:szCs w:val="18"/>
          <w:lang w:val="en-US"/>
        </w:rPr>
      </w:pPr>
      <w:r w:rsidRPr="00B70029">
        <w:rPr>
          <w:sz w:val="18"/>
          <w:szCs w:val="18"/>
          <w:vertAlign w:val="superscript"/>
          <w:lang w:val="en-US"/>
        </w:rPr>
        <w:t>10</w:t>
      </w:r>
      <w:r>
        <w:rPr>
          <w:sz w:val="18"/>
          <w:szCs w:val="18"/>
          <w:vertAlign w:val="superscript"/>
          <w:lang w:val="en-US"/>
        </w:rPr>
        <w:t xml:space="preserve"> </w:t>
      </w:r>
      <w:r w:rsidRPr="00B70029">
        <w:rPr>
          <w:sz w:val="18"/>
          <w:szCs w:val="18"/>
          <w:lang w:val="en-US"/>
        </w:rPr>
        <w:t>Center for Narcolepsy, Department of Psychiatry, Stanford University School of Medicine, Stanford, CA, USA</w:t>
      </w:r>
    </w:p>
    <w:p w14:paraId="6FF38DAD" w14:textId="2ACABDB6" w:rsidR="00B70029" w:rsidRPr="00B70029" w:rsidRDefault="00B70029" w:rsidP="00B70029">
      <w:pPr>
        <w:keepLines/>
        <w:spacing w:line="480" w:lineRule="auto"/>
        <w:rPr>
          <w:sz w:val="18"/>
          <w:szCs w:val="18"/>
          <w:lang w:val="en-US"/>
        </w:rPr>
      </w:pPr>
      <w:r w:rsidRPr="00B70029">
        <w:rPr>
          <w:sz w:val="18"/>
          <w:szCs w:val="18"/>
          <w:highlight w:val="white"/>
          <w:vertAlign w:val="superscript"/>
          <w:lang w:val="en-US"/>
        </w:rPr>
        <w:t>¥</w:t>
      </w:r>
      <w:r>
        <w:rPr>
          <w:sz w:val="18"/>
          <w:szCs w:val="18"/>
          <w:vertAlign w:val="superscript"/>
          <w:lang w:val="en-US"/>
        </w:rPr>
        <w:t xml:space="preserve"> </w:t>
      </w:r>
      <w:r w:rsidRPr="00B70029">
        <w:rPr>
          <w:sz w:val="18"/>
          <w:szCs w:val="18"/>
          <w:lang w:val="en-US"/>
        </w:rPr>
        <w:t>The authors contributed equally to this manuscript.</w:t>
      </w:r>
    </w:p>
    <w:p w14:paraId="3B94E409" w14:textId="3EDCC9C8" w:rsidR="00B70029" w:rsidRPr="00B70029" w:rsidRDefault="00B70029" w:rsidP="00B70029">
      <w:pPr>
        <w:keepLines/>
        <w:spacing w:line="480" w:lineRule="auto"/>
        <w:rPr>
          <w:sz w:val="18"/>
          <w:szCs w:val="18"/>
          <w:lang w:val="en-US"/>
        </w:rPr>
      </w:pPr>
      <w:r w:rsidRPr="00B70029">
        <w:rPr>
          <w:sz w:val="18"/>
          <w:szCs w:val="18"/>
          <w:lang w:val="en-US"/>
        </w:rPr>
        <w:t>* Corresponding author: kornum@sund.ku.dk</w:t>
      </w:r>
    </w:p>
    <w:p w14:paraId="6D8F2527" w14:textId="77777777" w:rsidR="00B70029" w:rsidRPr="00B70029" w:rsidRDefault="00B70029" w:rsidP="00B70029">
      <w:pPr>
        <w:spacing w:line="480" w:lineRule="auto"/>
        <w:jc w:val="both"/>
        <w:rPr>
          <w:sz w:val="18"/>
          <w:szCs w:val="18"/>
          <w:lang w:val="en-US"/>
        </w:rPr>
      </w:pPr>
      <w:r w:rsidRPr="00B70029">
        <w:rPr>
          <w:sz w:val="18"/>
          <w:szCs w:val="18"/>
          <w:vertAlign w:val="superscript"/>
          <w:lang w:val="en-US"/>
        </w:rPr>
        <w:t>11</w:t>
      </w:r>
      <w:r w:rsidRPr="00B70029">
        <w:rPr>
          <w:sz w:val="18"/>
          <w:szCs w:val="18"/>
          <w:lang w:val="en-US"/>
        </w:rPr>
        <w:t xml:space="preserve"> RKT is a current employee of F. Hoffmann-La Roche Ltd</w:t>
      </w:r>
    </w:p>
    <w:p w14:paraId="1B8B8266" w14:textId="77777777" w:rsidR="00B70029" w:rsidRPr="00507497" w:rsidRDefault="00B70029" w:rsidP="00507497">
      <w:pPr>
        <w:spacing w:line="360" w:lineRule="auto"/>
        <w:jc w:val="both"/>
        <w:rPr>
          <w:b/>
          <w:sz w:val="32"/>
          <w:szCs w:val="32"/>
          <w:lang w:val="en-US"/>
        </w:rPr>
      </w:pPr>
    </w:p>
    <w:p w14:paraId="001A0802" w14:textId="77777777" w:rsidR="00E81F23" w:rsidRPr="00E81F23" w:rsidRDefault="00E81F23" w:rsidP="00A86E5E">
      <w:pPr>
        <w:spacing w:line="360" w:lineRule="auto"/>
        <w:jc w:val="both"/>
        <w:rPr>
          <w:b/>
          <w:lang w:val="en-US"/>
        </w:rPr>
      </w:pPr>
    </w:p>
    <w:p w14:paraId="7357B226" w14:textId="77777777" w:rsidR="00506B8D" w:rsidRDefault="00506B8D" w:rsidP="00506B8D">
      <w:pPr>
        <w:spacing w:after="200" w:line="360" w:lineRule="auto"/>
        <w:jc w:val="both"/>
        <w:rPr>
          <w:iCs/>
          <w:sz w:val="18"/>
          <w:szCs w:val="18"/>
          <w:lang w:val="en-US"/>
        </w:rPr>
      </w:pPr>
      <w:r w:rsidRPr="00506B8D">
        <w:rPr>
          <w:b/>
          <w:iCs/>
          <w:sz w:val="18"/>
          <w:szCs w:val="18"/>
          <w:lang w:val="en-US"/>
        </w:rPr>
        <w:lastRenderedPageBreak/>
        <w:t>Figure S1</w:t>
      </w:r>
      <w:r w:rsidRPr="00506B8D">
        <w:rPr>
          <w:iCs/>
          <w:sz w:val="18"/>
          <w:szCs w:val="18"/>
          <w:lang w:val="en-US"/>
        </w:rPr>
        <w:t>. Confusion matrix of Usleep</w:t>
      </w:r>
      <w:r w:rsidRPr="00506B8D">
        <w:rPr>
          <w:iCs/>
          <w:sz w:val="18"/>
          <w:szCs w:val="18"/>
          <w:vertAlign w:val="subscript"/>
          <w:lang w:val="en-US"/>
        </w:rPr>
        <w:t>EEG</w:t>
      </w:r>
      <w:r w:rsidRPr="00506B8D">
        <w:rPr>
          <w:iCs/>
          <w:sz w:val="18"/>
          <w:szCs w:val="18"/>
          <w:lang w:val="en-US"/>
        </w:rPr>
        <w:t xml:space="preserve"> with column-wise normalization (precision) tested in a held-out test set of (A) 11 WT mice (B) 19 DTA Confusion matrix of Usleep</w:t>
      </w:r>
      <w:r w:rsidRPr="00506B8D">
        <w:rPr>
          <w:iCs/>
          <w:sz w:val="18"/>
          <w:szCs w:val="18"/>
          <w:vertAlign w:val="subscript"/>
          <w:lang w:val="en-US"/>
        </w:rPr>
        <w:t>EMG</w:t>
      </w:r>
      <w:r w:rsidRPr="00506B8D">
        <w:rPr>
          <w:iCs/>
          <w:sz w:val="18"/>
          <w:szCs w:val="18"/>
          <w:lang w:val="en-US"/>
        </w:rPr>
        <w:t xml:space="preserve"> with column-wise normalization (precision) tested in a held-out test set of (C) 11 WT mice (D) 19 DTA mice </w:t>
      </w:r>
    </w:p>
    <w:p w14:paraId="7F1885E6" w14:textId="26D9C858" w:rsidR="00506B8D" w:rsidRPr="00506B8D" w:rsidRDefault="00506B8D" w:rsidP="00506B8D">
      <w:pPr>
        <w:spacing w:after="200" w:line="360" w:lineRule="auto"/>
        <w:jc w:val="both"/>
        <w:rPr>
          <w:iCs/>
          <w:sz w:val="18"/>
          <w:szCs w:val="18"/>
          <w:lang w:val="en-US"/>
        </w:rPr>
      </w:pPr>
      <w:r w:rsidRPr="00506B8D">
        <w:rPr>
          <w:b/>
          <w:iCs/>
          <w:sz w:val="18"/>
          <w:szCs w:val="18"/>
          <w:lang w:val="en-US"/>
        </w:rPr>
        <w:t>Figure S2</w:t>
      </w:r>
      <w:r w:rsidRPr="00506B8D">
        <w:rPr>
          <w:iCs/>
          <w:sz w:val="18"/>
          <w:szCs w:val="18"/>
          <w:lang w:val="en-US"/>
        </w:rPr>
        <w:t>. Confusion matrix of Usleep</w:t>
      </w:r>
      <w:r w:rsidRPr="00506B8D">
        <w:rPr>
          <w:iCs/>
          <w:sz w:val="18"/>
          <w:szCs w:val="18"/>
          <w:vertAlign w:val="subscript"/>
          <w:lang w:val="en-US"/>
        </w:rPr>
        <w:t>EEG</w:t>
      </w:r>
      <w:r w:rsidRPr="00506B8D">
        <w:rPr>
          <w:iCs/>
          <w:sz w:val="18"/>
          <w:szCs w:val="18"/>
          <w:lang w:val="en-US"/>
        </w:rPr>
        <w:t xml:space="preserve"> with row-wise normalization (recall) tested in a held-out test set of (A) 11 WT mice (B) 19 DTA Confusion matrix of Usleep</w:t>
      </w:r>
      <w:r w:rsidRPr="00506B8D">
        <w:rPr>
          <w:iCs/>
          <w:sz w:val="18"/>
          <w:szCs w:val="18"/>
          <w:vertAlign w:val="subscript"/>
          <w:lang w:val="en-US"/>
        </w:rPr>
        <w:t>EMG</w:t>
      </w:r>
      <w:r w:rsidRPr="00506B8D">
        <w:rPr>
          <w:iCs/>
          <w:sz w:val="18"/>
          <w:szCs w:val="18"/>
          <w:lang w:val="en-US"/>
        </w:rPr>
        <w:t xml:space="preserve"> with row-wise normalization (recall) tested in a held-out test set of (C) 11 WT mice (D) 19 DTA mice </w:t>
      </w:r>
    </w:p>
    <w:p w14:paraId="5515EE5B" w14:textId="5252673C" w:rsidR="00E81F23" w:rsidRPr="00E81F23" w:rsidRDefault="00E81F23" w:rsidP="00E81F23">
      <w:pPr>
        <w:spacing w:after="200" w:line="360" w:lineRule="auto"/>
        <w:jc w:val="both"/>
        <w:rPr>
          <w:color w:val="000000" w:themeColor="text1"/>
          <w:sz w:val="18"/>
          <w:szCs w:val="18"/>
          <w:lang w:val="en-US"/>
        </w:rPr>
      </w:pPr>
      <w:r w:rsidRPr="00E81F23">
        <w:rPr>
          <w:b/>
          <w:iCs/>
          <w:color w:val="000000" w:themeColor="text1"/>
          <w:sz w:val="18"/>
          <w:szCs w:val="18"/>
          <w:lang w:val="en-US"/>
        </w:rPr>
        <w:t>Figure S</w:t>
      </w:r>
      <w:r w:rsidR="00506B8D">
        <w:rPr>
          <w:b/>
          <w:iCs/>
          <w:color w:val="000000" w:themeColor="text1"/>
          <w:sz w:val="18"/>
          <w:szCs w:val="18"/>
          <w:lang w:val="en-US"/>
        </w:rPr>
        <w:t>3</w:t>
      </w:r>
      <w:r w:rsidRPr="00E81F23">
        <w:rPr>
          <w:b/>
          <w:iCs/>
          <w:color w:val="000000" w:themeColor="text1"/>
          <w:sz w:val="18"/>
          <w:szCs w:val="18"/>
          <w:lang w:val="en-US"/>
        </w:rPr>
        <w:t>.</w:t>
      </w:r>
      <w:r w:rsidRPr="00E81F23">
        <w:rPr>
          <w:i/>
          <w:color w:val="000000" w:themeColor="text1"/>
          <w:sz w:val="18"/>
          <w:szCs w:val="18"/>
          <w:lang w:val="en-US"/>
        </w:rPr>
        <w:t xml:space="preserve"> </w:t>
      </w:r>
      <w:r w:rsidRPr="00E81F23">
        <w:rPr>
          <w:color w:val="000000" w:themeColor="text1"/>
          <w:sz w:val="18"/>
          <w:szCs w:val="18"/>
          <w:lang w:val="en-US"/>
        </w:rPr>
        <w:t>Learning curve of usleep</w:t>
      </w:r>
      <w:r w:rsidRPr="00E81F23">
        <w:rPr>
          <w:color w:val="000000" w:themeColor="text1"/>
          <w:sz w:val="18"/>
          <w:szCs w:val="18"/>
          <w:vertAlign w:val="subscript"/>
          <w:lang w:val="en-US"/>
        </w:rPr>
        <w:t>EEG.</w:t>
      </w:r>
      <w:r w:rsidRPr="00E81F23">
        <w:rPr>
          <w:i/>
          <w:color w:val="000000" w:themeColor="text1"/>
          <w:sz w:val="18"/>
          <w:szCs w:val="18"/>
          <w:vertAlign w:val="subscript"/>
          <w:lang w:val="en-US"/>
        </w:rPr>
        <w:t xml:space="preserve"> </w:t>
      </w:r>
      <w:r w:rsidRPr="00E81F23">
        <w:rPr>
          <w:color w:val="000000" w:themeColor="text1"/>
          <w:sz w:val="18"/>
          <w:szCs w:val="18"/>
          <w:lang w:val="en-US"/>
        </w:rPr>
        <w:t>Red color indicates validation loss, blue color training loss, grey dashed line indicates the model that is used (epoch = 938).</w:t>
      </w:r>
    </w:p>
    <w:p w14:paraId="7596D708" w14:textId="007A4760" w:rsidR="00E81F23" w:rsidRPr="00E81F23" w:rsidRDefault="00E81F23" w:rsidP="00E81F23">
      <w:pPr>
        <w:spacing w:after="200" w:line="360" w:lineRule="auto"/>
        <w:jc w:val="both"/>
        <w:rPr>
          <w:color w:val="000000" w:themeColor="text1"/>
          <w:sz w:val="18"/>
          <w:szCs w:val="18"/>
          <w:lang w:val="en-US"/>
        </w:rPr>
      </w:pPr>
      <w:r w:rsidRPr="00E81F23">
        <w:rPr>
          <w:b/>
          <w:iCs/>
          <w:color w:val="000000" w:themeColor="text1"/>
          <w:sz w:val="18"/>
          <w:szCs w:val="18"/>
          <w:lang w:val="en-US"/>
        </w:rPr>
        <w:t>Figure S</w:t>
      </w:r>
      <w:r w:rsidR="00506B8D">
        <w:rPr>
          <w:b/>
          <w:iCs/>
          <w:color w:val="000000" w:themeColor="text1"/>
          <w:sz w:val="18"/>
          <w:szCs w:val="18"/>
          <w:lang w:val="en-US"/>
        </w:rPr>
        <w:t>4</w:t>
      </w:r>
      <w:r w:rsidRPr="00E81F23">
        <w:rPr>
          <w:b/>
          <w:iCs/>
          <w:color w:val="000000" w:themeColor="text1"/>
          <w:sz w:val="18"/>
          <w:szCs w:val="18"/>
          <w:lang w:val="en-US"/>
        </w:rPr>
        <w:t>.</w:t>
      </w:r>
      <w:r w:rsidRPr="00E81F23">
        <w:rPr>
          <w:i/>
          <w:color w:val="000000" w:themeColor="text1"/>
          <w:sz w:val="18"/>
          <w:szCs w:val="18"/>
          <w:lang w:val="en-US"/>
        </w:rPr>
        <w:t xml:space="preserve"> </w:t>
      </w:r>
      <w:r w:rsidRPr="00E81F23">
        <w:rPr>
          <w:color w:val="000000" w:themeColor="text1"/>
          <w:sz w:val="18"/>
          <w:szCs w:val="18"/>
          <w:lang w:val="en-US"/>
        </w:rPr>
        <w:t>Learning curve of Usleep</w:t>
      </w:r>
      <w:r w:rsidRPr="00E81F23">
        <w:rPr>
          <w:color w:val="000000" w:themeColor="text1"/>
          <w:sz w:val="18"/>
          <w:szCs w:val="18"/>
          <w:vertAlign w:val="subscript"/>
          <w:lang w:val="en-US"/>
        </w:rPr>
        <w:t>EMG.</w:t>
      </w:r>
      <w:r w:rsidRPr="00E81F23">
        <w:rPr>
          <w:i/>
          <w:color w:val="000000" w:themeColor="text1"/>
          <w:sz w:val="18"/>
          <w:szCs w:val="18"/>
          <w:vertAlign w:val="subscript"/>
          <w:lang w:val="en-US"/>
        </w:rPr>
        <w:t xml:space="preserve"> </w:t>
      </w:r>
      <w:r w:rsidRPr="00E81F23">
        <w:rPr>
          <w:color w:val="000000" w:themeColor="text1"/>
          <w:sz w:val="18"/>
          <w:szCs w:val="18"/>
          <w:lang w:val="en-US"/>
        </w:rPr>
        <w:t>Red color indicates validation loss, blue color training loss, grey dashed line indicates the model that is used (epoch = 569).</w:t>
      </w:r>
    </w:p>
    <w:p w14:paraId="217CF65F" w14:textId="18BECA14" w:rsidR="00E81F23" w:rsidRDefault="00E81F23" w:rsidP="00E81F23">
      <w:pPr>
        <w:spacing w:after="200" w:line="360" w:lineRule="auto"/>
        <w:jc w:val="both"/>
        <w:rPr>
          <w:color w:val="000000" w:themeColor="text1"/>
          <w:sz w:val="18"/>
          <w:szCs w:val="18"/>
          <w:lang w:val="en-US"/>
        </w:rPr>
      </w:pPr>
      <w:r w:rsidRPr="00E81F23">
        <w:rPr>
          <w:b/>
          <w:iCs/>
          <w:color w:val="000000" w:themeColor="text1"/>
          <w:sz w:val="18"/>
          <w:szCs w:val="18"/>
          <w:lang w:val="en-US"/>
        </w:rPr>
        <w:t>Figure S</w:t>
      </w:r>
      <w:r w:rsidR="00506B8D">
        <w:rPr>
          <w:b/>
          <w:iCs/>
          <w:color w:val="000000" w:themeColor="text1"/>
          <w:sz w:val="18"/>
          <w:szCs w:val="18"/>
          <w:lang w:val="en-US"/>
        </w:rPr>
        <w:t>5</w:t>
      </w:r>
      <w:r w:rsidRPr="00E81F23">
        <w:rPr>
          <w:b/>
          <w:iCs/>
          <w:color w:val="000000" w:themeColor="text1"/>
          <w:sz w:val="18"/>
          <w:szCs w:val="18"/>
          <w:lang w:val="en-US"/>
        </w:rPr>
        <w:t>.</w:t>
      </w:r>
      <w:r w:rsidRPr="00E81F23">
        <w:rPr>
          <w:b/>
          <w:i/>
          <w:color w:val="000000" w:themeColor="text1"/>
          <w:sz w:val="18"/>
          <w:szCs w:val="18"/>
          <w:lang w:val="en-US"/>
        </w:rPr>
        <w:t xml:space="preserve"> </w:t>
      </w:r>
      <w:r w:rsidRPr="00E81F23">
        <w:rPr>
          <w:color w:val="000000" w:themeColor="text1"/>
          <w:sz w:val="18"/>
          <w:szCs w:val="18"/>
          <w:lang w:val="en-US"/>
        </w:rPr>
        <w:t>Learning curve of Usleep</w:t>
      </w:r>
      <w:r w:rsidRPr="00E81F23">
        <w:rPr>
          <w:color w:val="000000" w:themeColor="text1"/>
          <w:sz w:val="18"/>
          <w:szCs w:val="18"/>
          <w:vertAlign w:val="subscript"/>
          <w:lang w:val="en-US"/>
        </w:rPr>
        <w:t>EEG,EMG.</w:t>
      </w:r>
      <w:r w:rsidRPr="00E81F23">
        <w:rPr>
          <w:i/>
          <w:color w:val="000000" w:themeColor="text1"/>
          <w:sz w:val="18"/>
          <w:szCs w:val="18"/>
          <w:vertAlign w:val="subscript"/>
          <w:lang w:val="en-US"/>
        </w:rPr>
        <w:t xml:space="preserve"> </w:t>
      </w:r>
      <w:r w:rsidRPr="00E81F23">
        <w:rPr>
          <w:color w:val="000000" w:themeColor="text1"/>
          <w:sz w:val="18"/>
          <w:szCs w:val="18"/>
          <w:lang w:val="en-US"/>
        </w:rPr>
        <w:t>Red color indicates validation loss, blue color training loss, grey dashed line indicates the model that is used (epoch = 984).</w:t>
      </w:r>
    </w:p>
    <w:p w14:paraId="16DCD344" w14:textId="77777777" w:rsidR="00FA2FF4" w:rsidRDefault="00FA2FF4" w:rsidP="00E81F23">
      <w:pPr>
        <w:spacing w:after="200" w:line="360" w:lineRule="auto"/>
        <w:jc w:val="both"/>
        <w:rPr>
          <w:color w:val="000000" w:themeColor="text1"/>
          <w:sz w:val="18"/>
          <w:szCs w:val="18"/>
          <w:lang w:val="en-US"/>
        </w:rPr>
      </w:pPr>
    </w:p>
    <w:p w14:paraId="3F1D8420" w14:textId="54576E21" w:rsidR="00FA2FF4" w:rsidRPr="00FA2FF4" w:rsidRDefault="00FA2FF4" w:rsidP="00E81F23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>
        <w:rPr>
          <w:b/>
          <w:sz w:val="18"/>
          <w:szCs w:val="18"/>
          <w:lang w:val="en-US"/>
        </w:rPr>
        <w:t>S1</w:t>
      </w:r>
      <w:r w:rsidRPr="00E81F23">
        <w:rPr>
          <w:sz w:val="18"/>
          <w:szCs w:val="18"/>
          <w:lang w:val="en-US"/>
        </w:rPr>
        <w:t xml:space="preserve">. </w:t>
      </w:r>
      <w:r w:rsidRPr="00216295">
        <w:rPr>
          <w:sz w:val="18"/>
          <w:szCs w:val="18"/>
          <w:lang w:val="en-US"/>
        </w:rPr>
        <w:t>The log-odds ratio (LOR) for each mis(classification) from Figure 2</w:t>
      </w:r>
      <w:r>
        <w:rPr>
          <w:sz w:val="18"/>
          <w:szCs w:val="18"/>
          <w:lang w:val="en-US"/>
        </w:rPr>
        <w:t>C</w:t>
      </w:r>
      <w:r w:rsidRPr="00216295">
        <w:rPr>
          <w:sz w:val="18"/>
          <w:szCs w:val="18"/>
          <w:lang w:val="en-US"/>
        </w:rPr>
        <w:t xml:space="preserve"> is highlighted in bold, with the corresponding confidence intervals presented in parentheses. A LOR is considered significant if its confidence interval does not include zero</w:t>
      </w:r>
      <w:r>
        <w:rPr>
          <w:sz w:val="18"/>
          <w:szCs w:val="18"/>
          <w:lang w:val="en-US"/>
        </w:rPr>
        <w:t xml:space="preserve">. </w:t>
      </w:r>
    </w:p>
    <w:p w14:paraId="3862B743" w14:textId="5B641E2C" w:rsidR="00FA2FF4" w:rsidRPr="00FA2FF4" w:rsidRDefault="00FA2FF4" w:rsidP="00E81F23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>
        <w:rPr>
          <w:b/>
          <w:sz w:val="18"/>
          <w:szCs w:val="18"/>
          <w:lang w:val="en-US"/>
        </w:rPr>
        <w:t>S2</w:t>
      </w:r>
      <w:r w:rsidRPr="00E81F23">
        <w:rPr>
          <w:sz w:val="18"/>
          <w:szCs w:val="18"/>
          <w:lang w:val="en-US"/>
        </w:rPr>
        <w:t xml:space="preserve">. </w:t>
      </w:r>
      <w:r w:rsidRPr="00216295">
        <w:rPr>
          <w:sz w:val="18"/>
          <w:szCs w:val="18"/>
          <w:lang w:val="en-US"/>
        </w:rPr>
        <w:t>The log-odds ratio (LOR) for each mis(classification) from Figure 2</w:t>
      </w:r>
      <w:r>
        <w:rPr>
          <w:sz w:val="18"/>
          <w:szCs w:val="18"/>
          <w:lang w:val="en-US"/>
        </w:rPr>
        <w:t>D</w:t>
      </w:r>
      <w:r w:rsidRPr="00216295">
        <w:rPr>
          <w:sz w:val="18"/>
          <w:szCs w:val="18"/>
          <w:lang w:val="en-US"/>
        </w:rPr>
        <w:t xml:space="preserve"> is highlighted in bold, with the corresponding confidence intervals presented in parentheses. A LOR is considered significant if its confidence interval does not include zero</w:t>
      </w:r>
      <w:r>
        <w:rPr>
          <w:sz w:val="18"/>
          <w:szCs w:val="18"/>
          <w:lang w:val="en-US"/>
        </w:rPr>
        <w:t xml:space="preserve">. </w:t>
      </w:r>
    </w:p>
    <w:p w14:paraId="053897A6" w14:textId="2AE663AA" w:rsidR="00FA2FF4" w:rsidRPr="00FA2FF4" w:rsidRDefault="00FA2FF4" w:rsidP="00E81F23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>
        <w:rPr>
          <w:b/>
          <w:sz w:val="18"/>
          <w:szCs w:val="18"/>
          <w:lang w:val="en-US"/>
        </w:rPr>
        <w:t>S3</w:t>
      </w:r>
      <w:r w:rsidRPr="00E81F23">
        <w:rPr>
          <w:sz w:val="18"/>
          <w:szCs w:val="18"/>
          <w:lang w:val="en-US"/>
        </w:rPr>
        <w:t xml:space="preserve">. List of hypothesis tests that were performed with the corresponding p-value. Pipeline A and pipeline B are tested against each other with a McNemar test, and none of the hypothesis tests yield significant outcomes. </w:t>
      </w:r>
    </w:p>
    <w:p w14:paraId="6E092580" w14:textId="53461C99" w:rsidR="00E81F23" w:rsidRPr="00A43A1A" w:rsidRDefault="00FA2FF4" w:rsidP="00A43A1A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>
        <w:rPr>
          <w:b/>
          <w:sz w:val="18"/>
          <w:szCs w:val="18"/>
          <w:lang w:val="en-US"/>
        </w:rPr>
        <w:t>S4</w:t>
      </w:r>
      <w:r w:rsidRPr="00E81F23">
        <w:rPr>
          <w:b/>
          <w:sz w:val="18"/>
          <w:szCs w:val="18"/>
          <w:lang w:val="en-US"/>
        </w:rPr>
        <w:t xml:space="preserve">. </w:t>
      </w:r>
      <w:r w:rsidRPr="00E81F23">
        <w:rPr>
          <w:sz w:val="18"/>
          <w:szCs w:val="18"/>
          <w:lang w:val="en-US"/>
        </w:rPr>
        <w:t>An overview of our automatic sleep stage classifiers (Usleep</w:t>
      </w:r>
      <w:r w:rsidRPr="00E81F23">
        <w:rPr>
          <w:sz w:val="18"/>
          <w:szCs w:val="18"/>
          <w:vertAlign w:val="subscript"/>
          <w:lang w:val="en-US"/>
        </w:rPr>
        <w:t>EEG</w:t>
      </w:r>
      <w:r w:rsidRPr="00E81F23">
        <w:rPr>
          <w:sz w:val="18"/>
          <w:szCs w:val="18"/>
          <w:lang w:val="en-US"/>
        </w:rPr>
        <w:t xml:space="preserve"> and Usleep</w:t>
      </w:r>
      <w:r w:rsidRPr="00E81F23">
        <w:rPr>
          <w:sz w:val="18"/>
          <w:szCs w:val="18"/>
          <w:vertAlign w:val="subscript"/>
          <w:lang w:val="en-US"/>
        </w:rPr>
        <w:t>EMG</w:t>
      </w:r>
      <w:r w:rsidRPr="00E81F23">
        <w:rPr>
          <w:sz w:val="18"/>
          <w:szCs w:val="18"/>
          <w:lang w:val="en-US"/>
        </w:rPr>
        <w:t>) and how they compare to the literature in SPINDLE</w:t>
      </w:r>
      <w:r w:rsidRPr="00E81F23">
        <w:rPr>
          <w:sz w:val="18"/>
          <w:szCs w:val="18"/>
          <w:vertAlign w:val="superscript"/>
          <w:lang w:val="en-US"/>
        </w:rPr>
        <w:t xml:space="preserve">19 </w:t>
      </w:r>
      <w:r w:rsidRPr="00E81F23">
        <w:rPr>
          <w:sz w:val="18"/>
          <w:szCs w:val="18"/>
          <w:lang w:val="en-US"/>
        </w:rPr>
        <w:t>and in the model from Grieger et al</w:t>
      </w:r>
      <w:r w:rsidRPr="00E81F23">
        <w:rPr>
          <w:sz w:val="18"/>
          <w:szCs w:val="18"/>
          <w:vertAlign w:val="superscript"/>
          <w:lang w:val="en-US"/>
        </w:rPr>
        <w:t>23</w:t>
      </w:r>
      <w:r w:rsidRPr="00E81F23">
        <w:rPr>
          <w:sz w:val="18"/>
          <w:szCs w:val="18"/>
          <w:lang w:val="en-US"/>
        </w:rPr>
        <w:t xml:space="preserve">. Notice the numbers from SPINDLE is calculated based on including the artefact epochs (SPINDLE Figure 6 – Cohort A).  </w:t>
      </w:r>
    </w:p>
    <w:p w14:paraId="47C9B606" w14:textId="77777777" w:rsidR="00A43A1A" w:rsidRDefault="00A43A1A" w:rsidP="00A43A1A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Data S1: Environment.txt file  </w:t>
      </w:r>
    </w:p>
    <w:p w14:paraId="0C69D612" w14:textId="77777777" w:rsidR="00A43A1A" w:rsidRDefault="00A43A1A" w:rsidP="00A43A1A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Data S2: Requirements.txt file </w:t>
      </w:r>
    </w:p>
    <w:p w14:paraId="415AF5ED" w14:textId="77777777" w:rsidR="008F1DCE" w:rsidRDefault="008F1DCE" w:rsidP="008F1DCE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Data S3: Odds ratio and statistics </w:t>
      </w:r>
    </w:p>
    <w:p w14:paraId="3B59555C" w14:textId="77777777" w:rsidR="00FD6A30" w:rsidRDefault="00FD6A30" w:rsidP="008F1DCE">
      <w:pPr>
        <w:spacing w:line="360" w:lineRule="auto"/>
        <w:jc w:val="both"/>
        <w:rPr>
          <w:bCs/>
          <w:sz w:val="20"/>
          <w:szCs w:val="20"/>
          <w:lang w:val="en-US"/>
        </w:rPr>
      </w:pPr>
    </w:p>
    <w:p w14:paraId="39F1BEF7" w14:textId="77777777" w:rsidR="00E81F23" w:rsidRPr="00E81F23" w:rsidRDefault="00E81F23" w:rsidP="00A86E5E">
      <w:pPr>
        <w:spacing w:line="360" w:lineRule="auto"/>
        <w:jc w:val="both"/>
        <w:rPr>
          <w:b/>
          <w:sz w:val="32"/>
          <w:szCs w:val="32"/>
          <w:lang w:val="en-US"/>
        </w:rPr>
      </w:pPr>
    </w:p>
    <w:p w14:paraId="496D4848" w14:textId="77777777" w:rsidR="006801E3" w:rsidRDefault="006801E3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</w:p>
    <w:p w14:paraId="0194CB73" w14:textId="77777777" w:rsidR="006801E3" w:rsidRDefault="006801E3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</w:p>
    <w:p w14:paraId="75957497" w14:textId="77777777" w:rsidR="006801E3" w:rsidRDefault="006801E3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</w:p>
    <w:p w14:paraId="722B2CED" w14:textId="4CEA9051" w:rsidR="006801E3" w:rsidRDefault="00C245B9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noProof/>
          <w:sz w:val="20"/>
          <w:szCs w:val="20"/>
          <w:lang w:val="en-US"/>
        </w:rPr>
        <w:lastRenderedPageBreak/>
        <w:drawing>
          <wp:inline distT="0" distB="0" distL="0" distR="0" wp14:anchorId="5DAF511F" wp14:editId="3F5B299A">
            <wp:extent cx="3867150" cy="3225165"/>
            <wp:effectExtent l="0" t="0" r="6350" b="635"/>
            <wp:docPr id="13154771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477112" name="Picture 1315477112"/>
                    <pic:cNvPicPr/>
                  </pic:nvPicPr>
                  <pic:blipFill rotWithShape="1">
                    <a:blip r:embed="rId7"/>
                    <a:srcRect r="32551"/>
                    <a:stretch/>
                  </pic:blipFill>
                  <pic:spPr bwMode="auto">
                    <a:xfrm>
                      <a:off x="0" y="0"/>
                      <a:ext cx="3867150" cy="32251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5B32B1" w14:textId="693D749B" w:rsidR="00A86E5E" w:rsidRPr="00E81F23" w:rsidRDefault="00A86E5E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</w:p>
    <w:p w14:paraId="3A3E69BD" w14:textId="16CAC7E7" w:rsidR="006801E3" w:rsidRDefault="00A86E5E" w:rsidP="00A86E5E">
      <w:pPr>
        <w:spacing w:after="200" w:line="360" w:lineRule="auto"/>
        <w:jc w:val="both"/>
        <w:rPr>
          <w:i/>
          <w:sz w:val="18"/>
          <w:szCs w:val="18"/>
          <w:lang w:val="en-US"/>
        </w:rPr>
      </w:pPr>
      <w:r w:rsidRPr="00E81F23">
        <w:rPr>
          <w:b/>
          <w:i/>
          <w:sz w:val="18"/>
          <w:szCs w:val="18"/>
          <w:lang w:val="en-US"/>
        </w:rPr>
        <w:t>Fig</w:t>
      </w:r>
      <w:r w:rsidR="00E81F23">
        <w:rPr>
          <w:b/>
          <w:i/>
          <w:sz w:val="18"/>
          <w:szCs w:val="18"/>
          <w:lang w:val="en-US"/>
        </w:rPr>
        <w:t>ure S1</w:t>
      </w:r>
      <w:r w:rsidRPr="00E81F23">
        <w:rPr>
          <w:i/>
          <w:sz w:val="18"/>
          <w:szCs w:val="18"/>
          <w:lang w:val="en-US"/>
        </w:rPr>
        <w:t>. Confusion matrix of Usleep</w:t>
      </w:r>
      <w:r w:rsidRPr="00E81F23">
        <w:rPr>
          <w:i/>
          <w:sz w:val="18"/>
          <w:szCs w:val="18"/>
          <w:vertAlign w:val="subscript"/>
          <w:lang w:val="en-US"/>
        </w:rPr>
        <w:t>EEG</w:t>
      </w:r>
      <w:r w:rsidRPr="00E81F23">
        <w:rPr>
          <w:i/>
          <w:sz w:val="18"/>
          <w:szCs w:val="18"/>
          <w:lang w:val="en-US"/>
        </w:rPr>
        <w:t xml:space="preserve"> with column-wise normalization (precision) tested in a held-out test set of (A) 11 WT mice (B) 19 DTA Confusion matrix of Usleep</w:t>
      </w:r>
      <w:r w:rsidRPr="00E81F23">
        <w:rPr>
          <w:i/>
          <w:sz w:val="18"/>
          <w:szCs w:val="18"/>
          <w:vertAlign w:val="subscript"/>
          <w:lang w:val="en-US"/>
        </w:rPr>
        <w:t>EMG</w:t>
      </w:r>
      <w:r w:rsidRPr="00E81F23">
        <w:rPr>
          <w:i/>
          <w:sz w:val="18"/>
          <w:szCs w:val="18"/>
          <w:lang w:val="en-US"/>
        </w:rPr>
        <w:t xml:space="preserve"> with column-wise normalization (precision) tested in a held-out test set of (</w:t>
      </w:r>
      <w:r w:rsidR="00C245B9">
        <w:rPr>
          <w:i/>
          <w:sz w:val="18"/>
          <w:szCs w:val="18"/>
          <w:lang w:val="en-US"/>
        </w:rPr>
        <w:t>C</w:t>
      </w:r>
      <w:r w:rsidRPr="00E81F23">
        <w:rPr>
          <w:i/>
          <w:sz w:val="18"/>
          <w:szCs w:val="18"/>
          <w:lang w:val="en-US"/>
        </w:rPr>
        <w:t>) 11 WT mice (</w:t>
      </w:r>
      <w:r w:rsidR="00C245B9">
        <w:rPr>
          <w:i/>
          <w:sz w:val="18"/>
          <w:szCs w:val="18"/>
          <w:lang w:val="en-US"/>
        </w:rPr>
        <w:t>D</w:t>
      </w:r>
      <w:r w:rsidRPr="00E81F23">
        <w:rPr>
          <w:i/>
          <w:sz w:val="18"/>
          <w:szCs w:val="18"/>
          <w:lang w:val="en-US"/>
        </w:rPr>
        <w:t xml:space="preserve">) 19 DTA mice </w:t>
      </w:r>
    </w:p>
    <w:p w14:paraId="17C959F5" w14:textId="2FF0DE98" w:rsidR="00C245B9" w:rsidRDefault="00C245B9" w:rsidP="00A86E5E">
      <w:pPr>
        <w:spacing w:after="200" w:line="360" w:lineRule="auto"/>
        <w:jc w:val="both"/>
        <w:rPr>
          <w:i/>
          <w:sz w:val="18"/>
          <w:szCs w:val="18"/>
          <w:lang w:val="en-US"/>
        </w:rPr>
      </w:pPr>
      <w:r>
        <w:rPr>
          <w:i/>
          <w:noProof/>
          <w:sz w:val="18"/>
          <w:szCs w:val="18"/>
          <w:lang w:val="en-US"/>
        </w:rPr>
        <w:drawing>
          <wp:inline distT="0" distB="0" distL="0" distR="0" wp14:anchorId="46982EA2" wp14:editId="7AE56DC7">
            <wp:extent cx="3781425" cy="3225165"/>
            <wp:effectExtent l="0" t="0" r="3175" b="635"/>
            <wp:docPr id="114423028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4230282" name="Picture 1144230282"/>
                    <pic:cNvPicPr/>
                  </pic:nvPicPr>
                  <pic:blipFill rotWithShape="1">
                    <a:blip r:embed="rId8"/>
                    <a:srcRect r="34046"/>
                    <a:stretch/>
                  </pic:blipFill>
                  <pic:spPr bwMode="auto">
                    <a:xfrm>
                      <a:off x="0" y="0"/>
                      <a:ext cx="3781425" cy="32251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060B35" w14:textId="60B1B4C9" w:rsidR="00C245B9" w:rsidRDefault="00C245B9" w:rsidP="00C245B9">
      <w:pPr>
        <w:spacing w:after="200" w:line="360" w:lineRule="auto"/>
        <w:jc w:val="both"/>
        <w:rPr>
          <w:i/>
          <w:sz w:val="18"/>
          <w:szCs w:val="18"/>
          <w:lang w:val="en-US"/>
        </w:rPr>
      </w:pPr>
      <w:r w:rsidRPr="00E81F23">
        <w:rPr>
          <w:b/>
          <w:i/>
          <w:sz w:val="18"/>
          <w:szCs w:val="18"/>
          <w:lang w:val="en-US"/>
        </w:rPr>
        <w:t>Fig</w:t>
      </w:r>
      <w:r>
        <w:rPr>
          <w:b/>
          <w:i/>
          <w:sz w:val="18"/>
          <w:szCs w:val="18"/>
          <w:lang w:val="en-US"/>
        </w:rPr>
        <w:t>ure S2</w:t>
      </w:r>
      <w:r w:rsidRPr="00E81F23">
        <w:rPr>
          <w:i/>
          <w:sz w:val="18"/>
          <w:szCs w:val="18"/>
          <w:lang w:val="en-US"/>
        </w:rPr>
        <w:t>. Confusion matrix of Usleep</w:t>
      </w:r>
      <w:r w:rsidRPr="00E81F23">
        <w:rPr>
          <w:i/>
          <w:sz w:val="18"/>
          <w:szCs w:val="18"/>
          <w:vertAlign w:val="subscript"/>
          <w:lang w:val="en-US"/>
        </w:rPr>
        <w:t>EEG</w:t>
      </w:r>
      <w:r w:rsidRPr="00E81F23">
        <w:rPr>
          <w:i/>
          <w:sz w:val="18"/>
          <w:szCs w:val="18"/>
          <w:lang w:val="en-US"/>
        </w:rPr>
        <w:t xml:space="preserve"> with </w:t>
      </w:r>
      <w:r>
        <w:rPr>
          <w:i/>
          <w:sz w:val="18"/>
          <w:szCs w:val="18"/>
          <w:lang w:val="en-US"/>
        </w:rPr>
        <w:t>row</w:t>
      </w:r>
      <w:r w:rsidRPr="00E81F23">
        <w:rPr>
          <w:i/>
          <w:sz w:val="18"/>
          <w:szCs w:val="18"/>
          <w:lang w:val="en-US"/>
        </w:rPr>
        <w:t>-wise normalization (</w:t>
      </w:r>
      <w:r>
        <w:rPr>
          <w:i/>
          <w:sz w:val="18"/>
          <w:szCs w:val="18"/>
          <w:lang w:val="en-US"/>
        </w:rPr>
        <w:t>recall</w:t>
      </w:r>
      <w:r w:rsidRPr="00E81F23">
        <w:rPr>
          <w:i/>
          <w:sz w:val="18"/>
          <w:szCs w:val="18"/>
          <w:lang w:val="en-US"/>
        </w:rPr>
        <w:t>) tested in a held-out test set of (A) 11 WT mice (B) 19 DTA Confusion matrix of Usleep</w:t>
      </w:r>
      <w:r w:rsidRPr="00E81F23">
        <w:rPr>
          <w:i/>
          <w:sz w:val="18"/>
          <w:szCs w:val="18"/>
          <w:vertAlign w:val="subscript"/>
          <w:lang w:val="en-US"/>
        </w:rPr>
        <w:t>EMG</w:t>
      </w:r>
      <w:r w:rsidRPr="00E81F23">
        <w:rPr>
          <w:i/>
          <w:sz w:val="18"/>
          <w:szCs w:val="18"/>
          <w:lang w:val="en-US"/>
        </w:rPr>
        <w:t xml:space="preserve"> with </w:t>
      </w:r>
      <w:r>
        <w:rPr>
          <w:i/>
          <w:sz w:val="18"/>
          <w:szCs w:val="18"/>
          <w:lang w:val="en-US"/>
        </w:rPr>
        <w:t>row</w:t>
      </w:r>
      <w:r w:rsidRPr="00E81F23">
        <w:rPr>
          <w:i/>
          <w:sz w:val="18"/>
          <w:szCs w:val="18"/>
          <w:lang w:val="en-US"/>
        </w:rPr>
        <w:t>-wise normalization (</w:t>
      </w:r>
      <w:r>
        <w:rPr>
          <w:i/>
          <w:sz w:val="18"/>
          <w:szCs w:val="18"/>
          <w:lang w:val="en-US"/>
        </w:rPr>
        <w:t>recall</w:t>
      </w:r>
      <w:r w:rsidRPr="00E81F23">
        <w:rPr>
          <w:i/>
          <w:sz w:val="18"/>
          <w:szCs w:val="18"/>
          <w:lang w:val="en-US"/>
        </w:rPr>
        <w:t>) tested in a held-out test set of (</w:t>
      </w:r>
      <w:r>
        <w:rPr>
          <w:i/>
          <w:sz w:val="18"/>
          <w:szCs w:val="18"/>
          <w:lang w:val="en-US"/>
        </w:rPr>
        <w:t>C</w:t>
      </w:r>
      <w:r w:rsidRPr="00E81F23">
        <w:rPr>
          <w:i/>
          <w:sz w:val="18"/>
          <w:szCs w:val="18"/>
          <w:lang w:val="en-US"/>
        </w:rPr>
        <w:t>) 11 WT mice (</w:t>
      </w:r>
      <w:r>
        <w:rPr>
          <w:i/>
          <w:sz w:val="18"/>
          <w:szCs w:val="18"/>
          <w:lang w:val="en-US"/>
        </w:rPr>
        <w:t>D</w:t>
      </w:r>
      <w:r w:rsidRPr="00E81F23">
        <w:rPr>
          <w:i/>
          <w:sz w:val="18"/>
          <w:szCs w:val="18"/>
          <w:lang w:val="en-US"/>
        </w:rPr>
        <w:t xml:space="preserve">) 19 DTA mice </w:t>
      </w:r>
    </w:p>
    <w:p w14:paraId="0D191DAB" w14:textId="77777777" w:rsidR="00C245B9" w:rsidRPr="00E81F23" w:rsidRDefault="00C245B9" w:rsidP="00A86E5E">
      <w:pPr>
        <w:spacing w:after="200" w:line="360" w:lineRule="auto"/>
        <w:jc w:val="both"/>
        <w:rPr>
          <w:i/>
          <w:sz w:val="18"/>
          <w:szCs w:val="18"/>
          <w:lang w:val="en-US"/>
        </w:rPr>
      </w:pPr>
    </w:p>
    <w:p w14:paraId="61FA6AEB" w14:textId="77777777" w:rsidR="00A86E5E" w:rsidRPr="00E81F23" w:rsidRDefault="00A86E5E" w:rsidP="00A86E5E">
      <w:pPr>
        <w:spacing w:after="200" w:line="360" w:lineRule="auto"/>
        <w:jc w:val="both"/>
        <w:rPr>
          <w:i/>
          <w:sz w:val="18"/>
          <w:szCs w:val="18"/>
          <w:lang w:val="en-US"/>
        </w:rPr>
      </w:pPr>
      <w:r w:rsidRPr="00E81F23">
        <w:rPr>
          <w:i/>
          <w:noProof/>
          <w:sz w:val="18"/>
          <w:szCs w:val="18"/>
          <w:lang w:val="en-US"/>
        </w:rPr>
        <w:lastRenderedPageBreak/>
        <w:drawing>
          <wp:inline distT="114300" distB="114300" distL="114300" distR="114300" wp14:anchorId="4FA5B81A" wp14:editId="23948DC5">
            <wp:extent cx="5731200" cy="2235200"/>
            <wp:effectExtent l="0" t="0" r="0" b="0"/>
            <wp:docPr id="10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235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E4AEB5" w14:textId="481A8685" w:rsidR="00A86E5E" w:rsidRPr="00E81F23" w:rsidRDefault="00A86E5E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  <w:r w:rsidRPr="00E81F23">
        <w:rPr>
          <w:b/>
          <w:i/>
          <w:color w:val="0E2841"/>
          <w:sz w:val="18"/>
          <w:szCs w:val="18"/>
          <w:lang w:val="en-US"/>
        </w:rPr>
        <w:t>Fig</w:t>
      </w:r>
      <w:r w:rsidR="00E81F23">
        <w:rPr>
          <w:b/>
          <w:i/>
          <w:color w:val="0E2841"/>
          <w:sz w:val="18"/>
          <w:szCs w:val="18"/>
          <w:lang w:val="en-US"/>
        </w:rPr>
        <w:t>ure S</w:t>
      </w:r>
      <w:r w:rsidR="00C245B9">
        <w:rPr>
          <w:b/>
          <w:i/>
          <w:color w:val="0E2841"/>
          <w:sz w:val="18"/>
          <w:szCs w:val="18"/>
          <w:lang w:val="en-US"/>
        </w:rPr>
        <w:t>3</w:t>
      </w:r>
      <w:r w:rsidRPr="00E81F23">
        <w:rPr>
          <w:b/>
          <w:i/>
          <w:color w:val="0E2841"/>
          <w:sz w:val="18"/>
          <w:szCs w:val="18"/>
          <w:lang w:val="en-US"/>
        </w:rPr>
        <w:t>.</w:t>
      </w:r>
      <w:r w:rsidRPr="00E81F23">
        <w:rPr>
          <w:i/>
          <w:color w:val="0E2841"/>
          <w:sz w:val="18"/>
          <w:szCs w:val="18"/>
          <w:lang w:val="en-US"/>
        </w:rPr>
        <w:t xml:space="preserve"> </w:t>
      </w:r>
      <w:r w:rsidRPr="00E81F23">
        <w:rPr>
          <w:color w:val="0E2841"/>
          <w:sz w:val="18"/>
          <w:szCs w:val="18"/>
          <w:lang w:val="en-US"/>
        </w:rPr>
        <w:t>Learning curve of usleep</w:t>
      </w:r>
      <w:r w:rsidRPr="00E81F23">
        <w:rPr>
          <w:color w:val="0E2841"/>
          <w:sz w:val="18"/>
          <w:szCs w:val="18"/>
          <w:vertAlign w:val="subscript"/>
          <w:lang w:val="en-US"/>
        </w:rPr>
        <w:t>EEG.</w:t>
      </w:r>
      <w:r w:rsidRPr="00E81F23">
        <w:rPr>
          <w:i/>
          <w:color w:val="0E2841"/>
          <w:sz w:val="18"/>
          <w:szCs w:val="18"/>
          <w:vertAlign w:val="subscript"/>
          <w:lang w:val="en-US"/>
        </w:rPr>
        <w:t xml:space="preserve"> </w:t>
      </w:r>
      <w:r w:rsidRPr="00E81F23">
        <w:rPr>
          <w:color w:val="0E2841"/>
          <w:sz w:val="18"/>
          <w:szCs w:val="18"/>
          <w:lang w:val="en-US"/>
        </w:rPr>
        <w:t>Red color indicates validation loss, blue color training loss, grey dashed line indicates the model that is used (epoch = 938).</w:t>
      </w:r>
    </w:p>
    <w:p w14:paraId="060F40D5" w14:textId="77777777" w:rsidR="00A86E5E" w:rsidRPr="00E81F23" w:rsidRDefault="00A86E5E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</w:p>
    <w:p w14:paraId="1236CE26" w14:textId="77777777" w:rsidR="00A86E5E" w:rsidRPr="00E81F23" w:rsidRDefault="00A86E5E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  <w:r w:rsidRPr="00E81F23">
        <w:rPr>
          <w:noProof/>
          <w:color w:val="0E2841"/>
          <w:sz w:val="18"/>
          <w:szCs w:val="18"/>
          <w:lang w:val="en-US"/>
        </w:rPr>
        <w:drawing>
          <wp:inline distT="114300" distB="114300" distL="114300" distR="114300" wp14:anchorId="150F8D9E" wp14:editId="10B8B214">
            <wp:extent cx="5731200" cy="2019300"/>
            <wp:effectExtent l="0" t="0" r="0" b="0"/>
            <wp:docPr id="11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0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B8F4612" w14:textId="7EC5F5B3" w:rsidR="00A86E5E" w:rsidRPr="00E81F23" w:rsidRDefault="00A86E5E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  <w:r w:rsidRPr="00E81F23">
        <w:rPr>
          <w:b/>
          <w:i/>
          <w:color w:val="0E2841"/>
          <w:sz w:val="18"/>
          <w:szCs w:val="18"/>
          <w:lang w:val="en-US"/>
        </w:rPr>
        <w:t>Fig</w:t>
      </w:r>
      <w:r w:rsidR="00E81F23">
        <w:rPr>
          <w:b/>
          <w:i/>
          <w:color w:val="0E2841"/>
          <w:sz w:val="18"/>
          <w:szCs w:val="18"/>
          <w:lang w:val="en-US"/>
        </w:rPr>
        <w:t>ure</w:t>
      </w:r>
      <w:r w:rsidRPr="00E81F23">
        <w:rPr>
          <w:b/>
          <w:i/>
          <w:color w:val="0E2841"/>
          <w:sz w:val="18"/>
          <w:szCs w:val="18"/>
          <w:lang w:val="en-US"/>
        </w:rPr>
        <w:t xml:space="preserve"> </w:t>
      </w:r>
      <w:r w:rsidR="00E81F23">
        <w:rPr>
          <w:b/>
          <w:i/>
          <w:color w:val="0E2841"/>
          <w:sz w:val="18"/>
          <w:szCs w:val="18"/>
          <w:lang w:val="en-US"/>
        </w:rPr>
        <w:t>S</w:t>
      </w:r>
      <w:r w:rsidR="00C245B9">
        <w:rPr>
          <w:b/>
          <w:i/>
          <w:color w:val="0E2841"/>
          <w:sz w:val="18"/>
          <w:szCs w:val="18"/>
          <w:lang w:val="en-US"/>
        </w:rPr>
        <w:t>4</w:t>
      </w:r>
      <w:r w:rsidRPr="00E81F23">
        <w:rPr>
          <w:b/>
          <w:i/>
          <w:color w:val="0E2841"/>
          <w:sz w:val="18"/>
          <w:szCs w:val="18"/>
          <w:lang w:val="en-US"/>
        </w:rPr>
        <w:t>.</w:t>
      </w:r>
      <w:r w:rsidRPr="00E81F23">
        <w:rPr>
          <w:i/>
          <w:color w:val="0E2841"/>
          <w:sz w:val="18"/>
          <w:szCs w:val="18"/>
          <w:lang w:val="en-US"/>
        </w:rPr>
        <w:t xml:space="preserve"> </w:t>
      </w:r>
      <w:r w:rsidRPr="00E81F23">
        <w:rPr>
          <w:color w:val="0E2841"/>
          <w:sz w:val="18"/>
          <w:szCs w:val="18"/>
          <w:lang w:val="en-US"/>
        </w:rPr>
        <w:t>Learning curve of Usleep</w:t>
      </w:r>
      <w:r w:rsidRPr="00E81F23">
        <w:rPr>
          <w:color w:val="0E2841"/>
          <w:sz w:val="18"/>
          <w:szCs w:val="18"/>
          <w:vertAlign w:val="subscript"/>
          <w:lang w:val="en-US"/>
        </w:rPr>
        <w:t>EMG.</w:t>
      </w:r>
      <w:r w:rsidRPr="00E81F23">
        <w:rPr>
          <w:i/>
          <w:color w:val="0E2841"/>
          <w:sz w:val="18"/>
          <w:szCs w:val="18"/>
          <w:vertAlign w:val="subscript"/>
          <w:lang w:val="en-US"/>
        </w:rPr>
        <w:t xml:space="preserve"> </w:t>
      </w:r>
      <w:r w:rsidRPr="00E81F23">
        <w:rPr>
          <w:color w:val="0E2841"/>
          <w:sz w:val="18"/>
          <w:szCs w:val="18"/>
          <w:lang w:val="en-US"/>
        </w:rPr>
        <w:t>Red color indicates validation loss, blue color training loss, grey dashed line indicates the model that is used (epoch = 569).</w:t>
      </w:r>
    </w:p>
    <w:p w14:paraId="227FF835" w14:textId="77777777" w:rsidR="00A86E5E" w:rsidRPr="00E81F23" w:rsidRDefault="00A86E5E" w:rsidP="00A86E5E">
      <w:pPr>
        <w:spacing w:after="200" w:line="360" w:lineRule="auto"/>
        <w:jc w:val="both"/>
        <w:rPr>
          <w:i/>
          <w:sz w:val="18"/>
          <w:szCs w:val="18"/>
          <w:lang w:val="en-US"/>
        </w:rPr>
      </w:pPr>
      <w:r w:rsidRPr="00E81F23">
        <w:rPr>
          <w:i/>
          <w:noProof/>
          <w:sz w:val="18"/>
          <w:szCs w:val="18"/>
          <w:lang w:val="en-US"/>
        </w:rPr>
        <w:drawing>
          <wp:inline distT="114300" distB="114300" distL="114300" distR="114300" wp14:anchorId="18946E47" wp14:editId="11575870">
            <wp:extent cx="5731200" cy="2019300"/>
            <wp:effectExtent l="0" t="0" r="0" b="0"/>
            <wp:docPr id="1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01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261D0AA" w14:textId="5D6F9EB2" w:rsidR="00A86E5E" w:rsidRDefault="00A86E5E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  <w:r w:rsidRPr="00E81F23">
        <w:rPr>
          <w:b/>
          <w:i/>
          <w:color w:val="0E2841"/>
          <w:sz w:val="18"/>
          <w:szCs w:val="18"/>
          <w:lang w:val="en-US"/>
        </w:rPr>
        <w:t>Fi</w:t>
      </w:r>
      <w:r w:rsidR="00E81F23">
        <w:rPr>
          <w:b/>
          <w:i/>
          <w:color w:val="0E2841"/>
          <w:sz w:val="18"/>
          <w:szCs w:val="18"/>
          <w:lang w:val="en-US"/>
        </w:rPr>
        <w:t>gure S</w:t>
      </w:r>
      <w:r w:rsidR="00C245B9">
        <w:rPr>
          <w:b/>
          <w:i/>
          <w:color w:val="0E2841"/>
          <w:sz w:val="18"/>
          <w:szCs w:val="18"/>
          <w:lang w:val="en-US"/>
        </w:rPr>
        <w:t>5</w:t>
      </w:r>
      <w:r w:rsidRPr="00E81F23">
        <w:rPr>
          <w:b/>
          <w:i/>
          <w:color w:val="0E2841"/>
          <w:sz w:val="18"/>
          <w:szCs w:val="18"/>
          <w:lang w:val="en-US"/>
        </w:rPr>
        <w:t xml:space="preserve">. </w:t>
      </w:r>
      <w:r w:rsidRPr="00E81F23">
        <w:rPr>
          <w:color w:val="0E2841"/>
          <w:sz w:val="18"/>
          <w:szCs w:val="18"/>
          <w:lang w:val="en-US"/>
        </w:rPr>
        <w:t>Learning curve of Usleep</w:t>
      </w:r>
      <w:r w:rsidRPr="00E81F23">
        <w:rPr>
          <w:color w:val="0E2841"/>
          <w:sz w:val="18"/>
          <w:szCs w:val="18"/>
          <w:vertAlign w:val="subscript"/>
          <w:lang w:val="en-US"/>
        </w:rPr>
        <w:t>EEG,EMG.</w:t>
      </w:r>
      <w:r w:rsidRPr="00E81F23">
        <w:rPr>
          <w:i/>
          <w:color w:val="0E2841"/>
          <w:sz w:val="18"/>
          <w:szCs w:val="18"/>
          <w:vertAlign w:val="subscript"/>
          <w:lang w:val="en-US"/>
        </w:rPr>
        <w:t xml:space="preserve"> </w:t>
      </w:r>
      <w:r w:rsidRPr="00E81F23">
        <w:rPr>
          <w:color w:val="0E2841"/>
          <w:sz w:val="18"/>
          <w:szCs w:val="18"/>
          <w:lang w:val="en-US"/>
        </w:rPr>
        <w:t>Red color indicates validation loss, blue color training loss, grey dashed line indicates the model that is used (epoch = 984).</w:t>
      </w:r>
    </w:p>
    <w:p w14:paraId="2191E988" w14:textId="77777777" w:rsidR="00216295" w:rsidRDefault="00216295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</w:p>
    <w:tbl>
      <w:tblPr>
        <w:tblW w:w="6936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258"/>
        <w:gridCol w:w="2268"/>
        <w:gridCol w:w="2410"/>
      </w:tblGrid>
      <w:tr w:rsidR="00216295" w:rsidRPr="00216295" w14:paraId="3EB44E13" w14:textId="77777777" w:rsidTr="00216295">
        <w:trPr>
          <w:trHeight w:val="22"/>
        </w:trPr>
        <w:tc>
          <w:tcPr>
            <w:tcW w:w="693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477458F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color w:val="0E2841"/>
                <w:sz w:val="18"/>
                <w:szCs w:val="18"/>
                <w:lang/>
              </w:rPr>
              <w:t>EMG</w:t>
            </w:r>
          </w:p>
        </w:tc>
      </w:tr>
      <w:tr w:rsidR="00216295" w:rsidRPr="00216295" w14:paraId="1BB1C3D9" w14:textId="77777777" w:rsidTr="00216295">
        <w:trPr>
          <w:trHeight w:val="357"/>
        </w:trPr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624018D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-0.901</w:t>
            </w:r>
            <w:r w:rsidRPr="00216295">
              <w:rPr>
                <w:color w:val="0E2841"/>
                <w:sz w:val="18"/>
                <w:szCs w:val="18"/>
                <w:lang/>
              </w:rPr>
              <w:t xml:space="preserve">* (-0.931, -0.872)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5C3F1C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0.818</w:t>
            </w:r>
            <w:r w:rsidRPr="00216295">
              <w:rPr>
                <w:color w:val="0E2841"/>
                <w:sz w:val="18"/>
                <w:szCs w:val="18"/>
                <w:lang/>
              </w:rPr>
              <w:t>* (0.787, 0.849)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3EDFA8D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1.390</w:t>
            </w:r>
            <w:r w:rsidRPr="00216295">
              <w:rPr>
                <w:color w:val="0E2841"/>
                <w:sz w:val="18"/>
                <w:szCs w:val="18"/>
                <w:lang/>
              </w:rPr>
              <w:t>* (1.300, 1.480)</w:t>
            </w:r>
          </w:p>
        </w:tc>
      </w:tr>
      <w:tr w:rsidR="00216295" w:rsidRPr="00216295" w14:paraId="40B6AE60" w14:textId="77777777" w:rsidTr="00216295">
        <w:trPr>
          <w:trHeight w:val="381"/>
        </w:trPr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DB32065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0.127</w:t>
            </w:r>
            <w:r w:rsidRPr="00216295">
              <w:rPr>
                <w:color w:val="0E2841"/>
                <w:sz w:val="18"/>
                <w:szCs w:val="18"/>
                <w:lang/>
              </w:rPr>
              <w:t xml:space="preserve">* (0.087, 0.166)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BEE7DE3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-0.074</w:t>
            </w:r>
            <w:r w:rsidRPr="00216295">
              <w:rPr>
                <w:color w:val="0E2841"/>
                <w:sz w:val="18"/>
                <w:szCs w:val="18"/>
                <w:lang/>
              </w:rPr>
              <w:t xml:space="preserve">* (-0.100, -0.048) 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6033F8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color w:val="0E2841"/>
                <w:sz w:val="18"/>
                <w:szCs w:val="18"/>
                <w:lang/>
              </w:rPr>
              <w:t xml:space="preserve"> </w:t>
            </w: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0.032</w:t>
            </w:r>
            <w:r w:rsidRPr="00216295">
              <w:rPr>
                <w:color w:val="0E2841"/>
                <w:sz w:val="18"/>
                <w:szCs w:val="18"/>
                <w:lang/>
              </w:rPr>
              <w:t xml:space="preserve"> (0.000, 0.064)</w:t>
            </w:r>
          </w:p>
        </w:tc>
      </w:tr>
      <w:tr w:rsidR="00216295" w:rsidRPr="00216295" w14:paraId="63CFD26D" w14:textId="77777777" w:rsidTr="00216295">
        <w:trPr>
          <w:trHeight w:val="17"/>
        </w:trPr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B4C6753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 xml:space="preserve">0.050 </w:t>
            </w:r>
            <w:r w:rsidRPr="00216295">
              <w:rPr>
                <w:color w:val="0E2841"/>
                <w:sz w:val="18"/>
                <w:szCs w:val="18"/>
                <w:lang/>
              </w:rPr>
              <w:t xml:space="preserve">(-0.045, 0.145)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24BBCE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-0.209</w:t>
            </w:r>
            <w:r w:rsidRPr="00216295">
              <w:rPr>
                <w:color w:val="0E2841"/>
                <w:sz w:val="18"/>
                <w:szCs w:val="18"/>
                <w:lang/>
              </w:rPr>
              <w:t>* (-0.254, -0.164)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45DA2E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0.207</w:t>
            </w:r>
            <w:r w:rsidRPr="00216295">
              <w:rPr>
                <w:color w:val="0E2841"/>
                <w:sz w:val="18"/>
                <w:szCs w:val="18"/>
                <w:lang/>
              </w:rPr>
              <w:t>* (0.161, 0.253)</w:t>
            </w:r>
          </w:p>
        </w:tc>
      </w:tr>
    </w:tbl>
    <w:p w14:paraId="250CB50E" w14:textId="77777777" w:rsidR="00216295" w:rsidRDefault="00216295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</w:p>
    <w:p w14:paraId="6EF57CF7" w14:textId="7130493A" w:rsidR="00216295" w:rsidRPr="0050359E" w:rsidRDefault="00216295" w:rsidP="00216295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>
        <w:rPr>
          <w:b/>
          <w:sz w:val="18"/>
          <w:szCs w:val="18"/>
          <w:lang w:val="en-US"/>
        </w:rPr>
        <w:t>S1</w:t>
      </w:r>
      <w:r w:rsidRPr="00E81F23">
        <w:rPr>
          <w:sz w:val="18"/>
          <w:szCs w:val="18"/>
          <w:lang w:val="en-US"/>
        </w:rPr>
        <w:t xml:space="preserve">. </w:t>
      </w:r>
      <w:r w:rsidRPr="00216295">
        <w:rPr>
          <w:sz w:val="18"/>
          <w:szCs w:val="18"/>
          <w:lang w:val="en-US"/>
        </w:rPr>
        <w:t>The log-odds ratio (LOR) for each mis(classification) from Figure 2</w:t>
      </w:r>
      <w:r>
        <w:rPr>
          <w:sz w:val="18"/>
          <w:szCs w:val="18"/>
          <w:lang w:val="en-US"/>
        </w:rPr>
        <w:t>C</w:t>
      </w:r>
      <w:r w:rsidRPr="00216295">
        <w:rPr>
          <w:sz w:val="18"/>
          <w:szCs w:val="18"/>
          <w:lang w:val="en-US"/>
        </w:rPr>
        <w:t xml:space="preserve"> is highlighted in bold, with the corresponding confidence intervals presented in parentheses. A LOR is considered significant if its confidence interval does not include zero</w:t>
      </w:r>
      <w:r>
        <w:rPr>
          <w:sz w:val="18"/>
          <w:szCs w:val="18"/>
          <w:lang w:val="en-US"/>
        </w:rPr>
        <w:t xml:space="preserve">. </w:t>
      </w:r>
    </w:p>
    <w:p w14:paraId="0160E3D6" w14:textId="77777777" w:rsidR="00216295" w:rsidRDefault="00216295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</w:p>
    <w:tbl>
      <w:tblPr>
        <w:tblW w:w="6936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258"/>
        <w:gridCol w:w="2268"/>
        <w:gridCol w:w="2410"/>
      </w:tblGrid>
      <w:tr w:rsidR="00216295" w:rsidRPr="00216295" w14:paraId="17C1093C" w14:textId="77777777" w:rsidTr="00216295">
        <w:trPr>
          <w:trHeight w:val="476"/>
        </w:trPr>
        <w:tc>
          <w:tcPr>
            <w:tcW w:w="693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657186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color w:val="0E2841"/>
                <w:sz w:val="18"/>
                <w:szCs w:val="18"/>
                <w:lang/>
              </w:rPr>
              <w:t>EEG</w:t>
            </w:r>
          </w:p>
        </w:tc>
      </w:tr>
      <w:tr w:rsidR="00216295" w:rsidRPr="00216295" w14:paraId="122E1DCF" w14:textId="77777777" w:rsidTr="00216295">
        <w:trPr>
          <w:trHeight w:val="476"/>
        </w:trPr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38BF752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-1.009</w:t>
            </w:r>
            <w:r w:rsidRPr="00216295">
              <w:rPr>
                <w:color w:val="0E2841"/>
                <w:sz w:val="18"/>
                <w:szCs w:val="18"/>
                <w:lang/>
              </w:rPr>
              <w:t>* (-1.034, -0.985)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B9BEB4B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0.850</w:t>
            </w:r>
            <w:r w:rsidRPr="00216295">
              <w:rPr>
                <w:color w:val="0E2841"/>
                <w:sz w:val="18"/>
                <w:szCs w:val="18"/>
                <w:lang/>
              </w:rPr>
              <w:t>* (0.821, 0.878)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9E624D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1.285</w:t>
            </w:r>
            <w:r w:rsidRPr="00216295">
              <w:rPr>
                <w:color w:val="0E2841"/>
                <w:sz w:val="18"/>
                <w:szCs w:val="18"/>
                <w:lang/>
              </w:rPr>
              <w:t>* (1.237, 1.334)</w:t>
            </w:r>
          </w:p>
        </w:tc>
      </w:tr>
      <w:tr w:rsidR="00216295" w:rsidRPr="00216295" w14:paraId="29467026" w14:textId="77777777" w:rsidTr="00216295">
        <w:trPr>
          <w:trHeight w:val="513"/>
        </w:trPr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E3A4F04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0.610</w:t>
            </w:r>
            <w:r w:rsidRPr="00216295">
              <w:rPr>
                <w:color w:val="0E2841"/>
                <w:sz w:val="18"/>
                <w:szCs w:val="18"/>
                <w:lang/>
              </w:rPr>
              <w:t>* (0.565, 0.655)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F6047F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-0.786</w:t>
            </w:r>
            <w:r w:rsidRPr="00216295">
              <w:rPr>
                <w:color w:val="0E2841"/>
                <w:sz w:val="18"/>
                <w:szCs w:val="18"/>
                <w:lang/>
              </w:rPr>
              <w:t xml:space="preserve">* (-0.823, -0.750)', 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17773F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1.012</w:t>
            </w:r>
            <w:r w:rsidRPr="00216295">
              <w:rPr>
                <w:color w:val="0E2841"/>
                <w:sz w:val="18"/>
                <w:szCs w:val="18"/>
                <w:lang/>
              </w:rPr>
              <w:t>* (0.952, 1.072)</w:t>
            </w:r>
          </w:p>
        </w:tc>
      </w:tr>
      <w:tr w:rsidR="00216295" w:rsidRPr="00216295" w14:paraId="42030747" w14:textId="77777777" w:rsidTr="00216295">
        <w:trPr>
          <w:trHeight w:val="305"/>
        </w:trPr>
        <w:tc>
          <w:tcPr>
            <w:tcW w:w="2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E49277E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0.603</w:t>
            </w:r>
            <w:r w:rsidRPr="00216295">
              <w:rPr>
                <w:color w:val="0E2841"/>
                <w:sz w:val="18"/>
                <w:szCs w:val="18"/>
                <w:lang/>
              </w:rPr>
              <w:t>* (0.537, 0.668)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7CBD67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-0.308</w:t>
            </w:r>
            <w:r w:rsidRPr="00216295">
              <w:rPr>
                <w:color w:val="0E2841"/>
                <w:sz w:val="18"/>
                <w:szCs w:val="18"/>
                <w:lang/>
              </w:rPr>
              <w:t>* (-0.383, -0.234)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7AEDD5" w14:textId="77777777" w:rsidR="00216295" w:rsidRPr="00216295" w:rsidRDefault="00216295" w:rsidP="00216295">
            <w:pPr>
              <w:spacing w:after="200" w:line="360" w:lineRule="auto"/>
              <w:jc w:val="both"/>
              <w:rPr>
                <w:color w:val="0E2841"/>
                <w:sz w:val="18"/>
                <w:szCs w:val="18"/>
                <w:lang/>
              </w:rPr>
            </w:pPr>
            <w:r w:rsidRPr="00216295">
              <w:rPr>
                <w:b/>
                <w:bCs/>
                <w:color w:val="0E2841"/>
                <w:sz w:val="18"/>
                <w:szCs w:val="18"/>
                <w:lang/>
              </w:rPr>
              <w:t>-0.228</w:t>
            </w:r>
            <w:r w:rsidRPr="00216295">
              <w:rPr>
                <w:color w:val="0E2841"/>
                <w:sz w:val="18"/>
                <w:szCs w:val="18"/>
                <w:lang/>
              </w:rPr>
              <w:t>* (-0.280, -0.176)</w:t>
            </w:r>
          </w:p>
        </w:tc>
      </w:tr>
    </w:tbl>
    <w:p w14:paraId="26A79080" w14:textId="0E28C1CC" w:rsidR="00216295" w:rsidRDefault="00216295" w:rsidP="00A86E5E">
      <w:pPr>
        <w:spacing w:after="200" w:line="360" w:lineRule="auto"/>
        <w:jc w:val="both"/>
        <w:rPr>
          <w:color w:val="0E2841"/>
          <w:sz w:val="18"/>
          <w:szCs w:val="18"/>
          <w:lang w:val="en-US"/>
        </w:rPr>
      </w:pPr>
      <w:r w:rsidRPr="00216295">
        <w:rPr>
          <w:color w:val="0E2841"/>
          <w:sz w:val="18"/>
          <w:szCs w:val="18"/>
        </w:rPr>
        <w:t xml:space="preserve"> </w:t>
      </w:r>
    </w:p>
    <w:p w14:paraId="5E2C693C" w14:textId="6DFDF6E2" w:rsidR="00216295" w:rsidRPr="00AE4613" w:rsidRDefault="00216295" w:rsidP="00A86E5E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>
        <w:rPr>
          <w:b/>
          <w:sz w:val="18"/>
          <w:szCs w:val="18"/>
          <w:lang w:val="en-US"/>
        </w:rPr>
        <w:t>S2</w:t>
      </w:r>
      <w:r w:rsidRPr="00E81F23">
        <w:rPr>
          <w:sz w:val="18"/>
          <w:szCs w:val="18"/>
          <w:lang w:val="en-US"/>
        </w:rPr>
        <w:t xml:space="preserve">. </w:t>
      </w:r>
      <w:r w:rsidRPr="00216295">
        <w:rPr>
          <w:sz w:val="18"/>
          <w:szCs w:val="18"/>
          <w:lang w:val="en-US"/>
        </w:rPr>
        <w:t>The log-odds ratio (LOR) for each mis(classification) from Figure 2</w:t>
      </w:r>
      <w:r>
        <w:rPr>
          <w:sz w:val="18"/>
          <w:szCs w:val="18"/>
          <w:lang w:val="en-US"/>
        </w:rPr>
        <w:t>D</w:t>
      </w:r>
      <w:r w:rsidRPr="00216295">
        <w:rPr>
          <w:sz w:val="18"/>
          <w:szCs w:val="18"/>
          <w:lang w:val="en-US"/>
        </w:rPr>
        <w:t xml:space="preserve"> is highlighted in bold, with the corresponding confidence intervals presented in parentheses. A LOR is considered significant if its confidence interval does not include zero</w:t>
      </w:r>
      <w:r>
        <w:rPr>
          <w:sz w:val="18"/>
          <w:szCs w:val="18"/>
          <w:lang w:val="en-US"/>
        </w:rPr>
        <w:t xml:space="preserve">. </w:t>
      </w:r>
    </w:p>
    <w:p w14:paraId="03736463" w14:textId="6207377F" w:rsidR="00E81F23" w:rsidRPr="00E81F23" w:rsidRDefault="00E81F23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noProof/>
          <w:sz w:val="20"/>
          <w:szCs w:val="20"/>
          <w:lang w:val="en-US"/>
        </w:rPr>
        <w:drawing>
          <wp:inline distT="0" distB="0" distL="0" distR="0" wp14:anchorId="216508FF" wp14:editId="2EB061EB">
            <wp:extent cx="3382682" cy="1982039"/>
            <wp:effectExtent l="0" t="0" r="0" b="0"/>
            <wp:docPr id="19921726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2172606" name="Picture 1992172606"/>
                    <pic:cNvPicPr/>
                  </pic:nvPicPr>
                  <pic:blipFill rotWithShape="1">
                    <a:blip r:embed="rId12"/>
                    <a:srcRect l="10007" t="18531" r="49957" b="39767"/>
                    <a:stretch/>
                  </pic:blipFill>
                  <pic:spPr bwMode="auto">
                    <a:xfrm>
                      <a:off x="0" y="0"/>
                      <a:ext cx="3393623" cy="1988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4CE420" w14:textId="54CAECF0" w:rsidR="00A86E5E" w:rsidRPr="00E81F23" w:rsidRDefault="00A86E5E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</w:p>
    <w:p w14:paraId="3E42D19F" w14:textId="77777777" w:rsidR="00AE4613" w:rsidRDefault="00A86E5E" w:rsidP="00AE4613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 w:rsidR="00E81F23">
        <w:rPr>
          <w:b/>
          <w:sz w:val="18"/>
          <w:szCs w:val="18"/>
          <w:lang w:val="en-US"/>
        </w:rPr>
        <w:t>S</w:t>
      </w:r>
      <w:r w:rsidR="00216295">
        <w:rPr>
          <w:b/>
          <w:sz w:val="18"/>
          <w:szCs w:val="18"/>
          <w:lang w:val="en-US"/>
        </w:rPr>
        <w:t>3</w:t>
      </w:r>
      <w:r w:rsidRPr="00E81F23">
        <w:rPr>
          <w:sz w:val="18"/>
          <w:szCs w:val="18"/>
          <w:lang w:val="en-US"/>
        </w:rPr>
        <w:t xml:space="preserve">. List of hypothesis tests that were performed with the corresponding p-value. Pipeline A and pipeline B are tested against each other with a McNemar test, and none of the hypothesis tests yield significant outcomes. </w:t>
      </w:r>
    </w:p>
    <w:p w14:paraId="5DB12124" w14:textId="3FC1198C" w:rsidR="00A86E5E" w:rsidRPr="00AE4613" w:rsidRDefault="00AE4613" w:rsidP="00AE4613">
      <w:pPr>
        <w:spacing w:after="200" w:line="360" w:lineRule="auto"/>
        <w:jc w:val="both"/>
        <w:rPr>
          <w:sz w:val="18"/>
          <w:szCs w:val="18"/>
          <w:lang w:val="en-US"/>
        </w:rPr>
      </w:pPr>
      <w:r>
        <w:rPr>
          <w:b/>
          <w:noProof/>
          <w:sz w:val="20"/>
          <w:szCs w:val="20"/>
          <w:lang w:val="en-US"/>
        </w:rPr>
        <w:lastRenderedPageBreak/>
        <w:drawing>
          <wp:inline distT="0" distB="0" distL="0" distR="0" wp14:anchorId="5BC9CD62" wp14:editId="6B1C8256">
            <wp:extent cx="5492247" cy="2066290"/>
            <wp:effectExtent l="0" t="0" r="0" b="3810"/>
            <wp:docPr id="17918356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183567" name="Picture 179183567"/>
                    <pic:cNvPicPr/>
                  </pic:nvPicPr>
                  <pic:blipFill rotWithShape="1">
                    <a:blip r:embed="rId13"/>
                    <a:srcRect l="4162" t="17014" r="-1" b="18889"/>
                    <a:stretch/>
                  </pic:blipFill>
                  <pic:spPr bwMode="auto">
                    <a:xfrm>
                      <a:off x="0" y="0"/>
                      <a:ext cx="5494804" cy="20672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6F61AC" w14:textId="42F532F0" w:rsidR="00507497" w:rsidRDefault="00A86E5E" w:rsidP="00AE4613">
      <w:pPr>
        <w:spacing w:after="200" w:line="360" w:lineRule="auto"/>
        <w:jc w:val="both"/>
        <w:rPr>
          <w:sz w:val="18"/>
          <w:szCs w:val="18"/>
          <w:lang w:val="en-US"/>
        </w:rPr>
      </w:pPr>
      <w:r w:rsidRPr="00E81F23">
        <w:rPr>
          <w:b/>
          <w:sz w:val="18"/>
          <w:szCs w:val="18"/>
          <w:lang w:val="en-US"/>
        </w:rPr>
        <w:t xml:space="preserve">Table </w:t>
      </w:r>
      <w:r w:rsidR="00E81F23">
        <w:rPr>
          <w:b/>
          <w:sz w:val="18"/>
          <w:szCs w:val="18"/>
          <w:lang w:val="en-US"/>
        </w:rPr>
        <w:t>S</w:t>
      </w:r>
      <w:r w:rsidR="00216295">
        <w:rPr>
          <w:b/>
          <w:sz w:val="18"/>
          <w:szCs w:val="18"/>
          <w:lang w:val="en-US"/>
        </w:rPr>
        <w:t>4</w:t>
      </w:r>
      <w:r w:rsidRPr="00E81F23">
        <w:rPr>
          <w:b/>
          <w:sz w:val="18"/>
          <w:szCs w:val="18"/>
          <w:lang w:val="en-US"/>
        </w:rPr>
        <w:t xml:space="preserve">. </w:t>
      </w:r>
      <w:r w:rsidRPr="00E81F23">
        <w:rPr>
          <w:sz w:val="18"/>
          <w:szCs w:val="18"/>
          <w:lang w:val="en-US"/>
        </w:rPr>
        <w:t>An overview of our automatic sleep stage classifiers (Usleep</w:t>
      </w:r>
      <w:r w:rsidRPr="00E81F23">
        <w:rPr>
          <w:sz w:val="18"/>
          <w:szCs w:val="18"/>
          <w:vertAlign w:val="subscript"/>
          <w:lang w:val="en-US"/>
        </w:rPr>
        <w:t>EEG</w:t>
      </w:r>
      <w:r w:rsidRPr="00E81F23">
        <w:rPr>
          <w:sz w:val="18"/>
          <w:szCs w:val="18"/>
          <w:lang w:val="en-US"/>
        </w:rPr>
        <w:t xml:space="preserve"> and Usleep</w:t>
      </w:r>
      <w:r w:rsidRPr="00E81F23">
        <w:rPr>
          <w:sz w:val="18"/>
          <w:szCs w:val="18"/>
          <w:vertAlign w:val="subscript"/>
          <w:lang w:val="en-US"/>
        </w:rPr>
        <w:t>EMG</w:t>
      </w:r>
      <w:r w:rsidRPr="00E81F23">
        <w:rPr>
          <w:sz w:val="18"/>
          <w:szCs w:val="18"/>
          <w:lang w:val="en-US"/>
        </w:rPr>
        <w:t>) and how they compare to the literature in SPINDLE</w:t>
      </w:r>
      <w:r w:rsidRPr="00E81F23">
        <w:rPr>
          <w:sz w:val="18"/>
          <w:szCs w:val="18"/>
          <w:vertAlign w:val="superscript"/>
          <w:lang w:val="en-US"/>
        </w:rPr>
        <w:t xml:space="preserve">19 </w:t>
      </w:r>
      <w:r w:rsidRPr="00E81F23">
        <w:rPr>
          <w:sz w:val="18"/>
          <w:szCs w:val="18"/>
          <w:lang w:val="en-US"/>
        </w:rPr>
        <w:t>and in the model from Grieger et al</w:t>
      </w:r>
      <w:r w:rsidRPr="00E81F23">
        <w:rPr>
          <w:sz w:val="18"/>
          <w:szCs w:val="18"/>
          <w:vertAlign w:val="superscript"/>
          <w:lang w:val="en-US"/>
        </w:rPr>
        <w:t>23</w:t>
      </w:r>
      <w:r w:rsidRPr="00E81F23">
        <w:rPr>
          <w:sz w:val="18"/>
          <w:szCs w:val="18"/>
          <w:lang w:val="en-US"/>
        </w:rPr>
        <w:t xml:space="preserve">. Notice the numbers from SPINDLE is calculated based on including the artefact epochs (SPINDLE Figure 6 – Cohort A).  </w:t>
      </w:r>
    </w:p>
    <w:p w14:paraId="21B6C7C9" w14:textId="77777777" w:rsidR="00AE4613" w:rsidRPr="00AE4613" w:rsidRDefault="00AE4613" w:rsidP="00AE4613">
      <w:pPr>
        <w:spacing w:after="200" w:line="360" w:lineRule="auto"/>
        <w:jc w:val="both"/>
        <w:rPr>
          <w:sz w:val="18"/>
          <w:szCs w:val="18"/>
          <w:lang w:val="en-US"/>
        </w:rPr>
      </w:pPr>
    </w:p>
    <w:p w14:paraId="4E0F3EA9" w14:textId="7DDB0DA0" w:rsidR="0050359E" w:rsidRDefault="0050359E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Data S1: Environment.txt file  </w:t>
      </w:r>
    </w:p>
    <w:p w14:paraId="346C682F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name: u-sleep_v3</w:t>
      </w:r>
    </w:p>
    <w:p w14:paraId="3DE5A306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channels:</w:t>
      </w:r>
    </w:p>
    <w:p w14:paraId="2DABEFC1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defaults</w:t>
      </w:r>
    </w:p>
    <w:p w14:paraId="38197909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conda-forge</w:t>
      </w:r>
    </w:p>
    <w:p w14:paraId="44451168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dependencies:</w:t>
      </w:r>
    </w:p>
    <w:p w14:paraId="28B99308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conda&gt;=4.10.3</w:t>
      </w:r>
    </w:p>
    <w:p w14:paraId="724A61FC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python=3.7*</w:t>
      </w:r>
    </w:p>
    <w:p w14:paraId="2A9DF6B6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pip&gt;=21.2.4</w:t>
      </w:r>
    </w:p>
    <w:p w14:paraId="090E68D5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setuptools&gt;=52.0.0</w:t>
      </w:r>
    </w:p>
    <w:p w14:paraId="08D85626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tk&gt;=8.6.10</w:t>
      </w:r>
    </w:p>
    <w:p w14:paraId="6E6DAE11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wheel&gt;=0.37.0</w:t>
      </w:r>
    </w:p>
    <w:p w14:paraId="00BBC036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numpy&gt;=1.21.5</w:t>
      </w:r>
    </w:p>
    <w:p w14:paraId="3DC978A9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tensorflow=2.8 </w:t>
      </w:r>
    </w:p>
    <w:p w14:paraId="7526C934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 xml:space="preserve">  - protobuf=3.20</w:t>
      </w:r>
    </w:p>
    <w:p w14:paraId="6C01C513" w14:textId="77777777" w:rsidR="0050359E" w:rsidRPr="0050359E" w:rsidRDefault="0050359E" w:rsidP="0050359E">
      <w:pPr>
        <w:spacing w:line="360" w:lineRule="auto"/>
        <w:jc w:val="both"/>
        <w:rPr>
          <w:b/>
          <w:sz w:val="20"/>
          <w:szCs w:val="20"/>
          <w:lang/>
        </w:rPr>
      </w:pPr>
    </w:p>
    <w:p w14:paraId="7EF5237A" w14:textId="1B7A8F6B" w:rsidR="0050359E" w:rsidRDefault="0050359E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Data S2: Requirements.txt file </w:t>
      </w:r>
    </w:p>
    <w:p w14:paraId="3B216B83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numpy&gt;=1.21.5</w:t>
      </w:r>
    </w:p>
    <w:p w14:paraId="0C2644C7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h5py&gt;=3.6.0</w:t>
      </w:r>
    </w:p>
    <w:p w14:paraId="33294502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matplotlib&gt;=3.4.3</w:t>
      </w:r>
    </w:p>
    <w:p w14:paraId="514938D7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pandas&gt;=1.3.5</w:t>
      </w:r>
    </w:p>
    <w:p w14:paraId="01166527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psutil&gt;=5.9.0</w:t>
      </w:r>
    </w:p>
    <w:p w14:paraId="533342DD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scipy&gt;=1.7.3</w:t>
      </w:r>
    </w:p>
    <w:p w14:paraId="7098ECE1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mne&gt;=0.24.1</w:t>
      </w:r>
    </w:p>
    <w:p w14:paraId="35C45BD1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tables&gt;=3.7.0</w:t>
      </w:r>
    </w:p>
    <w:p w14:paraId="49031FF1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lastRenderedPageBreak/>
        <w:t>tabulate&gt;=0.8.9</w:t>
      </w:r>
    </w:p>
    <w:p w14:paraId="17ED312D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wfdb&gt;=3.4.1</w:t>
      </w:r>
    </w:p>
    <w:p w14:paraId="01844FE9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ruamel.yaml&gt;=0.17.21</w:t>
      </w:r>
    </w:p>
    <w:p w14:paraId="4BFA58D6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scikit-learn&gt;=1.0.2</w:t>
      </w:r>
    </w:p>
    <w:p w14:paraId="5E2EF69D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requests&gt;=2.27.1</w:t>
      </w:r>
    </w:p>
    <w:p w14:paraId="4AB7C76A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carbontracker&gt;=1.1.6</w:t>
      </w:r>
    </w:p>
    <w:p w14:paraId="076A1A4F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psg_utils&gt;=0.1.6</w:t>
      </w:r>
    </w:p>
    <w:p w14:paraId="0C7FF24A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tensorflow&gt;=2.8.0</w:t>
      </w:r>
    </w:p>
    <w:p w14:paraId="237EAD18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tensorflow-addons&gt;=0.16.1</w:t>
      </w:r>
    </w:p>
    <w:p w14:paraId="4DC32BA3" w14:textId="77777777" w:rsidR="0050359E" w:rsidRP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  <w:r w:rsidRPr="0050359E">
        <w:rPr>
          <w:bCs/>
          <w:sz w:val="20"/>
          <w:szCs w:val="20"/>
          <w:lang/>
        </w:rPr>
        <w:t>yamlhparams&gt;=0.2.0</w:t>
      </w:r>
    </w:p>
    <w:p w14:paraId="536DF5B7" w14:textId="77777777" w:rsidR="0050359E" w:rsidRDefault="0050359E" w:rsidP="0050359E">
      <w:pPr>
        <w:spacing w:line="360" w:lineRule="auto"/>
        <w:jc w:val="both"/>
        <w:rPr>
          <w:bCs/>
          <w:sz w:val="20"/>
          <w:szCs w:val="20"/>
          <w:lang/>
        </w:rPr>
      </w:pPr>
    </w:p>
    <w:p w14:paraId="52E5B452" w14:textId="77777777" w:rsidR="00507497" w:rsidRDefault="00507497" w:rsidP="0050359E">
      <w:pPr>
        <w:spacing w:line="360" w:lineRule="auto"/>
        <w:jc w:val="both"/>
        <w:rPr>
          <w:bCs/>
          <w:sz w:val="20"/>
          <w:szCs w:val="20"/>
          <w:lang/>
        </w:rPr>
      </w:pPr>
    </w:p>
    <w:p w14:paraId="286BE981" w14:textId="77777777" w:rsidR="00507497" w:rsidRDefault="00507497" w:rsidP="0050359E">
      <w:pPr>
        <w:spacing w:line="360" w:lineRule="auto"/>
        <w:jc w:val="both"/>
        <w:rPr>
          <w:bCs/>
          <w:sz w:val="20"/>
          <w:szCs w:val="20"/>
          <w:lang/>
        </w:rPr>
      </w:pPr>
    </w:p>
    <w:p w14:paraId="79774890" w14:textId="77777777" w:rsidR="00507497" w:rsidRDefault="00507497" w:rsidP="0050359E">
      <w:pPr>
        <w:spacing w:line="360" w:lineRule="auto"/>
        <w:jc w:val="both"/>
        <w:rPr>
          <w:bCs/>
          <w:sz w:val="20"/>
          <w:szCs w:val="20"/>
          <w:lang/>
        </w:rPr>
      </w:pPr>
    </w:p>
    <w:p w14:paraId="3DA07AE9" w14:textId="77777777" w:rsidR="00507497" w:rsidRPr="0050359E" w:rsidRDefault="00507497" w:rsidP="0050359E">
      <w:pPr>
        <w:spacing w:line="360" w:lineRule="auto"/>
        <w:jc w:val="both"/>
        <w:rPr>
          <w:bCs/>
          <w:sz w:val="20"/>
          <w:szCs w:val="20"/>
          <w:lang/>
        </w:rPr>
      </w:pPr>
    </w:p>
    <w:p w14:paraId="7776840E" w14:textId="58A87FE3" w:rsidR="0050359E" w:rsidRPr="00E81F23" w:rsidRDefault="004C610E" w:rsidP="00A86E5E">
      <w:pPr>
        <w:spacing w:line="360" w:lineRule="auto"/>
        <w:jc w:val="both"/>
        <w:rPr>
          <w:b/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Data S3: </w:t>
      </w:r>
      <w:r w:rsidR="008F1DCE">
        <w:rPr>
          <w:b/>
          <w:sz w:val="20"/>
          <w:szCs w:val="20"/>
          <w:lang w:val="en-US"/>
        </w:rPr>
        <w:t xml:space="preserve">Odds ratio and statistics </w:t>
      </w:r>
    </w:p>
    <w:p w14:paraId="4C8259DC" w14:textId="03586C9C" w:rsidR="00FD6A30" w:rsidRDefault="00FD6A30" w:rsidP="00FD6A30">
      <w:pPr>
        <w:spacing w:line="360" w:lineRule="auto"/>
        <w:jc w:val="both"/>
        <w:rPr>
          <w:bCs/>
          <w:sz w:val="20"/>
          <w:szCs w:val="20"/>
          <w:lang w:val="en-US"/>
        </w:rPr>
      </w:pPr>
      <w:r>
        <w:rPr>
          <w:bCs/>
          <w:sz w:val="20"/>
          <w:szCs w:val="20"/>
          <w:lang w:val="en-US"/>
        </w:rPr>
        <w:t xml:space="preserve">The odds ratio is obtained by first making a contingency table based on the information from the 3 x 3 matrix. As an example, if we want to calculate the odds ratio of the Wakefulness – REM sleep misclassification based on the 3 x 3 matrix from both the NT1 and WT cohort (see below) the contingency table will look like this. </w:t>
      </w:r>
    </w:p>
    <w:p w14:paraId="5B28E93C" w14:textId="77777777" w:rsidR="00FD6A30" w:rsidRDefault="00FD6A30" w:rsidP="00FD6A30">
      <w:pPr>
        <w:spacing w:line="360" w:lineRule="auto"/>
        <w:jc w:val="both"/>
        <w:rPr>
          <w:bCs/>
          <w:sz w:val="20"/>
          <w:szCs w:val="20"/>
          <w:lang w:val="en-US"/>
        </w:rPr>
      </w:pPr>
    </w:p>
    <w:p w14:paraId="3FBE391E" w14:textId="0049558B" w:rsidR="00FD6A30" w:rsidRPr="00FD6A30" w:rsidRDefault="00FD6A30" w:rsidP="00FD6A30">
      <w:pPr>
        <w:spacing w:line="360" w:lineRule="auto"/>
        <w:jc w:val="both"/>
        <w:rPr>
          <w:bCs/>
          <w:color w:val="4EA72E" w:themeColor="accent6"/>
          <w:sz w:val="20"/>
          <w:szCs w:val="20"/>
          <w:lang w:val="en-US"/>
        </w:rPr>
      </w:pPr>
      <w:r w:rsidRPr="00FD6A30">
        <w:rPr>
          <w:bCs/>
          <w:color w:val="4EA72E" w:themeColor="accent6"/>
          <w:sz w:val="20"/>
          <w:szCs w:val="20"/>
          <w:lang w:val="en-US"/>
        </w:rPr>
        <w:t xml:space="preserve">NT1: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709"/>
        <w:gridCol w:w="709"/>
      </w:tblGrid>
      <w:tr w:rsidR="00FD6A30" w14:paraId="7A3EDA59" w14:textId="77777777" w:rsidTr="00FD6A30">
        <w:trPr>
          <w:trHeight w:val="270"/>
        </w:trPr>
        <w:tc>
          <w:tcPr>
            <w:tcW w:w="704" w:type="dxa"/>
          </w:tcPr>
          <w:p w14:paraId="0501B171" w14:textId="60178C15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w – w  </w:t>
            </w:r>
          </w:p>
        </w:tc>
        <w:tc>
          <w:tcPr>
            <w:tcW w:w="709" w:type="dxa"/>
          </w:tcPr>
          <w:p w14:paraId="2D00E7A9" w14:textId="64C000C6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w – n </w:t>
            </w:r>
          </w:p>
        </w:tc>
        <w:tc>
          <w:tcPr>
            <w:tcW w:w="709" w:type="dxa"/>
          </w:tcPr>
          <w:p w14:paraId="16C40D4C" w14:textId="1EF1634C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w – r </w:t>
            </w:r>
          </w:p>
        </w:tc>
      </w:tr>
      <w:tr w:rsidR="00FD6A30" w14:paraId="4B6EB61A" w14:textId="77777777" w:rsidTr="00FD6A30">
        <w:trPr>
          <w:trHeight w:val="263"/>
        </w:trPr>
        <w:tc>
          <w:tcPr>
            <w:tcW w:w="704" w:type="dxa"/>
          </w:tcPr>
          <w:p w14:paraId="584B7BF2" w14:textId="732CD856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n – w </w:t>
            </w:r>
          </w:p>
        </w:tc>
        <w:tc>
          <w:tcPr>
            <w:tcW w:w="709" w:type="dxa"/>
          </w:tcPr>
          <w:p w14:paraId="62DED73E" w14:textId="7B1A16A7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n – n </w:t>
            </w:r>
          </w:p>
        </w:tc>
        <w:tc>
          <w:tcPr>
            <w:tcW w:w="709" w:type="dxa"/>
          </w:tcPr>
          <w:p w14:paraId="19F447AF" w14:textId="6928EE76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n – r </w:t>
            </w:r>
          </w:p>
        </w:tc>
      </w:tr>
      <w:tr w:rsidR="00FD6A30" w14:paraId="5592CC96" w14:textId="77777777" w:rsidTr="00FD6A30">
        <w:trPr>
          <w:trHeight w:val="355"/>
        </w:trPr>
        <w:tc>
          <w:tcPr>
            <w:tcW w:w="704" w:type="dxa"/>
          </w:tcPr>
          <w:p w14:paraId="714CDFC1" w14:textId="69A30EE4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r – w </w:t>
            </w:r>
          </w:p>
        </w:tc>
        <w:tc>
          <w:tcPr>
            <w:tcW w:w="709" w:type="dxa"/>
          </w:tcPr>
          <w:p w14:paraId="2D30E6ED" w14:textId="423B0D8C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 xml:space="preserve">r – n </w:t>
            </w:r>
          </w:p>
        </w:tc>
        <w:tc>
          <w:tcPr>
            <w:tcW w:w="709" w:type="dxa"/>
          </w:tcPr>
          <w:p w14:paraId="4817D6A8" w14:textId="4A471318" w:rsidR="00FD6A30" w:rsidRPr="00FD6A30" w:rsidRDefault="00824AD5" w:rsidP="00FD6A30">
            <w:pPr>
              <w:spacing w:line="360" w:lineRule="auto"/>
              <w:jc w:val="both"/>
              <w:rPr>
                <w:bCs/>
                <w:color w:val="4EA72E" w:themeColor="accent6"/>
                <w:sz w:val="20"/>
                <w:szCs w:val="20"/>
                <w:lang w:val="en-US"/>
              </w:rPr>
            </w:pPr>
            <w:r>
              <w:rPr>
                <w:bCs/>
                <w:color w:val="4EA72E" w:themeColor="accent6"/>
                <w:sz w:val="20"/>
                <w:szCs w:val="20"/>
                <w:lang w:val="en-US"/>
              </w:rPr>
              <w:t>r - r</w:t>
            </w:r>
          </w:p>
        </w:tc>
      </w:tr>
    </w:tbl>
    <w:p w14:paraId="7FA218D3" w14:textId="314E378A" w:rsidR="00FD6A30" w:rsidRDefault="00FD6A30" w:rsidP="00FD6A30">
      <w:pPr>
        <w:spacing w:line="360" w:lineRule="auto"/>
        <w:jc w:val="both"/>
        <w:rPr>
          <w:bCs/>
          <w:sz w:val="20"/>
          <w:szCs w:val="20"/>
          <w:lang w:val="en-US"/>
        </w:rPr>
      </w:pPr>
    </w:p>
    <w:p w14:paraId="7D3D638F" w14:textId="72E4470F" w:rsidR="00FD6A30" w:rsidRPr="00824AD5" w:rsidRDefault="00FD6A30" w:rsidP="00FD6A30">
      <w:pPr>
        <w:spacing w:line="360" w:lineRule="auto"/>
        <w:jc w:val="both"/>
        <w:rPr>
          <w:bCs/>
          <w:color w:val="215E99" w:themeColor="text2" w:themeTint="BF"/>
          <w:sz w:val="20"/>
          <w:szCs w:val="20"/>
          <w:lang w:val="en-US"/>
        </w:rPr>
      </w:pPr>
      <w:r w:rsidRPr="00824AD5">
        <w:rPr>
          <w:bCs/>
          <w:color w:val="215E99" w:themeColor="text2" w:themeTint="BF"/>
          <w:sz w:val="20"/>
          <w:szCs w:val="20"/>
          <w:lang w:val="en-US"/>
        </w:rPr>
        <w:t xml:space="preserve">WT: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709"/>
        <w:gridCol w:w="709"/>
      </w:tblGrid>
      <w:tr w:rsidR="00824AD5" w:rsidRPr="00824AD5" w14:paraId="21331F6D" w14:textId="77777777" w:rsidTr="00AB0D0C">
        <w:trPr>
          <w:trHeight w:val="270"/>
        </w:trPr>
        <w:tc>
          <w:tcPr>
            <w:tcW w:w="704" w:type="dxa"/>
          </w:tcPr>
          <w:p w14:paraId="6D390DEA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w – w  </w:t>
            </w:r>
          </w:p>
        </w:tc>
        <w:tc>
          <w:tcPr>
            <w:tcW w:w="709" w:type="dxa"/>
          </w:tcPr>
          <w:p w14:paraId="40D7CCC2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w – n </w:t>
            </w:r>
          </w:p>
        </w:tc>
        <w:tc>
          <w:tcPr>
            <w:tcW w:w="709" w:type="dxa"/>
          </w:tcPr>
          <w:p w14:paraId="31D706F8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w – r </w:t>
            </w:r>
          </w:p>
        </w:tc>
      </w:tr>
      <w:tr w:rsidR="00824AD5" w:rsidRPr="00824AD5" w14:paraId="0C676FAE" w14:textId="77777777" w:rsidTr="00AB0D0C">
        <w:trPr>
          <w:trHeight w:val="263"/>
        </w:trPr>
        <w:tc>
          <w:tcPr>
            <w:tcW w:w="704" w:type="dxa"/>
          </w:tcPr>
          <w:p w14:paraId="41496F71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n – w </w:t>
            </w:r>
          </w:p>
        </w:tc>
        <w:tc>
          <w:tcPr>
            <w:tcW w:w="709" w:type="dxa"/>
          </w:tcPr>
          <w:p w14:paraId="39450988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n – n </w:t>
            </w:r>
          </w:p>
        </w:tc>
        <w:tc>
          <w:tcPr>
            <w:tcW w:w="709" w:type="dxa"/>
          </w:tcPr>
          <w:p w14:paraId="288B8B30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n – r </w:t>
            </w:r>
          </w:p>
        </w:tc>
      </w:tr>
      <w:tr w:rsidR="00824AD5" w:rsidRPr="00824AD5" w14:paraId="4CD41BAB" w14:textId="77777777" w:rsidTr="00AB0D0C">
        <w:trPr>
          <w:trHeight w:val="355"/>
        </w:trPr>
        <w:tc>
          <w:tcPr>
            <w:tcW w:w="704" w:type="dxa"/>
          </w:tcPr>
          <w:p w14:paraId="7734255F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r – w </w:t>
            </w:r>
          </w:p>
        </w:tc>
        <w:tc>
          <w:tcPr>
            <w:tcW w:w="709" w:type="dxa"/>
          </w:tcPr>
          <w:p w14:paraId="268AB270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 xml:space="preserve">r – n </w:t>
            </w:r>
          </w:p>
        </w:tc>
        <w:tc>
          <w:tcPr>
            <w:tcW w:w="709" w:type="dxa"/>
          </w:tcPr>
          <w:p w14:paraId="31EC2F02" w14:textId="77777777" w:rsidR="00824AD5" w:rsidRPr="00824AD5" w:rsidRDefault="00824AD5" w:rsidP="00AB0D0C">
            <w:pPr>
              <w:spacing w:line="360" w:lineRule="auto"/>
              <w:jc w:val="both"/>
              <w:rPr>
                <w:bCs/>
                <w:color w:val="215E99" w:themeColor="text2" w:themeTint="BF"/>
                <w:sz w:val="20"/>
                <w:szCs w:val="20"/>
                <w:lang w:val="en-US"/>
              </w:rPr>
            </w:pPr>
            <w:r w:rsidRPr="00824AD5">
              <w:rPr>
                <w:bCs/>
                <w:color w:val="215E99" w:themeColor="text2" w:themeTint="BF"/>
                <w:sz w:val="20"/>
                <w:szCs w:val="20"/>
                <w:lang w:val="en-US"/>
              </w:rPr>
              <w:t>r - r</w:t>
            </w:r>
          </w:p>
        </w:tc>
      </w:tr>
    </w:tbl>
    <w:p w14:paraId="740BA171" w14:textId="77777777" w:rsidR="00FD6A30" w:rsidRPr="00FD6A30" w:rsidRDefault="00FD6A30" w:rsidP="00FD6A30">
      <w:pPr>
        <w:spacing w:line="360" w:lineRule="auto"/>
        <w:jc w:val="both"/>
        <w:rPr>
          <w:bCs/>
          <w:sz w:val="20"/>
          <w:szCs w:val="20"/>
          <w:lang w:val="en-US"/>
        </w:rPr>
      </w:pPr>
    </w:p>
    <w:p w14:paraId="089F4A32" w14:textId="605E13D8" w:rsidR="00FD6A30" w:rsidRDefault="00824AD5" w:rsidP="00FD6A30">
      <w:pPr>
        <w:spacing w:line="360" w:lineRule="auto"/>
        <w:jc w:val="both"/>
        <w:rPr>
          <w:bCs/>
          <w:sz w:val="20"/>
          <w:szCs w:val="20"/>
          <w:lang w:val="en-US"/>
        </w:rPr>
      </w:pPr>
      <w:r>
        <w:rPr>
          <w:bCs/>
          <w:sz w:val="20"/>
          <w:szCs w:val="20"/>
          <w:lang w:val="en-US"/>
        </w:rPr>
        <w:t>C</w:t>
      </w:r>
      <w:r w:rsidR="00FD6A30">
        <w:rPr>
          <w:bCs/>
          <w:sz w:val="20"/>
          <w:szCs w:val="20"/>
          <w:lang w:val="en-US"/>
        </w:rPr>
        <w:t>ontingency table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6"/>
        <w:gridCol w:w="1242"/>
        <w:gridCol w:w="1984"/>
      </w:tblGrid>
      <w:tr w:rsidR="00FD6A30" w14:paraId="58C4C256" w14:textId="77777777" w:rsidTr="00824AD5">
        <w:tc>
          <w:tcPr>
            <w:tcW w:w="3006" w:type="dxa"/>
          </w:tcPr>
          <w:p w14:paraId="025D8C87" w14:textId="77777777" w:rsidR="00FD6A30" w:rsidRPr="00824AD5" w:rsidRDefault="00FD6A30" w:rsidP="00FD6A30">
            <w:pPr>
              <w:spacing w:line="360" w:lineRule="auto"/>
              <w:jc w:val="both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242" w:type="dxa"/>
          </w:tcPr>
          <w:p w14:paraId="59E4D0A9" w14:textId="20998070" w:rsidR="00FD6A30" w:rsidRPr="00824AD5" w:rsidRDefault="00824AD5" w:rsidP="00FD6A30">
            <w:pPr>
              <w:spacing w:line="360" w:lineRule="auto"/>
              <w:jc w:val="both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 xml:space="preserve">W – R </w:t>
            </w:r>
          </w:p>
        </w:tc>
        <w:tc>
          <w:tcPr>
            <w:tcW w:w="1984" w:type="dxa"/>
          </w:tcPr>
          <w:p w14:paraId="3A25D763" w14:textId="59BDBE2B" w:rsidR="00FD6A30" w:rsidRPr="00824AD5" w:rsidRDefault="00824AD5" w:rsidP="00FD6A30">
            <w:pPr>
              <w:spacing w:line="360" w:lineRule="auto"/>
              <w:jc w:val="both"/>
              <w:rPr>
                <w:b/>
                <w:sz w:val="20"/>
                <w:szCs w:val="20"/>
                <w:lang w:val="en-US"/>
              </w:rPr>
            </w:pPr>
            <w:r w:rsidRPr="00824AD5">
              <w:rPr>
                <w:b/>
                <w:color w:val="000000" w:themeColor="text1"/>
                <w:sz w:val="20"/>
                <w:szCs w:val="20"/>
                <w:lang w:val="en-US"/>
              </w:rPr>
              <w:t>(W – W) +  (W – N)</w:t>
            </w:r>
          </w:p>
        </w:tc>
      </w:tr>
      <w:tr w:rsidR="00FD6A30" w14:paraId="6A57B241" w14:textId="77777777" w:rsidTr="00824AD5">
        <w:tc>
          <w:tcPr>
            <w:tcW w:w="3006" w:type="dxa"/>
          </w:tcPr>
          <w:p w14:paraId="0F604120" w14:textId="13C8DA16" w:rsidR="00FD6A30" w:rsidRPr="00824AD5" w:rsidRDefault="00824AD5" w:rsidP="00FD6A30">
            <w:pPr>
              <w:spacing w:line="360" w:lineRule="auto"/>
              <w:jc w:val="both"/>
              <w:rPr>
                <w:b/>
                <w:sz w:val="20"/>
                <w:szCs w:val="20"/>
                <w:lang w:val="en-US"/>
              </w:rPr>
            </w:pPr>
            <w:r w:rsidRPr="00824AD5">
              <w:rPr>
                <w:b/>
                <w:sz w:val="20"/>
                <w:szCs w:val="20"/>
                <w:lang w:val="en-US"/>
              </w:rPr>
              <w:t>NT1</w:t>
            </w:r>
          </w:p>
        </w:tc>
        <w:tc>
          <w:tcPr>
            <w:tcW w:w="1242" w:type="dxa"/>
          </w:tcPr>
          <w:p w14:paraId="7AAF20F8" w14:textId="2916E288" w:rsidR="00FD6A30" w:rsidRPr="00824AD5" w:rsidRDefault="00824AD5" w:rsidP="00FD6A30">
            <w:pPr>
              <w:spacing w:line="360" w:lineRule="auto"/>
              <w:jc w:val="both"/>
              <w:rPr>
                <w:bCs/>
                <w:sz w:val="20"/>
                <w:szCs w:val="20"/>
                <w:lang w:val="en-US"/>
              </w:rPr>
            </w:pPr>
            <w:r>
              <w:rPr>
                <w:bCs/>
                <w:sz w:val="20"/>
                <w:szCs w:val="20"/>
                <w:lang w:val="en-US"/>
              </w:rPr>
              <w:t>X1</w:t>
            </w:r>
          </w:p>
        </w:tc>
        <w:tc>
          <w:tcPr>
            <w:tcW w:w="1984" w:type="dxa"/>
          </w:tcPr>
          <w:p w14:paraId="2B90BAB6" w14:textId="4BA0D15E" w:rsidR="00FD6A30" w:rsidRPr="00824AD5" w:rsidRDefault="00824AD5" w:rsidP="00FD6A30">
            <w:pPr>
              <w:spacing w:line="360" w:lineRule="auto"/>
              <w:jc w:val="both"/>
              <w:rPr>
                <w:bCs/>
                <w:sz w:val="20"/>
                <w:szCs w:val="20"/>
                <w:lang w:val="en-US"/>
              </w:rPr>
            </w:pPr>
            <w:r w:rsidRPr="00824AD5">
              <w:rPr>
                <w:bCs/>
                <w:sz w:val="20"/>
                <w:szCs w:val="20"/>
                <w:lang w:val="en-US"/>
              </w:rPr>
              <w:t>X2</w:t>
            </w:r>
          </w:p>
        </w:tc>
      </w:tr>
      <w:tr w:rsidR="00824AD5" w14:paraId="60BEC51D" w14:textId="77777777" w:rsidTr="00824AD5">
        <w:tc>
          <w:tcPr>
            <w:tcW w:w="3006" w:type="dxa"/>
          </w:tcPr>
          <w:p w14:paraId="45DDF0B9" w14:textId="4AF151C9" w:rsidR="00824AD5" w:rsidRPr="00824AD5" w:rsidRDefault="00824AD5" w:rsidP="00FD6A30">
            <w:pPr>
              <w:spacing w:line="360" w:lineRule="auto"/>
              <w:jc w:val="both"/>
              <w:rPr>
                <w:b/>
                <w:sz w:val="20"/>
                <w:szCs w:val="20"/>
                <w:lang w:val="en-US"/>
              </w:rPr>
            </w:pPr>
            <w:r w:rsidRPr="00824AD5">
              <w:rPr>
                <w:b/>
                <w:sz w:val="20"/>
                <w:szCs w:val="20"/>
                <w:lang w:val="en-US"/>
              </w:rPr>
              <w:t>WT</w:t>
            </w:r>
          </w:p>
        </w:tc>
        <w:tc>
          <w:tcPr>
            <w:tcW w:w="1242" w:type="dxa"/>
          </w:tcPr>
          <w:p w14:paraId="6E68CE22" w14:textId="71887B3F" w:rsidR="00824AD5" w:rsidRPr="00824AD5" w:rsidRDefault="00824AD5" w:rsidP="00FD6A30">
            <w:pPr>
              <w:spacing w:line="360" w:lineRule="auto"/>
              <w:jc w:val="both"/>
              <w:rPr>
                <w:bCs/>
                <w:sz w:val="20"/>
                <w:szCs w:val="20"/>
                <w:lang w:val="en-US"/>
              </w:rPr>
            </w:pPr>
            <w:r w:rsidRPr="00824AD5">
              <w:rPr>
                <w:bCs/>
                <w:sz w:val="20"/>
                <w:szCs w:val="20"/>
                <w:lang w:val="en-US"/>
              </w:rPr>
              <w:t>X3</w:t>
            </w:r>
          </w:p>
        </w:tc>
        <w:tc>
          <w:tcPr>
            <w:tcW w:w="1984" w:type="dxa"/>
          </w:tcPr>
          <w:p w14:paraId="45B8E1E4" w14:textId="5B556E77" w:rsidR="00824AD5" w:rsidRPr="00824AD5" w:rsidRDefault="00824AD5" w:rsidP="00FD6A30">
            <w:pPr>
              <w:spacing w:line="360" w:lineRule="auto"/>
              <w:jc w:val="both"/>
              <w:rPr>
                <w:bCs/>
                <w:sz w:val="20"/>
                <w:szCs w:val="20"/>
                <w:lang w:val="en-US"/>
              </w:rPr>
            </w:pPr>
            <w:r w:rsidRPr="00824AD5">
              <w:rPr>
                <w:bCs/>
                <w:sz w:val="20"/>
                <w:szCs w:val="20"/>
                <w:lang w:val="en-US"/>
              </w:rPr>
              <w:t xml:space="preserve">X4 </w:t>
            </w:r>
          </w:p>
        </w:tc>
      </w:tr>
    </w:tbl>
    <w:p w14:paraId="051FCCA7" w14:textId="77777777" w:rsidR="00FD6A30" w:rsidRDefault="00FD6A30" w:rsidP="00FD6A30">
      <w:pPr>
        <w:spacing w:line="360" w:lineRule="auto"/>
        <w:jc w:val="both"/>
        <w:rPr>
          <w:b/>
          <w:sz w:val="32"/>
          <w:szCs w:val="32"/>
          <w:lang w:val="en-US"/>
        </w:rPr>
      </w:pPr>
    </w:p>
    <w:p w14:paraId="370E2722" w14:textId="0C4EEE2F" w:rsidR="00FD6A30" w:rsidRPr="00B70029" w:rsidRDefault="00824AD5" w:rsidP="00FD6A30">
      <w:pPr>
        <w:spacing w:line="360" w:lineRule="auto"/>
        <w:jc w:val="both"/>
        <w:rPr>
          <w:bCs/>
          <w:sz w:val="20"/>
          <w:szCs w:val="20"/>
          <w:lang w:val="en-US"/>
        </w:rPr>
      </w:pPr>
      <w:r>
        <w:rPr>
          <w:bCs/>
          <w:sz w:val="20"/>
          <w:szCs w:val="20"/>
          <w:lang w:val="en-US"/>
        </w:rPr>
        <w:t xml:space="preserve">Based on elements in the contingency table the odds ratio and the confidence interval can be calculated as explained in </w:t>
      </w:r>
      <w:r>
        <w:rPr>
          <w:sz w:val="20"/>
          <w:szCs w:val="20"/>
          <w:lang w:val="en-US"/>
        </w:rPr>
        <w:t>(</w:t>
      </w:r>
      <w:r w:rsidRPr="007D6A7F">
        <w:rPr>
          <w:sz w:val="20"/>
          <w:szCs w:val="20"/>
          <w:lang w:val="en-US"/>
        </w:rPr>
        <w:t>method section “</w:t>
      </w:r>
      <w:r>
        <w:rPr>
          <w:sz w:val="20"/>
          <w:szCs w:val="20"/>
          <w:lang w:val="en-US"/>
        </w:rPr>
        <w:t xml:space="preserve">Statistics”). </w:t>
      </w:r>
    </w:p>
    <w:p w14:paraId="26C9423B" w14:textId="77777777" w:rsidR="003C1671" w:rsidRPr="00E81F23" w:rsidRDefault="003C1671">
      <w:pPr>
        <w:rPr>
          <w:lang w:val="en-US"/>
        </w:rPr>
      </w:pPr>
    </w:p>
    <w:sectPr w:rsidR="003C1671" w:rsidRPr="00E81F23" w:rsidSect="00A86E5E">
      <w:footerReference w:type="even" r:id="rId14"/>
      <w:footerReference w:type="default" r:id="rId15"/>
      <w:pgSz w:w="11909" w:h="16834"/>
      <w:pgMar w:top="1440" w:right="1440" w:bottom="1440" w:left="1440" w:header="720" w:footer="720" w:gutter="0"/>
      <w:pgNumType w:start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1E57D" w14:textId="77777777" w:rsidR="00EE4FCB" w:rsidRDefault="00EE4FCB">
      <w:pPr>
        <w:spacing w:line="240" w:lineRule="auto"/>
      </w:pPr>
      <w:r>
        <w:separator/>
      </w:r>
    </w:p>
  </w:endnote>
  <w:endnote w:type="continuationSeparator" w:id="0">
    <w:p w14:paraId="208E1BD7" w14:textId="77777777" w:rsidR="00EE4FCB" w:rsidRDefault="00EE4F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65621121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D450A33" w14:textId="77777777" w:rsidR="0082091C" w:rsidRDefault="00B70029" w:rsidP="00AC34F2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CA5490D" w14:textId="77777777" w:rsidR="0082091C" w:rsidRDefault="0082091C" w:rsidP="00AC34F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32149964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FDCF74F" w14:textId="77777777" w:rsidR="0082091C" w:rsidRDefault="00B70029" w:rsidP="00AC34F2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37</w:t>
        </w:r>
        <w:r>
          <w:rPr>
            <w:rStyle w:val="PageNumber"/>
          </w:rPr>
          <w:fldChar w:fldCharType="end"/>
        </w:r>
      </w:p>
    </w:sdtContent>
  </w:sdt>
  <w:p w14:paraId="3B086B8A" w14:textId="77777777" w:rsidR="0082091C" w:rsidRDefault="0082091C" w:rsidP="00AC34F2">
    <w:pPr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4ABC13" w14:textId="77777777" w:rsidR="00EE4FCB" w:rsidRDefault="00EE4FCB">
      <w:pPr>
        <w:spacing w:line="240" w:lineRule="auto"/>
      </w:pPr>
      <w:r>
        <w:separator/>
      </w:r>
    </w:p>
  </w:footnote>
  <w:footnote w:type="continuationSeparator" w:id="0">
    <w:p w14:paraId="0A51453F" w14:textId="77777777" w:rsidR="00EE4FCB" w:rsidRDefault="00EE4FC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A125AA"/>
    <w:multiLevelType w:val="hybridMultilevel"/>
    <w:tmpl w:val="2BD03AD6"/>
    <w:lvl w:ilvl="0" w:tplc="3C8E8BB6">
      <w:start w:val="11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AE771B"/>
    <w:multiLevelType w:val="hybridMultilevel"/>
    <w:tmpl w:val="26EEC7A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256F33"/>
    <w:multiLevelType w:val="hybridMultilevel"/>
    <w:tmpl w:val="0D9ED134"/>
    <w:lvl w:ilvl="0" w:tplc="5960119C">
      <w:start w:val="11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4474077">
    <w:abstractNumId w:val="1"/>
  </w:num>
  <w:num w:numId="2" w16cid:durableId="1332830775">
    <w:abstractNumId w:val="0"/>
  </w:num>
  <w:num w:numId="3" w16cid:durableId="91050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E5E"/>
    <w:rsid w:val="00216295"/>
    <w:rsid w:val="00392C28"/>
    <w:rsid w:val="003C1671"/>
    <w:rsid w:val="003F05BD"/>
    <w:rsid w:val="00484F50"/>
    <w:rsid w:val="004C610E"/>
    <w:rsid w:val="0050359E"/>
    <w:rsid w:val="00506B8D"/>
    <w:rsid w:val="00507497"/>
    <w:rsid w:val="005A0060"/>
    <w:rsid w:val="005C2483"/>
    <w:rsid w:val="005E2CAA"/>
    <w:rsid w:val="006801E3"/>
    <w:rsid w:val="00797A4A"/>
    <w:rsid w:val="0082091C"/>
    <w:rsid w:val="00824AD5"/>
    <w:rsid w:val="008B7818"/>
    <w:rsid w:val="008E0AED"/>
    <w:rsid w:val="008F1DCE"/>
    <w:rsid w:val="00A43A1A"/>
    <w:rsid w:val="00A86E5E"/>
    <w:rsid w:val="00AE4613"/>
    <w:rsid w:val="00B357B6"/>
    <w:rsid w:val="00B70029"/>
    <w:rsid w:val="00C245B9"/>
    <w:rsid w:val="00DF039C"/>
    <w:rsid w:val="00E81F23"/>
    <w:rsid w:val="00E85B60"/>
    <w:rsid w:val="00EE4FCB"/>
    <w:rsid w:val="00FA2FF4"/>
    <w:rsid w:val="00FD6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5F290"/>
  <w15:chartTrackingRefBased/>
  <w15:docId w15:val="{F4AEA9AA-510D-8640-AE2E-5DC39A698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E5E"/>
    <w:pPr>
      <w:spacing w:line="276" w:lineRule="auto"/>
    </w:pPr>
    <w:rPr>
      <w:rFonts w:ascii="Arial" w:eastAsia="Arial" w:hAnsi="Arial" w:cs="Arial"/>
      <w:sz w:val="22"/>
      <w:szCs w:val="22"/>
      <w:lang w:val="da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6E5E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86E5E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6E5E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86E5E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86E5E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86E5E"/>
    <w:pPr>
      <w:keepNext/>
      <w:keepLines/>
      <w:spacing w:before="4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86E5E"/>
    <w:pPr>
      <w:keepNext/>
      <w:keepLines/>
      <w:spacing w:before="4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86E5E"/>
    <w:pPr>
      <w:keepNext/>
      <w:keepLines/>
      <w:spacing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86E5E"/>
    <w:pPr>
      <w:keepNext/>
      <w:keepLines/>
      <w:spacing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6E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86E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86E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6E5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86E5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86E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86E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86E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86E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86E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A86E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86E5E"/>
    <w:pPr>
      <w:numPr>
        <w:ilvl w:val="1"/>
      </w:numPr>
      <w:spacing w:after="160"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A86E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86E5E"/>
    <w:pPr>
      <w:spacing w:before="160" w:after="160" w:line="240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A86E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86E5E"/>
    <w:pPr>
      <w:spacing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styleId="IntenseEmphasis">
    <w:name w:val="Intense Emphasis"/>
    <w:basedOn w:val="DefaultParagraphFont"/>
    <w:uiPriority w:val="21"/>
    <w:qFormat/>
    <w:rsid w:val="00A86E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86E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4"/>
      <w:szCs w:val="24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86E5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86E5E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A86E5E"/>
    <w:rPr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A86E5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6E5E"/>
    <w:rPr>
      <w:rFonts w:ascii="Arial" w:eastAsia="Arial" w:hAnsi="Arial" w:cs="Arial"/>
      <w:sz w:val="22"/>
      <w:szCs w:val="22"/>
      <w:lang w:val="da" w:eastAsia="en-GB"/>
    </w:rPr>
  </w:style>
  <w:style w:type="character" w:styleId="PageNumber">
    <w:name w:val="page number"/>
    <w:basedOn w:val="DefaultParagraphFont"/>
    <w:uiPriority w:val="99"/>
    <w:semiHidden/>
    <w:unhideWhenUsed/>
    <w:rsid w:val="00A86E5E"/>
  </w:style>
  <w:style w:type="paragraph" w:styleId="CommentText">
    <w:name w:val="annotation text"/>
    <w:basedOn w:val="Normal"/>
    <w:link w:val="CommentTextChar"/>
    <w:uiPriority w:val="99"/>
    <w:semiHidden/>
    <w:unhideWhenUsed/>
    <w:rsid w:val="00E81F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F23"/>
    <w:rPr>
      <w:rFonts w:ascii="Arial" w:eastAsia="Arial" w:hAnsi="Arial" w:cs="Arial"/>
      <w:sz w:val="20"/>
      <w:szCs w:val="20"/>
      <w:lang w:val="da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F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F23"/>
    <w:rPr>
      <w:rFonts w:ascii="Arial" w:eastAsia="Arial" w:hAnsi="Arial" w:cs="Arial"/>
      <w:b/>
      <w:bCs/>
      <w:sz w:val="20"/>
      <w:szCs w:val="20"/>
      <w:lang w:val="da" w:eastAsia="en-GB"/>
    </w:rPr>
  </w:style>
  <w:style w:type="table" w:styleId="TableGrid">
    <w:name w:val="Table Grid"/>
    <w:basedOn w:val="TableNormal"/>
    <w:uiPriority w:val="39"/>
    <w:rsid w:val="00FD6A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36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8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26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02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87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745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90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1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95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48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31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17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16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76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678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27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57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60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2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12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79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05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78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23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74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52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485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07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13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3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41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7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76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97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359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2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94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6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60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76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0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71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44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58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36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7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91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32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00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88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5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47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4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1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74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54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8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769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401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32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82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84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774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7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88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84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3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328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1250</Words>
  <Characters>6704</Characters>
  <Application>Microsoft Office Word</Application>
  <DocSecurity>0</DocSecurity>
  <Lines>248</Lines>
  <Paragraphs>169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Rose</dc:creator>
  <cp:keywords/>
  <dc:description/>
  <cp:lastModifiedBy>Birgitte Kornum</cp:lastModifiedBy>
  <cp:revision>4</cp:revision>
  <dcterms:created xsi:type="dcterms:W3CDTF">2024-12-28T10:10:00Z</dcterms:created>
  <dcterms:modified xsi:type="dcterms:W3CDTF">2025-04-23T14:11:00Z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</Properties>
</file>