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DD111" w14:textId="77777777" w:rsidR="001240E8" w:rsidRPr="005A305D" w:rsidRDefault="001240E8" w:rsidP="001240E8">
      <w:pPr>
        <w:spacing w:after="240"/>
        <w:rPr>
          <w:b/>
          <w:bCs/>
          <w:lang w:val="en-US"/>
        </w:rPr>
      </w:pPr>
      <w:r w:rsidRPr="005A305D">
        <w:rPr>
          <w:b/>
          <w:bCs/>
          <w:lang w:val="en-US"/>
        </w:rPr>
        <w:t>Supplementary tables and Figures</w:t>
      </w:r>
    </w:p>
    <w:p w14:paraId="0B4568EB" w14:textId="5B9B79D3" w:rsidR="00DD21F5" w:rsidRPr="00AD1A92" w:rsidRDefault="00AD1A92" w:rsidP="00DD21F5">
      <w:pPr>
        <w:spacing w:before="100" w:beforeAutospacing="1" w:after="100" w:afterAutospacing="1"/>
        <w:rPr>
          <w:rStyle w:val="Strong"/>
          <w:sz w:val="20"/>
          <w:szCs w:val="20"/>
          <w:lang w:val="en-GB" w:bidi="ne-NP"/>
        </w:rPr>
      </w:pPr>
      <w:r>
        <w:rPr>
          <w:rStyle w:val="Strong"/>
          <w:sz w:val="20"/>
          <w:szCs w:val="20"/>
          <w:lang w:val="en-GB" w:bidi="ne-NP"/>
        </w:rPr>
        <w:t>Table of contents</w:t>
      </w:r>
    </w:p>
    <w:p w14:paraId="02D01E57" w14:textId="6CA4D9D3" w:rsidR="00DD21F5" w:rsidRPr="00DD21F5" w:rsidRDefault="00DD21F5" w:rsidP="00AD1A92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  <w:lang w:val="en-GB" w:bidi="ne-NP"/>
        </w:rPr>
      </w:pPr>
      <w:r w:rsidRPr="00DD21F5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>Supplementary Table 1</w:t>
      </w:r>
      <w:r w:rsidRPr="00DD21F5">
        <w:rPr>
          <w:b/>
          <w:bCs/>
          <w:sz w:val="20"/>
          <w:szCs w:val="20"/>
          <w:lang w:val="en-GB"/>
        </w:rPr>
        <w:t>:</w:t>
      </w:r>
      <w:r w:rsidRPr="00DD21F5">
        <w:rPr>
          <w:sz w:val="20"/>
          <w:szCs w:val="20"/>
          <w:lang w:val="en-GB"/>
        </w:rPr>
        <w:t xml:space="preserve"> Participating Center Details - Page 2</w:t>
      </w:r>
    </w:p>
    <w:p w14:paraId="0528A2B6" w14:textId="4F800EC4" w:rsidR="00DD21F5" w:rsidRPr="00DD21F5" w:rsidRDefault="00DD21F5" w:rsidP="00AD1A92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  <w:lang w:val="en-GB"/>
        </w:rPr>
      </w:pPr>
      <w:r w:rsidRPr="00DD21F5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 xml:space="preserve">Supplementary </w:t>
      </w:r>
      <w:r w:rsidR="00365567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>Figure</w:t>
      </w:r>
      <w:r w:rsidRPr="00DD21F5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 xml:space="preserve"> </w:t>
      </w:r>
      <w:r w:rsidR="00365567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>1</w:t>
      </w:r>
      <w:r w:rsidRPr="00DD21F5">
        <w:rPr>
          <w:b/>
          <w:bCs/>
          <w:sz w:val="20"/>
          <w:szCs w:val="20"/>
          <w:lang w:val="en-GB"/>
        </w:rPr>
        <w:t>:</w:t>
      </w:r>
      <w:r w:rsidRPr="00DD21F5">
        <w:rPr>
          <w:sz w:val="20"/>
          <w:szCs w:val="20"/>
          <w:lang w:val="en-GB"/>
        </w:rPr>
        <w:t xml:space="preserve"> Data Point Timeline - Page 3</w:t>
      </w:r>
    </w:p>
    <w:p w14:paraId="02F6CEF4" w14:textId="0200C5F9" w:rsidR="00DD21F5" w:rsidRPr="00DD21F5" w:rsidRDefault="00DD21F5" w:rsidP="00AD1A92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DD21F5">
        <w:rPr>
          <w:rStyle w:val="Strong"/>
          <w:rFonts w:eastAsiaTheme="majorEastAsia"/>
          <w:b w:val="0"/>
          <w:bCs w:val="0"/>
          <w:sz w:val="20"/>
          <w:szCs w:val="20"/>
        </w:rPr>
        <w:t xml:space="preserve">Supplementary Table </w:t>
      </w:r>
      <w:r w:rsidR="00365567">
        <w:rPr>
          <w:rStyle w:val="Strong"/>
          <w:rFonts w:eastAsiaTheme="majorEastAsia"/>
          <w:b w:val="0"/>
          <w:bCs w:val="0"/>
          <w:sz w:val="20"/>
          <w:szCs w:val="20"/>
        </w:rPr>
        <w:t>2</w:t>
      </w:r>
      <w:r w:rsidRPr="00DD21F5">
        <w:rPr>
          <w:b/>
          <w:bCs/>
          <w:sz w:val="20"/>
          <w:szCs w:val="20"/>
        </w:rPr>
        <w:t>:</w:t>
      </w:r>
      <w:r w:rsidRPr="00DD21F5">
        <w:rPr>
          <w:sz w:val="20"/>
          <w:szCs w:val="20"/>
        </w:rPr>
        <w:t xml:space="preserve"> Formulas - Page 3</w:t>
      </w:r>
    </w:p>
    <w:p w14:paraId="516E1EE7" w14:textId="10600805" w:rsidR="00DD21F5" w:rsidRDefault="00DD21F5" w:rsidP="00AD1A92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  <w:lang w:val="en-GB"/>
        </w:rPr>
      </w:pPr>
      <w:r w:rsidRPr="00DD21F5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 xml:space="preserve">Supplementary Table </w:t>
      </w:r>
      <w:r w:rsidR="00365567">
        <w:rPr>
          <w:rStyle w:val="Strong"/>
          <w:rFonts w:eastAsiaTheme="majorEastAsia"/>
          <w:b w:val="0"/>
          <w:bCs w:val="0"/>
          <w:sz w:val="20"/>
          <w:szCs w:val="20"/>
          <w:lang w:val="en-GB"/>
        </w:rPr>
        <w:t>3</w:t>
      </w:r>
      <w:r w:rsidRPr="00DD21F5">
        <w:rPr>
          <w:b/>
          <w:bCs/>
          <w:sz w:val="20"/>
          <w:szCs w:val="20"/>
          <w:lang w:val="en-GB"/>
        </w:rPr>
        <w:t>:</w:t>
      </w:r>
      <w:r w:rsidRPr="00DD21F5">
        <w:rPr>
          <w:sz w:val="20"/>
          <w:szCs w:val="20"/>
          <w:lang w:val="en-GB"/>
        </w:rPr>
        <w:t xml:space="preserve"> Patients with Post-Hepatectomy Liver Failure - Page 4</w:t>
      </w:r>
    </w:p>
    <w:p w14:paraId="4F2052C0" w14:textId="06B7A9F4" w:rsidR="000E4905" w:rsidRPr="00DD21F5" w:rsidRDefault="000E4905" w:rsidP="001C3396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Supplementary Table 4: </w:t>
      </w:r>
      <w:r w:rsidR="001C3396" w:rsidRPr="001C3396">
        <w:rPr>
          <w:sz w:val="20"/>
          <w:szCs w:val="20"/>
          <w:lang w:val="en-GB"/>
        </w:rPr>
        <w:t>Post-resection mortalit</w:t>
      </w:r>
      <w:r w:rsidR="001C3396">
        <w:rPr>
          <w:sz w:val="20"/>
          <w:szCs w:val="20"/>
          <w:lang w:val="en-GB"/>
        </w:rPr>
        <w:t xml:space="preserve">y and morbidity per center type </w:t>
      </w:r>
      <w:r w:rsidR="001C3396" w:rsidRPr="00DD21F5">
        <w:rPr>
          <w:sz w:val="20"/>
          <w:szCs w:val="20"/>
          <w:lang w:val="en-GB"/>
        </w:rPr>
        <w:t>-</w:t>
      </w:r>
      <w:r w:rsidR="001C3396">
        <w:rPr>
          <w:sz w:val="20"/>
          <w:szCs w:val="20"/>
          <w:lang w:val="en-GB"/>
        </w:rPr>
        <w:t xml:space="preserve"> Page 5</w:t>
      </w:r>
    </w:p>
    <w:p w14:paraId="68CC97D0" w14:textId="77777777" w:rsidR="00584A77" w:rsidRDefault="00584A77">
      <w:pPr>
        <w:spacing w:after="160" w:line="278" w:lineRule="auto"/>
        <w:rPr>
          <w:b/>
          <w:bCs/>
          <w:sz w:val="20"/>
          <w:szCs w:val="20"/>
          <w:lang w:val="en-US"/>
        </w:rPr>
      </w:pPr>
      <w:r>
        <w:rPr>
          <w:b/>
          <w:bCs/>
          <w:lang w:val="en-US"/>
        </w:rPr>
        <w:br w:type="page"/>
      </w:r>
    </w:p>
    <w:p w14:paraId="73EA6213" w14:textId="3B2EB069" w:rsidR="001240E8" w:rsidRPr="00FF080B" w:rsidRDefault="001240E8" w:rsidP="001240E8">
      <w:pPr>
        <w:pStyle w:val="EndnoteText"/>
        <w:spacing w:line="360" w:lineRule="auto"/>
        <w:rPr>
          <w:b/>
          <w:bCs/>
          <w:lang w:val="en-US"/>
        </w:rPr>
      </w:pPr>
      <w:r w:rsidRPr="00FF080B">
        <w:rPr>
          <w:b/>
          <w:bCs/>
          <w:lang w:val="en-US"/>
        </w:rPr>
        <w:lastRenderedPageBreak/>
        <w:t xml:space="preserve">Supplementary </w:t>
      </w:r>
      <w:r w:rsidR="00176C77">
        <w:rPr>
          <w:b/>
          <w:bCs/>
          <w:lang w:val="en-US"/>
        </w:rPr>
        <w:t>T</w:t>
      </w:r>
      <w:r w:rsidRPr="00FF080B">
        <w:rPr>
          <w:b/>
          <w:bCs/>
          <w:lang w:val="en-US"/>
        </w:rPr>
        <w:t>able 1</w:t>
      </w:r>
      <w:r w:rsidR="007010C3">
        <w:rPr>
          <w:b/>
          <w:bCs/>
          <w:lang w:val="en-US"/>
        </w:rPr>
        <w:t>:</w:t>
      </w:r>
      <w:r w:rsidRPr="00FF080B">
        <w:rPr>
          <w:b/>
          <w:bCs/>
          <w:lang w:val="en-US"/>
        </w:rPr>
        <w:t xml:space="preserve"> Participating Center </w:t>
      </w:r>
      <w:r>
        <w:rPr>
          <w:b/>
          <w:bCs/>
          <w:lang w:val="en-US"/>
        </w:rPr>
        <w:t>d</w:t>
      </w:r>
      <w:r w:rsidRPr="00FF080B">
        <w:rPr>
          <w:b/>
          <w:bCs/>
          <w:lang w:val="en-US"/>
        </w:rPr>
        <w:t>etails</w:t>
      </w:r>
    </w:p>
    <w:tbl>
      <w:tblPr>
        <w:tblStyle w:val="TableGrid"/>
        <w:tblW w:w="92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41"/>
        <w:gridCol w:w="1608"/>
        <w:gridCol w:w="2782"/>
        <w:gridCol w:w="474"/>
        <w:gridCol w:w="1234"/>
        <w:gridCol w:w="2703"/>
      </w:tblGrid>
      <w:tr w:rsidR="001240E8" w:rsidRPr="00332EA9" w14:paraId="014CBFA4" w14:textId="77777777" w:rsidTr="007625D8">
        <w:trPr>
          <w:trHeight w:val="300"/>
        </w:trPr>
        <w:tc>
          <w:tcPr>
            <w:tcW w:w="439" w:type="dxa"/>
            <w:shd w:val="clear" w:color="auto" w:fill="000000" w:themeFill="text1"/>
          </w:tcPr>
          <w:p w14:paraId="01C15822" w14:textId="77777777" w:rsidR="001240E8" w:rsidRPr="001240E8" w:rsidRDefault="001240E8" w:rsidP="007625D8">
            <w:pPr>
              <w:pStyle w:val="EndnoteText"/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1240E8"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  <w:t>n</w:t>
            </w:r>
          </w:p>
        </w:tc>
        <w:tc>
          <w:tcPr>
            <w:tcW w:w="1603" w:type="dxa"/>
            <w:shd w:val="clear" w:color="auto" w:fill="000000" w:themeFill="text1"/>
          </w:tcPr>
          <w:p w14:paraId="715ED31C" w14:textId="77777777" w:rsidR="001240E8" w:rsidRPr="001240E8" w:rsidRDefault="001240E8" w:rsidP="007625D8">
            <w:pPr>
              <w:pStyle w:val="EndnoteText"/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1240E8"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  <w:t xml:space="preserve">Country </w:t>
            </w:r>
          </w:p>
        </w:tc>
        <w:tc>
          <w:tcPr>
            <w:tcW w:w="2773" w:type="dxa"/>
            <w:shd w:val="clear" w:color="auto" w:fill="000000" w:themeFill="text1"/>
          </w:tcPr>
          <w:p w14:paraId="5DD5D34E" w14:textId="77777777" w:rsidR="001240E8" w:rsidRPr="001240E8" w:rsidRDefault="001240E8" w:rsidP="007625D8">
            <w:pPr>
              <w:pStyle w:val="EndnoteText"/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1240E8"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  <w:t>Center</w:t>
            </w:r>
          </w:p>
        </w:tc>
        <w:tc>
          <w:tcPr>
            <w:tcW w:w="472" w:type="dxa"/>
            <w:shd w:val="clear" w:color="auto" w:fill="000000" w:themeFill="text1"/>
          </w:tcPr>
          <w:p w14:paraId="6F184B19" w14:textId="77777777" w:rsidR="001240E8" w:rsidRPr="001240E8" w:rsidRDefault="001240E8" w:rsidP="007625D8">
            <w:pPr>
              <w:pStyle w:val="EndnoteText"/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1240E8"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  <w:t>n</w:t>
            </w:r>
          </w:p>
        </w:tc>
        <w:tc>
          <w:tcPr>
            <w:tcW w:w="1230" w:type="dxa"/>
            <w:shd w:val="clear" w:color="auto" w:fill="000000" w:themeFill="text1"/>
          </w:tcPr>
          <w:p w14:paraId="1205F047" w14:textId="77777777" w:rsidR="001240E8" w:rsidRPr="001240E8" w:rsidRDefault="001240E8" w:rsidP="007625D8">
            <w:pPr>
              <w:pStyle w:val="EndnoteText"/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1240E8"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  <w:t>Country</w:t>
            </w:r>
          </w:p>
        </w:tc>
        <w:tc>
          <w:tcPr>
            <w:tcW w:w="2694" w:type="dxa"/>
            <w:shd w:val="clear" w:color="auto" w:fill="000000" w:themeFill="text1"/>
          </w:tcPr>
          <w:p w14:paraId="08DF8061" w14:textId="77777777" w:rsidR="001240E8" w:rsidRPr="001240E8" w:rsidRDefault="001240E8" w:rsidP="007625D8">
            <w:pPr>
              <w:pStyle w:val="EndnoteText"/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1240E8">
              <w:rPr>
                <w:b/>
                <w:bCs/>
                <w:color w:val="FFFFFF" w:themeColor="background1"/>
                <w:sz w:val="16"/>
                <w:szCs w:val="16"/>
                <w:lang w:val="en-US"/>
              </w:rPr>
              <w:t>Center</w:t>
            </w:r>
          </w:p>
        </w:tc>
      </w:tr>
      <w:tr w:rsidR="001240E8" w:rsidRPr="00211D6F" w14:paraId="3A1D083F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7860A51B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603" w:type="dxa"/>
          </w:tcPr>
          <w:p w14:paraId="2EAAF54C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6F91269E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Maastricht University Medical Center (MUMC)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2E837C94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22</w:t>
            </w:r>
          </w:p>
        </w:tc>
        <w:tc>
          <w:tcPr>
            <w:tcW w:w="1230" w:type="dxa"/>
          </w:tcPr>
          <w:p w14:paraId="054EF2F1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Spain</w:t>
            </w:r>
          </w:p>
        </w:tc>
        <w:tc>
          <w:tcPr>
            <w:tcW w:w="2694" w:type="dxa"/>
          </w:tcPr>
          <w:p w14:paraId="40CAAB5E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Miguel Servet Zaragoza</w:t>
            </w:r>
          </w:p>
        </w:tc>
      </w:tr>
      <w:tr w:rsidR="001240E8" w:rsidRPr="00211D6F" w14:paraId="35EFB028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06D21D3A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1603" w:type="dxa"/>
          </w:tcPr>
          <w:p w14:paraId="45B7E05C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3A26FC4B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Medical Center Groningen (UMCG)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04A99F0B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23</w:t>
            </w:r>
          </w:p>
        </w:tc>
        <w:tc>
          <w:tcPr>
            <w:tcW w:w="1230" w:type="dxa"/>
          </w:tcPr>
          <w:p w14:paraId="7A471BA5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Spain</w:t>
            </w:r>
          </w:p>
        </w:tc>
        <w:tc>
          <w:tcPr>
            <w:tcW w:w="2694" w:type="dxa"/>
          </w:tcPr>
          <w:p w14:paraId="14FC810E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 xml:space="preserve">University Hospital </w:t>
            </w:r>
            <w:r w:rsidRPr="00FF080B">
              <w:rPr>
                <w:sz w:val="16"/>
                <w:szCs w:val="16"/>
                <w:lang w:val="en-US"/>
              </w:rPr>
              <w:br/>
              <w:t xml:space="preserve"> Dr. Josep Trueta, Gerona</w:t>
            </w:r>
          </w:p>
        </w:tc>
      </w:tr>
      <w:tr w:rsidR="001240E8" w:rsidRPr="00332EA9" w14:paraId="614FF786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4745BF9B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1603" w:type="dxa"/>
          </w:tcPr>
          <w:p w14:paraId="59D46550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443F9D42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Medical Center Utrecht (UMCU)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5780B5BB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1230" w:type="dxa"/>
          </w:tcPr>
          <w:p w14:paraId="7FC8AF15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Spain</w:t>
            </w:r>
          </w:p>
        </w:tc>
        <w:tc>
          <w:tcPr>
            <w:tcW w:w="2694" w:type="dxa"/>
          </w:tcPr>
          <w:p w14:paraId="50F1A4E6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Hospital Clinic de Barcelona</w:t>
            </w:r>
          </w:p>
        </w:tc>
      </w:tr>
      <w:tr w:rsidR="001240E8" w:rsidRPr="00332EA9" w14:paraId="5199A115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53D7C611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1603" w:type="dxa"/>
          </w:tcPr>
          <w:p w14:paraId="17D653B8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14566FA5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Amsterdam University Medical Centers (AUMC)*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5305D073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25</w:t>
            </w:r>
          </w:p>
        </w:tc>
        <w:tc>
          <w:tcPr>
            <w:tcW w:w="1230" w:type="dxa"/>
          </w:tcPr>
          <w:p w14:paraId="211ABEDF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Italy</w:t>
            </w:r>
          </w:p>
        </w:tc>
        <w:tc>
          <w:tcPr>
            <w:tcW w:w="2694" w:type="dxa"/>
          </w:tcPr>
          <w:p w14:paraId="1A19247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San Raffaele Hospital, Milan</w:t>
            </w:r>
          </w:p>
        </w:tc>
      </w:tr>
      <w:tr w:rsidR="001240E8" w:rsidRPr="00332EA9" w14:paraId="64657F3D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0DC57C06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603" w:type="dxa"/>
          </w:tcPr>
          <w:p w14:paraId="6C339A0A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12A963C0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Erasmus Medical Center Rotterdam (EMC)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076488CE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26</w:t>
            </w:r>
          </w:p>
        </w:tc>
        <w:tc>
          <w:tcPr>
            <w:tcW w:w="1230" w:type="dxa"/>
          </w:tcPr>
          <w:p w14:paraId="36E10853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Italy</w:t>
            </w:r>
          </w:p>
        </w:tc>
        <w:tc>
          <w:tcPr>
            <w:tcW w:w="2694" w:type="dxa"/>
          </w:tcPr>
          <w:p w14:paraId="7209288C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Fondazione Poliambulanza Institudo Ospedaliero Brescia</w:t>
            </w:r>
          </w:p>
        </w:tc>
      </w:tr>
      <w:tr w:rsidR="001240E8" w:rsidRPr="00332EA9" w14:paraId="5E85E9CC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24CF3515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1603" w:type="dxa"/>
          </w:tcPr>
          <w:p w14:paraId="3C342C03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38895093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</w:rPr>
            </w:pPr>
            <w:r w:rsidRPr="00FF080B">
              <w:rPr>
                <w:sz w:val="16"/>
                <w:szCs w:val="16"/>
              </w:rPr>
              <w:t>Maxima Medisch Centrum Eindhoven (MMC)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06E4D6F2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27</w:t>
            </w:r>
          </w:p>
        </w:tc>
        <w:tc>
          <w:tcPr>
            <w:tcW w:w="1230" w:type="dxa"/>
          </w:tcPr>
          <w:p w14:paraId="1416B697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Italy</w:t>
            </w:r>
          </w:p>
        </w:tc>
        <w:tc>
          <w:tcPr>
            <w:tcW w:w="2694" w:type="dxa"/>
          </w:tcPr>
          <w:p w14:paraId="46678CEE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Gemelli Hospital, Rome</w:t>
            </w:r>
          </w:p>
          <w:p w14:paraId="0D966AA5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</w:p>
        </w:tc>
      </w:tr>
      <w:tr w:rsidR="001240E8" w:rsidRPr="00332EA9" w14:paraId="4AB72D1A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5267173E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1603" w:type="dxa"/>
          </w:tcPr>
          <w:p w14:paraId="57F38116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Netherlands</w:t>
            </w:r>
          </w:p>
        </w:tc>
        <w:tc>
          <w:tcPr>
            <w:tcW w:w="2773" w:type="dxa"/>
          </w:tcPr>
          <w:p w14:paraId="33AC017C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Amphia Hospital, Breda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68C1B960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28</w:t>
            </w:r>
          </w:p>
        </w:tc>
        <w:tc>
          <w:tcPr>
            <w:tcW w:w="1230" w:type="dxa"/>
          </w:tcPr>
          <w:p w14:paraId="6AF19514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Italy</w:t>
            </w:r>
          </w:p>
        </w:tc>
        <w:tc>
          <w:tcPr>
            <w:tcW w:w="2694" w:type="dxa"/>
          </w:tcPr>
          <w:p w14:paraId="50F10E1C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Policlinico Sant'Orsola-Malpighi, Bologna</w:t>
            </w:r>
          </w:p>
        </w:tc>
      </w:tr>
      <w:tr w:rsidR="001240E8" w:rsidRPr="00332EA9" w14:paraId="66A5B4A3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704A0B9E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1603" w:type="dxa"/>
          </w:tcPr>
          <w:p w14:paraId="63ACB00C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United Kingdom</w:t>
            </w:r>
          </w:p>
        </w:tc>
        <w:tc>
          <w:tcPr>
            <w:tcW w:w="2773" w:type="dxa"/>
          </w:tcPr>
          <w:p w14:paraId="72EA9BBE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Aintree University Hospital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2D65AAA1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29</w:t>
            </w:r>
          </w:p>
        </w:tc>
        <w:tc>
          <w:tcPr>
            <w:tcW w:w="1230" w:type="dxa"/>
          </w:tcPr>
          <w:p w14:paraId="304FBDD4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Norway</w:t>
            </w:r>
          </w:p>
        </w:tc>
        <w:tc>
          <w:tcPr>
            <w:tcW w:w="2694" w:type="dxa"/>
          </w:tcPr>
          <w:p w14:paraId="7E323199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 xml:space="preserve">Oslo University Hospital </w:t>
            </w:r>
          </w:p>
        </w:tc>
      </w:tr>
      <w:tr w:rsidR="001240E8" w:rsidRPr="00332EA9" w14:paraId="2E4D2795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7E0FCD5E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603" w:type="dxa"/>
          </w:tcPr>
          <w:p w14:paraId="3F468E87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United Kingdom</w:t>
            </w:r>
          </w:p>
        </w:tc>
        <w:tc>
          <w:tcPr>
            <w:tcW w:w="2773" w:type="dxa"/>
          </w:tcPr>
          <w:p w14:paraId="10D6A2CB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Oxford University Hospitals</w:t>
            </w:r>
          </w:p>
          <w:p w14:paraId="152FFFBE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</w:p>
        </w:tc>
        <w:tc>
          <w:tcPr>
            <w:tcW w:w="472" w:type="dxa"/>
            <w:shd w:val="clear" w:color="auto" w:fill="BFBFBF" w:themeFill="background1" w:themeFillShade="BF"/>
          </w:tcPr>
          <w:p w14:paraId="6D72E620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30</w:t>
            </w:r>
          </w:p>
        </w:tc>
        <w:tc>
          <w:tcPr>
            <w:tcW w:w="1230" w:type="dxa"/>
          </w:tcPr>
          <w:p w14:paraId="6BF34C1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Sweden</w:t>
            </w:r>
          </w:p>
        </w:tc>
        <w:tc>
          <w:tcPr>
            <w:tcW w:w="2694" w:type="dxa"/>
          </w:tcPr>
          <w:p w14:paraId="6FBBE35A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 xml:space="preserve">Linköping University Hospital </w:t>
            </w:r>
          </w:p>
          <w:p w14:paraId="160DE66A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</w:p>
        </w:tc>
      </w:tr>
      <w:tr w:rsidR="001240E8" w:rsidRPr="00332EA9" w14:paraId="614F5163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60F44602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10</w:t>
            </w:r>
          </w:p>
        </w:tc>
        <w:tc>
          <w:tcPr>
            <w:tcW w:w="1603" w:type="dxa"/>
          </w:tcPr>
          <w:p w14:paraId="162EB47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United Kingdom</w:t>
            </w:r>
          </w:p>
        </w:tc>
        <w:tc>
          <w:tcPr>
            <w:tcW w:w="2773" w:type="dxa"/>
          </w:tcPr>
          <w:p w14:paraId="18CED942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Belfast Health and Social Care Trust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52717525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31</w:t>
            </w:r>
          </w:p>
        </w:tc>
        <w:tc>
          <w:tcPr>
            <w:tcW w:w="1230" w:type="dxa"/>
          </w:tcPr>
          <w:p w14:paraId="65A7E0CF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Sweden</w:t>
            </w:r>
          </w:p>
        </w:tc>
        <w:tc>
          <w:tcPr>
            <w:tcW w:w="2694" w:type="dxa"/>
          </w:tcPr>
          <w:p w14:paraId="74685344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Karolinska University Hospital, Stockholm</w:t>
            </w:r>
          </w:p>
        </w:tc>
      </w:tr>
      <w:tr w:rsidR="001240E8" w:rsidRPr="00211D6F" w14:paraId="5CD4D117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3AF21C34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11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7530DD8A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United Kingdom</w:t>
            </w:r>
          </w:p>
        </w:tc>
        <w:tc>
          <w:tcPr>
            <w:tcW w:w="2773" w:type="dxa"/>
          </w:tcPr>
          <w:p w14:paraId="6EAFF17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Southampton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6ED03A13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32</w:t>
            </w:r>
          </w:p>
        </w:tc>
        <w:tc>
          <w:tcPr>
            <w:tcW w:w="1230" w:type="dxa"/>
          </w:tcPr>
          <w:p w14:paraId="4550D9DF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Austria</w:t>
            </w:r>
          </w:p>
        </w:tc>
        <w:tc>
          <w:tcPr>
            <w:tcW w:w="2694" w:type="dxa"/>
          </w:tcPr>
          <w:p w14:paraId="49C31A4D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Kaiser Franz Josef Hospital, Community Medical Center South, Vienna</w:t>
            </w:r>
          </w:p>
        </w:tc>
      </w:tr>
      <w:tr w:rsidR="001240E8" w:rsidRPr="00332EA9" w14:paraId="7B8CB4C8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6B664661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12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4DA6EE13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United Kingdom</w:t>
            </w:r>
          </w:p>
        </w:tc>
        <w:tc>
          <w:tcPr>
            <w:tcW w:w="2773" w:type="dxa"/>
          </w:tcPr>
          <w:p w14:paraId="18082C0A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King’s college Hospital, London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0C8E4D02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33</w:t>
            </w:r>
          </w:p>
        </w:tc>
        <w:tc>
          <w:tcPr>
            <w:tcW w:w="1230" w:type="dxa"/>
          </w:tcPr>
          <w:p w14:paraId="4A2D033E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Switzerland</w:t>
            </w:r>
          </w:p>
        </w:tc>
        <w:tc>
          <w:tcPr>
            <w:tcW w:w="2694" w:type="dxa"/>
          </w:tcPr>
          <w:p w14:paraId="3BE2403C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Kantonsspital Winterthur</w:t>
            </w:r>
          </w:p>
          <w:p w14:paraId="71C7080C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</w:p>
        </w:tc>
      </w:tr>
      <w:tr w:rsidR="001240E8" w:rsidRPr="00211D6F" w14:paraId="5FF23734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600069BF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13</w:t>
            </w: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0AE59F6E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Germany</w:t>
            </w:r>
          </w:p>
        </w:tc>
        <w:tc>
          <w:tcPr>
            <w:tcW w:w="2773" w:type="dxa"/>
          </w:tcPr>
          <w:p w14:paraId="2621E6A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 xml:space="preserve">Klinikum Saarbrücken 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7D9B38A9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34</w:t>
            </w:r>
          </w:p>
        </w:tc>
        <w:tc>
          <w:tcPr>
            <w:tcW w:w="1230" w:type="dxa"/>
          </w:tcPr>
          <w:p w14:paraId="46D9A5FA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Switzerland</w:t>
            </w:r>
          </w:p>
        </w:tc>
        <w:tc>
          <w:tcPr>
            <w:tcW w:w="2694" w:type="dxa"/>
          </w:tcPr>
          <w:p w14:paraId="26C147F5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Claraspital &amp; Clarunis University Hospital, Basel</w:t>
            </w:r>
          </w:p>
        </w:tc>
      </w:tr>
      <w:tr w:rsidR="001240E8" w:rsidRPr="00211D6F" w14:paraId="263AEE9A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6A3C9E61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14</w:t>
            </w:r>
          </w:p>
        </w:tc>
        <w:tc>
          <w:tcPr>
            <w:tcW w:w="1603" w:type="dxa"/>
          </w:tcPr>
          <w:p w14:paraId="3294DCEF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Germany</w:t>
            </w:r>
          </w:p>
        </w:tc>
        <w:tc>
          <w:tcPr>
            <w:tcW w:w="2773" w:type="dxa"/>
          </w:tcPr>
          <w:p w14:paraId="13EC93AB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Halle (Saale)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75E9CE9A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35</w:t>
            </w:r>
          </w:p>
        </w:tc>
        <w:tc>
          <w:tcPr>
            <w:tcW w:w="1230" w:type="dxa"/>
          </w:tcPr>
          <w:p w14:paraId="25A7CEBA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Australia</w:t>
            </w:r>
          </w:p>
        </w:tc>
        <w:tc>
          <w:tcPr>
            <w:tcW w:w="2694" w:type="dxa"/>
          </w:tcPr>
          <w:p w14:paraId="31B274E3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Royal Prince Alfred Hospital, Camperdown Sydney</w:t>
            </w:r>
          </w:p>
        </w:tc>
      </w:tr>
      <w:tr w:rsidR="001240E8" w:rsidRPr="00332EA9" w14:paraId="3A62C907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3DE03E05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15</w:t>
            </w:r>
          </w:p>
        </w:tc>
        <w:tc>
          <w:tcPr>
            <w:tcW w:w="1603" w:type="dxa"/>
          </w:tcPr>
          <w:p w14:paraId="5EB828DF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Germany</w:t>
            </w:r>
          </w:p>
        </w:tc>
        <w:tc>
          <w:tcPr>
            <w:tcW w:w="2773" w:type="dxa"/>
          </w:tcPr>
          <w:p w14:paraId="5A04D1CB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Frankfurt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05F15056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36</w:t>
            </w:r>
          </w:p>
        </w:tc>
        <w:tc>
          <w:tcPr>
            <w:tcW w:w="1230" w:type="dxa"/>
          </w:tcPr>
          <w:p w14:paraId="15A3A2D3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Australia</w:t>
            </w:r>
          </w:p>
        </w:tc>
        <w:tc>
          <w:tcPr>
            <w:tcW w:w="2694" w:type="dxa"/>
          </w:tcPr>
          <w:p w14:paraId="41AA393E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Monash Medical center, Clayton</w:t>
            </w:r>
          </w:p>
        </w:tc>
      </w:tr>
      <w:tr w:rsidR="001240E8" w:rsidRPr="00211D6F" w14:paraId="53EA2B09" w14:textId="77777777" w:rsidTr="007625D8">
        <w:trPr>
          <w:trHeight w:val="337"/>
        </w:trPr>
        <w:tc>
          <w:tcPr>
            <w:tcW w:w="439" w:type="dxa"/>
            <w:shd w:val="clear" w:color="auto" w:fill="BFBFBF" w:themeFill="background1" w:themeFillShade="BF"/>
          </w:tcPr>
          <w:p w14:paraId="7AC6F2A6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16</w:t>
            </w:r>
          </w:p>
        </w:tc>
        <w:tc>
          <w:tcPr>
            <w:tcW w:w="1603" w:type="dxa"/>
          </w:tcPr>
          <w:p w14:paraId="3D57B3BB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Belgium</w:t>
            </w:r>
          </w:p>
        </w:tc>
        <w:tc>
          <w:tcPr>
            <w:tcW w:w="2773" w:type="dxa"/>
          </w:tcPr>
          <w:p w14:paraId="6896D649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CHU de Liège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7DA7A80D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37</w:t>
            </w:r>
          </w:p>
        </w:tc>
        <w:tc>
          <w:tcPr>
            <w:tcW w:w="1230" w:type="dxa"/>
          </w:tcPr>
          <w:p w14:paraId="23E6EC64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Canada</w:t>
            </w:r>
          </w:p>
        </w:tc>
        <w:tc>
          <w:tcPr>
            <w:tcW w:w="2694" w:type="dxa"/>
          </w:tcPr>
          <w:p w14:paraId="6D0780EE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McGill University Health Centre, Montreal</w:t>
            </w:r>
          </w:p>
        </w:tc>
      </w:tr>
      <w:tr w:rsidR="001240E8" w:rsidRPr="00332EA9" w14:paraId="059E83F8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5981ECC8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17</w:t>
            </w:r>
          </w:p>
        </w:tc>
        <w:tc>
          <w:tcPr>
            <w:tcW w:w="1603" w:type="dxa"/>
          </w:tcPr>
          <w:p w14:paraId="68659FC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Belgium</w:t>
            </w:r>
          </w:p>
        </w:tc>
        <w:tc>
          <w:tcPr>
            <w:tcW w:w="2773" w:type="dxa"/>
          </w:tcPr>
          <w:p w14:paraId="1DB071F0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Hôpital Erasme, Brussels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150FBE56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38</w:t>
            </w:r>
          </w:p>
        </w:tc>
        <w:tc>
          <w:tcPr>
            <w:tcW w:w="1230" w:type="dxa"/>
          </w:tcPr>
          <w:p w14:paraId="18059AEC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Canada</w:t>
            </w:r>
          </w:p>
        </w:tc>
        <w:tc>
          <w:tcPr>
            <w:tcW w:w="2694" w:type="dxa"/>
          </w:tcPr>
          <w:p w14:paraId="2A15139F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The Ottawa Hospital, Ottawa</w:t>
            </w:r>
          </w:p>
        </w:tc>
      </w:tr>
      <w:tr w:rsidR="001240E8" w:rsidRPr="00211D6F" w14:paraId="1F35EF1D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2D398654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18</w:t>
            </w:r>
          </w:p>
        </w:tc>
        <w:tc>
          <w:tcPr>
            <w:tcW w:w="1603" w:type="dxa"/>
          </w:tcPr>
          <w:p w14:paraId="12E31810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Belgium</w:t>
            </w:r>
          </w:p>
        </w:tc>
        <w:tc>
          <w:tcPr>
            <w:tcW w:w="2773" w:type="dxa"/>
          </w:tcPr>
          <w:p w14:paraId="2D1EE598" w14:textId="77777777" w:rsidR="001240E8" w:rsidRPr="00FF080B" w:rsidRDefault="001240E8" w:rsidP="007625D8">
            <w:pPr>
              <w:rPr>
                <w:sz w:val="16"/>
                <w:szCs w:val="16"/>
                <w:lang w:val="nn-NO"/>
              </w:rPr>
            </w:pPr>
            <w:r w:rsidRPr="00FF080B">
              <w:rPr>
                <w:sz w:val="16"/>
                <w:szCs w:val="16"/>
                <w:lang w:val="nn-NO"/>
              </w:rPr>
              <w:t>CHU-UCL Namur site Godinne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155AD283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39</w:t>
            </w:r>
          </w:p>
        </w:tc>
        <w:tc>
          <w:tcPr>
            <w:tcW w:w="1230" w:type="dxa"/>
          </w:tcPr>
          <w:p w14:paraId="584A9A58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USA</w:t>
            </w:r>
          </w:p>
        </w:tc>
        <w:tc>
          <w:tcPr>
            <w:tcW w:w="2694" w:type="dxa"/>
          </w:tcPr>
          <w:p w14:paraId="411008FF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Memorial Sloan Kettering Cancer Center (MSKCC) New York</w:t>
            </w:r>
          </w:p>
        </w:tc>
      </w:tr>
      <w:tr w:rsidR="001240E8" w:rsidRPr="00211D6F" w14:paraId="3163C607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7322E228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19</w:t>
            </w:r>
          </w:p>
        </w:tc>
        <w:tc>
          <w:tcPr>
            <w:tcW w:w="1603" w:type="dxa"/>
          </w:tcPr>
          <w:p w14:paraId="1C4B0255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Spain</w:t>
            </w:r>
          </w:p>
        </w:tc>
        <w:tc>
          <w:tcPr>
            <w:tcW w:w="2773" w:type="dxa"/>
          </w:tcPr>
          <w:p w14:paraId="04A53CA4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Germans Trias I Pujol, Badalona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5214172D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40</w:t>
            </w:r>
          </w:p>
        </w:tc>
        <w:tc>
          <w:tcPr>
            <w:tcW w:w="1230" w:type="dxa"/>
          </w:tcPr>
          <w:p w14:paraId="67C9EAA5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USA</w:t>
            </w:r>
          </w:p>
        </w:tc>
        <w:tc>
          <w:tcPr>
            <w:tcW w:w="2694" w:type="dxa"/>
          </w:tcPr>
          <w:p w14:paraId="483B98DA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Rush University Medical Center, Chicago</w:t>
            </w:r>
          </w:p>
        </w:tc>
      </w:tr>
      <w:tr w:rsidR="001240E8" w:rsidRPr="00332EA9" w14:paraId="4193EECF" w14:textId="77777777" w:rsidTr="007625D8">
        <w:trPr>
          <w:trHeight w:val="300"/>
        </w:trPr>
        <w:tc>
          <w:tcPr>
            <w:tcW w:w="439" w:type="dxa"/>
            <w:shd w:val="clear" w:color="auto" w:fill="BFBFBF" w:themeFill="background1" w:themeFillShade="BF"/>
          </w:tcPr>
          <w:p w14:paraId="5BB0C46C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1603" w:type="dxa"/>
          </w:tcPr>
          <w:p w14:paraId="276C40D2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Spain</w:t>
            </w:r>
          </w:p>
        </w:tc>
        <w:tc>
          <w:tcPr>
            <w:tcW w:w="2773" w:type="dxa"/>
          </w:tcPr>
          <w:p w14:paraId="7EFF8D1B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Parc Taulí, Sabadell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2CD53654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41</w:t>
            </w:r>
          </w:p>
        </w:tc>
        <w:tc>
          <w:tcPr>
            <w:tcW w:w="1230" w:type="dxa"/>
          </w:tcPr>
          <w:p w14:paraId="0A91EF30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USA</w:t>
            </w:r>
          </w:p>
        </w:tc>
        <w:tc>
          <w:tcPr>
            <w:tcW w:w="2694" w:type="dxa"/>
          </w:tcPr>
          <w:p w14:paraId="1B91C088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Yale New Haven Hospital</w:t>
            </w:r>
          </w:p>
        </w:tc>
      </w:tr>
      <w:tr w:rsidR="001240E8" w:rsidRPr="00211D6F" w14:paraId="6FF21956" w14:textId="77777777" w:rsidTr="007625D8">
        <w:trPr>
          <w:trHeight w:val="70"/>
        </w:trPr>
        <w:tc>
          <w:tcPr>
            <w:tcW w:w="439" w:type="dxa"/>
            <w:shd w:val="clear" w:color="auto" w:fill="BFBFBF" w:themeFill="background1" w:themeFillShade="BF"/>
          </w:tcPr>
          <w:p w14:paraId="633D4706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21</w:t>
            </w:r>
          </w:p>
        </w:tc>
        <w:tc>
          <w:tcPr>
            <w:tcW w:w="1603" w:type="dxa"/>
          </w:tcPr>
          <w:p w14:paraId="40DAAA7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Spain</w:t>
            </w:r>
          </w:p>
        </w:tc>
        <w:tc>
          <w:tcPr>
            <w:tcW w:w="2773" w:type="dxa"/>
          </w:tcPr>
          <w:p w14:paraId="1FCB5A2C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University Hospital Mútua Terassa</w:t>
            </w:r>
          </w:p>
        </w:tc>
        <w:tc>
          <w:tcPr>
            <w:tcW w:w="472" w:type="dxa"/>
            <w:shd w:val="clear" w:color="auto" w:fill="BFBFBF" w:themeFill="background1" w:themeFillShade="BF"/>
          </w:tcPr>
          <w:p w14:paraId="574F1EE1" w14:textId="77777777" w:rsidR="001240E8" w:rsidRPr="00FF080B" w:rsidRDefault="001240E8" w:rsidP="007625D8">
            <w:pPr>
              <w:pStyle w:val="EndnoteText"/>
              <w:rPr>
                <w:b/>
                <w:bCs/>
                <w:sz w:val="16"/>
                <w:szCs w:val="16"/>
                <w:lang w:val="en-US"/>
              </w:rPr>
            </w:pPr>
            <w:r w:rsidRPr="00FF080B">
              <w:rPr>
                <w:b/>
                <w:bCs/>
                <w:sz w:val="16"/>
                <w:szCs w:val="16"/>
                <w:lang w:val="en-US"/>
              </w:rPr>
              <w:t>42</w:t>
            </w:r>
          </w:p>
        </w:tc>
        <w:tc>
          <w:tcPr>
            <w:tcW w:w="1230" w:type="dxa"/>
          </w:tcPr>
          <w:p w14:paraId="11606FDD" w14:textId="77777777" w:rsidR="001240E8" w:rsidRPr="00FF080B" w:rsidRDefault="001240E8" w:rsidP="007625D8">
            <w:pPr>
              <w:pStyle w:val="EndnoteText"/>
              <w:rPr>
                <w:sz w:val="16"/>
                <w:szCs w:val="16"/>
                <w:u w:val="single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China</w:t>
            </w:r>
          </w:p>
        </w:tc>
        <w:tc>
          <w:tcPr>
            <w:tcW w:w="2694" w:type="dxa"/>
          </w:tcPr>
          <w:p w14:paraId="3BB027C2" w14:textId="77777777" w:rsidR="001240E8" w:rsidRPr="00FF080B" w:rsidRDefault="001240E8" w:rsidP="007625D8">
            <w:pPr>
              <w:rPr>
                <w:sz w:val="16"/>
                <w:szCs w:val="16"/>
                <w:lang w:val="en-US"/>
              </w:rPr>
            </w:pPr>
            <w:r w:rsidRPr="00FF080B">
              <w:rPr>
                <w:sz w:val="16"/>
                <w:szCs w:val="16"/>
                <w:lang w:val="en-US"/>
              </w:rPr>
              <w:t>Zhongshan Hospital, Fundan University, Shanghai</w:t>
            </w:r>
          </w:p>
        </w:tc>
      </w:tr>
    </w:tbl>
    <w:p w14:paraId="35C2EC9B" w14:textId="25B8C1FA" w:rsidR="001240E8" w:rsidRPr="00332EA9" w:rsidRDefault="001240E8" w:rsidP="001240E8">
      <w:pPr>
        <w:spacing w:line="480" w:lineRule="auto"/>
        <w:jc w:val="both"/>
        <w:rPr>
          <w:sz w:val="20"/>
          <w:szCs w:val="20"/>
          <w:lang w:val="en-US"/>
        </w:rPr>
      </w:pPr>
      <w:r w:rsidRPr="00332EA9">
        <w:rPr>
          <w:sz w:val="20"/>
          <w:szCs w:val="20"/>
          <w:lang w:val="en-US"/>
        </w:rPr>
        <w:t>*AUMC, formerly two centers (VUmc + AMC)</w:t>
      </w:r>
      <w:r w:rsidRPr="00332EA9">
        <w:rPr>
          <w:sz w:val="20"/>
          <w:szCs w:val="20"/>
          <w:lang w:val="en-US"/>
        </w:rPr>
        <w:br w:type="page"/>
      </w:r>
    </w:p>
    <w:p w14:paraId="11FBD399" w14:textId="728D033E" w:rsidR="001240E8" w:rsidRPr="00FF080B" w:rsidRDefault="001240E8" w:rsidP="001240E8">
      <w:pPr>
        <w:pStyle w:val="EndnoteText"/>
        <w:spacing w:line="360" w:lineRule="auto"/>
        <w:rPr>
          <w:b/>
          <w:bCs/>
          <w:lang w:val="en-US"/>
        </w:rPr>
      </w:pPr>
      <w:r w:rsidRPr="00FF080B">
        <w:rPr>
          <w:b/>
          <w:bCs/>
          <w:lang w:val="en-US"/>
        </w:rPr>
        <w:lastRenderedPageBreak/>
        <w:t xml:space="preserve">Supplementary </w:t>
      </w:r>
      <w:r w:rsidR="00176C77">
        <w:rPr>
          <w:b/>
          <w:bCs/>
          <w:lang w:val="en-US"/>
        </w:rPr>
        <w:t>F</w:t>
      </w:r>
      <w:r w:rsidR="006D41FF">
        <w:rPr>
          <w:b/>
          <w:bCs/>
          <w:lang w:val="en-US"/>
        </w:rPr>
        <w:t>igure 1</w:t>
      </w:r>
      <w:r w:rsidRPr="00FF080B">
        <w:rPr>
          <w:b/>
          <w:bCs/>
          <w:lang w:val="en-US"/>
        </w:rPr>
        <w:t>: Data point timeline</w:t>
      </w:r>
    </w:p>
    <w:p w14:paraId="04F14D88" w14:textId="77777777" w:rsidR="001240E8" w:rsidRPr="00332EA9" w:rsidRDefault="001240E8" w:rsidP="00E776DD">
      <w:pPr>
        <w:rPr>
          <w:color w:val="000000" w:themeColor="text1"/>
          <w:sz w:val="20"/>
          <w:szCs w:val="20"/>
          <w:lang w:val="en-US"/>
        </w:rPr>
      </w:pPr>
      <w:r w:rsidRPr="00332EA9">
        <w:rPr>
          <w:noProof/>
          <w:sz w:val="20"/>
          <w:szCs w:val="20"/>
          <w:lang w:val="en-US" w:eastAsia="en-US"/>
        </w:rPr>
        <w:drawing>
          <wp:inline distT="0" distB="0" distL="0" distR="0" wp14:anchorId="7B1B23FA" wp14:editId="52A18E0B">
            <wp:extent cx="5724524" cy="2486025"/>
            <wp:effectExtent l="0" t="0" r="0" b="0"/>
            <wp:docPr id="214720185" name="Afbeelding 214720185" descr="Afbeelding met tekst, ontvangst, nummer, Parall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2EA9">
        <w:rPr>
          <w:color w:val="000000" w:themeColor="text1"/>
          <w:sz w:val="20"/>
          <w:szCs w:val="20"/>
          <w:lang w:val="en-US"/>
        </w:rPr>
        <w:t xml:space="preserve">Timeline of when data points were collected throughout the study period. X’s and arrows indicate the time points when specific data were collected. </w:t>
      </w:r>
    </w:p>
    <w:p w14:paraId="38380FAE" w14:textId="77777777" w:rsidR="001240E8" w:rsidRPr="00332EA9" w:rsidRDefault="001240E8" w:rsidP="00E776DD">
      <w:pPr>
        <w:rPr>
          <w:color w:val="000000" w:themeColor="text1"/>
          <w:sz w:val="20"/>
          <w:szCs w:val="20"/>
          <w:lang w:val="en-US"/>
        </w:rPr>
      </w:pPr>
      <w:r w:rsidRPr="00332EA9">
        <w:rPr>
          <w:color w:val="000000" w:themeColor="text1"/>
          <w:sz w:val="20"/>
          <w:szCs w:val="20"/>
          <w:lang w:val="en-US"/>
        </w:rPr>
        <w:t>PVE/HVE: combined PVE and HVE; FLR: future liver remnant; VAS: Visual Analogue Scale</w:t>
      </w:r>
    </w:p>
    <w:p w14:paraId="59BE65AB" w14:textId="7A9DF405" w:rsidR="001240E8" w:rsidRDefault="00584A77" w:rsidP="001240E8">
      <w:pPr>
        <w:pStyle w:val="EndnoteText"/>
        <w:rPr>
          <w:rFonts w:ascii="Arial" w:hAnsi="Arial" w:cs="Arial"/>
          <w:highlight w:val="yellow"/>
          <w:lang w:val="en-US"/>
        </w:rPr>
      </w:pPr>
      <w:r>
        <w:rPr>
          <w:rFonts w:ascii="Arial" w:hAnsi="Arial" w:cs="Arial"/>
          <w:highlight w:val="yellow"/>
          <w:lang w:val="en-US"/>
        </w:rPr>
        <w:br/>
      </w:r>
    </w:p>
    <w:p w14:paraId="18A75243" w14:textId="77777777" w:rsidR="00B64D9F" w:rsidRPr="00332EA9" w:rsidRDefault="00B64D9F" w:rsidP="001240E8">
      <w:pPr>
        <w:pStyle w:val="EndnoteText"/>
        <w:rPr>
          <w:rFonts w:ascii="Arial" w:hAnsi="Arial" w:cs="Arial"/>
          <w:highlight w:val="yellow"/>
          <w:lang w:val="en-US"/>
        </w:rPr>
      </w:pPr>
    </w:p>
    <w:tbl>
      <w:tblPr>
        <w:tblStyle w:val="TableGrid"/>
        <w:tblpPr w:leftFromText="141" w:rightFromText="141" w:vertAnchor="text" w:horzAnchor="margin" w:tblpY="407"/>
        <w:tblW w:w="8926" w:type="dxa"/>
        <w:tblLook w:val="04A0" w:firstRow="1" w:lastRow="0" w:firstColumn="1" w:lastColumn="0" w:noHBand="0" w:noVBand="1"/>
      </w:tblPr>
      <w:tblGrid>
        <w:gridCol w:w="4815"/>
        <w:gridCol w:w="4111"/>
      </w:tblGrid>
      <w:tr w:rsidR="001240E8" w:rsidRPr="00332EA9" w14:paraId="1001C311" w14:textId="77777777" w:rsidTr="001240E8">
        <w:trPr>
          <w:trHeight w:val="300"/>
        </w:trPr>
        <w:tc>
          <w:tcPr>
            <w:tcW w:w="4815" w:type="dxa"/>
            <w:shd w:val="clear" w:color="auto" w:fill="BFBFBF" w:themeFill="background1" w:themeFillShade="BF"/>
          </w:tcPr>
          <w:p w14:paraId="784F3AB1" w14:textId="77777777" w:rsidR="001240E8" w:rsidRPr="00332EA9" w:rsidRDefault="001240E8" w:rsidP="007625D8">
            <w:pPr>
              <w:pStyle w:val="EndnoteText"/>
              <w:rPr>
                <w:rFonts w:ascii="Arial" w:hAnsi="Arial" w:cs="Arial"/>
                <w:u w:val="single"/>
                <w:lang w:val="en-US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</w:tcPr>
          <w:p w14:paraId="128B95E2" w14:textId="77777777" w:rsidR="001240E8" w:rsidRPr="001240E8" w:rsidRDefault="001240E8" w:rsidP="007625D8">
            <w:pPr>
              <w:pStyle w:val="EndnoteText"/>
              <w:jc w:val="center"/>
              <w:rPr>
                <w:b/>
                <w:bCs/>
                <w:lang w:val="en-US"/>
              </w:rPr>
            </w:pPr>
            <w:r w:rsidRPr="001240E8">
              <w:rPr>
                <w:b/>
                <w:bCs/>
                <w:lang w:val="en-US"/>
              </w:rPr>
              <w:t>Formula</w:t>
            </w:r>
          </w:p>
        </w:tc>
      </w:tr>
      <w:tr w:rsidR="001240E8" w:rsidRPr="00332EA9" w14:paraId="6F4A4519" w14:textId="77777777" w:rsidTr="007625D8">
        <w:trPr>
          <w:trHeight w:val="300"/>
        </w:trPr>
        <w:tc>
          <w:tcPr>
            <w:tcW w:w="4815" w:type="dxa"/>
          </w:tcPr>
          <w:p w14:paraId="2EA50CFD" w14:textId="77777777" w:rsidR="001240E8" w:rsidRPr="00FF080B" w:rsidRDefault="001240E8" w:rsidP="007625D8">
            <w:pPr>
              <w:pStyle w:val="EndnoteText"/>
              <w:rPr>
                <w:color w:val="000000" w:themeColor="text1"/>
                <w:sz w:val="16"/>
                <w:szCs w:val="16"/>
                <w:lang w:val="en-US"/>
              </w:rPr>
            </w:pPr>
            <w:r w:rsidRPr="00FF080B">
              <w:rPr>
                <w:color w:val="000000" w:themeColor="text1"/>
                <w:sz w:val="16"/>
                <w:szCs w:val="16"/>
                <w:lang w:val="en-US"/>
              </w:rPr>
              <w:t xml:space="preserve">Future liver remnant % (FLR %) </w:t>
            </w:r>
          </w:p>
        </w:tc>
        <w:tc>
          <w:tcPr>
            <w:tcW w:w="4111" w:type="dxa"/>
          </w:tcPr>
          <w:p w14:paraId="0CF00707" w14:textId="77777777" w:rsidR="001240E8" w:rsidRPr="00FF080B" w:rsidRDefault="00211D6F" w:rsidP="007625D8">
            <w:pPr>
              <w:pStyle w:val="EndnoteText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FLR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volume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ml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Total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liver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volume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ml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×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%</m:t>
                </m:r>
              </m:oMath>
            </m:oMathPara>
          </w:p>
        </w:tc>
      </w:tr>
      <w:tr w:rsidR="001240E8" w:rsidRPr="00332EA9" w14:paraId="19D1BA8D" w14:textId="77777777" w:rsidTr="007625D8">
        <w:trPr>
          <w:trHeight w:val="300"/>
        </w:trPr>
        <w:tc>
          <w:tcPr>
            <w:tcW w:w="4815" w:type="dxa"/>
          </w:tcPr>
          <w:p w14:paraId="0F49BAB5" w14:textId="77777777" w:rsidR="001240E8" w:rsidRPr="00FF080B" w:rsidRDefault="001240E8" w:rsidP="007625D8">
            <w:pPr>
              <w:pStyle w:val="EndnoteText"/>
              <w:rPr>
                <w:color w:val="000000" w:themeColor="text1"/>
                <w:sz w:val="16"/>
                <w:szCs w:val="16"/>
                <w:lang w:val="en-US"/>
              </w:rPr>
            </w:pPr>
            <w:r w:rsidRPr="00FF080B">
              <w:rPr>
                <w:color w:val="000000" w:themeColor="text1"/>
                <w:sz w:val="16"/>
                <w:szCs w:val="16"/>
                <w:lang w:val="en-US"/>
              </w:rPr>
              <w:t>Standardized total liver volume (sTLV)</w:t>
            </w:r>
          </w:p>
        </w:tc>
        <w:tc>
          <w:tcPr>
            <w:tcW w:w="4111" w:type="dxa"/>
          </w:tcPr>
          <w:p w14:paraId="1A8C7784" w14:textId="77777777" w:rsidR="001240E8" w:rsidRPr="00FF080B" w:rsidRDefault="001240E8" w:rsidP="007625D8">
            <w:pPr>
              <w:pStyle w:val="EndnoteText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794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1267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×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body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surface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area</m:t>
                </m:r>
              </m:oMath>
            </m:oMathPara>
          </w:p>
        </w:tc>
      </w:tr>
      <w:tr w:rsidR="001240E8" w:rsidRPr="00332EA9" w14:paraId="67DAF6E6" w14:textId="77777777" w:rsidTr="007625D8">
        <w:trPr>
          <w:trHeight w:val="300"/>
        </w:trPr>
        <w:tc>
          <w:tcPr>
            <w:tcW w:w="4815" w:type="dxa"/>
          </w:tcPr>
          <w:p w14:paraId="1DEE8486" w14:textId="77777777" w:rsidR="001240E8" w:rsidRPr="00FF080B" w:rsidRDefault="001240E8" w:rsidP="007625D8">
            <w:pPr>
              <w:pStyle w:val="EndnoteText"/>
              <w:rPr>
                <w:color w:val="000000" w:themeColor="text1"/>
                <w:sz w:val="16"/>
                <w:szCs w:val="16"/>
                <w:lang w:val="en-US"/>
              </w:rPr>
            </w:pPr>
            <w:r w:rsidRPr="00FF080B">
              <w:rPr>
                <w:color w:val="000000" w:themeColor="text1"/>
                <w:sz w:val="16"/>
                <w:szCs w:val="16"/>
                <w:lang w:val="en-US"/>
              </w:rPr>
              <w:t>Standardized future liver remnant % (sFLR%)</w:t>
            </w:r>
          </w:p>
        </w:tc>
        <w:tc>
          <w:tcPr>
            <w:tcW w:w="4111" w:type="dxa"/>
          </w:tcPr>
          <w:p w14:paraId="625EBF3A" w14:textId="77777777" w:rsidR="001240E8" w:rsidRPr="00FF080B" w:rsidRDefault="00211D6F" w:rsidP="007625D8">
            <w:pPr>
              <w:pStyle w:val="EndnoteText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FLR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volume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ml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sTLV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ml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)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×</m:t>
                </m:r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%</m:t>
                </m:r>
              </m:oMath>
            </m:oMathPara>
          </w:p>
        </w:tc>
      </w:tr>
      <w:tr w:rsidR="001240E8" w:rsidRPr="00332EA9" w14:paraId="7622817B" w14:textId="77777777" w:rsidTr="007625D8">
        <w:trPr>
          <w:trHeight w:val="300"/>
        </w:trPr>
        <w:tc>
          <w:tcPr>
            <w:tcW w:w="4815" w:type="dxa"/>
          </w:tcPr>
          <w:p w14:paraId="563EC5CC" w14:textId="77777777" w:rsidR="001240E8" w:rsidRPr="00FF080B" w:rsidRDefault="001240E8" w:rsidP="007625D8">
            <w:pPr>
              <w:pStyle w:val="EndnoteText"/>
              <w:rPr>
                <w:color w:val="000000" w:themeColor="text1"/>
                <w:sz w:val="16"/>
                <w:szCs w:val="16"/>
                <w:lang w:val="en-US"/>
              </w:rPr>
            </w:pPr>
            <w:r w:rsidRPr="00FF080B">
              <w:rPr>
                <w:color w:val="000000" w:themeColor="text1"/>
                <w:sz w:val="16"/>
                <w:szCs w:val="16"/>
                <w:lang w:val="en-US"/>
              </w:rPr>
              <w:t>Degree of hypertrophy (DH)</w:t>
            </w:r>
          </w:p>
        </w:tc>
        <w:tc>
          <w:tcPr>
            <w:tcW w:w="4111" w:type="dxa"/>
          </w:tcPr>
          <w:p w14:paraId="413700B2" w14:textId="77777777" w:rsidR="001240E8" w:rsidRPr="00FF080B" w:rsidRDefault="001240E8" w:rsidP="007625D8">
            <w:pPr>
              <w:pStyle w:val="EndnoteText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sFLR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Tx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sFLR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Ty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16"/>
                    <w:szCs w:val="16"/>
                    <w:lang w:val="en-US"/>
                  </w:rPr>
                  <m:t>)</m:t>
                </m:r>
              </m:oMath>
            </m:oMathPara>
          </w:p>
        </w:tc>
      </w:tr>
      <w:tr w:rsidR="001240E8" w:rsidRPr="00332EA9" w14:paraId="294B8668" w14:textId="77777777" w:rsidTr="007625D8">
        <w:trPr>
          <w:trHeight w:val="300"/>
        </w:trPr>
        <w:tc>
          <w:tcPr>
            <w:tcW w:w="4815" w:type="dxa"/>
          </w:tcPr>
          <w:p w14:paraId="24CE3D34" w14:textId="77777777" w:rsidR="001240E8" w:rsidRPr="00FF080B" w:rsidRDefault="001240E8" w:rsidP="007625D8">
            <w:pPr>
              <w:pStyle w:val="EndnoteText"/>
              <w:rPr>
                <w:color w:val="000000" w:themeColor="text1"/>
                <w:sz w:val="16"/>
                <w:szCs w:val="16"/>
                <w:lang w:val="en-US"/>
              </w:rPr>
            </w:pPr>
            <w:r w:rsidRPr="00FF080B">
              <w:rPr>
                <w:color w:val="000000" w:themeColor="text1"/>
                <w:sz w:val="16"/>
                <w:szCs w:val="16"/>
                <w:lang w:val="en-US"/>
              </w:rPr>
              <w:t>Kinetic growth rate (KGR) per week</w:t>
            </w:r>
          </w:p>
        </w:tc>
        <w:tc>
          <w:tcPr>
            <w:tcW w:w="4111" w:type="dxa"/>
          </w:tcPr>
          <w:p w14:paraId="170EAE90" w14:textId="77777777" w:rsidR="001240E8" w:rsidRPr="00FF080B" w:rsidRDefault="00211D6F" w:rsidP="007625D8">
            <w:pPr>
              <w:pStyle w:val="EndnoteText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DH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Elapsed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16"/>
                        <w:szCs w:val="16"/>
                        <w:lang w:val="en-US"/>
                      </w:rPr>
                      <m:t>weeks</m:t>
                    </m:r>
                  </m:den>
                </m:f>
              </m:oMath>
            </m:oMathPara>
          </w:p>
        </w:tc>
      </w:tr>
    </w:tbl>
    <w:p w14:paraId="034C650E" w14:textId="77777777" w:rsidR="00B64D9F" w:rsidRDefault="001240E8" w:rsidP="001240E8">
      <w:pPr>
        <w:pStyle w:val="EndnoteText"/>
        <w:spacing w:line="360" w:lineRule="auto"/>
        <w:rPr>
          <w:b/>
          <w:bCs/>
          <w:lang w:val="en-US"/>
        </w:rPr>
      </w:pPr>
      <w:r w:rsidRPr="00FF080B">
        <w:rPr>
          <w:b/>
          <w:bCs/>
          <w:lang w:val="en-US"/>
        </w:rPr>
        <w:t xml:space="preserve">Supplementary </w:t>
      </w:r>
      <w:r w:rsidR="00176C77">
        <w:rPr>
          <w:b/>
          <w:bCs/>
          <w:lang w:val="en-US"/>
        </w:rPr>
        <w:t>T</w:t>
      </w:r>
      <w:r w:rsidRPr="00FF080B">
        <w:rPr>
          <w:b/>
          <w:bCs/>
          <w:lang w:val="en-US"/>
        </w:rPr>
        <w:t xml:space="preserve">able </w:t>
      </w:r>
      <w:r w:rsidR="008565BD">
        <w:rPr>
          <w:b/>
          <w:bCs/>
          <w:lang w:val="en-US"/>
        </w:rPr>
        <w:t>2</w:t>
      </w:r>
      <w:r w:rsidRPr="00FF080B">
        <w:rPr>
          <w:b/>
          <w:bCs/>
          <w:lang w:val="en-US"/>
        </w:rPr>
        <w:t>: Formulas</w:t>
      </w:r>
      <w:r w:rsidR="00B64D9F">
        <w:rPr>
          <w:b/>
          <w:bCs/>
          <w:lang w:val="en-US"/>
        </w:rPr>
        <w:t xml:space="preserve"> </w:t>
      </w:r>
    </w:p>
    <w:p w14:paraId="51B71995" w14:textId="1F494EC8" w:rsidR="00FF3A28" w:rsidRPr="00FF3A28" w:rsidRDefault="00B64D9F" w:rsidP="00E776DD">
      <w:pPr>
        <w:pStyle w:val="EndnoteText"/>
        <w:rPr>
          <w:vertAlign w:val="superscript"/>
          <w:lang w:val="en-US"/>
        </w:rPr>
      </w:pPr>
      <w:r w:rsidRPr="00B64D9F">
        <w:rPr>
          <w:bCs/>
          <w:lang w:val="en-US"/>
        </w:rPr>
        <w:t xml:space="preserve">(s)FLR: (standardized) future liver remnant; (s)TLV: (standardized) total liver volume; DH: degree of hypertrophy; KGR: kinetic growth rate. </w:t>
      </w:r>
      <w:r w:rsidRPr="00B64D9F">
        <w:rPr>
          <w:rStyle w:val="Strong"/>
          <w:rFonts w:eastAsiaTheme="majorEastAsia"/>
          <w:b w:val="0"/>
          <w:lang w:val="en-US"/>
        </w:rPr>
        <w:t>sFLR(Tx) - sFLR(Ty):</w:t>
      </w:r>
      <w:r w:rsidRPr="00B64D9F">
        <w:rPr>
          <w:b/>
          <w:lang w:val="en-US"/>
        </w:rPr>
        <w:t xml:space="preserve"> </w:t>
      </w:r>
      <w:r w:rsidRPr="00B64D9F">
        <w:rPr>
          <w:lang w:val="en-US"/>
        </w:rPr>
        <w:t xml:space="preserve">represents the difference in standardized future liver remnant (sFLR) between two time points, timepoint x (Tx) and timepoint y (Ty). </w:t>
      </w:r>
      <w:r>
        <w:rPr>
          <w:lang w:val="en-US"/>
        </w:rPr>
        <w:t>For the calculation of sTLV, the Vauthey formula was used</w:t>
      </w:r>
      <w:r w:rsidR="00FF3A28">
        <w:rPr>
          <w:lang w:val="en-US"/>
        </w:rPr>
        <w:t>.</w:t>
      </w:r>
      <w:r w:rsidR="00FF3A28">
        <w:rPr>
          <w:vertAlign w:val="superscript"/>
          <w:lang w:val="en-US"/>
        </w:rPr>
        <w:t>1</w:t>
      </w:r>
    </w:p>
    <w:p w14:paraId="1592993C" w14:textId="77777777" w:rsidR="00FF3A28" w:rsidRDefault="00FF3A28" w:rsidP="00E776DD">
      <w:pPr>
        <w:pStyle w:val="EndnoteText"/>
        <w:rPr>
          <w:lang w:val="en-US"/>
        </w:rPr>
      </w:pPr>
    </w:p>
    <w:p w14:paraId="5170112E" w14:textId="25D6E1F1" w:rsidR="001240E8" w:rsidRPr="00B64D9F" w:rsidRDefault="00FF3A28" w:rsidP="00E776DD">
      <w:pPr>
        <w:pStyle w:val="EndnoteText"/>
        <w:rPr>
          <w:u w:val="single"/>
          <w:lang w:val="en-US"/>
        </w:rPr>
      </w:pPr>
      <w:r w:rsidRPr="00FF3A28">
        <w:rPr>
          <w:lang w:val="en-US"/>
        </w:rPr>
        <w:t>1.</w:t>
      </w:r>
      <w:r>
        <w:rPr>
          <w:lang w:val="en-US"/>
        </w:rPr>
        <w:t xml:space="preserve"> </w:t>
      </w:r>
      <w:r w:rsidR="00B64D9F" w:rsidRPr="00B64D9F">
        <w:rPr>
          <w:lang w:val="en-US"/>
        </w:rPr>
        <w:t>Vauthey JN, Abdalla EK, Doherty DA, et al. Body surface area and body weight predict total liver volume in Western adults. Li</w:t>
      </w:r>
      <w:r w:rsidR="00B64D9F">
        <w:rPr>
          <w:lang w:val="en-US"/>
        </w:rPr>
        <w:t xml:space="preserve">ver Transpl. 2002;8(3):233-240. </w:t>
      </w:r>
      <w:r w:rsidR="00B64D9F" w:rsidRPr="00B64D9F">
        <w:rPr>
          <w:lang w:val="en-US"/>
        </w:rPr>
        <w:t>doi:10.1053/jlts.2002.31654</w:t>
      </w:r>
      <w:r w:rsidR="00B64D9F">
        <w:rPr>
          <w:lang w:val="en-US"/>
        </w:rPr>
        <w:t xml:space="preserve">) </w:t>
      </w:r>
      <w:r w:rsidR="001240E8" w:rsidRPr="00B64D9F">
        <w:rPr>
          <w:u w:val="single"/>
          <w:lang w:val="en-US"/>
        </w:rPr>
        <w:br w:type="page"/>
      </w:r>
    </w:p>
    <w:tbl>
      <w:tblPr>
        <w:tblStyle w:val="TableGrid"/>
        <w:tblpPr w:leftFromText="141" w:rightFromText="141" w:vertAnchor="page" w:horzAnchor="margin" w:tblpXSpec="center" w:tblpY="1876"/>
        <w:tblW w:w="9634" w:type="dxa"/>
        <w:tblLayout w:type="fixed"/>
        <w:tblLook w:val="04A0" w:firstRow="1" w:lastRow="0" w:firstColumn="1" w:lastColumn="0" w:noHBand="0" w:noVBand="1"/>
      </w:tblPr>
      <w:tblGrid>
        <w:gridCol w:w="460"/>
        <w:gridCol w:w="669"/>
        <w:gridCol w:w="567"/>
        <w:gridCol w:w="709"/>
        <w:gridCol w:w="567"/>
        <w:gridCol w:w="709"/>
        <w:gridCol w:w="709"/>
        <w:gridCol w:w="567"/>
        <w:gridCol w:w="794"/>
        <w:gridCol w:w="907"/>
        <w:gridCol w:w="708"/>
        <w:gridCol w:w="851"/>
        <w:gridCol w:w="850"/>
        <w:gridCol w:w="567"/>
      </w:tblGrid>
      <w:tr w:rsidR="001240E8" w:rsidRPr="00332EA9" w14:paraId="30FBA97E" w14:textId="77777777" w:rsidTr="001240E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7DBCF41" w14:textId="758AFC5C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bookmarkStart w:id="0" w:name="_Hlk167980069"/>
            <w:r w:rsidRPr="001240E8">
              <w:rPr>
                <w:b/>
                <w:bCs/>
                <w:sz w:val="16"/>
                <w:szCs w:val="16"/>
                <w:lang w:val="en-GB" w:eastAsia="en-US" w:bidi="ne-NP"/>
              </w:rPr>
              <w:lastRenderedPageBreak/>
              <w:t>n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6AAC2BD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 xml:space="preserve">Grade PHLF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FFD8321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TSH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9C8B37" w14:textId="77777777" w:rsidR="001240E8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Pre-PVE/</w:t>
            </w:r>
          </w:p>
          <w:p w14:paraId="7F958B21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HVE</w:t>
            </w:r>
          </w:p>
          <w:p w14:paraId="27075C23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sFLR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667AF6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 xml:space="preserve">Age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6881DCF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KGR week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EEC845D" w14:textId="77777777" w:rsidR="001240E8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Post-PVE/</w:t>
            </w:r>
          </w:p>
          <w:p w14:paraId="129EA86C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HVE sFLR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BAFF965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Post-</w:t>
            </w:r>
          </w:p>
          <w:p w14:paraId="58FF8071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HBS (%/min/m2)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CEF467E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vertAlign w:val="superscript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Waiting time</w:t>
            </w:r>
            <w:r w:rsidRPr="00FF080B">
              <w:rPr>
                <w:b/>
                <w:bCs/>
                <w:sz w:val="16"/>
                <w:szCs w:val="16"/>
                <w:vertAlign w:val="superscript"/>
                <w:lang w:val="en-GB" w:eastAsia="en-US" w:bidi="ne-NP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27028A3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 xml:space="preserve">Extended resection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3D3DF64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Blood loss (mL)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22DC190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vertAlign w:val="superscript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Peak</w:t>
            </w:r>
          </w:p>
          <w:p w14:paraId="6067A107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bilirubin</w:t>
            </w:r>
          </w:p>
          <w:p w14:paraId="02998328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vertAlign w:val="superscript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(mg/dL)</w:t>
            </w:r>
            <w:r w:rsidRPr="0095054B">
              <w:rPr>
                <w:b/>
                <w:bCs/>
                <w:sz w:val="16"/>
                <w:szCs w:val="16"/>
                <w:vertAlign w:val="superscript"/>
                <w:lang w:val="en-GB" w:eastAsia="en-US" w:bidi="ne-NP"/>
              </w:rPr>
              <w:t>2</w:t>
            </w: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6494170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Bilirubin POD 5 (mg/dL)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605076" w14:textId="77777777" w:rsidR="001240E8" w:rsidRPr="00FF080B" w:rsidRDefault="001240E8" w:rsidP="007625D8">
            <w:pPr>
              <w:rPr>
                <w:b/>
                <w:bCs/>
                <w:sz w:val="16"/>
                <w:szCs w:val="16"/>
                <w:lang w:val="en-GB" w:eastAsia="en-US" w:bidi="ne-NP"/>
              </w:rPr>
            </w:pPr>
            <w:r w:rsidRPr="00FF080B">
              <w:rPr>
                <w:b/>
                <w:bCs/>
                <w:sz w:val="16"/>
                <w:szCs w:val="16"/>
                <w:lang w:val="en-GB" w:eastAsia="en-US" w:bidi="ne-NP"/>
              </w:rPr>
              <w:t>INR POD5</w:t>
            </w:r>
          </w:p>
        </w:tc>
      </w:tr>
      <w:tr w:rsidR="001240E8" w:rsidRPr="00332EA9" w14:paraId="0DC04FC0" w14:textId="77777777" w:rsidTr="007625D8">
        <w:trPr>
          <w:trHeight w:val="122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0C7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  <w:p w14:paraId="00C4BB8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CC8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2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71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23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60A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5C3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B01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6AB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BB9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42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C635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 xml:space="preserve">Yes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8B4E5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D48CAE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BAD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B4A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</w:tr>
      <w:tr w:rsidR="001240E8" w:rsidRPr="00211D6F" w14:paraId="195ABC2F" w14:textId="77777777" w:rsidTr="007625D8">
        <w:trPr>
          <w:trHeight w:val="278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2D8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C8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208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Death on POD 1: Intraoperative iatrogenic injury to the FLR's portal vein, liver failure</w:t>
            </w:r>
          </w:p>
        </w:tc>
      </w:tr>
      <w:tr w:rsidR="001240E8" w:rsidRPr="00332EA9" w14:paraId="1085E6D3" w14:textId="77777777" w:rsidTr="007625D8">
        <w:trPr>
          <w:trHeight w:val="278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0D5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F01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 xml:space="preserve">C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3C8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2FD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C77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F11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65BC" w14:textId="77777777" w:rsidR="001240E8" w:rsidRPr="0064320D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64320D">
              <w:rPr>
                <w:sz w:val="16"/>
                <w:szCs w:val="16"/>
                <w:lang w:val="en-GB" w:eastAsia="en-US" w:bidi="ne-NP"/>
              </w:rPr>
              <w:t>45</w:t>
            </w:r>
            <w:r w:rsidRPr="0064320D">
              <w:rPr>
                <w:sz w:val="16"/>
                <w:szCs w:val="16"/>
                <w:lang w:val="en-US"/>
              </w:rPr>
              <w:t>·</w:t>
            </w:r>
            <w:r w:rsidRPr="0064320D">
              <w:rPr>
                <w:sz w:val="16"/>
                <w:szCs w:val="16"/>
                <w:lang w:val="en-GB" w:eastAsia="en-US" w:bidi="ne-NP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8C21" w14:textId="46E5F998" w:rsidR="001240E8" w:rsidRPr="0064320D" w:rsidRDefault="0064320D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64320D">
              <w:rPr>
                <w:sz w:val="16"/>
                <w:szCs w:val="16"/>
                <w:lang w:val="en-GB" w:eastAsia="en-US" w:bidi="ne-NP"/>
              </w:rPr>
              <w:t>4.7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959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93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424C11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52E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19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13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EFD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13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55C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25</w:t>
            </w:r>
          </w:p>
        </w:tc>
      </w:tr>
      <w:tr w:rsidR="001240E8" w:rsidRPr="00211D6F" w14:paraId="3C79F9F6" w14:textId="77777777" w:rsidTr="007625D8">
        <w:trPr>
          <w:trHeight w:val="278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E83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5B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02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Death on POD 73: Infected intra-abdominal collection, liver failure</w:t>
            </w:r>
          </w:p>
        </w:tc>
      </w:tr>
      <w:tr w:rsidR="001240E8" w:rsidRPr="00332EA9" w14:paraId="24BD605B" w14:textId="77777777" w:rsidTr="007625D8">
        <w:trPr>
          <w:trHeight w:val="278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202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F3C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CB1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0FF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6A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A0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FA9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7814" w14:textId="1AEC65EA" w:rsidR="001240E8" w:rsidRPr="00FF080B" w:rsidRDefault="0064320D" w:rsidP="007625D8">
            <w:pPr>
              <w:rPr>
                <w:sz w:val="16"/>
                <w:szCs w:val="16"/>
                <w:lang w:val="en-GB" w:eastAsia="en-US" w:bidi="ne-NP"/>
              </w:rPr>
            </w:pPr>
            <w:r>
              <w:rPr>
                <w:sz w:val="16"/>
                <w:szCs w:val="16"/>
                <w:lang w:val="en-GB" w:eastAsia="en-US" w:bidi="ne-NP"/>
              </w:rPr>
              <w:t>3.3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6F7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63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D5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307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A4A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17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00A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BF2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</w:tr>
      <w:tr w:rsidR="001240E8" w:rsidRPr="00211D6F" w14:paraId="7E6AECAE" w14:textId="77777777" w:rsidTr="007625D8">
        <w:trPr>
          <w:trHeight w:val="278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573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F0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DBC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Death on POD 58: Liver failure, multiorgan failure</w:t>
            </w:r>
          </w:p>
        </w:tc>
      </w:tr>
      <w:tr w:rsidR="001240E8" w:rsidRPr="00332EA9" w14:paraId="2B66BFCC" w14:textId="77777777" w:rsidTr="007625D8">
        <w:trPr>
          <w:trHeight w:val="278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C06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012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 xml:space="preserve">C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CED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DA0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8B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442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D76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48B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F30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18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C6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19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4A4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482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2A3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25</w:t>
            </w:r>
          </w:p>
        </w:tc>
      </w:tr>
      <w:tr w:rsidR="001240E8" w:rsidRPr="00211D6F" w14:paraId="4D601E59" w14:textId="77777777" w:rsidTr="007625D8">
        <w:trPr>
          <w:trHeight w:val="278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CEF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bookmarkStart w:id="1" w:name="_GoBack" w:colFirst="3" w:colLast="3"/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11F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70A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 xml:space="preserve">Death on POD 43: Liver failure, multiorgan failure </w:t>
            </w:r>
          </w:p>
        </w:tc>
      </w:tr>
      <w:bookmarkEnd w:id="1"/>
      <w:tr w:rsidR="001240E8" w:rsidRPr="00332EA9" w14:paraId="349CEF93" w14:textId="77777777" w:rsidTr="007625D8">
        <w:trPr>
          <w:trHeight w:val="278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081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FF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AE2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E42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6E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B3A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47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F2A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D75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14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38E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01F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26B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2D1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1AE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</w:tr>
      <w:tr w:rsidR="001240E8" w:rsidRPr="00211D6F" w14:paraId="73B42700" w14:textId="77777777" w:rsidTr="007625D8">
        <w:trPr>
          <w:trHeight w:val="278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98F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2F4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475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Death on POD 51: Iatrogenic biliary obstruction, liver failure, multiorgan failure</w:t>
            </w:r>
          </w:p>
        </w:tc>
      </w:tr>
      <w:tr w:rsidR="001240E8" w:rsidRPr="00332EA9" w14:paraId="1C967BC6" w14:textId="77777777" w:rsidTr="007625D8">
        <w:trPr>
          <w:trHeight w:val="278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2D0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388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A9F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A26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013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14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C6F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C95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35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E81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B8F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745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EA7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042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</w:tr>
      <w:tr w:rsidR="001240E8" w:rsidRPr="00211D6F" w14:paraId="65CDBDF8" w14:textId="77777777" w:rsidTr="007625D8">
        <w:trPr>
          <w:trHeight w:val="278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123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6D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BCF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Death on POD 3: Liver failure, respiratory failure</w:t>
            </w:r>
          </w:p>
        </w:tc>
      </w:tr>
      <w:tr w:rsidR="001240E8" w:rsidRPr="00332EA9" w14:paraId="2756A461" w14:textId="77777777" w:rsidTr="007625D8">
        <w:trPr>
          <w:trHeight w:val="31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D16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FF8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 xml:space="preserve">C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384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E70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B9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B99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10B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38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63C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2DA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39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EBC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280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BD5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08D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262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29</w:t>
            </w:r>
          </w:p>
        </w:tc>
      </w:tr>
      <w:tr w:rsidR="001240E8" w:rsidRPr="00332EA9" w14:paraId="2567C460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E5D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69A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2CB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A05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32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460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C5A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41B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928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31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241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A6A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364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CF5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AB2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23</w:t>
            </w:r>
          </w:p>
        </w:tc>
      </w:tr>
      <w:tr w:rsidR="001240E8" w:rsidRPr="00332EA9" w14:paraId="14CEDCF4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675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E5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733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3DD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BF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074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A68D" w14:textId="33B4E2D7" w:rsidR="001240E8" w:rsidRPr="00040F3D" w:rsidRDefault="00040F3D" w:rsidP="007625D8">
            <w:pPr>
              <w:rPr>
                <w:sz w:val="16"/>
                <w:szCs w:val="16"/>
                <w:highlight w:val="yellow"/>
                <w:lang w:val="en-GB" w:eastAsia="en-US" w:bidi="ne-NP"/>
              </w:rPr>
            </w:pPr>
            <w:r w:rsidRPr="00FB5135">
              <w:rPr>
                <w:sz w:val="16"/>
                <w:szCs w:val="16"/>
                <w:lang w:val="en-GB" w:eastAsia="en-US" w:bidi="ne-NP"/>
              </w:rPr>
              <w:t>35.7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49D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211D6F">
              <w:rPr>
                <w:sz w:val="16"/>
                <w:szCs w:val="16"/>
                <w:lang w:val="en-GB" w:eastAsia="en-US" w:bidi="ne-NP"/>
              </w:rPr>
              <w:t>6</w:t>
            </w:r>
            <w:r w:rsidRPr="00211D6F">
              <w:rPr>
                <w:sz w:val="16"/>
                <w:szCs w:val="16"/>
                <w:lang w:val="en-US"/>
              </w:rPr>
              <w:t>·</w:t>
            </w:r>
            <w:r w:rsidRPr="00211D6F">
              <w:rPr>
                <w:sz w:val="16"/>
                <w:szCs w:val="16"/>
                <w:lang w:val="en-GB" w:eastAsia="en-US" w:bidi="ne-NP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7B3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66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DD5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4AF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CE7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5E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AC5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34</w:t>
            </w:r>
          </w:p>
        </w:tc>
      </w:tr>
      <w:tr w:rsidR="001240E8" w:rsidRPr="00332EA9" w14:paraId="56008C34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317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7E3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EC7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3FE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DB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A6F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EE2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61D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C28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29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C40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702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3F3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3AA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7A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</w:tr>
      <w:tr w:rsidR="001240E8" w:rsidRPr="00332EA9" w14:paraId="465BD89A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999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ACA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028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9A5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6A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DB7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6C8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50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3A0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073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298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BFA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D22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1523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ADB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F7A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091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29</w:t>
            </w:r>
          </w:p>
        </w:tc>
      </w:tr>
      <w:tr w:rsidR="001240E8" w:rsidRPr="00332EA9" w14:paraId="01570A73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619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A8F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B2D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B52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388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B48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DE0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B31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545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34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94E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FD7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9E9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F70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9DE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27</w:t>
            </w:r>
          </w:p>
        </w:tc>
      </w:tr>
      <w:tr w:rsidR="001240E8" w:rsidRPr="00332EA9" w14:paraId="3C6DD5F6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905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BDD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AAB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C9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94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21F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13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8AB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AE9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041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48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84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AE8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EBF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BBB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833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</w:tr>
      <w:tr w:rsidR="001240E8" w:rsidRPr="00332EA9" w14:paraId="72E11FBE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228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14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291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C46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589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DE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5B2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0AB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56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BC2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95D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D82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826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47C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196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4CE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</w:tr>
      <w:tr w:rsidR="001240E8" w:rsidRPr="00332EA9" w14:paraId="35B3D954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B67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78D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0E9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ECE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19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90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5DA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43E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35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E14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A3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22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483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377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F53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647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3F5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</w:tr>
      <w:tr w:rsidR="001240E8" w:rsidRPr="00332EA9" w14:paraId="3B0B7CF9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347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C2D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EE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30C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14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10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102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454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28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476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0983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36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C60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A3E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DF0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6CF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C32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</w:tr>
      <w:tr w:rsidR="001240E8" w:rsidRPr="00332EA9" w14:paraId="7054236C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3E5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657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8CD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0C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B3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005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8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663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5C6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16A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29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4E8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51B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D4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36E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07C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4</w:t>
            </w:r>
          </w:p>
        </w:tc>
      </w:tr>
      <w:tr w:rsidR="001240E8" w:rsidRPr="00332EA9" w14:paraId="65BFE202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E70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2767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59CE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274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B5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594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172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661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9DA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24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0D7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DB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51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379D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652B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</w:tr>
      <w:tr w:rsidR="001240E8" w:rsidRPr="00332EA9" w14:paraId="5E076050" w14:textId="77777777" w:rsidTr="007625D8">
        <w:trPr>
          <w:trHeight w:val="27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5A3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19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E01F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C254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BC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446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994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DB3C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26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3C00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NA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B679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30 days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1E12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Yes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5168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FDD1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2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84A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605" w14:textId="77777777" w:rsidR="001240E8" w:rsidRPr="00FF080B" w:rsidRDefault="001240E8" w:rsidP="007625D8">
            <w:pPr>
              <w:rPr>
                <w:sz w:val="16"/>
                <w:szCs w:val="16"/>
                <w:lang w:val="en-GB" w:eastAsia="en-US" w:bidi="ne-NP"/>
              </w:rPr>
            </w:pPr>
            <w:r w:rsidRPr="00FF080B">
              <w:rPr>
                <w:sz w:val="16"/>
                <w:szCs w:val="16"/>
                <w:lang w:val="en-GB" w:eastAsia="en-US" w:bidi="ne-NP"/>
              </w:rPr>
              <w:t>1</w:t>
            </w:r>
            <w:r w:rsidRPr="00FF080B">
              <w:rPr>
                <w:sz w:val="16"/>
                <w:szCs w:val="16"/>
                <w:lang w:val="en-US"/>
              </w:rPr>
              <w:t>·</w:t>
            </w:r>
            <w:r w:rsidRPr="00FF080B">
              <w:rPr>
                <w:sz w:val="16"/>
                <w:szCs w:val="16"/>
                <w:lang w:val="en-GB" w:eastAsia="en-US" w:bidi="ne-NP"/>
              </w:rPr>
              <w:t>3</w:t>
            </w:r>
          </w:p>
        </w:tc>
      </w:tr>
    </w:tbl>
    <w:bookmarkEnd w:id="0"/>
    <w:p w14:paraId="5C06B660" w14:textId="09FF1227" w:rsidR="001240E8" w:rsidRPr="00FF080B" w:rsidRDefault="001240E8" w:rsidP="001240E8">
      <w:pPr>
        <w:spacing w:line="360" w:lineRule="auto"/>
        <w:rPr>
          <w:b/>
          <w:bCs/>
          <w:sz w:val="20"/>
          <w:szCs w:val="20"/>
          <w:lang w:val="en-US"/>
        </w:rPr>
      </w:pPr>
      <w:r w:rsidRPr="00FF080B">
        <w:rPr>
          <w:b/>
          <w:bCs/>
          <w:sz w:val="20"/>
          <w:szCs w:val="20"/>
          <w:lang w:val="en-US"/>
        </w:rPr>
        <w:t xml:space="preserve">Supplementary </w:t>
      </w:r>
      <w:r w:rsidR="00176C77">
        <w:rPr>
          <w:b/>
          <w:bCs/>
          <w:sz w:val="20"/>
          <w:szCs w:val="20"/>
          <w:lang w:val="en-US"/>
        </w:rPr>
        <w:t>T</w:t>
      </w:r>
      <w:r w:rsidRPr="00FF080B">
        <w:rPr>
          <w:b/>
          <w:bCs/>
          <w:sz w:val="20"/>
          <w:szCs w:val="20"/>
          <w:lang w:val="en-US"/>
        </w:rPr>
        <w:t xml:space="preserve">able </w:t>
      </w:r>
      <w:r w:rsidR="00C611CC">
        <w:rPr>
          <w:b/>
          <w:bCs/>
          <w:sz w:val="20"/>
          <w:szCs w:val="20"/>
          <w:lang w:val="en-US"/>
        </w:rPr>
        <w:t>3</w:t>
      </w:r>
      <w:r w:rsidRPr="00FF080B">
        <w:rPr>
          <w:b/>
          <w:bCs/>
          <w:sz w:val="20"/>
          <w:szCs w:val="20"/>
          <w:lang w:val="en-US"/>
        </w:rPr>
        <w:t xml:space="preserve">: Patients with post-hepatectomy liver failure  </w:t>
      </w:r>
    </w:p>
    <w:p w14:paraId="088F6E80" w14:textId="77777777" w:rsidR="001240E8" w:rsidRPr="00332EA9" w:rsidRDefault="001240E8" w:rsidP="00E776DD">
      <w:pPr>
        <w:rPr>
          <w:color w:val="000000" w:themeColor="text1"/>
          <w:sz w:val="20"/>
          <w:szCs w:val="20"/>
          <w:lang w:val="en-US"/>
        </w:rPr>
      </w:pPr>
      <w:r w:rsidRPr="00332EA9">
        <w:rPr>
          <w:color w:val="000000" w:themeColor="text1"/>
          <w:sz w:val="20"/>
          <w:szCs w:val="20"/>
          <w:lang w:val="en-US"/>
        </w:rPr>
        <w:t xml:space="preserve">PHLF: post-hepatectomy liver failure; TSH: two-stage hepatectomy; sFLR: standardized future liver remnant; KGR: kinetic growth rate; POD: post-operative day; HBS: hepatobiliary scintigraphy; INR: international normalized ratio; NA: data not available. </w:t>
      </w:r>
    </w:p>
    <w:p w14:paraId="018ECE04" w14:textId="77777777" w:rsidR="001240E8" w:rsidRPr="00332EA9" w:rsidRDefault="001240E8" w:rsidP="00E776DD">
      <w:pPr>
        <w:rPr>
          <w:color w:val="000000" w:themeColor="text1"/>
          <w:sz w:val="20"/>
          <w:szCs w:val="20"/>
          <w:lang w:val="en-US"/>
        </w:rPr>
      </w:pPr>
      <w:r w:rsidRPr="00332EA9">
        <w:rPr>
          <w:color w:val="000000" w:themeColor="text1"/>
          <w:sz w:val="20"/>
          <w:szCs w:val="20"/>
          <w:vertAlign w:val="superscript"/>
          <w:lang w:val="en-US"/>
        </w:rPr>
        <w:t>1</w:t>
      </w:r>
      <w:r w:rsidRPr="00332EA9">
        <w:rPr>
          <w:color w:val="000000" w:themeColor="text1"/>
          <w:sz w:val="20"/>
          <w:szCs w:val="20"/>
          <w:lang w:val="en-US"/>
        </w:rPr>
        <w:t>Waiting time refers to the interval between combined portal and hepatic vein embolization (PVE/HVE) and subsequent resection.</w:t>
      </w:r>
    </w:p>
    <w:p w14:paraId="5E8214B1" w14:textId="0F008274" w:rsidR="001240E8" w:rsidRPr="00332EA9" w:rsidRDefault="001240E8" w:rsidP="00E776DD">
      <w:pPr>
        <w:rPr>
          <w:color w:val="000000" w:themeColor="text1"/>
          <w:sz w:val="20"/>
          <w:szCs w:val="20"/>
          <w:lang w:val="en-US"/>
        </w:rPr>
      </w:pPr>
      <w:r w:rsidRPr="00332EA9">
        <w:rPr>
          <w:color w:val="000000" w:themeColor="text1"/>
          <w:sz w:val="20"/>
          <w:szCs w:val="20"/>
          <w:vertAlign w:val="superscript"/>
          <w:lang w:val="en-US"/>
        </w:rPr>
        <w:t>2</w:t>
      </w:r>
      <w:r w:rsidRPr="00332EA9">
        <w:rPr>
          <w:color w:val="000000" w:themeColor="text1"/>
          <w:sz w:val="20"/>
          <w:szCs w:val="20"/>
          <w:lang w:val="en-US"/>
        </w:rPr>
        <w:t>Peak bilirubin denotes the maximum recorded bilirubin level during hospital admission after surgery</w:t>
      </w:r>
      <w:r w:rsidR="00A47CEA">
        <w:rPr>
          <w:color w:val="000000" w:themeColor="text1"/>
          <w:sz w:val="20"/>
          <w:szCs w:val="20"/>
          <w:lang w:val="en-US"/>
        </w:rPr>
        <w:t>.</w:t>
      </w:r>
    </w:p>
    <w:p w14:paraId="679EFA61" w14:textId="739BC995" w:rsidR="001240E8" w:rsidRDefault="001240E8" w:rsidP="00E776DD">
      <w:pPr>
        <w:rPr>
          <w:color w:val="000000" w:themeColor="text1"/>
          <w:sz w:val="20"/>
          <w:szCs w:val="20"/>
          <w:lang w:val="en-US"/>
        </w:rPr>
      </w:pPr>
      <w:r w:rsidRPr="00332EA9">
        <w:rPr>
          <w:color w:val="000000" w:themeColor="text1"/>
          <w:sz w:val="20"/>
          <w:szCs w:val="20"/>
          <w:lang w:val="en-US"/>
        </w:rPr>
        <w:t>*Patient 16 underwent FLR cleaning and subsequent PVE/HVE in two sessions. Due to an insufficient sFLR of 28% at week three post-PVE/HVE, a salvage in-situ</w:t>
      </w:r>
      <w:r w:rsidR="00BB0E93">
        <w:rPr>
          <w:color w:val="000000" w:themeColor="text1"/>
          <w:sz w:val="20"/>
          <w:szCs w:val="20"/>
          <w:lang w:val="en-US"/>
        </w:rPr>
        <w:t xml:space="preserve"> </w:t>
      </w:r>
      <w:r w:rsidRPr="00332EA9">
        <w:rPr>
          <w:color w:val="000000" w:themeColor="text1"/>
          <w:sz w:val="20"/>
          <w:szCs w:val="20"/>
          <w:lang w:val="en-US"/>
        </w:rPr>
        <w:t>parenchymal split was performed. PHLF occurred after the second stage of the TSH.</w:t>
      </w:r>
    </w:p>
    <w:p w14:paraId="3A914D32" w14:textId="4558A1ED" w:rsidR="005C4902" w:rsidRDefault="005C4902" w:rsidP="001240E8">
      <w:pPr>
        <w:rPr>
          <w:lang w:val="en-GB"/>
        </w:rPr>
      </w:pPr>
    </w:p>
    <w:p w14:paraId="7448CF65" w14:textId="0E24B880" w:rsidR="005C4902" w:rsidRDefault="005C4902" w:rsidP="001240E8">
      <w:pPr>
        <w:rPr>
          <w:lang w:val="en-GB"/>
        </w:rPr>
      </w:pPr>
    </w:p>
    <w:p w14:paraId="31C6BAA7" w14:textId="608BC406" w:rsidR="005C4902" w:rsidRDefault="005C4902" w:rsidP="001240E8">
      <w:pPr>
        <w:rPr>
          <w:lang w:val="en-GB"/>
        </w:rPr>
      </w:pPr>
    </w:p>
    <w:p w14:paraId="6CEC016E" w14:textId="778EF081" w:rsidR="005C4902" w:rsidRDefault="005C4902" w:rsidP="001240E8">
      <w:pPr>
        <w:rPr>
          <w:lang w:val="en-GB"/>
        </w:rPr>
      </w:pPr>
    </w:p>
    <w:p w14:paraId="41AD84C4" w14:textId="1D4319E0" w:rsidR="005C4902" w:rsidRDefault="005C4902" w:rsidP="001240E8">
      <w:pPr>
        <w:rPr>
          <w:lang w:val="en-GB"/>
        </w:rPr>
      </w:pPr>
    </w:p>
    <w:p w14:paraId="32446A43" w14:textId="37504A55" w:rsidR="005C4902" w:rsidRDefault="005C4902" w:rsidP="001240E8">
      <w:pPr>
        <w:rPr>
          <w:lang w:val="en-GB"/>
        </w:rPr>
      </w:pPr>
    </w:p>
    <w:p w14:paraId="1E405F2B" w14:textId="71CD6B4F" w:rsidR="005C4902" w:rsidRDefault="005C4902" w:rsidP="001240E8">
      <w:pPr>
        <w:rPr>
          <w:lang w:val="en-GB"/>
        </w:rPr>
      </w:pPr>
    </w:p>
    <w:p w14:paraId="709AA75D" w14:textId="64C7BB80" w:rsidR="005C4902" w:rsidRDefault="005C4902" w:rsidP="001240E8">
      <w:pPr>
        <w:rPr>
          <w:lang w:val="en-GB"/>
        </w:rPr>
      </w:pPr>
    </w:p>
    <w:p w14:paraId="5D70FEC1" w14:textId="08861822" w:rsidR="005C4902" w:rsidRDefault="005C4902" w:rsidP="001240E8">
      <w:pPr>
        <w:rPr>
          <w:lang w:val="en-GB"/>
        </w:rPr>
      </w:pPr>
    </w:p>
    <w:p w14:paraId="1B587E6F" w14:textId="447FB15E" w:rsidR="005C4902" w:rsidRDefault="005C4902" w:rsidP="001240E8">
      <w:pPr>
        <w:rPr>
          <w:lang w:val="en-GB"/>
        </w:rPr>
      </w:pPr>
    </w:p>
    <w:p w14:paraId="75B26EC6" w14:textId="438050C4" w:rsidR="005C4902" w:rsidRDefault="005C4902" w:rsidP="001240E8">
      <w:pPr>
        <w:rPr>
          <w:lang w:val="en-GB"/>
        </w:rPr>
      </w:pPr>
    </w:p>
    <w:p w14:paraId="2CA74333" w14:textId="77777777" w:rsidR="005C4902" w:rsidRDefault="005C4902" w:rsidP="001240E8">
      <w:pPr>
        <w:rPr>
          <w:lang w:val="en-GB"/>
        </w:rPr>
      </w:pPr>
    </w:p>
    <w:p w14:paraId="1C1145CC" w14:textId="367BCA1F" w:rsidR="00621CF9" w:rsidRPr="00621CF9" w:rsidRDefault="005C4902" w:rsidP="00B37833">
      <w:pPr>
        <w:spacing w:line="360" w:lineRule="auto"/>
        <w:rPr>
          <w:b/>
          <w:bCs/>
          <w:sz w:val="20"/>
          <w:szCs w:val="20"/>
          <w:lang w:val="en-US"/>
        </w:rPr>
      </w:pPr>
      <w:r w:rsidRPr="00FF080B">
        <w:rPr>
          <w:b/>
          <w:bCs/>
          <w:sz w:val="20"/>
          <w:szCs w:val="20"/>
          <w:lang w:val="en-US"/>
        </w:rPr>
        <w:lastRenderedPageBreak/>
        <w:t xml:space="preserve">Supplementary </w:t>
      </w:r>
      <w:r>
        <w:rPr>
          <w:b/>
          <w:bCs/>
          <w:sz w:val="20"/>
          <w:szCs w:val="20"/>
          <w:lang w:val="en-US"/>
        </w:rPr>
        <w:t>T</w:t>
      </w:r>
      <w:r w:rsidRPr="00FF080B">
        <w:rPr>
          <w:b/>
          <w:bCs/>
          <w:sz w:val="20"/>
          <w:szCs w:val="20"/>
          <w:lang w:val="en-US"/>
        </w:rPr>
        <w:t xml:space="preserve">able </w:t>
      </w:r>
      <w:r>
        <w:rPr>
          <w:b/>
          <w:bCs/>
          <w:sz w:val="20"/>
          <w:szCs w:val="20"/>
          <w:lang w:val="en-US"/>
        </w:rPr>
        <w:t>4</w:t>
      </w:r>
      <w:r w:rsidRPr="00FF080B">
        <w:rPr>
          <w:b/>
          <w:bCs/>
          <w:sz w:val="20"/>
          <w:szCs w:val="20"/>
          <w:lang w:val="en-US"/>
        </w:rPr>
        <w:t xml:space="preserve">: </w:t>
      </w:r>
      <w:r w:rsidR="00B37833" w:rsidRPr="00B37833">
        <w:rPr>
          <w:b/>
          <w:bCs/>
          <w:sz w:val="20"/>
          <w:szCs w:val="20"/>
          <w:lang w:val="en-US"/>
        </w:rPr>
        <w:t>Post-resection mortality and morbidity per center type.</w:t>
      </w:r>
    </w:p>
    <w:tbl>
      <w:tblPr>
        <w:tblW w:w="8931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8"/>
        <w:gridCol w:w="1264"/>
        <w:gridCol w:w="2052"/>
        <w:gridCol w:w="2127"/>
      </w:tblGrid>
      <w:tr w:rsidR="00621CF9" w:rsidRPr="00211D6F" w14:paraId="2DDA818B" w14:textId="77777777" w:rsidTr="00356872">
        <w:trPr>
          <w:trHeight w:val="3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EAADB"/>
            <w:vAlign w:val="center"/>
            <w:hideMark/>
          </w:tcPr>
          <w:p w14:paraId="5DAF51CA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EAADB"/>
            <w:vAlign w:val="center"/>
            <w:hideMark/>
          </w:tcPr>
          <w:p w14:paraId="29E19271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Total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4EA72E"/>
            <w:vAlign w:val="center"/>
            <w:hideMark/>
          </w:tcPr>
          <w:p w14:paraId="4DBBCDA5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A: Centers ≥3 inclusions &lt;1 year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/>
            <w:vAlign w:val="center"/>
            <w:hideMark/>
          </w:tcPr>
          <w:p w14:paraId="38CD0F8E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  <w:t>B: Centers ≥3 inclusions &gt;1 year OR  &lt;3 inclusions</w:t>
            </w:r>
          </w:p>
        </w:tc>
      </w:tr>
      <w:tr w:rsidR="00621CF9" w:rsidRPr="00621CF9" w14:paraId="20238D7E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32A88BDC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  <w:t>Number of centers with inclusions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070A5303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37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321F56A2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</w:tcPr>
          <w:p w14:paraId="774B55B2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16</w:t>
            </w:r>
          </w:p>
        </w:tc>
      </w:tr>
      <w:tr w:rsidR="00621CF9" w:rsidRPr="00621CF9" w14:paraId="289BB3BC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0EF7F01F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val="en-US" w:eastAsia="en-US"/>
              </w:rPr>
              <w:t>Patients who underwent PVE/HVE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58C38477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96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5FBDB3B4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69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0BA3DE81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27</w:t>
            </w:r>
          </w:p>
        </w:tc>
      </w:tr>
      <w:tr w:rsidR="00621CF9" w:rsidRPr="00621CF9" w14:paraId="2AB25AA6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07F6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Resection rate, n (%)[95% CI]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724F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86 (90) [81-95]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29F8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63 (91) [81-96]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173D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23 (85) [65-95]</w:t>
            </w:r>
          </w:p>
        </w:tc>
      </w:tr>
      <w:tr w:rsidR="00621CF9" w:rsidRPr="00621CF9" w14:paraId="149E19F3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174C63D4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Resected patients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689E8777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86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24BFDD10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/>
            <w:noWrap/>
            <w:vAlign w:val="center"/>
            <w:hideMark/>
          </w:tcPr>
          <w:p w14:paraId="6F9079D0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b/>
                <w:bCs/>
                <w:color w:val="000000"/>
                <w:sz w:val="18"/>
                <w:szCs w:val="20"/>
                <w:lang w:eastAsia="en-US"/>
              </w:rPr>
              <w:t>23</w:t>
            </w:r>
          </w:p>
        </w:tc>
      </w:tr>
      <w:tr w:rsidR="00621CF9" w:rsidRPr="00621CF9" w14:paraId="60AE71F8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63CA6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Any complication, n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156B7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49 (57) [46-67]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87CFA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36 (57) [44-69]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F5C23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13 (57) [35-76]</w:t>
            </w:r>
          </w:p>
        </w:tc>
      </w:tr>
      <w:tr w:rsidR="00621CF9" w:rsidRPr="00621CF9" w14:paraId="0BB823AC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F572D55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  <w:t>Any major complication (≥ Grade 3), n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E72E17B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30 (35) [25-46]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411016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21 (33) [22-46]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3051F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9 (39) [20-61]</w:t>
            </w:r>
          </w:p>
        </w:tc>
      </w:tr>
      <w:tr w:rsidR="00621CF9" w:rsidRPr="00621CF9" w14:paraId="1A83FAD3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D33D0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  <w:t>Post hepatectomy liver failure Grade B, n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9711E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11 (13) [7-22]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57031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9 (14) [7-26]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5DD368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2 (9) [2-30]</w:t>
            </w:r>
          </w:p>
        </w:tc>
      </w:tr>
      <w:tr w:rsidR="00621CF9" w:rsidRPr="00621CF9" w14:paraId="3D20B3EA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A336A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val="en-US" w:eastAsia="en-US"/>
              </w:rPr>
              <w:t>Post hepatectomy liver failure Grade C, n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33D47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8 (9) [4-18]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2A97A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5 (8) [3-18]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CA19C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3 (13) [3-35]</w:t>
            </w:r>
          </w:p>
        </w:tc>
      </w:tr>
      <w:tr w:rsidR="00621CF9" w:rsidRPr="00621CF9" w14:paraId="664781C5" w14:textId="77777777" w:rsidTr="00356872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F479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90-day postoperative mortality, n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7EFA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7 (8) [4-17]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1F6D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3 (5) [1-14]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73EF" w14:textId="77777777" w:rsidR="00621CF9" w:rsidRPr="00621CF9" w:rsidRDefault="00621CF9" w:rsidP="00621CF9">
            <w:pPr>
              <w:spacing w:after="160"/>
              <w:jc w:val="center"/>
              <w:rPr>
                <w:rFonts w:eastAsia="Calibri"/>
                <w:color w:val="000000"/>
                <w:sz w:val="18"/>
                <w:szCs w:val="20"/>
                <w:lang w:eastAsia="en-US"/>
              </w:rPr>
            </w:pPr>
            <w:r w:rsidRPr="00621CF9">
              <w:rPr>
                <w:rFonts w:eastAsia="Calibri"/>
                <w:color w:val="000000"/>
                <w:sz w:val="18"/>
                <w:szCs w:val="20"/>
                <w:lang w:eastAsia="en-US"/>
              </w:rPr>
              <w:t>4 (17) [6-40]</w:t>
            </w:r>
          </w:p>
        </w:tc>
      </w:tr>
    </w:tbl>
    <w:p w14:paraId="604A5CC6" w14:textId="77777777" w:rsidR="00621CF9" w:rsidRPr="00621CF9" w:rsidRDefault="00621CF9" w:rsidP="00E776DD">
      <w:pPr>
        <w:spacing w:after="160"/>
        <w:rPr>
          <w:rFonts w:eastAsia="Arial"/>
          <w:sz w:val="20"/>
          <w:lang w:val="en-US" w:eastAsia="en-US"/>
        </w:rPr>
      </w:pPr>
      <w:r w:rsidRPr="00621CF9">
        <w:rPr>
          <w:rFonts w:eastAsia="Arial"/>
          <w:sz w:val="20"/>
          <w:lang w:val="en-US" w:eastAsia="en-US"/>
        </w:rPr>
        <w:t xml:space="preserve">Post-hepatectomy failure defined according to the </w:t>
      </w:r>
      <w:r w:rsidRPr="00621CF9">
        <w:rPr>
          <w:rFonts w:eastAsia="Calibri"/>
          <w:bCs/>
          <w:sz w:val="20"/>
          <w:lang w:val="en-US" w:eastAsia="en-US"/>
        </w:rPr>
        <w:t>International Study Group of Liver Surgery (ISGLS) criteria.</w:t>
      </w:r>
      <w:r w:rsidRPr="00621CF9">
        <w:rPr>
          <w:rFonts w:eastAsia="Arial"/>
          <w:sz w:val="20"/>
          <w:lang w:val="en-US" w:eastAsia="en-US"/>
        </w:rPr>
        <w:t xml:space="preserve"> Complications defined according to Clavien-Dindo classification. 95% confidence intervals are indicated between square brackets. Group A is comprised of centers that included three or more patients within one year. Group B is comprised of centers that needed more than one year to include three or more patients OR were only able to include less than three patients. </w:t>
      </w:r>
    </w:p>
    <w:p w14:paraId="4FD90F74" w14:textId="77777777" w:rsidR="005C4902" w:rsidRPr="00621CF9" w:rsidRDefault="005C4902" w:rsidP="001240E8">
      <w:pPr>
        <w:rPr>
          <w:lang w:val="en-US"/>
        </w:rPr>
      </w:pPr>
    </w:p>
    <w:sectPr w:rsidR="005C4902" w:rsidRPr="00621CF9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6D576" w14:textId="77777777" w:rsidR="00DA792D" w:rsidRDefault="00DA792D" w:rsidP="0045785F">
      <w:r>
        <w:separator/>
      </w:r>
    </w:p>
  </w:endnote>
  <w:endnote w:type="continuationSeparator" w:id="0">
    <w:p w14:paraId="10D9D481" w14:textId="77777777" w:rsidR="00DA792D" w:rsidRDefault="00DA792D" w:rsidP="0045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4150124"/>
      <w:docPartObj>
        <w:docPartGallery w:val="Page Numbers (Bottom of Page)"/>
        <w:docPartUnique/>
      </w:docPartObj>
    </w:sdtPr>
    <w:sdtEndPr/>
    <w:sdtContent>
      <w:p w14:paraId="53D8D3F5" w14:textId="1FC554B1" w:rsidR="00AB201A" w:rsidRDefault="00AB201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D6F">
          <w:rPr>
            <w:noProof/>
          </w:rPr>
          <w:t>3</w:t>
        </w:r>
        <w:r>
          <w:fldChar w:fldCharType="end"/>
        </w:r>
      </w:p>
    </w:sdtContent>
  </w:sdt>
  <w:p w14:paraId="10CABE5C" w14:textId="77777777" w:rsidR="00AB201A" w:rsidRDefault="00AB20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3150C" w14:textId="77777777" w:rsidR="00DA792D" w:rsidRDefault="00DA792D" w:rsidP="0045785F">
      <w:r>
        <w:separator/>
      </w:r>
    </w:p>
  </w:footnote>
  <w:footnote w:type="continuationSeparator" w:id="0">
    <w:p w14:paraId="15B7FFCC" w14:textId="77777777" w:rsidR="00DA792D" w:rsidRDefault="00DA792D" w:rsidP="0045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75BB"/>
    <w:multiLevelType w:val="multilevel"/>
    <w:tmpl w:val="A124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8E3586"/>
    <w:multiLevelType w:val="multilevel"/>
    <w:tmpl w:val="1DDCC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F865EB5"/>
    <w:multiLevelType w:val="hybridMultilevel"/>
    <w:tmpl w:val="68C25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E8"/>
    <w:rsid w:val="00035244"/>
    <w:rsid w:val="00040F3D"/>
    <w:rsid w:val="000E4905"/>
    <w:rsid w:val="001240E8"/>
    <w:rsid w:val="00176C77"/>
    <w:rsid w:val="001C3396"/>
    <w:rsid w:val="00211D6F"/>
    <w:rsid w:val="00247FC1"/>
    <w:rsid w:val="00336FDA"/>
    <w:rsid w:val="00356872"/>
    <w:rsid w:val="00365567"/>
    <w:rsid w:val="00380020"/>
    <w:rsid w:val="00382EE9"/>
    <w:rsid w:val="003F06D6"/>
    <w:rsid w:val="00444866"/>
    <w:rsid w:val="0045785F"/>
    <w:rsid w:val="00584A77"/>
    <w:rsid w:val="00595840"/>
    <w:rsid w:val="005C4902"/>
    <w:rsid w:val="00621CF9"/>
    <w:rsid w:val="00632896"/>
    <w:rsid w:val="0064320D"/>
    <w:rsid w:val="006D3106"/>
    <w:rsid w:val="006D41FF"/>
    <w:rsid w:val="006D5D7C"/>
    <w:rsid w:val="007010C3"/>
    <w:rsid w:val="007625D8"/>
    <w:rsid w:val="008565BD"/>
    <w:rsid w:val="00A00FC8"/>
    <w:rsid w:val="00A33708"/>
    <w:rsid w:val="00A47CEA"/>
    <w:rsid w:val="00A93AE2"/>
    <w:rsid w:val="00AB201A"/>
    <w:rsid w:val="00AD1A92"/>
    <w:rsid w:val="00AD6694"/>
    <w:rsid w:val="00B37833"/>
    <w:rsid w:val="00B64D9F"/>
    <w:rsid w:val="00BA497E"/>
    <w:rsid w:val="00BB0E93"/>
    <w:rsid w:val="00C611CC"/>
    <w:rsid w:val="00CD4374"/>
    <w:rsid w:val="00DA792D"/>
    <w:rsid w:val="00DD21F5"/>
    <w:rsid w:val="00E776DD"/>
    <w:rsid w:val="00EB06F6"/>
    <w:rsid w:val="00FB5135"/>
    <w:rsid w:val="00FF3A28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1151"/>
  <w15:chartTrackingRefBased/>
  <w15:docId w15:val="{B38BF545-2BE1-43CB-A4E5-62E4B01B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nl-NL" w:eastAsia="en-US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0E8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nl-NL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0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eastAsia="en-US" w:bidi="ne-N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0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eastAsia="en-US" w:bidi="ne-N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40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eastAsia="en-US" w:bidi="ne-N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0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eastAsia="en-US" w:bidi="ne-N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0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eastAsia="en-US" w:bidi="ne-N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0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eastAsia="en-US" w:bidi="ne-N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0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eastAsia="en-US" w:bidi="ne-N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0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eastAsia="en-US" w:bidi="ne-N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0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eastAsia="en-US" w:bidi="ne-N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0E8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0E8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40E8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0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0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0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0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0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0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0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eastAsia="en-US" w:bidi="ne-N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40E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0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eastAsia="en-US" w:bidi="ne-N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40E8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1240E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1"/>
      <w:lang w:eastAsia="en-US" w:bidi="ne-N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40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0E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1"/>
      <w:lang w:eastAsia="en-US" w:bidi="ne-N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40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0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1"/>
      <w:lang w:eastAsia="en-US" w:bidi="ne-N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0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0E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nhideWhenUsed/>
    <w:rsid w:val="001240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40E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40E8"/>
    <w:rPr>
      <w:kern w:val="0"/>
      <w:sz w:val="20"/>
      <w:szCs w:val="20"/>
      <w:lang w:bidi="ar-SA"/>
      <w14:ligatures w14:val="none"/>
    </w:rPr>
  </w:style>
  <w:style w:type="paragraph" w:styleId="EndnoteText">
    <w:name w:val="endnote text"/>
    <w:basedOn w:val="Normal"/>
    <w:link w:val="EndnoteTextChar"/>
    <w:uiPriority w:val="99"/>
    <w:unhideWhenUsed/>
    <w:rsid w:val="001240E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240E8"/>
    <w:rPr>
      <w:rFonts w:ascii="Times New Roman" w:eastAsia="Times New Roman" w:hAnsi="Times New Roman" w:cs="Times New Roman"/>
      <w:kern w:val="0"/>
      <w:sz w:val="20"/>
      <w:szCs w:val="20"/>
      <w:lang w:eastAsia="nl-NL" w:bidi="ar-SA"/>
      <w14:ligatures w14:val="none"/>
    </w:rPr>
  </w:style>
  <w:style w:type="table" w:styleId="TableGrid">
    <w:name w:val="Table Grid"/>
    <w:basedOn w:val="TableNormal"/>
    <w:uiPriority w:val="39"/>
    <w:rsid w:val="001240E8"/>
    <w:pPr>
      <w:spacing w:after="0" w:line="240" w:lineRule="auto"/>
    </w:pPr>
    <w:rPr>
      <w:kern w:val="0"/>
      <w:sz w:val="22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78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785F"/>
    <w:rPr>
      <w:rFonts w:ascii="Times New Roman" w:eastAsia="Times New Roman" w:hAnsi="Times New Roman" w:cs="Times New Roman"/>
      <w:kern w:val="0"/>
      <w:szCs w:val="24"/>
      <w:lang w:eastAsia="nl-NL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578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785F"/>
    <w:rPr>
      <w:rFonts w:ascii="Times New Roman" w:eastAsia="Times New Roman" w:hAnsi="Times New Roman" w:cs="Times New Roman"/>
      <w:kern w:val="0"/>
      <w:szCs w:val="24"/>
      <w:lang w:eastAsia="nl-NL" w:bidi="ar-SA"/>
      <w14:ligatures w14:val="none"/>
    </w:rPr>
  </w:style>
  <w:style w:type="character" w:styleId="Strong">
    <w:name w:val="Strong"/>
    <w:basedOn w:val="DefaultParagraphFont"/>
    <w:uiPriority w:val="22"/>
    <w:qFormat/>
    <w:rsid w:val="00DD21F5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5D8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5D8"/>
    <w:rPr>
      <w:rFonts w:ascii="Times New Roman" w:eastAsia="Times New Roman" w:hAnsi="Times New Roman" w:cs="Times New Roman"/>
      <w:b/>
      <w:bCs/>
      <w:kern w:val="0"/>
      <w:sz w:val="20"/>
      <w:szCs w:val="20"/>
      <w:lang w:eastAsia="nl-NL" w:bidi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5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5D8"/>
    <w:rPr>
      <w:rFonts w:ascii="Segoe UI" w:eastAsia="Times New Roman" w:hAnsi="Segoe UI" w:cs="Segoe UI"/>
      <w:kern w:val="0"/>
      <w:sz w:val="18"/>
      <w:szCs w:val="18"/>
      <w:lang w:eastAsia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0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E9F45D3FCFE64CBA140503ADF45BFE" ma:contentTypeVersion="17" ma:contentTypeDescription="Een nieuw document maken." ma:contentTypeScope="" ma:versionID="26e00ac1ab4b7234a561150b9206535b">
  <xsd:schema xmlns:xsd="http://www.w3.org/2001/XMLSchema" xmlns:xs="http://www.w3.org/2001/XMLSchema" xmlns:p="http://schemas.microsoft.com/office/2006/metadata/properties" xmlns:ns2="5c2a29f6-54bb-437a-b3cc-44fc4bd1ccf2" xmlns:ns3="17194c28-8acc-4bf8-8520-1dc50f167f2b" targetNamespace="http://schemas.microsoft.com/office/2006/metadata/properties" ma:root="true" ma:fieldsID="e3dc954c3984559a2ba4112f56ef4993" ns2:_="" ns3:_="">
    <xsd:import namespace="5c2a29f6-54bb-437a-b3cc-44fc4bd1ccf2"/>
    <xsd:import namespace="17194c28-8acc-4bf8-8520-1dc50f167f2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a29f6-54bb-437a-b3cc-44fc4bd1cc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2116ccac-63d6-429f-9c6c-596132f1e203}" ma:internalName="TaxCatchAll" ma:showField="CatchAllData" ma:web="5c2a29f6-54bb-437a-b3cc-44fc4bd1c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4c28-8acc-4bf8-8520-1dc50f167f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3e7061f6-de73-44c7-bfdb-4de9ff9c12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194c28-8acc-4bf8-8520-1dc50f167f2b">
      <Terms xmlns="http://schemas.microsoft.com/office/infopath/2007/PartnerControls"/>
    </lcf76f155ced4ddcb4097134ff3c332f>
    <TaxCatchAll xmlns="5c2a29f6-54bb-437a-b3cc-44fc4bd1c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B5995-EC62-4C97-8877-282AA75EF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2a29f6-54bb-437a-b3cc-44fc4bd1ccf2"/>
    <ds:schemaRef ds:uri="17194c28-8acc-4bf8-8520-1dc50f167f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5E8171-D733-46B0-A89B-E3A1B527C36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7194c28-8acc-4bf8-8520-1dc50f167f2b"/>
    <ds:schemaRef ds:uri="5c2a29f6-54bb-437a-b3cc-44fc4bd1ccf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BEAD2F-7883-4C3F-ADFB-ECB280C4F5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65F0B6-5A7F-409C-9E0E-EF1A7A67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Smits, Jens (SURGERY)</dc:creator>
  <cp:keywords/>
  <dc:description/>
  <cp:lastModifiedBy>James, Sinead (SURGERY)</cp:lastModifiedBy>
  <cp:revision>3</cp:revision>
  <cp:lastPrinted>2024-09-12T14:34:00Z</cp:lastPrinted>
  <dcterms:created xsi:type="dcterms:W3CDTF">2025-01-06T17:02:00Z</dcterms:created>
  <dcterms:modified xsi:type="dcterms:W3CDTF">2025-01-10T17:39:00Z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0x010100DFE9F45D3FCFE64CBA140503ADF45BFE</vt:lpwstr>
  </property>
  <property fmtid="{D5CDD505-2E9C-101B-9397-08002B2CF9AE}" pid="3" name="MediaServiceImageTags">
    <vt:lpwstr/>
  </property>
</Properties>
</file>