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FF8500" w14:textId="77777777" w:rsidR="006503A1" w:rsidRDefault="006503A1" w:rsidP="00AC6FEB">
      <w:pPr>
        <w:pStyle w:val="Titolo1"/>
        <w:spacing w:before="0" w:beforeAutospacing="0" w:after="120" w:afterAutospacing="0" w:line="480" w:lineRule="auto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SUPPLEMENTARY MATERIAL</w:t>
      </w:r>
    </w:p>
    <w:p w14:paraId="2C9E44B1" w14:textId="77777777" w:rsidR="00061E4B" w:rsidRPr="00150C7F" w:rsidRDefault="00061E4B" w:rsidP="00150C7F">
      <w:pPr>
        <w:pStyle w:val="Paragrafoelenco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120" w:line="48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</w:pPr>
      <w:r w:rsidRPr="00150C7F">
        <w:rPr>
          <w:rFonts w:ascii="Times New Roman" w:eastAsia="Arial Unicode MS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  <w:t xml:space="preserve">hBM-MSCs </w:t>
      </w:r>
      <w:r w:rsidR="00BB097D" w:rsidRPr="00150C7F">
        <w:rPr>
          <w:rFonts w:ascii="Times New Roman" w:eastAsia="Arial Unicode MS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  <w:t xml:space="preserve">isolation and characterization by </w:t>
      </w:r>
      <w:r w:rsidRPr="00150C7F">
        <w:rPr>
          <w:rFonts w:ascii="Times New Roman" w:eastAsia="Arial Unicode MS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  <w:t xml:space="preserve">flow cytometry </w:t>
      </w:r>
    </w:p>
    <w:p w14:paraId="4EBDFF29" w14:textId="77777777" w:rsidR="00BB097D" w:rsidRDefault="00BB097D" w:rsidP="00AC6FEB">
      <w:pPr>
        <w:pStyle w:val="Titolo1"/>
        <w:spacing w:before="0" w:beforeAutospacing="0" w:after="120" w:afterAutospacing="0" w:line="480" w:lineRule="auto"/>
        <w:jc w:val="both"/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</w:pPr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Briefly, whole BM aspirate was directly seeded at a concentration of 50,000 total nucleated cells/cm2 in a T75 plastic flask containing minimum essential medium alpha (α-MEM; Gibco, Thermo Fisher Scientific, Waltham, Massachusetts, United States) supplemented with 1% </w:t>
      </w:r>
      <w:proofErr w:type="spellStart"/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GlutagroTM</w:t>
      </w:r>
      <w:proofErr w:type="spellEnd"/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(Corning, Corning, New York, United States), 10% </w:t>
      </w:r>
      <w:proofErr w:type="spellStart"/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Fetal</w:t>
      </w:r>
      <w:proofErr w:type="spellEnd"/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Bovine Serum (FBS) and 1% penicillin/streptomycin and incubated at 37°C in an atmosphere of 5% CO2 and 95% relative humidity. After 48h, non-adherent cells were removed, and medium replaced twice a week. Cells were detached when 70-80% confluent, using 0.05% trypsin-0.53mM ethylenediaminetetraacetic acid (EDTA), washed with PBS (Corning), and counted using Trypan Blu</w:t>
      </w:r>
      <w:r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e (Sigma-Aldrich, Milan, Italy)</w:t>
      </w:r>
      <w:r w:rsidRPr="00BB097D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.</w:t>
      </w:r>
    </w:p>
    <w:p w14:paraId="78F3D143" w14:textId="77777777" w:rsidR="003922E8" w:rsidRDefault="00AF137E" w:rsidP="00AC6FEB">
      <w:pPr>
        <w:pStyle w:val="Titolo1"/>
        <w:spacing w:before="0" w:beforeAutospacing="0" w:after="120" w:afterAutospacing="0" w:line="480" w:lineRule="auto"/>
        <w:jc w:val="both"/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</w:pPr>
      <w:r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C</w:t>
      </w:r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ells were incubated at room temperature (RT) for 20 min in the dark with the following directly conjugated mouse-anti human antibodies: 2.5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fluorescein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isothiocyanate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(FITC) - conjugated anti-CD90 or 10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FITC - conjugated anti-HLA-DR; 5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allophycocyanin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(APC) - conjugated anti-CD73; 10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phycoerythrin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(PE) - conjugated anti-CD105 or 10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PE - conjugated anti-CD34; and 10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phycoerythrin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cyanin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7 (PC7) – conjugated anti-CD45 or 10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μL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of PC7 – conjugated anti-CD14 (all antibodies were from Beckman Coulter, Fullerton, CA, USA). All isotype controls were immunoglobulin G type 1 (IgG1) conjugated to FITC, PE, APC, or PC7 (all from Beckman Coulter), and were used as negative controls. After incubation, cells were washed with 3 mL of PBS and resuspended in 300 µL of the same buffer for acquisition. </w:t>
      </w:r>
    </w:p>
    <w:p w14:paraId="69F29EF5" w14:textId="260C6680" w:rsidR="00AF137E" w:rsidRDefault="003922E8" w:rsidP="00AC6FEB">
      <w:pPr>
        <w:pStyle w:val="Titolo1"/>
        <w:spacing w:before="0" w:beforeAutospacing="0" w:after="120" w:afterAutospacing="0" w:line="480" w:lineRule="auto"/>
        <w:jc w:val="both"/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</w:pPr>
      <w:r w:rsidRPr="003922E8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For confirming MSC phenotype, a minimum of 1x105 cells, at the third passage, were stained with surface markers for MSC </w:t>
      </w:r>
      <w:proofErr w:type="spellStart"/>
      <w:r w:rsidRPr="003922E8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immunophenotyping</w:t>
      </w:r>
      <w:proofErr w:type="spellEnd"/>
      <w:r w:rsidRPr="003922E8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by flow cytometry according to the International Society of Cellular Therapy guidelines</w:t>
      </w:r>
      <w:r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. </w:t>
      </w:r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Sample acquisition was performed using a BD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FACSVerse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flow cytometer (Becton Dickinson, BD, NJ, USA) equipped with blue (488 nm) and red lasers (628 nm) and BD </w:t>
      </w:r>
      <w:proofErr w:type="spellStart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FACSuite</w:t>
      </w:r>
      <w:proofErr w:type="spellEnd"/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software (BD Biosciences). Compensation was calculated utilizing single-</w:t>
      </w:r>
      <w:r w:rsidR="00061E4B"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lastRenderedPageBreak/>
        <w:t xml:space="preserve">color controls for each fluorochrome and an unstained sample as negative control for setting PMT voltages. </w:t>
      </w:r>
    </w:p>
    <w:p w14:paraId="1BC91FC2" w14:textId="4B5A6BEC" w:rsidR="00AC6FEB" w:rsidRDefault="00061E4B" w:rsidP="00AC6FEB">
      <w:pPr>
        <w:pStyle w:val="Titolo1"/>
        <w:spacing w:before="0" w:beforeAutospacing="0" w:after="120" w:afterAutospacing="0" w:line="480" w:lineRule="auto"/>
        <w:jc w:val="both"/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</w:pPr>
      <w:r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All samples were run using the same PMT voltages. A minimum of 30,000 events were recorded. </w:t>
      </w:r>
      <w:proofErr w:type="spellStart"/>
      <w:r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FlowJo</w:t>
      </w:r>
      <w:proofErr w:type="spellEnd"/>
      <w:r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software (v.10.7.1, LLC, BD Biosciences) was employed for post-acquisition compensation and flow cytometric analysis. In details, BM-MSCs were first identified using linear parameters (forward scatter area (FSC-A) vs side scatter area (SSC-A), double cells were excluded (area vs height, FSC-A vs FSC-H), and CD90 and CD45 expression was first investigated. Subsequently, CD105 and CD73 expression was further studied on CD45-CD90+ cells. Similarly, HLA-DR and CD34 expression was first investigated on single cells, and CD14 was further analysed on CD34-HLA-DR- cells. Expression of each marker on single cells was also reported using histograms and using unstained samples as negative controls</w:t>
      </w:r>
      <w:r w:rsidR="00AC6FE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 xml:space="preserve"> (see </w:t>
      </w:r>
      <w:r w:rsidR="00AC6FEB" w:rsidRPr="00AC6FEB">
        <w:rPr>
          <w:rFonts w:eastAsiaTheme="minorHAnsi"/>
          <w:bCs w:val="0"/>
          <w:kern w:val="0"/>
          <w:sz w:val="24"/>
          <w:szCs w:val="24"/>
          <w:lang w:val="en-GB" w:eastAsia="en-US"/>
        </w:rPr>
        <w:t>Figure S1</w:t>
      </w:r>
      <w:r w:rsidR="00AC6FE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)</w:t>
      </w:r>
      <w:r w:rsidRPr="00061E4B">
        <w:rPr>
          <w:rFonts w:eastAsiaTheme="minorHAnsi"/>
          <w:b w:val="0"/>
          <w:bCs w:val="0"/>
          <w:kern w:val="0"/>
          <w:sz w:val="24"/>
          <w:szCs w:val="24"/>
          <w:lang w:val="en-GB" w:eastAsia="en-US"/>
        </w:rPr>
        <w:t>.</w:t>
      </w:r>
    </w:p>
    <w:p w14:paraId="0B7F578C" w14:textId="77777777" w:rsidR="00AC6FEB" w:rsidRDefault="00AC6FEB" w:rsidP="00AC6FEB">
      <w:pPr>
        <w:spacing w:line="480" w:lineRule="auto"/>
        <w:rPr>
          <w:rFonts w:ascii="Times New Roman" w:eastAsia="Arial Unicode MS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</w:pPr>
      <w:r>
        <w:rPr>
          <w:rFonts w:ascii="Times New Roman" w:eastAsia="Arial Unicode MS" w:hAnsi="Times New Roman" w:cs="Times New Roman"/>
          <w:b/>
          <w:bCs/>
          <w:i/>
          <w:iCs/>
          <w:sz w:val="24"/>
          <w:szCs w:val="24"/>
          <w:u w:color="000000"/>
          <w:bdr w:val="nil"/>
          <w:lang w:val="en-US"/>
        </w:rPr>
        <w:br w:type="page"/>
      </w:r>
    </w:p>
    <w:p w14:paraId="2F4E4F08" w14:textId="77777777" w:rsidR="00AC6FEB" w:rsidRPr="00AC6FEB" w:rsidRDefault="00AC6FEB" w:rsidP="00AC6FEB">
      <w:pPr>
        <w:spacing w:after="120" w:line="48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AC6FEB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it-IT"/>
        </w:rPr>
        <w:lastRenderedPageBreak/>
        <w:drawing>
          <wp:inline distT="0" distB="0" distL="0" distR="0" wp14:anchorId="2738F9B2" wp14:editId="4FCFE3FA">
            <wp:extent cx="5232400" cy="7050744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3768" cy="7052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3AB015" w14:textId="77777777" w:rsidR="00AC6FEB" w:rsidRPr="00AC6FEB" w:rsidRDefault="00AC6FEB" w:rsidP="00AC6FEB">
      <w:pPr>
        <w:spacing w:after="12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</w:pPr>
      <w:r w:rsidRPr="00AC6FE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  <w:t xml:space="preserve">Figure </w:t>
      </w:r>
      <w:r w:rsidR="00150C7F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  <w:t>S</w:t>
      </w:r>
      <w:r w:rsidRPr="00AC6FE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  <w:t xml:space="preserve">1. Flow cytometry and gating strategy of </w:t>
      </w:r>
      <w:proofErr w:type="spellStart"/>
      <w:r w:rsidRPr="00AC6FEB">
        <w:rPr>
          <w:rFonts w:ascii="Times New Roman" w:eastAsia="Times New Roman" w:hAnsi="Times New Roman" w:cs="Times New Roman"/>
          <w:b/>
          <w:bCs/>
          <w:i/>
          <w:iCs/>
          <w:kern w:val="36"/>
          <w:sz w:val="24"/>
          <w:szCs w:val="24"/>
          <w:lang w:val="en-GB" w:eastAsia="it-IT"/>
        </w:rPr>
        <w:t>h</w:t>
      </w:r>
      <w:r w:rsidRPr="00AC6FE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  <w:t>BM</w:t>
      </w:r>
      <w:proofErr w:type="spellEnd"/>
      <w:r w:rsidRPr="00AC6FE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GB" w:eastAsia="it-IT"/>
        </w:rPr>
        <w:t xml:space="preserve">-MSCs. </w:t>
      </w:r>
    </w:p>
    <w:p w14:paraId="68820F16" w14:textId="77777777" w:rsidR="00AC6FEB" w:rsidRDefault="00AC6FEB" w:rsidP="00AC6FEB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AC6FE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The panel shows a representative cytofluorimetric FSC vs SSC (cell size vs granularity index) cells scatter of </w:t>
      </w:r>
      <w:r w:rsidRPr="00AC6FEB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it-IT"/>
        </w:rPr>
        <w:t>h</w:t>
      </w:r>
      <w:r w:rsidRPr="00AC6FE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BM-MSCs. Cells were first identified using linear parameters (forward scatter area [FSC-A] vs side scatter area [SSC-A], and double cells were excluded (FSC-A vs FSC-H). For antibody mix 1, CD90 and CD45 expression was investigated on single cells, and CD105 and CD73 expression was further studied on CD45-CD90+ cells. For antibody mix 2, HLA-DR and CD34 expression was first investigated on single cells, and CD14 was further studied on CD34-HLA-DR- cells. Expression of each marker on single cells was also reported using histograms and using unstained samples as negative controls.</w:t>
      </w:r>
      <w:bookmarkStart w:id="0" w:name="_GoBack"/>
      <w:bookmarkEnd w:id="0"/>
    </w:p>
    <w:sectPr w:rsidR="00AC6FEB" w:rsidSect="000C460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9D459C"/>
    <w:multiLevelType w:val="hybridMultilevel"/>
    <w:tmpl w:val="4264754E"/>
    <w:lvl w:ilvl="0" w:tplc="CC7A22B0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03A1"/>
    <w:rsid w:val="00061E4B"/>
    <w:rsid w:val="000A5970"/>
    <w:rsid w:val="000C460B"/>
    <w:rsid w:val="00111BC1"/>
    <w:rsid w:val="0013761C"/>
    <w:rsid w:val="00150C7F"/>
    <w:rsid w:val="001905F1"/>
    <w:rsid w:val="001D5A34"/>
    <w:rsid w:val="002771E3"/>
    <w:rsid w:val="0034729A"/>
    <w:rsid w:val="003922E8"/>
    <w:rsid w:val="003D5C51"/>
    <w:rsid w:val="0053271F"/>
    <w:rsid w:val="00563EEF"/>
    <w:rsid w:val="006503A1"/>
    <w:rsid w:val="00742B37"/>
    <w:rsid w:val="0076332B"/>
    <w:rsid w:val="007827BD"/>
    <w:rsid w:val="007D7FEB"/>
    <w:rsid w:val="008A594C"/>
    <w:rsid w:val="00904305"/>
    <w:rsid w:val="0096057B"/>
    <w:rsid w:val="009B29E3"/>
    <w:rsid w:val="00A41045"/>
    <w:rsid w:val="00A70FAE"/>
    <w:rsid w:val="00AC6FEB"/>
    <w:rsid w:val="00AF137E"/>
    <w:rsid w:val="00B30530"/>
    <w:rsid w:val="00BB097D"/>
    <w:rsid w:val="00BC754D"/>
    <w:rsid w:val="00C179D7"/>
    <w:rsid w:val="00C655BB"/>
    <w:rsid w:val="00CD73E2"/>
    <w:rsid w:val="00DA26CB"/>
    <w:rsid w:val="00DB2650"/>
    <w:rsid w:val="00DC2E82"/>
    <w:rsid w:val="00F93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FB06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6503A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503A1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503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503A1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150C7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50C7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50C7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50C7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50C7F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150C7F"/>
    <w:pPr>
      <w:ind w:left="720"/>
      <w:contextualSpacing/>
    </w:pPr>
  </w:style>
  <w:style w:type="table" w:styleId="Grigliatabella">
    <w:name w:val="Table Grid"/>
    <w:basedOn w:val="Tabellanormale"/>
    <w:uiPriority w:val="59"/>
    <w:unhideWhenUsed/>
    <w:rsid w:val="001905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6503A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503A1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503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503A1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150C7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50C7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50C7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50C7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50C7F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150C7F"/>
    <w:pPr>
      <w:ind w:left="720"/>
      <w:contextualSpacing/>
    </w:pPr>
  </w:style>
  <w:style w:type="table" w:styleId="Grigliatabella">
    <w:name w:val="Table Grid"/>
    <w:basedOn w:val="Tabellanormale"/>
    <w:uiPriority w:val="59"/>
    <w:unhideWhenUsed/>
    <w:rsid w:val="001905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</dc:creator>
  <cp:lastModifiedBy>Giovanna</cp:lastModifiedBy>
  <cp:revision>32</cp:revision>
  <dcterms:created xsi:type="dcterms:W3CDTF">2021-06-10T21:44:00Z</dcterms:created>
  <dcterms:modified xsi:type="dcterms:W3CDTF">2021-12-05T23:24:00Z</dcterms:modified>
</cp:coreProperties>
</file>