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EBB32D" w14:textId="77777777" w:rsidR="004471F5" w:rsidRDefault="006C573B">
      <w:pPr>
        <w:pStyle w:val="Heading2"/>
        <w:jc w:val="center"/>
        <w:rPr>
          <w:rFonts w:ascii="Times New Roman" w:eastAsia="Times New Roman" w:hAnsi="Times New Roman" w:cs="Times New Roman"/>
          <w:b/>
          <w:bCs/>
        </w:rPr>
      </w:pPr>
      <w:bookmarkStart w:id="0" w:name="_pkt657pr18ek" w:colFirst="0" w:colLast="0"/>
      <w:bookmarkEnd w:id="0"/>
      <w:r>
        <w:rPr>
          <w:rFonts w:ascii="Times New Roman" w:eastAsia="Times New Roman" w:hAnsi="Times New Roman" w:cs="Times New Roman"/>
          <w:b/>
          <w:bCs/>
        </w:rPr>
        <w:t>Supplementary Material</w:t>
      </w:r>
    </w:p>
    <w:p w14:paraId="42EBB32E" w14:textId="77777777" w:rsidR="004471F5" w:rsidRDefault="004471F5">
      <w:pPr>
        <w:jc w:val="both"/>
        <w:rPr>
          <w:rFonts w:ascii="Times New Roman" w:eastAsia="Times New Roman" w:hAnsi="Times New Roman" w:cs="Times New Roman"/>
          <w:sz w:val="26"/>
          <w:szCs w:val="26"/>
        </w:rPr>
      </w:pPr>
    </w:p>
    <w:p w14:paraId="42EBB32F" w14:textId="77777777" w:rsidR="004471F5" w:rsidRDefault="006C573B">
      <w:pPr>
        <w:pStyle w:val="Heading2"/>
        <w:keepNext w:val="0"/>
        <w:keepLines w:val="0"/>
        <w:spacing w:after="80"/>
        <w:jc w:val="both"/>
        <w:rPr>
          <w:rFonts w:ascii="Times New Roman" w:eastAsia="Times New Roman" w:hAnsi="Times New Roman" w:cs="Times New Roman"/>
          <w:sz w:val="26"/>
          <w:szCs w:val="26"/>
        </w:rPr>
      </w:pPr>
      <w:bookmarkStart w:id="1" w:name="_kxwpit92clmg" w:colFirst="0" w:colLast="0"/>
      <w:bookmarkEnd w:id="1"/>
      <w:r>
        <w:rPr>
          <w:rFonts w:ascii="Times New Roman" w:eastAsia="Times New Roman" w:hAnsi="Times New Roman" w:cs="Times New Roman"/>
          <w:b/>
          <w:bCs/>
          <w:sz w:val="26"/>
          <w:szCs w:val="26"/>
        </w:rPr>
        <w:t xml:space="preserve">Table S1. </w:t>
      </w:r>
      <w:r>
        <w:rPr>
          <w:rFonts w:ascii="Times New Roman" w:eastAsia="Times New Roman" w:hAnsi="Times New Roman" w:cs="Times New Roman"/>
          <w:sz w:val="26"/>
          <w:szCs w:val="26"/>
        </w:rPr>
        <w:t>Baseline soil physical and chemical properties.</w:t>
      </w:r>
    </w:p>
    <w:p w14:paraId="4920DAAE" w14:textId="77777777" w:rsidR="00D504FC" w:rsidRPr="00D504FC" w:rsidRDefault="00D504FC" w:rsidP="00D504FC"/>
    <w:tbl>
      <w:tblPr>
        <w:tblStyle w:val="a"/>
        <w:tblW w:w="957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835"/>
        <w:gridCol w:w="2310"/>
        <w:gridCol w:w="4425"/>
      </w:tblGrid>
      <w:tr w:rsidR="004471F5" w14:paraId="42EBB333" w14:textId="77777777">
        <w:trPr>
          <w:trHeight w:val="285"/>
        </w:trPr>
        <w:tc>
          <w:tcPr>
            <w:tcW w:w="2835" w:type="dxa"/>
            <w:tcBorders>
              <w:top w:val="single" w:sz="6" w:space="0" w:color="000000"/>
              <w:left w:val="nil"/>
              <w:bottom w:val="single" w:sz="6" w:space="0" w:color="000000"/>
              <w:right w:val="nil"/>
            </w:tcBorders>
            <w:tcMar>
              <w:top w:w="0" w:type="dxa"/>
              <w:left w:w="100" w:type="dxa"/>
              <w:bottom w:w="0" w:type="dxa"/>
              <w:right w:w="100" w:type="dxa"/>
            </w:tcMar>
          </w:tcPr>
          <w:p w14:paraId="42EBB330" w14:textId="77777777" w:rsidR="004471F5" w:rsidRDefault="006C573B">
            <w:pPr>
              <w:spacing w:after="200" w:line="240" w:lineRule="auto"/>
              <w:jc w:val="both"/>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Property</w:t>
            </w:r>
          </w:p>
        </w:tc>
        <w:tc>
          <w:tcPr>
            <w:tcW w:w="2310" w:type="dxa"/>
            <w:tcBorders>
              <w:top w:val="single" w:sz="6" w:space="0" w:color="000000"/>
              <w:left w:val="nil"/>
              <w:bottom w:val="single" w:sz="6" w:space="0" w:color="000000"/>
              <w:right w:val="nil"/>
            </w:tcBorders>
            <w:tcMar>
              <w:top w:w="0" w:type="dxa"/>
              <w:left w:w="100" w:type="dxa"/>
              <w:bottom w:w="0" w:type="dxa"/>
              <w:right w:w="100" w:type="dxa"/>
            </w:tcMar>
          </w:tcPr>
          <w:p w14:paraId="42EBB331" w14:textId="77777777" w:rsidR="004471F5" w:rsidRDefault="006C573B">
            <w:pPr>
              <w:spacing w:after="200" w:line="240" w:lineRule="auto"/>
              <w:jc w:val="both"/>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Mean ± SD</w:t>
            </w:r>
          </w:p>
        </w:tc>
        <w:tc>
          <w:tcPr>
            <w:tcW w:w="4425" w:type="dxa"/>
            <w:tcBorders>
              <w:top w:val="single" w:sz="6" w:space="0" w:color="000000"/>
              <w:left w:val="nil"/>
              <w:bottom w:val="single" w:sz="6" w:space="0" w:color="000000"/>
              <w:right w:val="nil"/>
            </w:tcBorders>
            <w:tcMar>
              <w:top w:w="0" w:type="dxa"/>
              <w:left w:w="100" w:type="dxa"/>
              <w:bottom w:w="0" w:type="dxa"/>
              <w:right w:w="100" w:type="dxa"/>
            </w:tcMar>
          </w:tcPr>
          <w:p w14:paraId="42EBB332" w14:textId="77777777" w:rsidR="004471F5" w:rsidRDefault="006C573B">
            <w:pPr>
              <w:spacing w:after="200" w:line="240" w:lineRule="auto"/>
              <w:jc w:val="both"/>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Method</w:t>
            </w:r>
          </w:p>
        </w:tc>
      </w:tr>
      <w:tr w:rsidR="00C05409" w14:paraId="42EBB337" w14:textId="77777777" w:rsidTr="00D55C9E">
        <w:trPr>
          <w:trHeight w:val="555"/>
        </w:trPr>
        <w:tc>
          <w:tcPr>
            <w:tcW w:w="2835" w:type="dxa"/>
            <w:tcBorders>
              <w:top w:val="nil"/>
              <w:left w:val="nil"/>
              <w:bottom w:val="nil"/>
              <w:right w:val="nil"/>
            </w:tcBorders>
            <w:tcMar>
              <w:top w:w="0" w:type="dxa"/>
              <w:left w:w="100" w:type="dxa"/>
              <w:bottom w:w="0" w:type="dxa"/>
              <w:right w:w="100" w:type="dxa"/>
            </w:tcMar>
          </w:tcPr>
          <w:p w14:paraId="42EBB334" w14:textId="77777777" w:rsidR="00C05409" w:rsidRDefault="00C05409">
            <w:pPr>
              <w:spacing w:after="20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Clay (%)</w:t>
            </w:r>
          </w:p>
        </w:tc>
        <w:tc>
          <w:tcPr>
            <w:tcW w:w="2310" w:type="dxa"/>
            <w:tcBorders>
              <w:top w:val="nil"/>
              <w:left w:val="nil"/>
              <w:bottom w:val="nil"/>
              <w:right w:val="nil"/>
            </w:tcBorders>
            <w:tcMar>
              <w:top w:w="0" w:type="dxa"/>
              <w:left w:w="100" w:type="dxa"/>
              <w:bottom w:w="0" w:type="dxa"/>
              <w:right w:w="100" w:type="dxa"/>
            </w:tcMar>
          </w:tcPr>
          <w:p w14:paraId="42EBB335" w14:textId="77777777" w:rsidR="00C05409" w:rsidRDefault="00C05409">
            <w:pPr>
              <w:spacing w:after="20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11.27 ± 1.06</w:t>
            </w:r>
          </w:p>
        </w:tc>
        <w:tc>
          <w:tcPr>
            <w:tcW w:w="4425" w:type="dxa"/>
            <w:vMerge w:val="restart"/>
            <w:tcBorders>
              <w:top w:val="nil"/>
              <w:left w:val="nil"/>
              <w:right w:val="nil"/>
            </w:tcBorders>
            <w:tcMar>
              <w:top w:w="0" w:type="dxa"/>
              <w:left w:w="100" w:type="dxa"/>
              <w:bottom w:w="0" w:type="dxa"/>
              <w:right w:w="100" w:type="dxa"/>
            </w:tcMar>
            <w:vAlign w:val="center"/>
          </w:tcPr>
          <w:p w14:paraId="5D96B5B6" w14:textId="0AD6C942" w:rsidR="00C05409" w:rsidRDefault="00C05409" w:rsidP="00D55C9E">
            <w:pPr>
              <w:spacing w:after="200" w:line="240" w:lineRule="auto"/>
              <w:jc w:val="center"/>
              <w:rPr>
                <w:rFonts w:ascii="Times New Roman" w:eastAsia="Times New Roman" w:hAnsi="Times New Roman" w:cs="Times New Roman"/>
                <w:sz w:val="26"/>
                <w:szCs w:val="26"/>
              </w:rPr>
            </w:pPr>
            <w:r w:rsidRPr="00D04708">
              <w:rPr>
                <w:rFonts w:ascii="Times New Roman" w:eastAsia="Times New Roman" w:hAnsi="Times New Roman" w:cs="Times New Roman"/>
                <w:sz w:val="26"/>
                <w:szCs w:val="26"/>
              </w:rPr>
              <w:t>Particle-size distribution determined</w:t>
            </w:r>
            <w:r>
              <w:rPr>
                <w:rFonts w:ascii="Times New Roman" w:eastAsia="Times New Roman" w:hAnsi="Times New Roman" w:cs="Times New Roman"/>
                <w:sz w:val="26"/>
                <w:szCs w:val="26"/>
              </w:rPr>
              <w:t xml:space="preserve"> by </w:t>
            </w:r>
            <w:r w:rsidR="00A63DBA">
              <w:rPr>
                <w:rFonts w:ascii="Times New Roman" w:eastAsia="Times New Roman" w:hAnsi="Times New Roman" w:cs="Times New Roman"/>
                <w:sz w:val="26"/>
                <w:szCs w:val="26"/>
              </w:rPr>
              <w:t>l</w:t>
            </w:r>
            <w:r>
              <w:rPr>
                <w:rFonts w:ascii="Times New Roman" w:eastAsia="Times New Roman" w:hAnsi="Times New Roman" w:cs="Times New Roman"/>
                <w:sz w:val="26"/>
                <w:szCs w:val="26"/>
              </w:rPr>
              <w:t>aser diffraction (Pieri et al., 2006)</w:t>
            </w:r>
          </w:p>
          <w:p w14:paraId="42EBB336" w14:textId="6065A5E5" w:rsidR="00C05409" w:rsidRDefault="00C05409" w:rsidP="00D55C9E">
            <w:pPr>
              <w:spacing w:after="200" w:line="240" w:lineRule="auto"/>
              <w:jc w:val="center"/>
              <w:rPr>
                <w:rFonts w:ascii="Times New Roman" w:eastAsia="Times New Roman" w:hAnsi="Times New Roman" w:cs="Times New Roman"/>
                <w:sz w:val="26"/>
                <w:szCs w:val="26"/>
              </w:rPr>
            </w:pPr>
          </w:p>
        </w:tc>
      </w:tr>
      <w:tr w:rsidR="00C05409" w14:paraId="42EBB33B" w14:textId="77777777" w:rsidTr="00D06A93">
        <w:trPr>
          <w:trHeight w:val="540"/>
        </w:trPr>
        <w:tc>
          <w:tcPr>
            <w:tcW w:w="2835" w:type="dxa"/>
            <w:tcBorders>
              <w:top w:val="nil"/>
              <w:left w:val="nil"/>
              <w:bottom w:val="nil"/>
              <w:right w:val="nil"/>
            </w:tcBorders>
            <w:tcMar>
              <w:top w:w="0" w:type="dxa"/>
              <w:left w:w="100" w:type="dxa"/>
              <w:bottom w:w="0" w:type="dxa"/>
              <w:right w:w="100" w:type="dxa"/>
            </w:tcMar>
          </w:tcPr>
          <w:p w14:paraId="42EBB338" w14:textId="77777777" w:rsidR="00C05409" w:rsidRDefault="00C05409">
            <w:pPr>
              <w:spacing w:after="20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Silt (%)</w:t>
            </w:r>
          </w:p>
        </w:tc>
        <w:tc>
          <w:tcPr>
            <w:tcW w:w="2310" w:type="dxa"/>
            <w:tcBorders>
              <w:top w:val="nil"/>
              <w:left w:val="nil"/>
              <w:bottom w:val="nil"/>
              <w:right w:val="nil"/>
            </w:tcBorders>
            <w:tcMar>
              <w:top w:w="0" w:type="dxa"/>
              <w:left w:w="100" w:type="dxa"/>
              <w:bottom w:w="0" w:type="dxa"/>
              <w:right w:w="100" w:type="dxa"/>
            </w:tcMar>
          </w:tcPr>
          <w:p w14:paraId="42EBB339" w14:textId="77777777" w:rsidR="00C05409" w:rsidRDefault="00C05409">
            <w:pPr>
              <w:spacing w:after="20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45.66 ± 2.43</w:t>
            </w:r>
          </w:p>
        </w:tc>
        <w:tc>
          <w:tcPr>
            <w:tcW w:w="4425" w:type="dxa"/>
            <w:vMerge/>
            <w:tcBorders>
              <w:left w:val="nil"/>
              <w:right w:val="nil"/>
            </w:tcBorders>
            <w:tcMar>
              <w:top w:w="0" w:type="dxa"/>
              <w:left w:w="100" w:type="dxa"/>
              <w:bottom w:w="0" w:type="dxa"/>
              <w:right w:w="100" w:type="dxa"/>
            </w:tcMar>
          </w:tcPr>
          <w:p w14:paraId="42EBB33A" w14:textId="7E3026E0" w:rsidR="00C05409" w:rsidRDefault="00C05409" w:rsidP="00D06A93">
            <w:pPr>
              <w:spacing w:after="200" w:line="240" w:lineRule="auto"/>
              <w:jc w:val="both"/>
              <w:rPr>
                <w:rFonts w:ascii="Times New Roman" w:eastAsia="Times New Roman" w:hAnsi="Times New Roman" w:cs="Times New Roman"/>
                <w:sz w:val="26"/>
                <w:szCs w:val="26"/>
              </w:rPr>
            </w:pPr>
          </w:p>
        </w:tc>
      </w:tr>
      <w:tr w:rsidR="00C05409" w14:paraId="42EBB33F" w14:textId="77777777" w:rsidTr="00D06A93">
        <w:trPr>
          <w:trHeight w:val="540"/>
        </w:trPr>
        <w:tc>
          <w:tcPr>
            <w:tcW w:w="2835" w:type="dxa"/>
            <w:tcBorders>
              <w:top w:val="nil"/>
              <w:left w:val="nil"/>
              <w:bottom w:val="nil"/>
              <w:right w:val="nil"/>
            </w:tcBorders>
            <w:tcMar>
              <w:top w:w="0" w:type="dxa"/>
              <w:left w:w="100" w:type="dxa"/>
              <w:bottom w:w="0" w:type="dxa"/>
              <w:right w:w="100" w:type="dxa"/>
            </w:tcMar>
          </w:tcPr>
          <w:p w14:paraId="42EBB33C" w14:textId="77777777" w:rsidR="00C05409" w:rsidRDefault="00C05409">
            <w:pPr>
              <w:spacing w:after="20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Sand (%)</w:t>
            </w:r>
          </w:p>
        </w:tc>
        <w:tc>
          <w:tcPr>
            <w:tcW w:w="2310" w:type="dxa"/>
            <w:tcBorders>
              <w:top w:val="nil"/>
              <w:left w:val="nil"/>
              <w:bottom w:val="nil"/>
              <w:right w:val="nil"/>
            </w:tcBorders>
            <w:tcMar>
              <w:top w:w="0" w:type="dxa"/>
              <w:left w:w="100" w:type="dxa"/>
              <w:bottom w:w="0" w:type="dxa"/>
              <w:right w:w="100" w:type="dxa"/>
            </w:tcMar>
          </w:tcPr>
          <w:p w14:paraId="42EBB33D" w14:textId="77777777" w:rsidR="00C05409" w:rsidRDefault="00C05409">
            <w:pPr>
              <w:spacing w:after="20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44.33 ± 2.43</w:t>
            </w:r>
          </w:p>
        </w:tc>
        <w:tc>
          <w:tcPr>
            <w:tcW w:w="4425" w:type="dxa"/>
            <w:vMerge/>
            <w:tcBorders>
              <w:left w:val="nil"/>
              <w:bottom w:val="nil"/>
              <w:right w:val="nil"/>
            </w:tcBorders>
            <w:tcMar>
              <w:top w:w="0" w:type="dxa"/>
              <w:left w:w="100" w:type="dxa"/>
              <w:bottom w:w="0" w:type="dxa"/>
              <w:right w:w="100" w:type="dxa"/>
            </w:tcMar>
          </w:tcPr>
          <w:p w14:paraId="42EBB33E" w14:textId="1D3D354E" w:rsidR="00C05409" w:rsidRDefault="00C05409">
            <w:pPr>
              <w:spacing w:after="200" w:line="240" w:lineRule="auto"/>
              <w:jc w:val="both"/>
              <w:rPr>
                <w:rFonts w:ascii="Times New Roman" w:eastAsia="Times New Roman" w:hAnsi="Times New Roman" w:cs="Times New Roman"/>
                <w:sz w:val="26"/>
                <w:szCs w:val="26"/>
              </w:rPr>
            </w:pPr>
          </w:p>
        </w:tc>
      </w:tr>
      <w:tr w:rsidR="004471F5" w14:paraId="42EBB343" w14:textId="77777777">
        <w:trPr>
          <w:trHeight w:val="540"/>
        </w:trPr>
        <w:tc>
          <w:tcPr>
            <w:tcW w:w="2835" w:type="dxa"/>
            <w:tcBorders>
              <w:top w:val="nil"/>
              <w:left w:val="nil"/>
              <w:bottom w:val="nil"/>
              <w:right w:val="nil"/>
            </w:tcBorders>
            <w:tcMar>
              <w:top w:w="0" w:type="dxa"/>
              <w:left w:w="100" w:type="dxa"/>
              <w:bottom w:w="0" w:type="dxa"/>
              <w:right w:w="100" w:type="dxa"/>
            </w:tcMar>
          </w:tcPr>
          <w:p w14:paraId="42EBB340" w14:textId="77777777" w:rsidR="004471F5" w:rsidRDefault="006C573B">
            <w:pPr>
              <w:spacing w:after="20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Soil Texture</w:t>
            </w:r>
          </w:p>
        </w:tc>
        <w:tc>
          <w:tcPr>
            <w:tcW w:w="2310" w:type="dxa"/>
            <w:tcBorders>
              <w:top w:val="nil"/>
              <w:left w:val="nil"/>
              <w:bottom w:val="nil"/>
              <w:right w:val="nil"/>
            </w:tcBorders>
            <w:tcMar>
              <w:top w:w="0" w:type="dxa"/>
              <w:left w:w="100" w:type="dxa"/>
              <w:bottom w:w="0" w:type="dxa"/>
              <w:right w:w="100" w:type="dxa"/>
            </w:tcMar>
          </w:tcPr>
          <w:p w14:paraId="42EBB341" w14:textId="77777777" w:rsidR="004471F5" w:rsidRDefault="006C573B">
            <w:pPr>
              <w:spacing w:after="20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Loam</w:t>
            </w:r>
          </w:p>
        </w:tc>
        <w:tc>
          <w:tcPr>
            <w:tcW w:w="4425" w:type="dxa"/>
            <w:tcBorders>
              <w:top w:val="nil"/>
              <w:left w:val="nil"/>
              <w:bottom w:val="nil"/>
              <w:right w:val="nil"/>
            </w:tcBorders>
            <w:tcMar>
              <w:top w:w="0" w:type="dxa"/>
              <w:left w:w="100" w:type="dxa"/>
              <w:bottom w:w="0" w:type="dxa"/>
              <w:right w:w="100" w:type="dxa"/>
            </w:tcMar>
          </w:tcPr>
          <w:p w14:paraId="42EBB342" w14:textId="6CF39F72" w:rsidR="004471F5" w:rsidRDefault="00E73FAD">
            <w:pPr>
              <w:spacing w:after="200" w:line="240" w:lineRule="auto"/>
              <w:jc w:val="both"/>
              <w:rPr>
                <w:rFonts w:ascii="Times New Roman" w:eastAsia="Times New Roman" w:hAnsi="Times New Roman" w:cs="Times New Roman"/>
                <w:sz w:val="26"/>
                <w:szCs w:val="26"/>
              </w:rPr>
            </w:pPr>
            <w:r w:rsidRPr="00E73FAD">
              <w:rPr>
                <w:rFonts w:ascii="Times New Roman" w:eastAsia="Times New Roman" w:hAnsi="Times New Roman" w:cs="Times New Roman"/>
                <w:sz w:val="26"/>
                <w:szCs w:val="26"/>
              </w:rPr>
              <w:t>Classified according to USDA textural classes b</w:t>
            </w:r>
            <w:r>
              <w:rPr>
                <w:rFonts w:ascii="Times New Roman" w:eastAsia="Times New Roman" w:hAnsi="Times New Roman" w:cs="Times New Roman"/>
                <w:sz w:val="26"/>
                <w:szCs w:val="26"/>
              </w:rPr>
              <w:t>ased on particle size distribution</w:t>
            </w:r>
          </w:p>
        </w:tc>
      </w:tr>
      <w:tr w:rsidR="004471F5" w14:paraId="42EBB347" w14:textId="77777777">
        <w:trPr>
          <w:trHeight w:val="270"/>
        </w:trPr>
        <w:tc>
          <w:tcPr>
            <w:tcW w:w="2835" w:type="dxa"/>
            <w:tcBorders>
              <w:top w:val="nil"/>
              <w:left w:val="nil"/>
              <w:bottom w:val="nil"/>
              <w:right w:val="nil"/>
            </w:tcBorders>
            <w:tcMar>
              <w:top w:w="0" w:type="dxa"/>
              <w:left w:w="100" w:type="dxa"/>
              <w:bottom w:w="0" w:type="dxa"/>
              <w:right w:w="100" w:type="dxa"/>
            </w:tcMar>
          </w:tcPr>
          <w:p w14:paraId="42EBB344" w14:textId="77777777" w:rsidR="004471F5" w:rsidRDefault="006C573B">
            <w:pPr>
              <w:spacing w:after="20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Soil pH (1:2.5)</w:t>
            </w:r>
          </w:p>
        </w:tc>
        <w:tc>
          <w:tcPr>
            <w:tcW w:w="2310" w:type="dxa"/>
            <w:tcBorders>
              <w:top w:val="nil"/>
              <w:left w:val="nil"/>
              <w:bottom w:val="nil"/>
              <w:right w:val="nil"/>
            </w:tcBorders>
            <w:tcMar>
              <w:top w:w="0" w:type="dxa"/>
              <w:left w:w="100" w:type="dxa"/>
              <w:bottom w:w="0" w:type="dxa"/>
              <w:right w:w="100" w:type="dxa"/>
            </w:tcMar>
          </w:tcPr>
          <w:p w14:paraId="42EBB345" w14:textId="77777777" w:rsidR="004471F5" w:rsidRDefault="006C573B">
            <w:pPr>
              <w:spacing w:after="20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7.5 ± 0.46</w:t>
            </w:r>
          </w:p>
        </w:tc>
        <w:tc>
          <w:tcPr>
            <w:tcW w:w="4425" w:type="dxa"/>
            <w:tcBorders>
              <w:top w:val="nil"/>
              <w:left w:val="nil"/>
              <w:bottom w:val="nil"/>
              <w:right w:val="nil"/>
            </w:tcBorders>
            <w:tcMar>
              <w:top w:w="0" w:type="dxa"/>
              <w:left w:w="100" w:type="dxa"/>
              <w:bottom w:w="0" w:type="dxa"/>
              <w:right w:w="100" w:type="dxa"/>
            </w:tcMar>
          </w:tcPr>
          <w:p w14:paraId="42EBB346" w14:textId="5938DAA3" w:rsidR="004471F5" w:rsidRDefault="00E73FAD">
            <w:pPr>
              <w:spacing w:after="200" w:line="240" w:lineRule="auto"/>
              <w:jc w:val="both"/>
              <w:rPr>
                <w:rFonts w:ascii="Times New Roman" w:eastAsia="Times New Roman" w:hAnsi="Times New Roman" w:cs="Times New Roman"/>
                <w:sz w:val="26"/>
                <w:szCs w:val="26"/>
              </w:rPr>
            </w:pPr>
            <w:r w:rsidRPr="00E73FAD">
              <w:rPr>
                <w:rFonts w:ascii="Times New Roman" w:eastAsia="Times New Roman" w:hAnsi="Times New Roman" w:cs="Times New Roman"/>
                <w:sz w:val="26"/>
                <w:szCs w:val="26"/>
              </w:rPr>
              <w:t>Measured potentiometrically in a 1:2.5 soil-to-deionised water suspension following standard soil pH determination procedures</w:t>
            </w:r>
          </w:p>
        </w:tc>
      </w:tr>
      <w:tr w:rsidR="004471F5" w14:paraId="42EBB34B" w14:textId="77777777">
        <w:trPr>
          <w:trHeight w:val="540"/>
        </w:trPr>
        <w:tc>
          <w:tcPr>
            <w:tcW w:w="2835" w:type="dxa"/>
            <w:tcBorders>
              <w:top w:val="nil"/>
              <w:left w:val="nil"/>
              <w:bottom w:val="nil"/>
              <w:right w:val="nil"/>
            </w:tcBorders>
            <w:tcMar>
              <w:top w:w="0" w:type="dxa"/>
              <w:left w:w="100" w:type="dxa"/>
              <w:bottom w:w="0" w:type="dxa"/>
              <w:right w:w="100" w:type="dxa"/>
            </w:tcMar>
          </w:tcPr>
          <w:p w14:paraId="42EBB348" w14:textId="77777777" w:rsidR="004471F5" w:rsidRDefault="006C573B">
            <w:pPr>
              <w:spacing w:after="20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Electrical Conductivity (</w:t>
            </w:r>
            <w:proofErr w:type="spellStart"/>
            <w:r>
              <w:rPr>
                <w:rFonts w:ascii="Times New Roman" w:eastAsia="Times New Roman" w:hAnsi="Times New Roman" w:cs="Times New Roman"/>
                <w:sz w:val="26"/>
                <w:szCs w:val="26"/>
              </w:rPr>
              <w:t>dS</w:t>
            </w:r>
            <w:proofErr w:type="spellEnd"/>
            <w:r>
              <w:rPr>
                <w:rFonts w:ascii="Times New Roman" w:eastAsia="Times New Roman" w:hAnsi="Times New Roman" w:cs="Times New Roman"/>
                <w:sz w:val="26"/>
                <w:szCs w:val="26"/>
              </w:rPr>
              <w:t xml:space="preserve"> m⁻¹; 1:5)</w:t>
            </w:r>
          </w:p>
        </w:tc>
        <w:tc>
          <w:tcPr>
            <w:tcW w:w="2310" w:type="dxa"/>
            <w:tcBorders>
              <w:top w:val="nil"/>
              <w:left w:val="nil"/>
              <w:bottom w:val="nil"/>
              <w:right w:val="nil"/>
            </w:tcBorders>
            <w:tcMar>
              <w:top w:w="0" w:type="dxa"/>
              <w:left w:w="100" w:type="dxa"/>
              <w:bottom w:w="0" w:type="dxa"/>
              <w:right w:w="100" w:type="dxa"/>
            </w:tcMar>
          </w:tcPr>
          <w:p w14:paraId="42EBB349" w14:textId="77777777" w:rsidR="004471F5" w:rsidRDefault="006C573B">
            <w:pPr>
              <w:spacing w:after="20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0.10 ± 0.05</w:t>
            </w:r>
          </w:p>
        </w:tc>
        <w:tc>
          <w:tcPr>
            <w:tcW w:w="4425" w:type="dxa"/>
            <w:tcBorders>
              <w:top w:val="nil"/>
              <w:left w:val="nil"/>
              <w:bottom w:val="nil"/>
              <w:right w:val="nil"/>
            </w:tcBorders>
            <w:tcMar>
              <w:top w:w="0" w:type="dxa"/>
              <w:left w:w="100" w:type="dxa"/>
              <w:bottom w:w="0" w:type="dxa"/>
              <w:right w:w="100" w:type="dxa"/>
            </w:tcMar>
          </w:tcPr>
          <w:p w14:paraId="42EBB34A" w14:textId="752893BA" w:rsidR="004471F5" w:rsidRDefault="00D15DF3">
            <w:pPr>
              <w:spacing w:after="200" w:line="240" w:lineRule="auto"/>
              <w:jc w:val="both"/>
              <w:rPr>
                <w:rFonts w:ascii="Times New Roman" w:eastAsia="Times New Roman" w:hAnsi="Times New Roman" w:cs="Times New Roman"/>
                <w:sz w:val="26"/>
                <w:szCs w:val="26"/>
              </w:rPr>
            </w:pPr>
            <w:r w:rsidRPr="00D15DF3">
              <w:rPr>
                <w:rFonts w:ascii="Times New Roman" w:eastAsia="Times New Roman" w:hAnsi="Times New Roman" w:cs="Times New Roman"/>
                <w:sz w:val="26"/>
                <w:szCs w:val="26"/>
              </w:rPr>
              <w:t xml:space="preserve">Measured </w:t>
            </w:r>
            <w:proofErr w:type="spellStart"/>
            <w:r w:rsidRPr="00D15DF3">
              <w:rPr>
                <w:rFonts w:ascii="Times New Roman" w:eastAsia="Times New Roman" w:hAnsi="Times New Roman" w:cs="Times New Roman"/>
                <w:sz w:val="26"/>
                <w:szCs w:val="26"/>
              </w:rPr>
              <w:t>conductometrically</w:t>
            </w:r>
            <w:proofErr w:type="spellEnd"/>
            <w:r w:rsidRPr="00D15DF3">
              <w:rPr>
                <w:rFonts w:ascii="Times New Roman" w:eastAsia="Times New Roman" w:hAnsi="Times New Roman" w:cs="Times New Roman"/>
                <w:sz w:val="26"/>
                <w:szCs w:val="26"/>
              </w:rPr>
              <w:t xml:space="preserve"> in a 1:5 soil-to-water extract</w:t>
            </w:r>
          </w:p>
        </w:tc>
      </w:tr>
      <w:tr w:rsidR="004471F5" w14:paraId="42EBB34F" w14:textId="77777777">
        <w:trPr>
          <w:trHeight w:val="270"/>
        </w:trPr>
        <w:tc>
          <w:tcPr>
            <w:tcW w:w="2835" w:type="dxa"/>
            <w:tcBorders>
              <w:top w:val="nil"/>
              <w:left w:val="nil"/>
              <w:bottom w:val="nil"/>
              <w:right w:val="nil"/>
            </w:tcBorders>
            <w:tcMar>
              <w:top w:w="0" w:type="dxa"/>
              <w:left w:w="100" w:type="dxa"/>
              <w:bottom w:w="0" w:type="dxa"/>
              <w:right w:w="100" w:type="dxa"/>
            </w:tcMar>
          </w:tcPr>
          <w:p w14:paraId="42EBB34C" w14:textId="77777777" w:rsidR="004471F5" w:rsidRDefault="006C573B">
            <w:pPr>
              <w:spacing w:after="20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Total Carbon (g kg⁻¹)</w:t>
            </w:r>
          </w:p>
        </w:tc>
        <w:tc>
          <w:tcPr>
            <w:tcW w:w="2310" w:type="dxa"/>
            <w:tcBorders>
              <w:top w:val="nil"/>
              <w:left w:val="nil"/>
              <w:bottom w:val="nil"/>
              <w:right w:val="nil"/>
            </w:tcBorders>
            <w:tcMar>
              <w:top w:w="0" w:type="dxa"/>
              <w:left w:w="100" w:type="dxa"/>
              <w:bottom w:w="0" w:type="dxa"/>
              <w:right w:w="100" w:type="dxa"/>
            </w:tcMar>
          </w:tcPr>
          <w:p w14:paraId="42EBB34D" w14:textId="77777777" w:rsidR="004471F5" w:rsidRDefault="006C573B">
            <w:pPr>
              <w:spacing w:after="20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9.7 ± 0.56</w:t>
            </w:r>
          </w:p>
        </w:tc>
        <w:tc>
          <w:tcPr>
            <w:tcW w:w="4425" w:type="dxa"/>
            <w:tcBorders>
              <w:top w:val="nil"/>
              <w:left w:val="nil"/>
              <w:bottom w:val="nil"/>
              <w:right w:val="nil"/>
            </w:tcBorders>
            <w:tcMar>
              <w:top w:w="0" w:type="dxa"/>
              <w:left w:w="100" w:type="dxa"/>
              <w:bottom w:w="0" w:type="dxa"/>
              <w:right w:w="100" w:type="dxa"/>
            </w:tcMar>
          </w:tcPr>
          <w:p w14:paraId="42EBB34E" w14:textId="30B831B8" w:rsidR="004471F5" w:rsidRDefault="00D15DF3">
            <w:pPr>
              <w:spacing w:after="200" w:line="240" w:lineRule="auto"/>
              <w:jc w:val="both"/>
              <w:rPr>
                <w:rFonts w:ascii="Times New Roman" w:eastAsia="Times New Roman" w:hAnsi="Times New Roman" w:cs="Times New Roman"/>
                <w:sz w:val="26"/>
                <w:szCs w:val="26"/>
              </w:rPr>
            </w:pPr>
            <w:r w:rsidRPr="00D15DF3">
              <w:rPr>
                <w:rFonts w:ascii="Times New Roman" w:eastAsia="Times New Roman" w:hAnsi="Times New Roman" w:cs="Times New Roman"/>
                <w:sz w:val="26"/>
                <w:szCs w:val="26"/>
              </w:rPr>
              <w:t>Determined by dry combustion using an elemental analyser following ASA–CSSA–SSSA soil analysis procedures</w:t>
            </w:r>
          </w:p>
        </w:tc>
      </w:tr>
      <w:tr w:rsidR="004471F5" w14:paraId="42EBB353" w14:textId="77777777">
        <w:trPr>
          <w:trHeight w:val="285"/>
        </w:trPr>
        <w:tc>
          <w:tcPr>
            <w:tcW w:w="2835" w:type="dxa"/>
            <w:tcBorders>
              <w:top w:val="nil"/>
              <w:left w:val="nil"/>
              <w:bottom w:val="single" w:sz="6" w:space="0" w:color="000000"/>
              <w:right w:val="nil"/>
            </w:tcBorders>
            <w:tcMar>
              <w:top w:w="0" w:type="dxa"/>
              <w:left w:w="100" w:type="dxa"/>
              <w:bottom w:w="0" w:type="dxa"/>
              <w:right w:w="100" w:type="dxa"/>
            </w:tcMar>
          </w:tcPr>
          <w:p w14:paraId="42EBB350" w14:textId="77777777" w:rsidR="004471F5" w:rsidRDefault="006C573B">
            <w:pPr>
              <w:spacing w:after="20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CEC (</w:t>
            </w:r>
            <w:proofErr w:type="spellStart"/>
            <w:r>
              <w:rPr>
                <w:rFonts w:ascii="Times New Roman" w:eastAsia="Times New Roman" w:hAnsi="Times New Roman" w:cs="Times New Roman"/>
                <w:sz w:val="26"/>
                <w:szCs w:val="26"/>
              </w:rPr>
              <w:t>meq</w:t>
            </w:r>
            <w:proofErr w:type="spellEnd"/>
            <w:r>
              <w:rPr>
                <w:rFonts w:ascii="Times New Roman" w:eastAsia="Times New Roman" w:hAnsi="Times New Roman" w:cs="Times New Roman"/>
                <w:sz w:val="26"/>
                <w:szCs w:val="26"/>
              </w:rPr>
              <w:t xml:space="preserve"> 100 g⁻¹)</w:t>
            </w:r>
          </w:p>
        </w:tc>
        <w:tc>
          <w:tcPr>
            <w:tcW w:w="2310" w:type="dxa"/>
            <w:tcBorders>
              <w:top w:val="nil"/>
              <w:left w:val="nil"/>
              <w:bottom w:val="single" w:sz="6" w:space="0" w:color="000000"/>
              <w:right w:val="nil"/>
            </w:tcBorders>
            <w:tcMar>
              <w:top w:w="0" w:type="dxa"/>
              <w:left w:w="100" w:type="dxa"/>
              <w:bottom w:w="0" w:type="dxa"/>
              <w:right w:w="100" w:type="dxa"/>
            </w:tcMar>
          </w:tcPr>
          <w:p w14:paraId="42EBB351" w14:textId="77777777" w:rsidR="004471F5" w:rsidRDefault="006C573B">
            <w:pPr>
              <w:spacing w:after="20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24.03 ± 2.5</w:t>
            </w:r>
          </w:p>
        </w:tc>
        <w:tc>
          <w:tcPr>
            <w:tcW w:w="4425" w:type="dxa"/>
            <w:tcBorders>
              <w:top w:val="nil"/>
              <w:left w:val="nil"/>
              <w:bottom w:val="single" w:sz="6" w:space="0" w:color="000000"/>
              <w:right w:val="nil"/>
            </w:tcBorders>
            <w:tcMar>
              <w:top w:w="0" w:type="dxa"/>
              <w:left w:w="100" w:type="dxa"/>
              <w:bottom w:w="0" w:type="dxa"/>
              <w:right w:w="100" w:type="dxa"/>
            </w:tcMar>
          </w:tcPr>
          <w:p w14:paraId="42EBB352" w14:textId="25583018" w:rsidR="004471F5" w:rsidRDefault="00D15DF3">
            <w:pPr>
              <w:spacing w:after="200" w:line="240" w:lineRule="auto"/>
              <w:jc w:val="both"/>
              <w:rPr>
                <w:rFonts w:ascii="Times New Roman" w:eastAsia="Times New Roman" w:hAnsi="Times New Roman" w:cs="Times New Roman"/>
                <w:sz w:val="26"/>
                <w:szCs w:val="26"/>
              </w:rPr>
            </w:pPr>
            <w:r w:rsidRPr="00D15DF3">
              <w:rPr>
                <w:rFonts w:ascii="Times New Roman" w:eastAsia="Times New Roman" w:hAnsi="Times New Roman" w:cs="Times New Roman"/>
                <w:sz w:val="26"/>
                <w:szCs w:val="26"/>
              </w:rPr>
              <w:t>Determined by ammonium acetate extraction at pH 7.0 followed by quantification of exchangeable cations</w:t>
            </w:r>
          </w:p>
        </w:tc>
      </w:tr>
    </w:tbl>
    <w:p w14:paraId="42EBB354" w14:textId="77777777" w:rsidR="004471F5" w:rsidRDefault="006C573B">
      <w:pPr>
        <w:spacing w:before="240" w:after="24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r>
        <w:br w:type="page"/>
      </w:r>
    </w:p>
    <w:p w14:paraId="42EBB355" w14:textId="77777777" w:rsidR="004471F5" w:rsidRDefault="004471F5">
      <w:pPr>
        <w:jc w:val="both"/>
        <w:rPr>
          <w:rFonts w:ascii="Times New Roman" w:eastAsia="Times New Roman" w:hAnsi="Times New Roman" w:cs="Times New Roman"/>
          <w:sz w:val="26"/>
          <w:szCs w:val="26"/>
        </w:rPr>
      </w:pPr>
    </w:p>
    <w:p w14:paraId="42EBB356" w14:textId="77777777" w:rsidR="004471F5" w:rsidRDefault="004471F5">
      <w:pPr>
        <w:jc w:val="both"/>
        <w:rPr>
          <w:rFonts w:ascii="Times New Roman" w:eastAsia="Times New Roman" w:hAnsi="Times New Roman" w:cs="Times New Roman"/>
          <w:sz w:val="26"/>
          <w:szCs w:val="26"/>
        </w:rPr>
      </w:pPr>
    </w:p>
    <w:p w14:paraId="42EBB357" w14:textId="02CA3426" w:rsidR="004471F5" w:rsidRDefault="006D1A59">
      <w:pPr>
        <w:spacing w:after="160" w:line="259" w:lineRule="auto"/>
        <w:jc w:val="both"/>
        <w:rPr>
          <w:rFonts w:ascii="Times New Roman" w:eastAsia="Times New Roman" w:hAnsi="Times New Roman" w:cs="Times New Roman"/>
          <w:sz w:val="26"/>
          <w:szCs w:val="26"/>
        </w:rPr>
      </w:pPr>
      <w:r>
        <w:rPr>
          <w:rFonts w:ascii="Times New Roman" w:eastAsia="Times New Roman" w:hAnsi="Times New Roman" w:cs="Times New Roman"/>
          <w:noProof/>
          <w:sz w:val="26"/>
          <w:szCs w:val="26"/>
        </w:rPr>
        <w:drawing>
          <wp:inline distT="0" distB="0" distL="0" distR="0" wp14:anchorId="223F4250" wp14:editId="58E6FD2A">
            <wp:extent cx="5733415" cy="3904947"/>
            <wp:effectExtent l="0" t="0" r="635" b="635"/>
            <wp:docPr id="173977444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9774449" name="Picture 1739774449"/>
                    <pic:cNvPicPr/>
                  </pic:nvPicPr>
                  <pic:blipFill rotWithShape="1">
                    <a:blip r:embed="rId4" cstate="print">
                      <a:extLst>
                        <a:ext uri="{28A0092B-C50C-407E-A947-70E740481C1C}">
                          <a14:useLocalDpi xmlns:a14="http://schemas.microsoft.com/office/drawing/2010/main" val="0"/>
                        </a:ext>
                      </a:extLst>
                    </a:blip>
                    <a:srcRect t="4288"/>
                    <a:stretch>
                      <a:fillRect/>
                    </a:stretch>
                  </pic:blipFill>
                  <pic:spPr bwMode="auto">
                    <a:xfrm>
                      <a:off x="0" y="0"/>
                      <a:ext cx="5733415" cy="3904947"/>
                    </a:xfrm>
                    <a:prstGeom prst="rect">
                      <a:avLst/>
                    </a:prstGeom>
                    <a:ln>
                      <a:noFill/>
                    </a:ln>
                    <a:extLst>
                      <a:ext uri="{53640926-AAD7-44D8-BBD7-CCE9431645EC}">
                        <a14:shadowObscured xmlns:a14="http://schemas.microsoft.com/office/drawing/2010/main"/>
                      </a:ext>
                    </a:extLst>
                  </pic:spPr>
                </pic:pic>
              </a:graphicData>
            </a:graphic>
          </wp:inline>
        </w:drawing>
      </w:r>
    </w:p>
    <w:p w14:paraId="42EBB358" w14:textId="1C0C1846" w:rsidR="00FF198D" w:rsidRDefault="006C573B">
      <w:pPr>
        <w:jc w:val="both"/>
        <w:rPr>
          <w:rFonts w:ascii="Times New Roman" w:eastAsia="Times New Roman" w:hAnsi="Times New Roman" w:cs="Times New Roman"/>
          <w:sz w:val="26"/>
          <w:szCs w:val="26"/>
        </w:rPr>
      </w:pPr>
      <w:r>
        <w:rPr>
          <w:rFonts w:ascii="Times New Roman" w:eastAsia="Times New Roman" w:hAnsi="Times New Roman" w:cs="Times New Roman"/>
          <w:b/>
          <w:bCs/>
          <w:sz w:val="26"/>
          <w:szCs w:val="26"/>
        </w:rPr>
        <w:t xml:space="preserve">Figure S1. </w:t>
      </w:r>
      <w:r w:rsidR="00481BDD" w:rsidRPr="00065DEA">
        <w:rPr>
          <w:rFonts w:ascii="Times New Roman" w:eastAsia="Times New Roman" w:hAnsi="Times New Roman" w:cs="Times New Roman"/>
          <w:b/>
          <w:bCs/>
          <w:sz w:val="26"/>
          <w:szCs w:val="26"/>
        </w:rPr>
        <w:t xml:space="preserve">Principal component analysis of root morphological variation across 20 wheat genotypes grown under low nitrogen fertilisation (48 kg N ha⁻¹) in </w:t>
      </w:r>
      <w:r w:rsidR="00FD22DD">
        <w:rPr>
          <w:rFonts w:ascii="Times New Roman" w:eastAsia="Times New Roman" w:hAnsi="Times New Roman" w:cs="Times New Roman"/>
          <w:b/>
          <w:bCs/>
          <w:sz w:val="26"/>
          <w:szCs w:val="26"/>
        </w:rPr>
        <w:t>a</w:t>
      </w:r>
      <w:r w:rsidR="00481BDD" w:rsidRPr="00065DEA">
        <w:rPr>
          <w:rFonts w:ascii="Times New Roman" w:eastAsia="Times New Roman" w:hAnsi="Times New Roman" w:cs="Times New Roman"/>
          <w:b/>
          <w:bCs/>
          <w:sz w:val="26"/>
          <w:szCs w:val="26"/>
        </w:rPr>
        <w:t xml:space="preserve"> field trial</w:t>
      </w:r>
      <w:r w:rsidR="00481BDD" w:rsidRPr="00481BDD">
        <w:rPr>
          <w:rFonts w:ascii="Times New Roman" w:eastAsia="Times New Roman" w:hAnsi="Times New Roman" w:cs="Times New Roman"/>
          <w:sz w:val="26"/>
          <w:szCs w:val="26"/>
        </w:rPr>
        <w:t xml:space="preserve">. </w:t>
      </w:r>
      <w:r w:rsidR="00060F8A" w:rsidRPr="00060F8A">
        <w:rPr>
          <w:rFonts w:ascii="Times New Roman" w:eastAsia="Times New Roman" w:hAnsi="Times New Roman" w:cs="Times New Roman"/>
          <w:sz w:val="26"/>
          <w:szCs w:val="26"/>
        </w:rPr>
        <w:t xml:space="preserve">PCA was performed on 32 root architectural and topological traits extracted from root crown imaging and RhizoVision Explorer analysis, using genotype-level means across nine replicate plants per genotype (three plants sampled from each of three field plots). Variables were centred to zero mean and scaled to unit variance prior to </w:t>
      </w:r>
      <w:proofErr w:type="spellStart"/>
      <w:r w:rsidR="00060F8A" w:rsidRPr="00060F8A">
        <w:rPr>
          <w:rFonts w:ascii="Times New Roman" w:eastAsia="Times New Roman" w:hAnsi="Times New Roman" w:cs="Times New Roman"/>
          <w:sz w:val="26"/>
          <w:szCs w:val="26"/>
        </w:rPr>
        <w:t>eigendecomposition</w:t>
      </w:r>
      <w:proofErr w:type="spellEnd"/>
      <w:r w:rsidR="00060F8A" w:rsidRPr="00060F8A">
        <w:rPr>
          <w:rFonts w:ascii="Times New Roman" w:eastAsia="Times New Roman" w:hAnsi="Times New Roman" w:cs="Times New Roman"/>
          <w:sz w:val="26"/>
          <w:szCs w:val="26"/>
        </w:rPr>
        <w:t xml:space="preserve"> (i.e. PCA was performed on the correlation matrix), so that each trait contributed equally to the analysis irrespective of its measurement unit or numerical range. PC1 explained 43.7% of the total variance and primarily separated genotypes by overall root system size and fine-root development (left = smaller, thinner root systems; right = larger fine-root systems), with the strongest positive loadings on total root length, perimeter, number of holes (a proxy for branching), and the surface area, length and volume of fine-diameter roots. PC2 explained 33.4% of total variance and reflected an orthogonal axis of root thickness (lower values = finer roots; higher values = thicker roots), with the strongest positive loadings on mean, median and maximum root diameter and on the surface area and projected area of coarse-diameter roots. Together, PC1 and PC2 captured 77.1% of the trait variance among genotypes. Coloured points represent genotype groups according to germplasm class: Watkins bread-wheat landraces (</w:t>
      </w:r>
      <w:r w:rsidR="00060F8A" w:rsidRPr="00060F8A">
        <w:rPr>
          <w:rFonts w:ascii="Times New Roman" w:eastAsia="Times New Roman" w:hAnsi="Times New Roman" w:cs="Times New Roman"/>
          <w:i/>
          <w:iCs/>
          <w:sz w:val="26"/>
          <w:szCs w:val="26"/>
        </w:rPr>
        <w:t>Triticum aestivum</w:t>
      </w:r>
      <w:r w:rsidR="00060F8A" w:rsidRPr="00060F8A">
        <w:rPr>
          <w:rFonts w:ascii="Times New Roman" w:eastAsia="Times New Roman" w:hAnsi="Times New Roman" w:cs="Times New Roman"/>
          <w:sz w:val="26"/>
          <w:szCs w:val="26"/>
        </w:rPr>
        <w:t xml:space="preserve">, blue), modern bread-wheat cultivars (Paragon, Bologna; red), modern durum-wheat cultivars (Monastir, Svevo; orange), </w:t>
      </w:r>
      <w:r w:rsidR="00060F8A" w:rsidRPr="00060F8A">
        <w:rPr>
          <w:rFonts w:ascii="Times New Roman" w:eastAsia="Times New Roman" w:hAnsi="Times New Roman" w:cs="Times New Roman"/>
          <w:sz w:val="26"/>
          <w:szCs w:val="26"/>
        </w:rPr>
        <w:lastRenderedPageBreak/>
        <w:t>durum and other tetraploid landraces (green), and emmer (</w:t>
      </w:r>
      <w:r w:rsidR="00060F8A" w:rsidRPr="00060F8A">
        <w:rPr>
          <w:rFonts w:ascii="Times New Roman" w:eastAsia="Times New Roman" w:hAnsi="Times New Roman" w:cs="Times New Roman"/>
          <w:i/>
          <w:iCs/>
          <w:sz w:val="26"/>
          <w:szCs w:val="26"/>
        </w:rPr>
        <w:t xml:space="preserve">T. </w:t>
      </w:r>
      <w:proofErr w:type="spellStart"/>
      <w:r w:rsidR="00060F8A" w:rsidRPr="00060F8A">
        <w:rPr>
          <w:rFonts w:ascii="Times New Roman" w:eastAsia="Times New Roman" w:hAnsi="Times New Roman" w:cs="Times New Roman"/>
          <w:i/>
          <w:iCs/>
          <w:sz w:val="26"/>
          <w:szCs w:val="26"/>
        </w:rPr>
        <w:t>dicoccum</w:t>
      </w:r>
      <w:proofErr w:type="spellEnd"/>
      <w:r w:rsidR="00060F8A" w:rsidRPr="00060F8A">
        <w:rPr>
          <w:rFonts w:ascii="Times New Roman" w:eastAsia="Times New Roman" w:hAnsi="Times New Roman" w:cs="Times New Roman"/>
          <w:sz w:val="26"/>
          <w:szCs w:val="26"/>
        </w:rPr>
        <w:t>; purple). Dashed ellipses indicate the one-standard-deviation dispersion of each genotype group containing three or more members. Genotypes highlighted with black outlines (Paragon, Bologna, Senatore Cappelli and Watkins 238) were selected for subsequent rhizosphere hydraulic characterisation to represent contrasting root phenotypes across the PCA space, jointly spanning 81% of the observed PC1 range and 88% of the PC2 range across four distinct quadrants of root-trait space. The two modern bread-wheat cultivars (Paragon, Bologna) provide a within-class contrast between a large, thicker-rooted (Paragon) and a compact, fine-rooted (Bologna) phenotype, complemented by a Watkins bread-wheat landrace at the high-extent end of PC1 (Watkins 238) and a heritage durum landrace at the extreme of large, thick-rooted phenotypes (Senatore Cappelli).</w:t>
      </w:r>
      <w:r w:rsidR="00481BDD" w:rsidRPr="00481BDD">
        <w:rPr>
          <w:rFonts w:ascii="Times New Roman" w:eastAsia="Times New Roman" w:hAnsi="Times New Roman" w:cs="Times New Roman"/>
          <w:sz w:val="26"/>
          <w:szCs w:val="26"/>
        </w:rPr>
        <w:t xml:space="preserve"> </w:t>
      </w:r>
    </w:p>
    <w:p w14:paraId="4F9C1A85" w14:textId="77777777" w:rsidR="00FF198D" w:rsidRDefault="00FF198D">
      <w:pPr>
        <w:rPr>
          <w:rFonts w:ascii="Times New Roman" w:eastAsia="Times New Roman" w:hAnsi="Times New Roman" w:cs="Times New Roman"/>
          <w:sz w:val="26"/>
          <w:szCs w:val="26"/>
        </w:rPr>
      </w:pPr>
      <w:r>
        <w:rPr>
          <w:rFonts w:ascii="Times New Roman" w:eastAsia="Times New Roman" w:hAnsi="Times New Roman" w:cs="Times New Roman"/>
          <w:sz w:val="26"/>
          <w:szCs w:val="26"/>
        </w:rPr>
        <w:br w:type="page"/>
      </w:r>
    </w:p>
    <w:p w14:paraId="1B2763E9" w14:textId="77777777" w:rsidR="004471F5" w:rsidRDefault="004471F5">
      <w:pPr>
        <w:jc w:val="both"/>
        <w:rPr>
          <w:rFonts w:ascii="Times New Roman" w:eastAsia="Times New Roman" w:hAnsi="Times New Roman" w:cs="Times New Roman"/>
          <w:sz w:val="26"/>
          <w:szCs w:val="26"/>
        </w:rPr>
      </w:pPr>
    </w:p>
    <w:p w14:paraId="42EBB359" w14:textId="77777777" w:rsidR="004471F5" w:rsidRDefault="004471F5">
      <w:pPr>
        <w:jc w:val="both"/>
        <w:rPr>
          <w:rFonts w:ascii="Times New Roman" w:eastAsia="Times New Roman" w:hAnsi="Times New Roman" w:cs="Times New Roman"/>
          <w:sz w:val="26"/>
          <w:szCs w:val="26"/>
        </w:rPr>
      </w:pPr>
    </w:p>
    <w:p w14:paraId="42EBB35A" w14:textId="77777777" w:rsidR="004471F5" w:rsidRDefault="006C573B">
      <w:pPr>
        <w:spacing w:after="160" w:line="259" w:lineRule="auto"/>
        <w:jc w:val="both"/>
        <w:rPr>
          <w:rFonts w:ascii="Times New Roman" w:eastAsia="Times New Roman" w:hAnsi="Times New Roman" w:cs="Times New Roman"/>
          <w:b/>
          <w:bCs/>
          <w:sz w:val="26"/>
          <w:szCs w:val="26"/>
        </w:rPr>
      </w:pPr>
      <w:r>
        <w:rPr>
          <w:rFonts w:ascii="Times New Roman" w:eastAsia="Times New Roman" w:hAnsi="Times New Roman" w:cs="Times New Roman"/>
          <w:noProof/>
          <w:sz w:val="26"/>
          <w:szCs w:val="26"/>
        </w:rPr>
        <w:drawing>
          <wp:inline distT="114300" distB="114300" distL="114300" distR="114300" wp14:anchorId="42EBB374" wp14:editId="42EBB375">
            <wp:extent cx="5731200" cy="3225800"/>
            <wp:effectExtent l="0" t="0" r="0" b="0"/>
            <wp:docPr id="5"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5"/>
                    <a:srcRect/>
                    <a:stretch>
                      <a:fillRect/>
                    </a:stretch>
                  </pic:blipFill>
                  <pic:spPr>
                    <a:xfrm>
                      <a:off x="0" y="0"/>
                      <a:ext cx="5731200" cy="3225800"/>
                    </a:xfrm>
                    <a:prstGeom prst="rect">
                      <a:avLst/>
                    </a:prstGeom>
                    <a:ln/>
                  </pic:spPr>
                </pic:pic>
              </a:graphicData>
            </a:graphic>
          </wp:inline>
        </w:drawing>
      </w:r>
    </w:p>
    <w:p w14:paraId="42EBB35B" w14:textId="77777777" w:rsidR="004471F5" w:rsidRDefault="004471F5">
      <w:pPr>
        <w:jc w:val="both"/>
        <w:rPr>
          <w:rFonts w:ascii="Times New Roman" w:eastAsia="Times New Roman" w:hAnsi="Times New Roman" w:cs="Times New Roman"/>
          <w:b/>
          <w:bCs/>
          <w:sz w:val="26"/>
          <w:szCs w:val="26"/>
        </w:rPr>
      </w:pPr>
    </w:p>
    <w:p w14:paraId="42EBB35C" w14:textId="77777777" w:rsidR="004471F5" w:rsidRDefault="006C573B">
      <w:pPr>
        <w:jc w:val="both"/>
        <w:rPr>
          <w:rFonts w:ascii="Times New Roman" w:eastAsia="Times New Roman" w:hAnsi="Times New Roman" w:cs="Times New Roman"/>
          <w:sz w:val="26"/>
          <w:szCs w:val="26"/>
        </w:rPr>
      </w:pPr>
      <w:r>
        <w:rPr>
          <w:rFonts w:ascii="Times New Roman" w:eastAsia="Times New Roman" w:hAnsi="Times New Roman" w:cs="Times New Roman"/>
          <w:b/>
          <w:bCs/>
          <w:sz w:val="26"/>
          <w:szCs w:val="26"/>
        </w:rPr>
        <w:t>Figure S2</w:t>
      </w:r>
      <w:r>
        <w:rPr>
          <w:rFonts w:ascii="Times New Roman" w:eastAsia="Times New Roman" w:hAnsi="Times New Roman" w:cs="Times New Roman"/>
          <w:sz w:val="26"/>
          <w:szCs w:val="26"/>
        </w:rPr>
        <w:t>. Image analysis workflow using RhizoVision Explorer: extraction of root system architecture traits from whole root images (top) and detailed morphometric data from broken root samples (bottom). Root crowns of the four wheat genotypes with insets showing representative subsamples used for broken-root analysis. Lower panels show RhizoVision Explorer outputs with root segments colour-coded by diameter (red = fine roots; blue = thicker roots). Coloured polygons indicate fragmented root components, and the outer blue contour represents the convex hull of each root system.</w:t>
      </w:r>
    </w:p>
    <w:p w14:paraId="42EBB35D" w14:textId="77777777" w:rsidR="004471F5" w:rsidRDefault="004471F5">
      <w:pPr>
        <w:jc w:val="both"/>
        <w:rPr>
          <w:rFonts w:ascii="Times New Roman" w:eastAsia="Times New Roman" w:hAnsi="Times New Roman" w:cs="Times New Roman"/>
          <w:sz w:val="26"/>
          <w:szCs w:val="26"/>
        </w:rPr>
      </w:pPr>
    </w:p>
    <w:p w14:paraId="42EBB366" w14:textId="77777777" w:rsidR="004471F5" w:rsidRDefault="004471F5">
      <w:pPr>
        <w:jc w:val="both"/>
        <w:rPr>
          <w:rFonts w:ascii="Times New Roman" w:eastAsia="Times New Roman" w:hAnsi="Times New Roman" w:cs="Times New Roman"/>
          <w:sz w:val="26"/>
          <w:szCs w:val="26"/>
        </w:rPr>
      </w:pPr>
    </w:p>
    <w:p w14:paraId="42EBB367" w14:textId="77777777" w:rsidR="004471F5" w:rsidRDefault="004471F5">
      <w:pPr>
        <w:jc w:val="both"/>
        <w:rPr>
          <w:rFonts w:ascii="Times New Roman" w:eastAsia="Times New Roman" w:hAnsi="Times New Roman" w:cs="Times New Roman"/>
          <w:sz w:val="26"/>
          <w:szCs w:val="26"/>
        </w:rPr>
      </w:pPr>
    </w:p>
    <w:p w14:paraId="42EBB368" w14:textId="77777777" w:rsidR="004471F5" w:rsidRDefault="004471F5">
      <w:pPr>
        <w:jc w:val="both"/>
        <w:rPr>
          <w:rFonts w:ascii="Times New Roman" w:eastAsia="Times New Roman" w:hAnsi="Times New Roman" w:cs="Times New Roman"/>
          <w:sz w:val="26"/>
          <w:szCs w:val="26"/>
        </w:rPr>
      </w:pPr>
    </w:p>
    <w:p w14:paraId="42EBB369" w14:textId="77777777" w:rsidR="004471F5" w:rsidRDefault="004471F5">
      <w:pPr>
        <w:jc w:val="both"/>
        <w:rPr>
          <w:rFonts w:ascii="Times New Roman" w:eastAsia="Times New Roman" w:hAnsi="Times New Roman" w:cs="Times New Roman"/>
          <w:sz w:val="26"/>
          <w:szCs w:val="26"/>
        </w:rPr>
      </w:pPr>
    </w:p>
    <w:p w14:paraId="42EBB36A" w14:textId="77777777" w:rsidR="004471F5" w:rsidRDefault="004471F5">
      <w:pPr>
        <w:jc w:val="both"/>
        <w:rPr>
          <w:rFonts w:ascii="Times New Roman" w:eastAsia="Times New Roman" w:hAnsi="Times New Roman" w:cs="Times New Roman"/>
          <w:sz w:val="26"/>
          <w:szCs w:val="26"/>
        </w:rPr>
      </w:pPr>
    </w:p>
    <w:p w14:paraId="42EBB36B" w14:textId="77777777" w:rsidR="004471F5" w:rsidRDefault="004471F5">
      <w:pPr>
        <w:jc w:val="both"/>
        <w:rPr>
          <w:rFonts w:ascii="Times New Roman" w:eastAsia="Times New Roman" w:hAnsi="Times New Roman" w:cs="Times New Roman"/>
          <w:sz w:val="26"/>
          <w:szCs w:val="26"/>
        </w:rPr>
      </w:pPr>
    </w:p>
    <w:p w14:paraId="42EBB36C" w14:textId="77777777" w:rsidR="004471F5" w:rsidRDefault="004471F5">
      <w:pPr>
        <w:jc w:val="both"/>
        <w:rPr>
          <w:rFonts w:ascii="Times New Roman" w:eastAsia="Times New Roman" w:hAnsi="Times New Roman" w:cs="Times New Roman"/>
          <w:sz w:val="26"/>
          <w:szCs w:val="26"/>
        </w:rPr>
      </w:pPr>
    </w:p>
    <w:p w14:paraId="42EBB36D" w14:textId="77777777" w:rsidR="004471F5" w:rsidRDefault="004471F5">
      <w:pPr>
        <w:jc w:val="both"/>
        <w:rPr>
          <w:rFonts w:ascii="Times New Roman" w:eastAsia="Times New Roman" w:hAnsi="Times New Roman" w:cs="Times New Roman"/>
          <w:sz w:val="26"/>
          <w:szCs w:val="26"/>
        </w:rPr>
      </w:pPr>
    </w:p>
    <w:p w14:paraId="42EBB36F" w14:textId="5FE1A4A4" w:rsidR="006344E9" w:rsidRDefault="006344E9">
      <w:pPr>
        <w:rPr>
          <w:rFonts w:ascii="Times New Roman" w:eastAsia="Times New Roman" w:hAnsi="Times New Roman" w:cs="Times New Roman"/>
          <w:sz w:val="26"/>
          <w:szCs w:val="26"/>
        </w:rPr>
      </w:pPr>
      <w:r>
        <w:rPr>
          <w:rFonts w:ascii="Times New Roman" w:eastAsia="Times New Roman" w:hAnsi="Times New Roman" w:cs="Times New Roman"/>
          <w:sz w:val="26"/>
          <w:szCs w:val="26"/>
        </w:rPr>
        <w:br w:type="page"/>
      </w:r>
    </w:p>
    <w:p w14:paraId="7C5776DB" w14:textId="34A7B4C2" w:rsidR="00512D8A" w:rsidRDefault="007776A7" w:rsidP="003246AF">
      <w:pPr>
        <w:jc w:val="both"/>
        <w:rPr>
          <w:rFonts w:ascii="Times New Roman" w:eastAsia="Times New Roman" w:hAnsi="Times New Roman" w:cs="Times New Roman"/>
          <w:b/>
          <w:bCs/>
          <w:sz w:val="26"/>
          <w:szCs w:val="26"/>
        </w:rPr>
      </w:pPr>
      <w:r w:rsidRPr="002C0B5B">
        <w:rPr>
          <w:rFonts w:ascii="Times New Roman" w:eastAsia="Times New Roman" w:hAnsi="Times New Roman" w:cs="Times New Roman"/>
          <w:b/>
          <w:bCs/>
          <w:sz w:val="26"/>
          <w:szCs w:val="26"/>
        </w:rPr>
        <w:lastRenderedPageBreak/>
        <w:t>Plant material and root phenotyping</w:t>
      </w:r>
    </w:p>
    <w:p w14:paraId="636BA2EC" w14:textId="77777777" w:rsidR="002C0B5B" w:rsidRPr="002C0B5B" w:rsidRDefault="002C0B5B" w:rsidP="003246AF">
      <w:pPr>
        <w:jc w:val="both"/>
        <w:rPr>
          <w:rFonts w:ascii="Times New Roman" w:eastAsia="Times New Roman" w:hAnsi="Times New Roman" w:cs="Times New Roman"/>
          <w:b/>
          <w:bCs/>
          <w:sz w:val="26"/>
          <w:szCs w:val="26"/>
        </w:rPr>
      </w:pPr>
    </w:p>
    <w:p w14:paraId="54AE4DB4" w14:textId="65B8C481" w:rsidR="003246AF" w:rsidRPr="003246AF" w:rsidRDefault="003246AF" w:rsidP="003246AF">
      <w:pPr>
        <w:jc w:val="both"/>
        <w:rPr>
          <w:rFonts w:ascii="Times New Roman" w:eastAsia="Times New Roman" w:hAnsi="Times New Roman" w:cs="Times New Roman"/>
          <w:sz w:val="26"/>
          <w:szCs w:val="26"/>
        </w:rPr>
      </w:pPr>
      <w:r w:rsidRPr="003246AF">
        <w:rPr>
          <w:rFonts w:ascii="Times New Roman" w:eastAsia="Times New Roman" w:hAnsi="Times New Roman" w:cs="Times New Roman"/>
          <w:sz w:val="26"/>
          <w:szCs w:val="26"/>
        </w:rPr>
        <w:t xml:space="preserve">The genotype panel comprised 20 lines spanning a broad spectrum of wheat genetic diversity and breeding history. Ten </w:t>
      </w:r>
      <w:proofErr w:type="spellStart"/>
      <w:r w:rsidRPr="003246AF">
        <w:rPr>
          <w:rFonts w:ascii="Times New Roman" w:eastAsia="Times New Roman" w:hAnsi="Times New Roman" w:cs="Times New Roman"/>
          <w:sz w:val="26"/>
          <w:szCs w:val="26"/>
        </w:rPr>
        <w:t>hexaploid</w:t>
      </w:r>
      <w:proofErr w:type="spellEnd"/>
      <w:r w:rsidRPr="003246AF">
        <w:rPr>
          <w:rFonts w:ascii="Times New Roman" w:eastAsia="Times New Roman" w:hAnsi="Times New Roman" w:cs="Times New Roman"/>
          <w:sz w:val="26"/>
          <w:szCs w:val="26"/>
        </w:rPr>
        <w:t xml:space="preserve"> bread wheats (</w:t>
      </w:r>
      <w:r w:rsidRPr="003246AF">
        <w:rPr>
          <w:rFonts w:ascii="Times New Roman" w:eastAsia="Times New Roman" w:hAnsi="Times New Roman" w:cs="Times New Roman"/>
          <w:i/>
          <w:iCs/>
          <w:sz w:val="26"/>
          <w:szCs w:val="26"/>
        </w:rPr>
        <w:t>Triticum aestivum</w:t>
      </w:r>
      <w:r w:rsidRPr="003246AF">
        <w:rPr>
          <w:rFonts w:ascii="Times New Roman" w:eastAsia="Times New Roman" w:hAnsi="Times New Roman" w:cs="Times New Roman"/>
          <w:sz w:val="26"/>
          <w:szCs w:val="26"/>
        </w:rPr>
        <w:t>) were included: eight landraces from the A. E. Watkins collection held at the John Innes Centre — a globally sourced germplasm resource assembled in the 1930s and recently characterised as a foundational platform for systematic gene discovery in bread wheat (Wingen et al., 2014) — together with two modern elite cultivars, the UK reference Paragon and the Italian cultivar Bologna. The tetraploid component of the panel comprised two modern durum wheat cultivars (</w:t>
      </w:r>
      <w:r w:rsidRPr="003246AF">
        <w:rPr>
          <w:rFonts w:ascii="Times New Roman" w:eastAsia="Times New Roman" w:hAnsi="Times New Roman" w:cs="Times New Roman"/>
          <w:i/>
          <w:iCs/>
          <w:sz w:val="26"/>
          <w:szCs w:val="26"/>
        </w:rPr>
        <w:t>T. turgidum</w:t>
      </w:r>
      <w:r w:rsidRPr="003246AF">
        <w:rPr>
          <w:rFonts w:ascii="Times New Roman" w:eastAsia="Times New Roman" w:hAnsi="Times New Roman" w:cs="Times New Roman"/>
          <w:sz w:val="26"/>
          <w:szCs w:val="26"/>
        </w:rPr>
        <w:t xml:space="preserve"> ssp. </w:t>
      </w:r>
      <w:r w:rsidRPr="003246AF">
        <w:rPr>
          <w:rFonts w:ascii="Times New Roman" w:eastAsia="Times New Roman" w:hAnsi="Times New Roman" w:cs="Times New Roman"/>
          <w:i/>
          <w:iCs/>
          <w:sz w:val="26"/>
          <w:szCs w:val="26"/>
        </w:rPr>
        <w:t>durum</w:t>
      </w:r>
      <w:r w:rsidRPr="003246AF">
        <w:rPr>
          <w:rFonts w:ascii="Times New Roman" w:eastAsia="Times New Roman" w:hAnsi="Times New Roman" w:cs="Times New Roman"/>
          <w:sz w:val="26"/>
          <w:szCs w:val="26"/>
        </w:rPr>
        <w:t xml:space="preserve">: Monastir, Svevo), seven durum and other tetraploid landraces (Altar C84, </w:t>
      </w:r>
      <w:proofErr w:type="spellStart"/>
      <w:r w:rsidRPr="003246AF">
        <w:rPr>
          <w:rFonts w:ascii="Times New Roman" w:eastAsia="Times New Roman" w:hAnsi="Times New Roman" w:cs="Times New Roman"/>
          <w:sz w:val="26"/>
          <w:szCs w:val="26"/>
        </w:rPr>
        <w:t>Haurani</w:t>
      </w:r>
      <w:proofErr w:type="spellEnd"/>
      <w:r w:rsidRPr="003246AF">
        <w:rPr>
          <w:rFonts w:ascii="Times New Roman" w:eastAsia="Times New Roman" w:hAnsi="Times New Roman" w:cs="Times New Roman"/>
          <w:sz w:val="26"/>
          <w:szCs w:val="26"/>
        </w:rPr>
        <w:t xml:space="preserve">, </w:t>
      </w:r>
      <w:proofErr w:type="spellStart"/>
      <w:r w:rsidRPr="003246AF">
        <w:rPr>
          <w:rFonts w:ascii="Times New Roman" w:eastAsia="Times New Roman" w:hAnsi="Times New Roman" w:cs="Times New Roman"/>
          <w:sz w:val="26"/>
          <w:szCs w:val="26"/>
        </w:rPr>
        <w:t>Kyperounda</w:t>
      </w:r>
      <w:proofErr w:type="spellEnd"/>
      <w:r w:rsidRPr="003246AF">
        <w:rPr>
          <w:rFonts w:ascii="Times New Roman" w:eastAsia="Times New Roman" w:hAnsi="Times New Roman" w:cs="Times New Roman"/>
          <w:sz w:val="26"/>
          <w:szCs w:val="26"/>
        </w:rPr>
        <w:t xml:space="preserve"> L28, </w:t>
      </w:r>
      <w:proofErr w:type="spellStart"/>
      <w:r w:rsidRPr="003246AF">
        <w:rPr>
          <w:rFonts w:ascii="Times New Roman" w:eastAsia="Times New Roman" w:hAnsi="Times New Roman" w:cs="Times New Roman"/>
          <w:sz w:val="26"/>
          <w:szCs w:val="26"/>
        </w:rPr>
        <w:t>Menceki</w:t>
      </w:r>
      <w:proofErr w:type="spellEnd"/>
      <w:r w:rsidRPr="003246AF">
        <w:rPr>
          <w:rFonts w:ascii="Times New Roman" w:eastAsia="Times New Roman" w:hAnsi="Times New Roman" w:cs="Times New Roman"/>
          <w:sz w:val="26"/>
          <w:szCs w:val="26"/>
        </w:rPr>
        <w:t xml:space="preserve"> L36, Russello SG7, Senatore Cappelli, Tetra-IPK251) representing Mediterranean and Near-Eastern breeding histories, and one accession of cultivated emmer (</w:t>
      </w:r>
      <w:r w:rsidRPr="003246AF">
        <w:rPr>
          <w:rFonts w:ascii="Times New Roman" w:eastAsia="Times New Roman" w:hAnsi="Times New Roman" w:cs="Times New Roman"/>
          <w:i/>
          <w:iCs/>
          <w:sz w:val="26"/>
          <w:szCs w:val="26"/>
        </w:rPr>
        <w:t>T. turgidum</w:t>
      </w:r>
      <w:r w:rsidRPr="003246AF">
        <w:rPr>
          <w:rFonts w:ascii="Times New Roman" w:eastAsia="Times New Roman" w:hAnsi="Times New Roman" w:cs="Times New Roman"/>
          <w:sz w:val="26"/>
          <w:szCs w:val="26"/>
        </w:rPr>
        <w:t xml:space="preserve"> ssp. </w:t>
      </w:r>
      <w:proofErr w:type="spellStart"/>
      <w:r w:rsidRPr="003246AF">
        <w:rPr>
          <w:rFonts w:ascii="Times New Roman" w:eastAsia="Times New Roman" w:hAnsi="Times New Roman" w:cs="Times New Roman"/>
          <w:i/>
          <w:iCs/>
          <w:sz w:val="26"/>
          <w:szCs w:val="26"/>
        </w:rPr>
        <w:t>dicoccum</w:t>
      </w:r>
      <w:proofErr w:type="spellEnd"/>
      <w:r w:rsidRPr="003246AF">
        <w:rPr>
          <w:rFonts w:ascii="Times New Roman" w:eastAsia="Times New Roman" w:hAnsi="Times New Roman" w:cs="Times New Roman"/>
          <w:sz w:val="26"/>
          <w:szCs w:val="26"/>
        </w:rPr>
        <w:t xml:space="preserve">: </w:t>
      </w:r>
      <w:proofErr w:type="spellStart"/>
      <w:r w:rsidRPr="003246AF">
        <w:rPr>
          <w:rFonts w:ascii="Times New Roman" w:eastAsia="Times New Roman" w:hAnsi="Times New Roman" w:cs="Times New Roman"/>
          <w:sz w:val="26"/>
          <w:szCs w:val="26"/>
        </w:rPr>
        <w:t>Dicoccum</w:t>
      </w:r>
      <w:proofErr w:type="spellEnd"/>
      <w:r w:rsidRPr="003246AF">
        <w:rPr>
          <w:rFonts w:ascii="Times New Roman" w:eastAsia="Times New Roman" w:hAnsi="Times New Roman" w:cs="Times New Roman"/>
          <w:sz w:val="26"/>
          <w:szCs w:val="26"/>
        </w:rPr>
        <w:t xml:space="preserve"> Molise Colli). Together these genotypes capture key axes of variation explored in the durum wheat pan-genome and domestication studies of Maccaferri et al. (2019), spanning the transition from emmer through landraces to modern elite cultivars across both ploidy levels.</w:t>
      </w:r>
    </w:p>
    <w:p w14:paraId="3DE7D72B" w14:textId="77777777" w:rsidR="003246AF" w:rsidRPr="003246AF" w:rsidRDefault="003246AF" w:rsidP="003246AF">
      <w:pPr>
        <w:jc w:val="both"/>
        <w:rPr>
          <w:rFonts w:ascii="Times New Roman" w:eastAsia="Times New Roman" w:hAnsi="Times New Roman" w:cs="Times New Roman"/>
          <w:sz w:val="26"/>
          <w:szCs w:val="26"/>
        </w:rPr>
      </w:pPr>
      <w:r w:rsidRPr="003246AF">
        <w:rPr>
          <w:rFonts w:ascii="Times New Roman" w:eastAsia="Times New Roman" w:hAnsi="Times New Roman" w:cs="Times New Roman"/>
          <w:sz w:val="26"/>
          <w:szCs w:val="26"/>
        </w:rPr>
        <w:t>Root crown images acquired from field-excavated plants were analysed using RhizoVision Explorer (</w:t>
      </w:r>
      <w:proofErr w:type="spellStart"/>
      <w:r w:rsidRPr="003246AF">
        <w:rPr>
          <w:rFonts w:ascii="Times New Roman" w:eastAsia="Times New Roman" w:hAnsi="Times New Roman" w:cs="Times New Roman"/>
          <w:sz w:val="26"/>
          <w:szCs w:val="26"/>
        </w:rPr>
        <w:t>Seethepalli</w:t>
      </w:r>
      <w:proofErr w:type="spellEnd"/>
      <w:r w:rsidRPr="003246AF">
        <w:rPr>
          <w:rFonts w:ascii="Times New Roman" w:eastAsia="Times New Roman" w:hAnsi="Times New Roman" w:cs="Times New Roman"/>
          <w:sz w:val="26"/>
          <w:szCs w:val="26"/>
        </w:rPr>
        <w:t xml:space="preserve"> et al., 2021), an open-source platform for standardised extraction of root architectural and topological traits from 2D root images.</w:t>
      </w:r>
    </w:p>
    <w:p w14:paraId="6E76060F" w14:textId="77777777" w:rsidR="004471F5" w:rsidRDefault="004471F5">
      <w:pPr>
        <w:jc w:val="both"/>
        <w:rPr>
          <w:rFonts w:ascii="Times New Roman" w:eastAsia="Times New Roman" w:hAnsi="Times New Roman" w:cs="Times New Roman"/>
          <w:sz w:val="26"/>
          <w:szCs w:val="26"/>
        </w:rPr>
      </w:pPr>
    </w:p>
    <w:p w14:paraId="3805B879" w14:textId="77777777" w:rsidR="00C96070" w:rsidRDefault="00C96070" w:rsidP="00C96070">
      <w:pPr>
        <w:widowControl w:val="0"/>
        <w:pBdr>
          <w:top w:val="nil"/>
          <w:left w:val="nil"/>
          <w:bottom w:val="nil"/>
          <w:right w:val="nil"/>
          <w:between w:val="nil"/>
        </w:pBdr>
        <w:spacing w:line="240" w:lineRule="auto"/>
        <w:ind w:left="440" w:hanging="440"/>
      </w:pPr>
    </w:p>
    <w:p w14:paraId="178EC021" w14:textId="77777777" w:rsidR="00C96070" w:rsidRDefault="00C96070" w:rsidP="00C96070">
      <w:pPr>
        <w:widowControl w:val="0"/>
        <w:pBdr>
          <w:top w:val="nil"/>
          <w:left w:val="nil"/>
          <w:bottom w:val="nil"/>
          <w:right w:val="nil"/>
          <w:between w:val="nil"/>
        </w:pBdr>
        <w:spacing w:line="240" w:lineRule="auto"/>
        <w:ind w:left="440" w:hanging="440"/>
      </w:pPr>
    </w:p>
    <w:p w14:paraId="6DDBAEBF" w14:textId="77777777" w:rsidR="00015531" w:rsidRPr="009809D4" w:rsidRDefault="00015531" w:rsidP="00015531">
      <w:pPr>
        <w:widowControl w:val="0"/>
        <w:pBdr>
          <w:top w:val="nil"/>
          <w:left w:val="nil"/>
          <w:bottom w:val="nil"/>
          <w:right w:val="nil"/>
          <w:between w:val="nil"/>
        </w:pBdr>
        <w:spacing w:line="240" w:lineRule="auto"/>
        <w:ind w:left="440" w:hanging="440"/>
        <w:rPr>
          <w:rFonts w:ascii="Times New Roman" w:eastAsia="Times New Roman" w:hAnsi="Times New Roman" w:cs="Times New Roman"/>
          <w:color w:val="000000"/>
          <w:sz w:val="24"/>
          <w:szCs w:val="24"/>
        </w:rPr>
      </w:pPr>
      <w:hyperlink r:id="rId6">
        <w:r w:rsidRPr="009809D4">
          <w:rPr>
            <w:rFonts w:ascii="Times New Roman" w:eastAsia="Times New Roman" w:hAnsi="Times New Roman" w:cs="Times New Roman"/>
            <w:color w:val="000000"/>
            <w:sz w:val="24"/>
            <w:szCs w:val="24"/>
          </w:rPr>
          <w:t xml:space="preserve">Maccaferri, M., Harris, N.S., </w:t>
        </w:r>
        <w:proofErr w:type="spellStart"/>
        <w:r w:rsidRPr="009809D4">
          <w:rPr>
            <w:rFonts w:ascii="Times New Roman" w:eastAsia="Times New Roman" w:hAnsi="Times New Roman" w:cs="Times New Roman"/>
            <w:color w:val="000000"/>
            <w:sz w:val="24"/>
            <w:szCs w:val="24"/>
          </w:rPr>
          <w:t>Twardziok</w:t>
        </w:r>
        <w:proofErr w:type="spellEnd"/>
        <w:r w:rsidRPr="009809D4">
          <w:rPr>
            <w:rFonts w:ascii="Times New Roman" w:eastAsia="Times New Roman" w:hAnsi="Times New Roman" w:cs="Times New Roman"/>
            <w:color w:val="000000"/>
            <w:sz w:val="24"/>
            <w:szCs w:val="24"/>
          </w:rPr>
          <w:t xml:space="preserve">, S.O., Pasam, R.K., Gundlach, H., </w:t>
        </w:r>
        <w:proofErr w:type="spellStart"/>
        <w:r w:rsidRPr="009809D4">
          <w:rPr>
            <w:rFonts w:ascii="Times New Roman" w:eastAsia="Times New Roman" w:hAnsi="Times New Roman" w:cs="Times New Roman"/>
            <w:color w:val="000000"/>
            <w:sz w:val="24"/>
            <w:szCs w:val="24"/>
          </w:rPr>
          <w:t>Spannagl</w:t>
        </w:r>
        <w:proofErr w:type="spellEnd"/>
        <w:r w:rsidRPr="009809D4">
          <w:rPr>
            <w:rFonts w:ascii="Times New Roman" w:eastAsia="Times New Roman" w:hAnsi="Times New Roman" w:cs="Times New Roman"/>
            <w:color w:val="000000"/>
            <w:sz w:val="24"/>
            <w:szCs w:val="24"/>
          </w:rPr>
          <w:t xml:space="preserve">, M., </w:t>
        </w:r>
        <w:proofErr w:type="spellStart"/>
        <w:r w:rsidRPr="009809D4">
          <w:rPr>
            <w:rFonts w:ascii="Times New Roman" w:eastAsia="Times New Roman" w:hAnsi="Times New Roman" w:cs="Times New Roman"/>
            <w:color w:val="000000"/>
            <w:sz w:val="24"/>
            <w:szCs w:val="24"/>
          </w:rPr>
          <w:t>Ormanbekova</w:t>
        </w:r>
        <w:proofErr w:type="spellEnd"/>
        <w:r w:rsidRPr="009809D4">
          <w:rPr>
            <w:rFonts w:ascii="Times New Roman" w:eastAsia="Times New Roman" w:hAnsi="Times New Roman" w:cs="Times New Roman"/>
            <w:color w:val="000000"/>
            <w:sz w:val="24"/>
            <w:szCs w:val="24"/>
          </w:rPr>
          <w:t xml:space="preserve">, D., Lux, T., Prade, V.M., Milner, S.G., </w:t>
        </w:r>
        <w:proofErr w:type="spellStart"/>
        <w:r w:rsidRPr="009809D4">
          <w:rPr>
            <w:rFonts w:ascii="Times New Roman" w:eastAsia="Times New Roman" w:hAnsi="Times New Roman" w:cs="Times New Roman"/>
            <w:color w:val="000000"/>
            <w:sz w:val="24"/>
            <w:szCs w:val="24"/>
          </w:rPr>
          <w:t>Himmelbach</w:t>
        </w:r>
        <w:proofErr w:type="spellEnd"/>
        <w:r w:rsidRPr="009809D4">
          <w:rPr>
            <w:rFonts w:ascii="Times New Roman" w:eastAsia="Times New Roman" w:hAnsi="Times New Roman" w:cs="Times New Roman"/>
            <w:color w:val="000000"/>
            <w:sz w:val="24"/>
            <w:szCs w:val="24"/>
          </w:rPr>
          <w:t xml:space="preserve">, A., Mascher, M., Bagnaresi, P., </w:t>
        </w:r>
        <w:proofErr w:type="spellStart"/>
        <w:r w:rsidRPr="009809D4">
          <w:rPr>
            <w:rFonts w:ascii="Times New Roman" w:eastAsia="Times New Roman" w:hAnsi="Times New Roman" w:cs="Times New Roman"/>
            <w:color w:val="000000"/>
            <w:sz w:val="24"/>
            <w:szCs w:val="24"/>
          </w:rPr>
          <w:t>Faccioli</w:t>
        </w:r>
        <w:proofErr w:type="spellEnd"/>
        <w:r w:rsidRPr="009809D4">
          <w:rPr>
            <w:rFonts w:ascii="Times New Roman" w:eastAsia="Times New Roman" w:hAnsi="Times New Roman" w:cs="Times New Roman"/>
            <w:color w:val="000000"/>
            <w:sz w:val="24"/>
            <w:szCs w:val="24"/>
          </w:rPr>
          <w:t xml:space="preserve">, P., Cozzi, P., Lauria, M., Lazzari, B., Stella, A., </w:t>
        </w:r>
        <w:proofErr w:type="spellStart"/>
        <w:r w:rsidRPr="009809D4">
          <w:rPr>
            <w:rFonts w:ascii="Times New Roman" w:eastAsia="Times New Roman" w:hAnsi="Times New Roman" w:cs="Times New Roman"/>
            <w:color w:val="000000"/>
            <w:sz w:val="24"/>
            <w:szCs w:val="24"/>
          </w:rPr>
          <w:t>Manconi</w:t>
        </w:r>
        <w:proofErr w:type="spellEnd"/>
        <w:r w:rsidRPr="009809D4">
          <w:rPr>
            <w:rFonts w:ascii="Times New Roman" w:eastAsia="Times New Roman" w:hAnsi="Times New Roman" w:cs="Times New Roman"/>
            <w:color w:val="000000"/>
            <w:sz w:val="24"/>
            <w:szCs w:val="24"/>
          </w:rPr>
          <w:t xml:space="preserve">, A., Gnocchi, M., Moscatelli, M., Avni, R., </w:t>
        </w:r>
        <w:proofErr w:type="spellStart"/>
        <w:r w:rsidRPr="009809D4">
          <w:rPr>
            <w:rFonts w:ascii="Times New Roman" w:eastAsia="Times New Roman" w:hAnsi="Times New Roman" w:cs="Times New Roman"/>
            <w:color w:val="000000"/>
            <w:sz w:val="24"/>
            <w:szCs w:val="24"/>
          </w:rPr>
          <w:t>Deek</w:t>
        </w:r>
        <w:proofErr w:type="spellEnd"/>
        <w:r w:rsidRPr="009809D4">
          <w:rPr>
            <w:rFonts w:ascii="Times New Roman" w:eastAsia="Times New Roman" w:hAnsi="Times New Roman" w:cs="Times New Roman"/>
            <w:color w:val="000000"/>
            <w:sz w:val="24"/>
            <w:szCs w:val="24"/>
          </w:rPr>
          <w:t xml:space="preserve">, J., </w:t>
        </w:r>
        <w:proofErr w:type="spellStart"/>
        <w:r w:rsidRPr="009809D4">
          <w:rPr>
            <w:rFonts w:ascii="Times New Roman" w:eastAsia="Times New Roman" w:hAnsi="Times New Roman" w:cs="Times New Roman"/>
            <w:color w:val="000000"/>
            <w:sz w:val="24"/>
            <w:szCs w:val="24"/>
          </w:rPr>
          <w:t>Biyiklioglu</w:t>
        </w:r>
        <w:proofErr w:type="spellEnd"/>
        <w:r w:rsidRPr="009809D4">
          <w:rPr>
            <w:rFonts w:ascii="Times New Roman" w:eastAsia="Times New Roman" w:hAnsi="Times New Roman" w:cs="Times New Roman"/>
            <w:color w:val="000000"/>
            <w:sz w:val="24"/>
            <w:szCs w:val="24"/>
          </w:rPr>
          <w:t xml:space="preserve">, S., Frascaroli, E., </w:t>
        </w:r>
        <w:proofErr w:type="spellStart"/>
        <w:r w:rsidRPr="009809D4">
          <w:rPr>
            <w:rFonts w:ascii="Times New Roman" w:eastAsia="Times New Roman" w:hAnsi="Times New Roman" w:cs="Times New Roman"/>
            <w:color w:val="000000"/>
            <w:sz w:val="24"/>
            <w:szCs w:val="24"/>
          </w:rPr>
          <w:t>Corneti</w:t>
        </w:r>
        <w:proofErr w:type="spellEnd"/>
        <w:r w:rsidRPr="009809D4">
          <w:rPr>
            <w:rFonts w:ascii="Times New Roman" w:eastAsia="Times New Roman" w:hAnsi="Times New Roman" w:cs="Times New Roman"/>
            <w:color w:val="000000"/>
            <w:sz w:val="24"/>
            <w:szCs w:val="24"/>
          </w:rPr>
          <w:t xml:space="preserve">, S., Salvi, S., </w:t>
        </w:r>
        <w:proofErr w:type="spellStart"/>
        <w:r w:rsidRPr="009809D4">
          <w:rPr>
            <w:rFonts w:ascii="Times New Roman" w:eastAsia="Times New Roman" w:hAnsi="Times New Roman" w:cs="Times New Roman"/>
            <w:color w:val="000000"/>
            <w:sz w:val="24"/>
            <w:szCs w:val="24"/>
          </w:rPr>
          <w:t>Sonnante</w:t>
        </w:r>
        <w:proofErr w:type="spellEnd"/>
        <w:r w:rsidRPr="009809D4">
          <w:rPr>
            <w:rFonts w:ascii="Times New Roman" w:eastAsia="Times New Roman" w:hAnsi="Times New Roman" w:cs="Times New Roman"/>
            <w:color w:val="000000"/>
            <w:sz w:val="24"/>
            <w:szCs w:val="24"/>
          </w:rPr>
          <w:t xml:space="preserve">, G., Desiderio, F., </w:t>
        </w:r>
        <w:proofErr w:type="spellStart"/>
        <w:r w:rsidRPr="009809D4">
          <w:rPr>
            <w:rFonts w:ascii="Times New Roman" w:eastAsia="Times New Roman" w:hAnsi="Times New Roman" w:cs="Times New Roman"/>
            <w:color w:val="000000"/>
            <w:sz w:val="24"/>
            <w:szCs w:val="24"/>
          </w:rPr>
          <w:t>Marè</w:t>
        </w:r>
        <w:proofErr w:type="spellEnd"/>
        <w:r w:rsidRPr="009809D4">
          <w:rPr>
            <w:rFonts w:ascii="Times New Roman" w:eastAsia="Times New Roman" w:hAnsi="Times New Roman" w:cs="Times New Roman"/>
            <w:color w:val="000000"/>
            <w:sz w:val="24"/>
            <w:szCs w:val="24"/>
          </w:rPr>
          <w:t xml:space="preserve">, C., Crosatti, C., Mica, E., Özkan, H., Kilian, B., De Vita, P., Marone, D., Joukhadar, R., </w:t>
        </w:r>
        <w:proofErr w:type="spellStart"/>
        <w:r w:rsidRPr="009809D4">
          <w:rPr>
            <w:rFonts w:ascii="Times New Roman" w:eastAsia="Times New Roman" w:hAnsi="Times New Roman" w:cs="Times New Roman"/>
            <w:color w:val="000000"/>
            <w:sz w:val="24"/>
            <w:szCs w:val="24"/>
          </w:rPr>
          <w:t>Mazzucotelli</w:t>
        </w:r>
        <w:proofErr w:type="spellEnd"/>
        <w:r w:rsidRPr="009809D4">
          <w:rPr>
            <w:rFonts w:ascii="Times New Roman" w:eastAsia="Times New Roman" w:hAnsi="Times New Roman" w:cs="Times New Roman"/>
            <w:color w:val="000000"/>
            <w:sz w:val="24"/>
            <w:szCs w:val="24"/>
          </w:rPr>
          <w:t xml:space="preserve">, E., Nigro, D., Gadaleta, A., Chao, S., Faris, J.D., Melo, A.T.O., Pumphrey, M., </w:t>
        </w:r>
        <w:proofErr w:type="spellStart"/>
        <w:r w:rsidRPr="009809D4">
          <w:rPr>
            <w:rFonts w:ascii="Times New Roman" w:eastAsia="Times New Roman" w:hAnsi="Times New Roman" w:cs="Times New Roman"/>
            <w:color w:val="000000"/>
            <w:sz w:val="24"/>
            <w:szCs w:val="24"/>
          </w:rPr>
          <w:t>Pecchioni</w:t>
        </w:r>
        <w:proofErr w:type="spellEnd"/>
        <w:r w:rsidRPr="009809D4">
          <w:rPr>
            <w:rFonts w:ascii="Times New Roman" w:eastAsia="Times New Roman" w:hAnsi="Times New Roman" w:cs="Times New Roman"/>
            <w:color w:val="000000"/>
            <w:sz w:val="24"/>
            <w:szCs w:val="24"/>
          </w:rPr>
          <w:t xml:space="preserve">, N., Milanesi, L., Wiebe, K., Ens, J., MacLachlan, R.P., Clarke, J.M., Sharpe, A.G., Koh, C.S., Liang, K.Y.H., Taylor, G.J., Knox, R., Budak, H., Mastrangelo, A.M., Xu, S.S., Stein, N., Hale, I., </w:t>
        </w:r>
        <w:proofErr w:type="spellStart"/>
        <w:r w:rsidRPr="009809D4">
          <w:rPr>
            <w:rFonts w:ascii="Times New Roman" w:eastAsia="Times New Roman" w:hAnsi="Times New Roman" w:cs="Times New Roman"/>
            <w:color w:val="000000"/>
            <w:sz w:val="24"/>
            <w:szCs w:val="24"/>
          </w:rPr>
          <w:t>Distelfeld</w:t>
        </w:r>
        <w:proofErr w:type="spellEnd"/>
        <w:r w:rsidRPr="009809D4">
          <w:rPr>
            <w:rFonts w:ascii="Times New Roman" w:eastAsia="Times New Roman" w:hAnsi="Times New Roman" w:cs="Times New Roman"/>
            <w:color w:val="000000"/>
            <w:sz w:val="24"/>
            <w:szCs w:val="24"/>
          </w:rPr>
          <w:t>, A., Hayden, M.J., Tuberosa, R., Walkowiak, S., Mayer, K.F.X., Ceriotti, A., Pozniak, C.J., Cattivelli, L., 2019. Durum wheat genome highlights past domestication signatures and future improvement targets. Nat. Genet. 51, 885–895.</w:t>
        </w:r>
      </w:hyperlink>
    </w:p>
    <w:p w14:paraId="745F0C0A" w14:textId="77777777" w:rsidR="0009264F" w:rsidRDefault="0009264F" w:rsidP="0009264F">
      <w:pPr>
        <w:widowControl w:val="0"/>
        <w:pBdr>
          <w:top w:val="nil"/>
          <w:left w:val="nil"/>
          <w:bottom w:val="nil"/>
          <w:right w:val="nil"/>
          <w:between w:val="nil"/>
        </w:pBdr>
        <w:spacing w:line="240" w:lineRule="auto"/>
        <w:ind w:left="440" w:hanging="440"/>
        <w:rPr>
          <w:rFonts w:ascii="Times New Roman" w:hAnsi="Times New Roman" w:cs="Times New Roman"/>
          <w:sz w:val="24"/>
          <w:szCs w:val="24"/>
        </w:rPr>
      </w:pPr>
      <w:proofErr w:type="spellStart"/>
      <w:r w:rsidRPr="00872B4F">
        <w:rPr>
          <w:rFonts w:ascii="Times New Roman" w:hAnsi="Times New Roman" w:cs="Times New Roman"/>
          <w:sz w:val="24"/>
          <w:szCs w:val="24"/>
        </w:rPr>
        <w:t>Seethepalli</w:t>
      </w:r>
      <w:proofErr w:type="spellEnd"/>
      <w:r w:rsidRPr="00872B4F">
        <w:rPr>
          <w:rFonts w:ascii="Times New Roman" w:hAnsi="Times New Roman" w:cs="Times New Roman"/>
          <w:sz w:val="24"/>
          <w:szCs w:val="24"/>
        </w:rPr>
        <w:t xml:space="preserve">, A., Dhakal, K., Griffiths, M., Guo, H., </w:t>
      </w:r>
      <w:proofErr w:type="spellStart"/>
      <w:r w:rsidRPr="00872B4F">
        <w:rPr>
          <w:rFonts w:ascii="Times New Roman" w:hAnsi="Times New Roman" w:cs="Times New Roman"/>
          <w:sz w:val="24"/>
          <w:szCs w:val="24"/>
        </w:rPr>
        <w:t>Freschet</w:t>
      </w:r>
      <w:proofErr w:type="spellEnd"/>
      <w:r w:rsidRPr="00872B4F">
        <w:rPr>
          <w:rFonts w:ascii="Times New Roman" w:hAnsi="Times New Roman" w:cs="Times New Roman"/>
          <w:sz w:val="24"/>
          <w:szCs w:val="24"/>
        </w:rPr>
        <w:t>, G. T., &amp; York, L. M.</w:t>
      </w:r>
      <w:r>
        <w:rPr>
          <w:rFonts w:ascii="Times New Roman" w:hAnsi="Times New Roman" w:cs="Times New Roman"/>
          <w:sz w:val="24"/>
          <w:szCs w:val="24"/>
        </w:rPr>
        <w:t>,</w:t>
      </w:r>
      <w:r w:rsidRPr="00872B4F">
        <w:rPr>
          <w:rFonts w:ascii="Times New Roman" w:hAnsi="Times New Roman" w:cs="Times New Roman"/>
          <w:sz w:val="24"/>
          <w:szCs w:val="24"/>
        </w:rPr>
        <w:t xml:space="preserve"> 2021. RhizoVision Explorer: open-source software for root image analysis and measurement standardization. </w:t>
      </w:r>
      <w:proofErr w:type="spellStart"/>
      <w:r w:rsidRPr="00872B4F">
        <w:rPr>
          <w:rFonts w:ascii="Times New Roman" w:hAnsi="Times New Roman" w:cs="Times New Roman"/>
          <w:sz w:val="24"/>
          <w:szCs w:val="24"/>
        </w:rPr>
        <w:t>AoB</w:t>
      </w:r>
      <w:proofErr w:type="spellEnd"/>
      <w:r w:rsidRPr="00872B4F">
        <w:rPr>
          <w:rFonts w:ascii="Times New Roman" w:hAnsi="Times New Roman" w:cs="Times New Roman"/>
          <w:sz w:val="24"/>
          <w:szCs w:val="24"/>
        </w:rPr>
        <w:t xml:space="preserve"> plants, 13(6), plab056.</w:t>
      </w:r>
    </w:p>
    <w:p w14:paraId="5D43DBC7" w14:textId="3E85214B" w:rsidR="00A423DC" w:rsidRPr="00872B4F" w:rsidRDefault="00A423DC" w:rsidP="004C0EFC">
      <w:pPr>
        <w:widowControl w:val="0"/>
        <w:pBdr>
          <w:top w:val="nil"/>
          <w:left w:val="nil"/>
          <w:bottom w:val="nil"/>
          <w:right w:val="nil"/>
          <w:between w:val="nil"/>
        </w:pBdr>
        <w:spacing w:line="240" w:lineRule="auto"/>
        <w:ind w:left="440" w:hanging="440"/>
        <w:rPr>
          <w:rFonts w:ascii="Times New Roman" w:hAnsi="Times New Roman" w:cs="Times New Roman"/>
          <w:sz w:val="24"/>
          <w:szCs w:val="24"/>
        </w:rPr>
      </w:pPr>
      <w:hyperlink r:id="rId7">
        <w:r w:rsidRPr="009809D4">
          <w:rPr>
            <w:rFonts w:ascii="Times New Roman" w:eastAsia="Times New Roman" w:hAnsi="Times New Roman" w:cs="Times New Roman"/>
            <w:color w:val="000000"/>
            <w:sz w:val="24"/>
            <w:szCs w:val="24"/>
          </w:rPr>
          <w:t xml:space="preserve">Wingen, L.U., Orford, S., Goram, R., Leverington-Waite, M., Bilham, L., </w:t>
        </w:r>
        <w:proofErr w:type="spellStart"/>
        <w:r w:rsidRPr="009809D4">
          <w:rPr>
            <w:rFonts w:ascii="Times New Roman" w:eastAsia="Times New Roman" w:hAnsi="Times New Roman" w:cs="Times New Roman"/>
            <w:color w:val="000000"/>
            <w:sz w:val="24"/>
            <w:szCs w:val="24"/>
          </w:rPr>
          <w:t>Patsiou</w:t>
        </w:r>
        <w:proofErr w:type="spellEnd"/>
        <w:r w:rsidRPr="009809D4">
          <w:rPr>
            <w:rFonts w:ascii="Times New Roman" w:eastAsia="Times New Roman" w:hAnsi="Times New Roman" w:cs="Times New Roman"/>
            <w:color w:val="000000"/>
            <w:sz w:val="24"/>
            <w:szCs w:val="24"/>
          </w:rPr>
          <w:t xml:space="preserve">, T.S., Ambrose, M., Dicks, J., Griffiths, S., 2014. Establishing the A. E. Watkins landrace cultivar collection as a resource for systematic gene discovery in bread wheat. </w:t>
        </w:r>
        <w:proofErr w:type="spellStart"/>
        <w:r w:rsidRPr="009809D4">
          <w:rPr>
            <w:rFonts w:ascii="Times New Roman" w:eastAsia="Times New Roman" w:hAnsi="Times New Roman" w:cs="Times New Roman"/>
            <w:color w:val="000000"/>
            <w:sz w:val="24"/>
            <w:szCs w:val="24"/>
          </w:rPr>
          <w:t>Züchter</w:t>
        </w:r>
        <w:proofErr w:type="spellEnd"/>
        <w:r w:rsidRPr="009809D4">
          <w:rPr>
            <w:rFonts w:ascii="Times New Roman" w:eastAsia="Times New Roman" w:hAnsi="Times New Roman" w:cs="Times New Roman"/>
            <w:color w:val="000000"/>
            <w:sz w:val="24"/>
            <w:szCs w:val="24"/>
          </w:rPr>
          <w:t xml:space="preserve"> Genet. Breed. Res. 127, 1831–1842.</w:t>
        </w:r>
      </w:hyperlink>
    </w:p>
    <w:p w14:paraId="08DA1AD3" w14:textId="77777777" w:rsidR="00C96070" w:rsidRDefault="00C96070">
      <w:pPr>
        <w:jc w:val="both"/>
        <w:rPr>
          <w:rFonts w:ascii="Times New Roman" w:eastAsia="Times New Roman" w:hAnsi="Times New Roman" w:cs="Times New Roman"/>
          <w:sz w:val="26"/>
          <w:szCs w:val="26"/>
        </w:rPr>
      </w:pPr>
    </w:p>
    <w:sectPr w:rsidR="00C96070">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D906B502-C651-42DC-99E5-1DB629FB8714}"/>
  </w:font>
  <w:font w:name="Cambria">
    <w:panose1 w:val="02040503050406030204"/>
    <w:charset w:val="00"/>
    <w:family w:val="roman"/>
    <w:pitch w:val="variable"/>
    <w:sig w:usb0="E00006FF" w:usb1="420024FF" w:usb2="02000000" w:usb3="00000000" w:csb0="0000019F" w:csb1="00000000"/>
    <w:embedRegular r:id="rId2" w:fontKey="{32FEA500-A72D-4B76-9C70-DACB2A923BE5}"/>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TrueTypeFonts/>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71F5"/>
    <w:rsid w:val="00015531"/>
    <w:rsid w:val="00060F8A"/>
    <w:rsid w:val="00065DEA"/>
    <w:rsid w:val="0009264F"/>
    <w:rsid w:val="001E0D79"/>
    <w:rsid w:val="002526C9"/>
    <w:rsid w:val="002C0B5B"/>
    <w:rsid w:val="003246AF"/>
    <w:rsid w:val="004471F5"/>
    <w:rsid w:val="00481BDD"/>
    <w:rsid w:val="004C0EFC"/>
    <w:rsid w:val="004E2676"/>
    <w:rsid w:val="00512BD2"/>
    <w:rsid w:val="00512D8A"/>
    <w:rsid w:val="00533B7C"/>
    <w:rsid w:val="0059303E"/>
    <w:rsid w:val="006244F1"/>
    <w:rsid w:val="006344E9"/>
    <w:rsid w:val="006C573B"/>
    <w:rsid w:val="006D1A59"/>
    <w:rsid w:val="0072134D"/>
    <w:rsid w:val="007776A7"/>
    <w:rsid w:val="007C5EB6"/>
    <w:rsid w:val="007E672C"/>
    <w:rsid w:val="008A612F"/>
    <w:rsid w:val="009200D8"/>
    <w:rsid w:val="00A423DC"/>
    <w:rsid w:val="00A63DBA"/>
    <w:rsid w:val="00C05409"/>
    <w:rsid w:val="00C96070"/>
    <w:rsid w:val="00D04708"/>
    <w:rsid w:val="00D15DF3"/>
    <w:rsid w:val="00D504FC"/>
    <w:rsid w:val="00D55C9E"/>
    <w:rsid w:val="00E73FAD"/>
    <w:rsid w:val="00F4774D"/>
    <w:rsid w:val="00FD22DD"/>
    <w:rsid w:val="00FF198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EBB32D"/>
  <w15:docId w15:val="{4D5503C8-C51C-4B79-B9A4-ECBFFCA13E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0"/>
    <w:tblPr>
      <w:tblStyleRowBandSize w:val="1"/>
      <w:tblStyleColBandSize w:val="1"/>
    </w:tblPr>
  </w:style>
  <w:style w:type="paragraph" w:styleId="Revision">
    <w:name w:val="Revision"/>
    <w:hidden/>
    <w:uiPriority w:val="99"/>
    <w:semiHidden/>
    <w:rsid w:val="00FF198D"/>
    <w:pPr>
      <w:spacing w:line="240" w:lineRule="auto"/>
    </w:pPr>
  </w:style>
  <w:style w:type="character" w:styleId="Hyperlink">
    <w:name w:val="Hyperlink"/>
    <w:basedOn w:val="DefaultParagraphFont"/>
    <w:uiPriority w:val="99"/>
    <w:unhideWhenUsed/>
    <w:rsid w:val="00C96070"/>
    <w:rPr>
      <w:color w:val="0000FF" w:themeColor="hyperlink"/>
      <w:u w:val="single"/>
    </w:rPr>
  </w:style>
  <w:style w:type="character" w:styleId="UnresolvedMention">
    <w:name w:val="Unresolved Mention"/>
    <w:basedOn w:val="DefaultParagraphFont"/>
    <w:uiPriority w:val="99"/>
    <w:semiHidden/>
    <w:unhideWhenUsed/>
    <w:rsid w:val="00C9607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paperpile.com/b/HO9jXb/Vyuta"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paperpile.com/b/HO9jXb/PybqD" TargetMode="External"/><Relationship Id="rId5" Type="http://schemas.openxmlformats.org/officeDocument/2006/relationships/image" Target="media/image2.png"/><Relationship Id="rId4" Type="http://schemas.openxmlformats.org/officeDocument/2006/relationships/image" Target="media/image1.png"/><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755</TotalTime>
  <Pages>5</Pages>
  <Words>1083</Words>
  <Characters>6178</Characters>
  <Application>Microsoft Office Word</Application>
  <DocSecurity>0</DocSecurity>
  <Lines>51</Lines>
  <Paragraphs>14</Paragraphs>
  <ScaleCrop>false</ScaleCrop>
  <Company>Norwich Bioscience Institutes</Company>
  <LinksUpToDate>false</LinksUpToDate>
  <CharactersWithSpaces>7247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Maria Hernandez-Soriano (JIC)</cp:lastModifiedBy>
  <cp:revision>35</cp:revision>
  <dcterms:created xsi:type="dcterms:W3CDTF">2026-06-02T16:30:00Z</dcterms:created>
  <dcterms:modified xsi:type="dcterms:W3CDTF">2026-06-07T14:05:00Z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6ce5cc41-5b3a-4a54-b615-8ed63356d208</vt:lpwstr>
  </property>
</Properties>
</file>