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45701" w14:textId="2AA0891E" w:rsidR="003D3C70" w:rsidRPr="007152A5" w:rsidRDefault="003D3C70" w:rsidP="003D3C70">
      <w:pPr>
        <w:pStyle w:val="Paragraph"/>
        <w:spacing w:before="0" w:line="480" w:lineRule="auto"/>
        <w:ind w:firstLine="0"/>
        <w:jc w:val="both"/>
        <w:rPr>
          <w:rFonts w:ascii="Arial" w:hAnsi="Arial" w:cs="Arial"/>
          <w:b/>
          <w:bCs/>
        </w:rPr>
      </w:pPr>
      <w:r w:rsidRPr="007152A5">
        <w:rPr>
          <w:rFonts w:ascii="Arial" w:hAnsi="Arial" w:cs="Arial"/>
          <w:b/>
          <w:bCs/>
        </w:rPr>
        <w:t xml:space="preserve">Supplementary Table </w:t>
      </w:r>
      <w:r w:rsidR="006E73DA">
        <w:rPr>
          <w:rFonts w:ascii="Arial" w:hAnsi="Arial" w:cs="Arial"/>
          <w:b/>
          <w:bCs/>
        </w:rPr>
        <w:t>S</w:t>
      </w:r>
      <w:r w:rsidRPr="007152A5">
        <w:rPr>
          <w:rFonts w:ascii="Arial" w:hAnsi="Arial" w:cs="Arial"/>
          <w:b/>
          <w:bCs/>
        </w:rPr>
        <w:t>2. Efficacy parameters</w:t>
      </w:r>
    </w:p>
    <w:tbl>
      <w:tblPr>
        <w:tblStyle w:val="TableGrid"/>
        <w:tblW w:w="936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240"/>
        <w:gridCol w:w="2610"/>
      </w:tblGrid>
      <w:tr w:rsidR="003D3C70" w:rsidRPr="007152A5" w14:paraId="1F90844E" w14:textId="77777777" w:rsidTr="00BC784C">
        <w:trPr>
          <w:trHeight w:val="458"/>
        </w:trPr>
        <w:tc>
          <w:tcPr>
            <w:tcW w:w="3510" w:type="dxa"/>
          </w:tcPr>
          <w:p w14:paraId="643A85D9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/>
                <w:bCs/>
                <w:kern w:val="24"/>
                <w:lang w:val="en-GB"/>
              </w:rPr>
            </w:pPr>
            <w:r w:rsidRPr="007152A5">
              <w:rPr>
                <w:rFonts w:ascii="Arial" w:hAnsi="Arial" w:cs="Arial"/>
                <w:b/>
                <w:bCs/>
                <w:kern w:val="24"/>
                <w:lang w:val="en-GB"/>
              </w:rPr>
              <w:t>Efficacy parameter</w:t>
            </w:r>
          </w:p>
        </w:tc>
        <w:tc>
          <w:tcPr>
            <w:tcW w:w="3240" w:type="dxa"/>
          </w:tcPr>
          <w:p w14:paraId="342DB06C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/>
                <w:bCs/>
              </w:rPr>
            </w:pPr>
            <w:r w:rsidRPr="007152A5">
              <w:rPr>
                <w:rFonts w:ascii="Arial" w:hAnsi="Arial" w:cs="Arial"/>
                <w:b/>
                <w:bCs/>
              </w:rPr>
              <w:t>Patients with measurable disease*, n=180</w:t>
            </w:r>
          </w:p>
          <w:p w14:paraId="57D5E9DD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/>
                <w:bCs/>
                <w:kern w:val="24"/>
                <w:lang w:val="en-GB"/>
              </w:rPr>
            </w:pPr>
            <w:r w:rsidRPr="007152A5">
              <w:rPr>
                <w:rFonts w:ascii="Arial" w:hAnsi="Arial" w:cs="Arial"/>
                <w:b/>
                <w:bCs/>
              </w:rPr>
              <w:t>n (%)</w:t>
            </w:r>
          </w:p>
        </w:tc>
        <w:tc>
          <w:tcPr>
            <w:tcW w:w="2610" w:type="dxa"/>
          </w:tcPr>
          <w:p w14:paraId="447999D4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/>
                <w:bCs/>
              </w:rPr>
            </w:pPr>
            <w:r w:rsidRPr="007152A5">
              <w:rPr>
                <w:rFonts w:ascii="Arial" w:hAnsi="Arial" w:cs="Arial"/>
                <w:b/>
                <w:bCs/>
              </w:rPr>
              <w:t xml:space="preserve">Overall population </w:t>
            </w:r>
          </w:p>
          <w:p w14:paraId="080F2BFE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/>
                <w:bCs/>
              </w:rPr>
            </w:pPr>
            <w:r w:rsidRPr="007152A5">
              <w:rPr>
                <w:rFonts w:ascii="Arial" w:hAnsi="Arial" w:cs="Arial"/>
                <w:b/>
                <w:bCs/>
              </w:rPr>
              <w:t>N=287</w:t>
            </w:r>
          </w:p>
          <w:p w14:paraId="491757CF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/>
                <w:bCs/>
              </w:rPr>
            </w:pPr>
            <w:r w:rsidRPr="007152A5">
              <w:rPr>
                <w:rFonts w:ascii="Arial" w:hAnsi="Arial" w:cs="Arial"/>
                <w:b/>
                <w:bCs/>
              </w:rPr>
              <w:t>n (%)</w:t>
            </w:r>
          </w:p>
        </w:tc>
      </w:tr>
      <w:tr w:rsidR="003D3C70" w:rsidRPr="007152A5" w14:paraId="48B5386A" w14:textId="77777777" w:rsidTr="00BC784C">
        <w:trPr>
          <w:trHeight w:val="746"/>
        </w:trPr>
        <w:tc>
          <w:tcPr>
            <w:tcW w:w="3510" w:type="dxa"/>
          </w:tcPr>
          <w:p w14:paraId="06307197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/>
                <w:bCs/>
                <w:kern w:val="24"/>
                <w:lang w:val="en-GB"/>
              </w:rPr>
            </w:pPr>
            <w:r w:rsidRPr="007152A5">
              <w:rPr>
                <w:rFonts w:ascii="Arial" w:hAnsi="Arial" w:cs="Arial"/>
                <w:b/>
                <w:bCs/>
                <w:kern w:val="24"/>
                <w:lang w:val="en-GB"/>
              </w:rPr>
              <w:t>Best overall response</w:t>
            </w:r>
          </w:p>
        </w:tc>
        <w:tc>
          <w:tcPr>
            <w:tcW w:w="3240" w:type="dxa"/>
          </w:tcPr>
          <w:p w14:paraId="0B826BC0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/>
                <w:bCs/>
                <w:kern w:val="24"/>
                <w:lang w:val="en-GB"/>
              </w:rPr>
            </w:pPr>
          </w:p>
        </w:tc>
        <w:tc>
          <w:tcPr>
            <w:tcW w:w="2610" w:type="dxa"/>
          </w:tcPr>
          <w:p w14:paraId="256C5994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/>
                <w:bCs/>
                <w:kern w:val="24"/>
                <w:lang w:val="en-GB"/>
              </w:rPr>
            </w:pPr>
          </w:p>
        </w:tc>
      </w:tr>
      <w:tr w:rsidR="003D3C70" w:rsidRPr="007152A5" w14:paraId="5C16AEC1" w14:textId="77777777" w:rsidTr="00BC784C">
        <w:trPr>
          <w:trHeight w:val="746"/>
        </w:trPr>
        <w:tc>
          <w:tcPr>
            <w:tcW w:w="3510" w:type="dxa"/>
          </w:tcPr>
          <w:p w14:paraId="6B421671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    Complete response</w:t>
            </w:r>
          </w:p>
        </w:tc>
        <w:tc>
          <w:tcPr>
            <w:tcW w:w="3240" w:type="dxa"/>
          </w:tcPr>
          <w:p w14:paraId="6163E862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2 (1.3)</w:t>
            </w:r>
          </w:p>
        </w:tc>
        <w:tc>
          <w:tcPr>
            <w:tcW w:w="2610" w:type="dxa"/>
          </w:tcPr>
          <w:p w14:paraId="50D6D0D7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10 (3.9)</w:t>
            </w:r>
          </w:p>
        </w:tc>
      </w:tr>
      <w:tr w:rsidR="003D3C70" w:rsidRPr="007152A5" w14:paraId="3EA6BF5E" w14:textId="77777777" w:rsidTr="00BC784C">
        <w:trPr>
          <w:trHeight w:val="746"/>
        </w:trPr>
        <w:tc>
          <w:tcPr>
            <w:tcW w:w="3510" w:type="dxa"/>
          </w:tcPr>
          <w:p w14:paraId="6D3B1C78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    Partial response</w:t>
            </w:r>
          </w:p>
        </w:tc>
        <w:tc>
          <w:tcPr>
            <w:tcW w:w="3240" w:type="dxa"/>
          </w:tcPr>
          <w:p w14:paraId="0FC01930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82 (51.3)</w:t>
            </w:r>
          </w:p>
        </w:tc>
        <w:tc>
          <w:tcPr>
            <w:tcW w:w="2610" w:type="dxa"/>
          </w:tcPr>
          <w:p w14:paraId="57930800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82 (32.0)</w:t>
            </w:r>
          </w:p>
        </w:tc>
      </w:tr>
      <w:tr w:rsidR="003D3C70" w:rsidRPr="007152A5" w14:paraId="521A4D0C" w14:textId="77777777" w:rsidTr="00BC784C">
        <w:trPr>
          <w:trHeight w:val="746"/>
        </w:trPr>
        <w:tc>
          <w:tcPr>
            <w:tcW w:w="3510" w:type="dxa"/>
          </w:tcPr>
          <w:p w14:paraId="1E084B0C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    Stable disease</w:t>
            </w:r>
          </w:p>
        </w:tc>
        <w:tc>
          <w:tcPr>
            <w:tcW w:w="3240" w:type="dxa"/>
          </w:tcPr>
          <w:p w14:paraId="3F33D34A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57 (35.6)</w:t>
            </w:r>
          </w:p>
        </w:tc>
        <w:tc>
          <w:tcPr>
            <w:tcW w:w="2610" w:type="dxa"/>
          </w:tcPr>
          <w:p w14:paraId="423DA61C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57 (22.3)</w:t>
            </w:r>
          </w:p>
        </w:tc>
      </w:tr>
      <w:tr w:rsidR="003D3C70" w:rsidRPr="007152A5" w14:paraId="513D7563" w14:textId="77777777" w:rsidTr="00BC784C">
        <w:trPr>
          <w:trHeight w:val="746"/>
        </w:trPr>
        <w:tc>
          <w:tcPr>
            <w:tcW w:w="3510" w:type="dxa"/>
          </w:tcPr>
          <w:p w14:paraId="560AAD22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    Non-CR/non-PD</w:t>
            </w:r>
          </w:p>
        </w:tc>
        <w:tc>
          <w:tcPr>
            <w:tcW w:w="3240" w:type="dxa"/>
          </w:tcPr>
          <w:p w14:paraId="72A0E124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-</w:t>
            </w:r>
          </w:p>
        </w:tc>
        <w:tc>
          <w:tcPr>
            <w:tcW w:w="2610" w:type="dxa"/>
          </w:tcPr>
          <w:p w14:paraId="20EA2295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80 (31.3)</w:t>
            </w:r>
          </w:p>
        </w:tc>
      </w:tr>
      <w:tr w:rsidR="003D3C70" w:rsidRPr="007152A5" w14:paraId="047474A9" w14:textId="77777777" w:rsidTr="00BC784C">
        <w:trPr>
          <w:trHeight w:val="746"/>
        </w:trPr>
        <w:tc>
          <w:tcPr>
            <w:tcW w:w="3510" w:type="dxa"/>
          </w:tcPr>
          <w:p w14:paraId="3DCD26D7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    Progressive disease</w:t>
            </w:r>
          </w:p>
        </w:tc>
        <w:tc>
          <w:tcPr>
            <w:tcW w:w="3240" w:type="dxa"/>
          </w:tcPr>
          <w:p w14:paraId="0257D1B6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18 (11.3)</w:t>
            </w:r>
          </w:p>
        </w:tc>
        <w:tc>
          <w:tcPr>
            <w:tcW w:w="2610" w:type="dxa"/>
          </w:tcPr>
          <w:p w14:paraId="7E14F128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25 (9.8)</w:t>
            </w:r>
          </w:p>
        </w:tc>
      </w:tr>
      <w:tr w:rsidR="003D3C70" w:rsidRPr="007152A5" w14:paraId="18342EC9" w14:textId="77777777" w:rsidTr="00BC784C">
        <w:trPr>
          <w:trHeight w:val="746"/>
        </w:trPr>
        <w:tc>
          <w:tcPr>
            <w:tcW w:w="3510" w:type="dxa"/>
          </w:tcPr>
          <w:p w14:paraId="02AC3BCF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 xml:space="preserve">    Unknown</w:t>
            </w:r>
          </w:p>
        </w:tc>
        <w:tc>
          <w:tcPr>
            <w:tcW w:w="3240" w:type="dxa"/>
          </w:tcPr>
          <w:p w14:paraId="247F2175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1 (0.6)</w:t>
            </w:r>
          </w:p>
        </w:tc>
        <w:tc>
          <w:tcPr>
            <w:tcW w:w="2610" w:type="dxa"/>
          </w:tcPr>
          <w:p w14:paraId="3C335442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2 (0.8)</w:t>
            </w:r>
          </w:p>
        </w:tc>
      </w:tr>
      <w:tr w:rsidR="003D3C70" w:rsidRPr="007152A5" w14:paraId="1083719B" w14:textId="77777777" w:rsidTr="00BC784C">
        <w:trPr>
          <w:trHeight w:val="746"/>
        </w:trPr>
        <w:tc>
          <w:tcPr>
            <w:tcW w:w="3510" w:type="dxa"/>
          </w:tcPr>
          <w:p w14:paraId="24F3A173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/>
                <w:bCs/>
                <w:kern w:val="24"/>
                <w:lang w:val="en-GB"/>
              </w:rPr>
            </w:pPr>
            <w:r w:rsidRPr="007152A5">
              <w:rPr>
                <w:rFonts w:ascii="Arial" w:hAnsi="Arial" w:cs="Arial"/>
                <w:b/>
                <w:bCs/>
                <w:kern w:val="24"/>
                <w:lang w:val="en-GB"/>
              </w:rPr>
              <w:t>ORR</w:t>
            </w:r>
          </w:p>
        </w:tc>
        <w:tc>
          <w:tcPr>
            <w:tcW w:w="3240" w:type="dxa"/>
          </w:tcPr>
          <w:p w14:paraId="318576BF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84 (52.5)</w:t>
            </w:r>
          </w:p>
        </w:tc>
        <w:tc>
          <w:tcPr>
            <w:tcW w:w="2610" w:type="dxa"/>
          </w:tcPr>
          <w:p w14:paraId="6829392D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92 (35.9)</w:t>
            </w:r>
          </w:p>
        </w:tc>
      </w:tr>
      <w:tr w:rsidR="003D3C70" w:rsidRPr="007152A5" w14:paraId="42ED8038" w14:textId="77777777" w:rsidTr="00BC784C">
        <w:trPr>
          <w:trHeight w:val="746"/>
        </w:trPr>
        <w:tc>
          <w:tcPr>
            <w:tcW w:w="3510" w:type="dxa"/>
          </w:tcPr>
          <w:p w14:paraId="1DA9FD42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/>
                <w:bCs/>
                <w:kern w:val="24"/>
                <w:lang w:val="en-GB"/>
              </w:rPr>
            </w:pPr>
            <w:r w:rsidRPr="007152A5">
              <w:rPr>
                <w:rFonts w:ascii="Arial" w:hAnsi="Arial" w:cs="Arial"/>
                <w:b/>
                <w:bCs/>
                <w:kern w:val="24"/>
                <w:lang w:val="en-GB"/>
              </w:rPr>
              <w:t>CBR</w:t>
            </w:r>
          </w:p>
        </w:tc>
        <w:tc>
          <w:tcPr>
            <w:tcW w:w="3240" w:type="dxa"/>
          </w:tcPr>
          <w:p w14:paraId="1D659E6D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113 (70.6)</w:t>
            </w:r>
          </w:p>
        </w:tc>
        <w:tc>
          <w:tcPr>
            <w:tcW w:w="2610" w:type="dxa"/>
          </w:tcPr>
          <w:p w14:paraId="5E7B8015" w14:textId="77777777" w:rsidR="003D3C70" w:rsidRPr="007152A5" w:rsidRDefault="003D3C70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185 (72.3)</w:t>
            </w:r>
          </w:p>
        </w:tc>
      </w:tr>
    </w:tbl>
    <w:p w14:paraId="2C5CAEF9" w14:textId="77777777" w:rsidR="003D3C70" w:rsidRPr="007152A5" w:rsidRDefault="003D3C70" w:rsidP="003D3C70">
      <w:pPr>
        <w:pStyle w:val="Paragraph"/>
        <w:spacing w:before="0"/>
        <w:ind w:firstLine="0"/>
        <w:jc w:val="both"/>
        <w:rPr>
          <w:rFonts w:ascii="Arial" w:hAnsi="Arial" w:cs="Arial"/>
          <w:sz w:val="22"/>
          <w:szCs w:val="22"/>
        </w:rPr>
      </w:pPr>
      <w:r w:rsidRPr="007152A5">
        <w:rPr>
          <w:rFonts w:ascii="Arial" w:hAnsi="Arial" w:cs="Arial"/>
          <w:sz w:val="22"/>
          <w:szCs w:val="22"/>
        </w:rPr>
        <w:t>CBR, clinical benefit rate; non-CR, non-complete response; non-PD, non-progressive disease; ORR, overall response rate.</w:t>
      </w:r>
    </w:p>
    <w:p w14:paraId="7AB15CFF" w14:textId="77777777" w:rsidR="003D3C70" w:rsidRPr="007152A5" w:rsidRDefault="003D3C70" w:rsidP="003D3C70">
      <w:pPr>
        <w:pStyle w:val="Paragraph"/>
        <w:spacing w:before="0"/>
        <w:ind w:firstLine="0"/>
        <w:jc w:val="both"/>
        <w:rPr>
          <w:rFonts w:ascii="Arial" w:hAnsi="Arial" w:cs="Arial"/>
          <w:sz w:val="22"/>
          <w:szCs w:val="22"/>
        </w:rPr>
      </w:pPr>
      <w:r w:rsidRPr="007152A5">
        <w:rPr>
          <w:rFonts w:ascii="Arial" w:hAnsi="Arial" w:cs="Arial"/>
          <w:sz w:val="22"/>
          <w:szCs w:val="22"/>
        </w:rPr>
        <w:t>*Patients with measurable disease indicate the presence of at least one measurable nodal or non-nodal lesion.</w:t>
      </w:r>
    </w:p>
    <w:p w14:paraId="63A31BC2" w14:textId="77777777" w:rsidR="00156F20" w:rsidRDefault="00156F20"/>
    <w:sectPr w:rsidR="00156F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70"/>
    <w:rsid w:val="00053A8C"/>
    <w:rsid w:val="00055441"/>
    <w:rsid w:val="00156F20"/>
    <w:rsid w:val="003D3C70"/>
    <w:rsid w:val="00473EDE"/>
    <w:rsid w:val="006E73DA"/>
    <w:rsid w:val="00FD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BEF85"/>
  <w15:chartTrackingRefBased/>
  <w15:docId w15:val="{6AAFC1DE-EBED-4CAF-880E-CE9DA176A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C70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3C7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3C7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3C7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3C7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3C7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3C7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3C7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3C7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3C7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3C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3C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3C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3C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3C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3C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3C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3C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3C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3C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D3C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3C7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D3C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3C7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D3C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3C7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D3C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3C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3C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3C70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3D3C70"/>
    <w:pPr>
      <w:spacing w:before="120"/>
      <w:ind w:firstLine="720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it-IT"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c9bec58-8084-492e-8360-0e1cfe36408c}" enabled="1" method="Standard" siteId="{f35a6974-607f-47d4-82d7-ff31d7dc53a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542</Characters>
  <Application>Microsoft Office Word</Application>
  <DocSecurity>0</DocSecurity>
  <Lines>135</Lines>
  <Paragraphs>75</Paragraphs>
  <ScaleCrop>false</ScaleCrop>
  <Company>Novartis Pharma AG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Purvi Rameshbhai, Patel (Ext)</dc:creator>
  <cp:keywords/>
  <dc:description/>
  <cp:lastModifiedBy>Purvi Rameshbhai, Patel (Ext)</cp:lastModifiedBy>
  <cp:revision>4</cp:revision>
  <dcterms:created xsi:type="dcterms:W3CDTF">2025-12-16T11:46:00Z</dcterms:created>
  <dcterms:modified xsi:type="dcterms:W3CDTF">2025-12-17T07:07:00Z</dcterms:modified>
</cp:coreProperties>
</file>