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74CBC" w14:textId="468249FA" w:rsidR="00156F20" w:rsidRDefault="005160E7">
      <w:pPr>
        <w:rPr>
          <w:rFonts w:ascii="Arial" w:hAnsi="Arial" w:cs="Arial"/>
          <w:noProof/>
          <w:sz w:val="22"/>
          <w:szCs w:val="22"/>
        </w:rPr>
      </w:pPr>
      <w:r w:rsidRPr="007152A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F5CDE5B" wp14:editId="7CF31F29">
            <wp:extent cx="5731510" cy="2174422"/>
            <wp:effectExtent l="0" t="0" r="2540" b="0"/>
            <wp:docPr id="7" name="Picture 7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7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237FF" w14:textId="31436DF0" w:rsidR="005160E7" w:rsidRPr="007152A5" w:rsidRDefault="005160E7" w:rsidP="005160E7">
      <w:pPr>
        <w:pStyle w:val="Paragraph"/>
        <w:spacing w:before="0" w:line="480" w:lineRule="auto"/>
        <w:ind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7152A5">
        <w:rPr>
          <w:rFonts w:ascii="Arial" w:hAnsi="Arial" w:cs="Arial"/>
          <w:b/>
          <w:bCs/>
          <w:sz w:val="22"/>
          <w:szCs w:val="22"/>
        </w:rPr>
        <w:t xml:space="preserve">Supplementary Figure </w:t>
      </w:r>
      <w:r w:rsidR="0024468C">
        <w:rPr>
          <w:rFonts w:ascii="Arial" w:hAnsi="Arial" w:cs="Arial"/>
          <w:b/>
          <w:bCs/>
          <w:sz w:val="22"/>
          <w:szCs w:val="22"/>
        </w:rPr>
        <w:t>S</w:t>
      </w:r>
      <w:r w:rsidRPr="007152A5">
        <w:rPr>
          <w:rFonts w:ascii="Arial" w:hAnsi="Arial" w:cs="Arial"/>
          <w:b/>
          <w:bCs/>
          <w:sz w:val="22"/>
          <w:szCs w:val="22"/>
        </w:rPr>
        <w:t>1. Study design</w:t>
      </w:r>
    </w:p>
    <w:p w14:paraId="3CAB04E2" w14:textId="77777777" w:rsidR="005160E7" w:rsidRPr="007152A5" w:rsidRDefault="005160E7" w:rsidP="005160E7">
      <w:pPr>
        <w:pStyle w:val="Paragraph"/>
        <w:spacing w:before="0"/>
        <w:ind w:firstLine="0"/>
        <w:jc w:val="both"/>
        <w:rPr>
          <w:rFonts w:ascii="Arial" w:hAnsi="Arial" w:cs="Arial"/>
          <w:sz w:val="22"/>
          <w:szCs w:val="22"/>
        </w:rPr>
      </w:pPr>
      <w:r w:rsidRPr="007152A5">
        <w:rPr>
          <w:rFonts w:ascii="Arial" w:hAnsi="Arial" w:cs="Arial"/>
          <w:sz w:val="22"/>
          <w:szCs w:val="22"/>
        </w:rPr>
        <w:t>ABC, advanced breast cancer; CBR, clinical benefit rate; EOT, end of treatment; HR, hormone receptor; HER2</w:t>
      </w:r>
      <w:r w:rsidRPr="007152A5">
        <w:rPr>
          <w:rFonts w:ascii="Arial" w:hAnsi="Arial" w:cs="Arial"/>
          <w:sz w:val="22"/>
          <w:szCs w:val="22"/>
          <w:lang w:val="en-GB"/>
        </w:rPr>
        <w:t xml:space="preserve">, </w:t>
      </w:r>
      <w:r w:rsidRPr="007152A5">
        <w:rPr>
          <w:rFonts w:ascii="Arial" w:hAnsi="Arial" w:cs="Arial"/>
          <w:sz w:val="22"/>
          <w:szCs w:val="22"/>
        </w:rPr>
        <w:t>h</w:t>
      </w:r>
      <w:r w:rsidRPr="007152A5">
        <w:rPr>
          <w:rFonts w:ascii="Arial" w:hAnsi="Arial" w:cs="Arial"/>
          <w:sz w:val="22"/>
          <w:szCs w:val="22"/>
          <w:shd w:val="clear" w:color="auto" w:fill="FFFFFF"/>
        </w:rPr>
        <w:t>uman epidermal growth factor receptor</w:t>
      </w:r>
      <w:r w:rsidRPr="007152A5">
        <w:rPr>
          <w:rFonts w:ascii="Arial" w:hAnsi="Arial" w:cs="Arial"/>
          <w:sz w:val="22"/>
          <w:szCs w:val="22"/>
        </w:rPr>
        <w:t> </w:t>
      </w:r>
      <w:r w:rsidRPr="007152A5">
        <w:rPr>
          <w:rFonts w:ascii="Arial" w:hAnsi="Arial" w:cs="Arial"/>
          <w:sz w:val="22"/>
          <w:szCs w:val="22"/>
          <w:shd w:val="clear" w:color="auto" w:fill="FFFFFF"/>
        </w:rPr>
        <w:t>2</w:t>
      </w:r>
      <w:r w:rsidRPr="007152A5">
        <w:rPr>
          <w:rFonts w:ascii="Arial" w:hAnsi="Arial" w:cs="Arial"/>
          <w:sz w:val="22"/>
          <w:szCs w:val="22"/>
          <w:lang w:val="en-GB"/>
        </w:rPr>
        <w:t xml:space="preserve">; </w:t>
      </w:r>
      <w:r w:rsidRPr="007152A5">
        <w:rPr>
          <w:rFonts w:ascii="Arial" w:hAnsi="Arial" w:cs="Arial"/>
          <w:sz w:val="22"/>
          <w:szCs w:val="22"/>
        </w:rPr>
        <w:t>ORR, overall response rate; PO, orally; TK1, thymidine kinase 1; QD, once daily.</w:t>
      </w:r>
    </w:p>
    <w:p w14:paraId="07E72460" w14:textId="77777777" w:rsidR="005160E7" w:rsidRPr="007152A5" w:rsidRDefault="005160E7" w:rsidP="005160E7">
      <w:pPr>
        <w:pStyle w:val="Paragraph"/>
        <w:spacing w:before="0"/>
        <w:ind w:firstLine="0"/>
        <w:jc w:val="both"/>
        <w:rPr>
          <w:rFonts w:ascii="Arial" w:hAnsi="Arial" w:cs="Arial"/>
          <w:sz w:val="22"/>
          <w:szCs w:val="22"/>
        </w:rPr>
      </w:pPr>
      <w:r w:rsidRPr="007152A5">
        <w:rPr>
          <w:rFonts w:ascii="Arial" w:hAnsi="Arial" w:cs="Arial"/>
          <w:sz w:val="22"/>
          <w:szCs w:val="22"/>
        </w:rPr>
        <w:t xml:space="preserve">At progression, patients with </w:t>
      </w:r>
      <w:r w:rsidRPr="007152A5">
        <w:rPr>
          <w:rFonts w:ascii="Arial" w:hAnsi="Arial" w:cs="Arial"/>
          <w:i/>
          <w:iCs/>
          <w:sz w:val="22"/>
          <w:szCs w:val="22"/>
        </w:rPr>
        <w:t>PIK3CA</w:t>
      </w:r>
      <w:r w:rsidRPr="007152A5">
        <w:rPr>
          <w:rFonts w:ascii="Arial" w:hAnsi="Arial" w:cs="Arial"/>
          <w:sz w:val="22"/>
          <w:szCs w:val="22"/>
        </w:rPr>
        <w:t xml:space="preserve"> mutations were </w:t>
      </w:r>
      <w:proofErr w:type="gramStart"/>
      <w:r w:rsidRPr="007152A5">
        <w:rPr>
          <w:rFonts w:ascii="Arial" w:hAnsi="Arial" w:cs="Arial"/>
          <w:sz w:val="22"/>
          <w:szCs w:val="22"/>
        </w:rPr>
        <w:t>offered to receive</w:t>
      </w:r>
      <w:proofErr w:type="gramEnd"/>
      <w:r w:rsidRPr="007152A5">
        <w:rPr>
          <w:rFonts w:ascii="Arial" w:hAnsi="Arial" w:cs="Arial"/>
          <w:sz w:val="22"/>
          <w:szCs w:val="22"/>
        </w:rPr>
        <w:t xml:space="preserve"> a second-line treatment with alpelisib and </w:t>
      </w:r>
      <w:proofErr w:type="gramStart"/>
      <w:r w:rsidRPr="007152A5">
        <w:rPr>
          <w:rFonts w:ascii="Arial" w:hAnsi="Arial" w:cs="Arial"/>
          <w:sz w:val="22"/>
          <w:szCs w:val="22"/>
        </w:rPr>
        <w:t>fulvestrant</w:t>
      </w:r>
      <w:proofErr w:type="gramEnd"/>
      <w:r w:rsidRPr="007152A5">
        <w:rPr>
          <w:rFonts w:ascii="Arial" w:hAnsi="Arial" w:cs="Arial"/>
          <w:sz w:val="22"/>
          <w:szCs w:val="22"/>
        </w:rPr>
        <w:t xml:space="preserve"> at the conventional registered doses within an extension phase of the study.</w:t>
      </w:r>
    </w:p>
    <w:p w14:paraId="47F54951" w14:textId="77777777" w:rsidR="005160E7" w:rsidRPr="005160E7" w:rsidRDefault="005160E7" w:rsidP="005160E7">
      <w:pPr>
        <w:rPr>
          <w:lang w:val="en-US"/>
        </w:rPr>
      </w:pPr>
    </w:p>
    <w:sectPr w:rsidR="005160E7" w:rsidRPr="005160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9430F" w14:textId="77777777" w:rsidR="00890E14" w:rsidRDefault="00890E14" w:rsidP="005160E7">
      <w:pPr>
        <w:spacing w:after="0" w:line="240" w:lineRule="auto"/>
      </w:pPr>
      <w:r>
        <w:separator/>
      </w:r>
    </w:p>
  </w:endnote>
  <w:endnote w:type="continuationSeparator" w:id="0">
    <w:p w14:paraId="37C58AFE" w14:textId="77777777" w:rsidR="00890E14" w:rsidRDefault="00890E14" w:rsidP="00516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00D9A" w14:textId="77777777" w:rsidR="00890E14" w:rsidRDefault="00890E14" w:rsidP="005160E7">
      <w:pPr>
        <w:spacing w:after="0" w:line="240" w:lineRule="auto"/>
      </w:pPr>
      <w:r>
        <w:separator/>
      </w:r>
    </w:p>
  </w:footnote>
  <w:footnote w:type="continuationSeparator" w:id="0">
    <w:p w14:paraId="4B6094AD" w14:textId="77777777" w:rsidR="00890E14" w:rsidRDefault="00890E14" w:rsidP="00516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0E7"/>
    <w:rsid w:val="00053A8C"/>
    <w:rsid w:val="00055441"/>
    <w:rsid w:val="00156F20"/>
    <w:rsid w:val="0024468C"/>
    <w:rsid w:val="002B454D"/>
    <w:rsid w:val="00305F01"/>
    <w:rsid w:val="00473EDE"/>
    <w:rsid w:val="005160E7"/>
    <w:rsid w:val="00890E14"/>
    <w:rsid w:val="00FC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3C7F1"/>
  <w15:chartTrackingRefBased/>
  <w15:docId w15:val="{70BEB235-2544-4F87-A4BC-AF0853A0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60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60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60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60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60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60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60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60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60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60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60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60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60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60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60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60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60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60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60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60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60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60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60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60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60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60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60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60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60E7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5160E7"/>
    <w:pPr>
      <w:spacing w:before="120" w:after="0" w:line="240" w:lineRule="auto"/>
      <w:ind w:firstLine="720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160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0E7"/>
  </w:style>
  <w:style w:type="paragraph" w:styleId="Footer">
    <w:name w:val="footer"/>
    <w:basedOn w:val="Normal"/>
    <w:link w:val="FooterChar"/>
    <w:uiPriority w:val="99"/>
    <w:unhideWhenUsed/>
    <w:rsid w:val="005160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0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3c9bec58-8084-492e-8360-0e1cfe36408c}" enabled="1" method="Standard" siteId="{f35a6974-607f-47d4-82d7-ff31d7dc53a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403</Characters>
  <Application>Microsoft Office Word</Application>
  <DocSecurity>0</DocSecurity>
  <Lines>8</Lines>
  <Paragraphs>3</Paragraphs>
  <ScaleCrop>false</ScaleCrop>
  <Company>Novartis Pharma AG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Purvi Rameshbhai, Patel (Ext)</dc:creator>
  <cp:keywords/>
  <dc:description/>
  <cp:lastModifiedBy>Purvi Rameshbhai, Patel (Ext)</cp:lastModifiedBy>
  <cp:revision>4</cp:revision>
  <dcterms:created xsi:type="dcterms:W3CDTF">2025-12-16T11:50:00Z</dcterms:created>
  <dcterms:modified xsi:type="dcterms:W3CDTF">2026-01-06T06:16:00Z</dcterms:modified>
</cp:coreProperties>
</file>