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E04C80" w14:textId="336CBB87" w:rsidR="00861F30" w:rsidRPr="00815BE5" w:rsidRDefault="008302D4" w:rsidP="008302D4">
      <w:pPr>
        <w:spacing w:line="480" w:lineRule="auto"/>
        <w:jc w:val="both"/>
        <w:rPr>
          <w:rFonts w:ascii="Times New Roman" w:hAnsi="Times New Roman" w:cs="Times New Roman"/>
          <w:b/>
          <w:sz w:val="28"/>
          <w:szCs w:val="28"/>
        </w:rPr>
      </w:pPr>
      <w:r w:rsidRPr="00815BE5">
        <w:rPr>
          <w:rFonts w:ascii="Times New Roman" w:hAnsi="Times New Roman" w:cs="Times New Roman"/>
          <w:b/>
          <w:sz w:val="28"/>
          <w:szCs w:val="28"/>
        </w:rPr>
        <w:t>Supplementary methods</w:t>
      </w:r>
      <w:r w:rsidR="00861F30" w:rsidRPr="00815BE5">
        <w:rPr>
          <w:rFonts w:ascii="Times New Roman" w:hAnsi="Times New Roman" w:cs="Times New Roman"/>
          <w:b/>
          <w:sz w:val="28"/>
          <w:szCs w:val="28"/>
        </w:rPr>
        <w:t xml:space="preserve"> </w:t>
      </w:r>
    </w:p>
    <w:p w14:paraId="4E8E8213" w14:textId="236D640A" w:rsidR="002275C4" w:rsidRPr="00815BE5" w:rsidRDefault="002275C4" w:rsidP="008302D4">
      <w:pPr>
        <w:tabs>
          <w:tab w:val="left" w:pos="3969"/>
        </w:tabs>
        <w:spacing w:line="480" w:lineRule="auto"/>
        <w:jc w:val="both"/>
        <w:rPr>
          <w:rFonts w:ascii="Times New Roman" w:hAnsi="Times New Roman" w:cs="Times New Roman"/>
          <w:b/>
          <w:i/>
          <w:iCs/>
          <w:sz w:val="24"/>
          <w:szCs w:val="24"/>
        </w:rPr>
      </w:pPr>
      <w:r w:rsidRPr="00815BE5">
        <w:rPr>
          <w:rFonts w:ascii="Times New Roman" w:hAnsi="Times New Roman" w:cs="Times New Roman"/>
          <w:b/>
          <w:i/>
          <w:iCs/>
          <w:sz w:val="24"/>
          <w:szCs w:val="24"/>
        </w:rPr>
        <w:t>Patient consent and local approval</w:t>
      </w:r>
    </w:p>
    <w:p w14:paraId="214F85F2" w14:textId="2AD1C6E4" w:rsidR="00944AD3" w:rsidRPr="00815BE5" w:rsidRDefault="002275C4" w:rsidP="00944AD3">
      <w:pPr>
        <w:tabs>
          <w:tab w:val="left" w:pos="3969"/>
        </w:tabs>
        <w:spacing w:line="480" w:lineRule="auto"/>
        <w:jc w:val="both"/>
        <w:rPr>
          <w:rFonts w:ascii="Times New Roman" w:hAnsi="Times New Roman" w:cs="Times New Roman"/>
          <w:bCs/>
          <w:sz w:val="24"/>
          <w:szCs w:val="24"/>
          <w:lang w:val="en-GB"/>
        </w:rPr>
      </w:pPr>
      <w:r w:rsidRPr="00815BE5">
        <w:rPr>
          <w:rFonts w:ascii="Times New Roman" w:hAnsi="Times New Roman" w:cs="Times New Roman"/>
          <w:bCs/>
          <w:sz w:val="24"/>
          <w:szCs w:val="24"/>
        </w:rPr>
        <w:t xml:space="preserve">In relation to country-specific consent processes, </w:t>
      </w:r>
      <w:r w:rsidR="002F6B62" w:rsidRPr="00815BE5">
        <w:rPr>
          <w:rFonts w:ascii="Times New Roman" w:hAnsi="Times New Roman" w:cs="Times New Roman"/>
          <w:bCs/>
          <w:sz w:val="24"/>
          <w:szCs w:val="24"/>
          <w:lang w:val="en-GB"/>
        </w:rPr>
        <w:t>in accordance with French regulations, where patient consent is not required for some non-interventional investigations</w:t>
      </w:r>
      <w:r w:rsidRPr="00815BE5">
        <w:rPr>
          <w:rFonts w:ascii="Times New Roman" w:hAnsi="Times New Roman" w:cs="Times New Roman"/>
          <w:bCs/>
          <w:sz w:val="24"/>
          <w:szCs w:val="24"/>
        </w:rPr>
        <w:t xml:space="preserve"> a ‘non-opposition’ model was used, whereby patients or their next of kin were sent information about the study by post and data collection proceeded if they did not raise an opposition within 10 working days; consent was obtained for all living patients from the UK, Spain, Germany and Italy. For UK and Italian cent</w:t>
      </w:r>
      <w:r w:rsidR="00660210" w:rsidRPr="00815BE5">
        <w:rPr>
          <w:rFonts w:ascii="Times New Roman" w:hAnsi="Times New Roman" w:cs="Times New Roman"/>
          <w:bCs/>
          <w:sz w:val="24"/>
          <w:szCs w:val="24"/>
        </w:rPr>
        <w:t>e</w:t>
      </w:r>
      <w:r w:rsidR="007E0ED2" w:rsidRPr="00815BE5">
        <w:rPr>
          <w:rFonts w:ascii="Times New Roman" w:hAnsi="Times New Roman" w:cs="Times New Roman"/>
          <w:bCs/>
          <w:sz w:val="24"/>
          <w:szCs w:val="24"/>
        </w:rPr>
        <w:t>rs</w:t>
      </w:r>
      <w:r w:rsidRPr="00815BE5">
        <w:rPr>
          <w:rFonts w:ascii="Times New Roman" w:hAnsi="Times New Roman" w:cs="Times New Roman"/>
          <w:bCs/>
          <w:sz w:val="24"/>
          <w:szCs w:val="24"/>
        </w:rPr>
        <w:t>, deceased patients’ data were collected by the direct care team to preserve confidentiality; no deceased patients were eligible for inclusion from Spanish and German cent</w:t>
      </w:r>
      <w:r w:rsidR="007E0ED2" w:rsidRPr="00815BE5">
        <w:rPr>
          <w:rFonts w:ascii="Times New Roman" w:hAnsi="Times New Roman" w:cs="Times New Roman"/>
          <w:bCs/>
          <w:sz w:val="24"/>
          <w:szCs w:val="24"/>
        </w:rPr>
        <w:t>ers</w:t>
      </w:r>
      <w:r w:rsidRPr="00815BE5">
        <w:rPr>
          <w:rFonts w:ascii="Times New Roman" w:hAnsi="Times New Roman" w:cs="Times New Roman"/>
          <w:bCs/>
          <w:sz w:val="24"/>
          <w:szCs w:val="24"/>
        </w:rPr>
        <w:t>.</w:t>
      </w:r>
      <w:r w:rsidR="00944AD3" w:rsidRPr="00815BE5">
        <w:rPr>
          <w:rFonts w:ascii="Times New Roman" w:hAnsi="Times New Roman" w:cs="Times New Roman"/>
          <w:bCs/>
          <w:sz w:val="24"/>
          <w:szCs w:val="24"/>
        </w:rPr>
        <w:t xml:space="preserve"> In the UK,</w:t>
      </w:r>
      <w:r w:rsidR="00944AD3" w:rsidRPr="00815BE5">
        <w:rPr>
          <w:rFonts w:ascii="Times New Roman" w:hAnsi="Times New Roman" w:cs="Times New Roman"/>
          <w:bCs/>
          <w:sz w:val="24"/>
          <w:szCs w:val="24"/>
          <w:lang w:val="en-GB"/>
        </w:rPr>
        <w:t xml:space="preserve"> approval was granted (reference: 18/LO/0867) from an independent National Health Service Research Ethics Committee</w:t>
      </w:r>
      <w:r w:rsidR="005157F0" w:rsidRPr="00815BE5">
        <w:rPr>
          <w:rFonts w:ascii="Times New Roman" w:hAnsi="Times New Roman" w:cs="Times New Roman"/>
          <w:bCs/>
          <w:sz w:val="24"/>
          <w:szCs w:val="24"/>
          <w:lang w:val="en-GB"/>
        </w:rPr>
        <w:t xml:space="preserve"> (EC)</w:t>
      </w:r>
      <w:r w:rsidR="00944AD3" w:rsidRPr="00815BE5">
        <w:rPr>
          <w:rFonts w:ascii="Times New Roman" w:hAnsi="Times New Roman" w:cs="Times New Roman"/>
          <w:bCs/>
          <w:sz w:val="24"/>
          <w:szCs w:val="24"/>
          <w:lang w:val="en-GB"/>
        </w:rPr>
        <w:t xml:space="preserve"> via the </w:t>
      </w:r>
      <w:bookmarkStart w:id="0" w:name="_Hlk61970215"/>
      <w:r w:rsidR="00944AD3" w:rsidRPr="00815BE5">
        <w:rPr>
          <w:rFonts w:ascii="Times New Roman" w:hAnsi="Times New Roman" w:cs="Times New Roman"/>
          <w:bCs/>
          <w:sz w:val="24"/>
          <w:szCs w:val="24"/>
          <w:lang w:val="en-GB"/>
        </w:rPr>
        <w:t>Health Research Authority</w:t>
      </w:r>
      <w:bookmarkEnd w:id="0"/>
      <w:r w:rsidR="00944AD3" w:rsidRPr="00815BE5">
        <w:rPr>
          <w:rFonts w:ascii="Times New Roman" w:hAnsi="Times New Roman" w:cs="Times New Roman"/>
          <w:bCs/>
          <w:sz w:val="24"/>
          <w:szCs w:val="24"/>
          <w:lang w:val="en-GB"/>
        </w:rPr>
        <w:t xml:space="preserve"> system, followed by study approval from each individual </w:t>
      </w:r>
      <w:r w:rsidR="00944AD3" w:rsidRPr="00815BE5">
        <w:rPr>
          <w:rFonts w:ascii="Times New Roman" w:hAnsi="Times New Roman" w:cs="Times New Roman"/>
          <w:bCs/>
          <w:sz w:val="24"/>
          <w:szCs w:val="24"/>
        </w:rPr>
        <w:t>cent</w:t>
      </w:r>
      <w:r w:rsidR="00ED0382" w:rsidRPr="00815BE5">
        <w:rPr>
          <w:rFonts w:ascii="Times New Roman" w:hAnsi="Times New Roman" w:cs="Times New Roman"/>
          <w:bCs/>
          <w:sz w:val="24"/>
          <w:szCs w:val="24"/>
        </w:rPr>
        <w:t>er</w:t>
      </w:r>
      <w:r w:rsidR="00944AD3" w:rsidRPr="00815BE5">
        <w:rPr>
          <w:rFonts w:ascii="Times New Roman" w:hAnsi="Times New Roman" w:cs="Times New Roman"/>
          <w:bCs/>
          <w:sz w:val="24"/>
          <w:szCs w:val="24"/>
          <w:lang w:val="en-GB"/>
        </w:rPr>
        <w:t xml:space="preserve"> via its respective research and development departments. In France, the study was considered “hors </w:t>
      </w:r>
      <w:proofErr w:type="spellStart"/>
      <w:r w:rsidR="00944AD3" w:rsidRPr="00815BE5">
        <w:rPr>
          <w:rFonts w:ascii="Times New Roman" w:hAnsi="Times New Roman" w:cs="Times New Roman"/>
          <w:bCs/>
          <w:sz w:val="24"/>
          <w:szCs w:val="24"/>
          <w:lang w:val="en-GB"/>
        </w:rPr>
        <w:t>loi</w:t>
      </w:r>
      <w:proofErr w:type="spellEnd"/>
      <w:r w:rsidR="00944AD3" w:rsidRPr="00815BE5">
        <w:rPr>
          <w:rFonts w:ascii="Times New Roman" w:hAnsi="Times New Roman" w:cs="Times New Roman"/>
          <w:bCs/>
          <w:sz w:val="24"/>
          <w:szCs w:val="24"/>
          <w:lang w:val="en-GB"/>
        </w:rPr>
        <w:t xml:space="preserve"> </w:t>
      </w:r>
      <w:proofErr w:type="spellStart"/>
      <w:r w:rsidR="00944AD3" w:rsidRPr="00815BE5">
        <w:rPr>
          <w:rFonts w:ascii="Times New Roman" w:hAnsi="Times New Roman" w:cs="Times New Roman"/>
          <w:bCs/>
          <w:sz w:val="24"/>
          <w:szCs w:val="24"/>
          <w:lang w:val="en-GB"/>
        </w:rPr>
        <w:t>Jardé</w:t>
      </w:r>
      <w:proofErr w:type="spellEnd"/>
      <w:r w:rsidR="00944AD3" w:rsidRPr="00815BE5">
        <w:rPr>
          <w:rFonts w:ascii="Times New Roman" w:hAnsi="Times New Roman" w:cs="Times New Roman"/>
          <w:bCs/>
          <w:sz w:val="24"/>
          <w:szCs w:val="24"/>
          <w:lang w:val="en-GB"/>
        </w:rPr>
        <w:t xml:space="preserve">” and so did not require submission to an ethics committee or regulatory authority (RA). In addition, the study was carried out according to the MR-004 and declared to the Commission </w:t>
      </w:r>
      <w:proofErr w:type="spellStart"/>
      <w:r w:rsidR="00944AD3" w:rsidRPr="00815BE5">
        <w:rPr>
          <w:rFonts w:ascii="Times New Roman" w:hAnsi="Times New Roman" w:cs="Times New Roman"/>
          <w:bCs/>
          <w:sz w:val="24"/>
          <w:szCs w:val="24"/>
          <w:lang w:val="en-GB"/>
        </w:rPr>
        <w:t>Nationale</w:t>
      </w:r>
      <w:proofErr w:type="spellEnd"/>
      <w:r w:rsidR="00944AD3" w:rsidRPr="00815BE5">
        <w:rPr>
          <w:rFonts w:ascii="Times New Roman" w:hAnsi="Times New Roman" w:cs="Times New Roman"/>
          <w:bCs/>
          <w:sz w:val="24"/>
          <w:szCs w:val="24"/>
          <w:lang w:val="en-GB"/>
        </w:rPr>
        <w:t xml:space="preserve"> de </w:t>
      </w:r>
      <w:proofErr w:type="spellStart"/>
      <w:r w:rsidR="00944AD3" w:rsidRPr="00815BE5">
        <w:rPr>
          <w:rFonts w:ascii="Times New Roman" w:hAnsi="Times New Roman" w:cs="Times New Roman"/>
          <w:bCs/>
          <w:sz w:val="24"/>
          <w:szCs w:val="24"/>
          <w:lang w:val="en-GB"/>
        </w:rPr>
        <w:t>l'informatique</w:t>
      </w:r>
      <w:proofErr w:type="spellEnd"/>
      <w:r w:rsidR="00944AD3" w:rsidRPr="00815BE5">
        <w:rPr>
          <w:rFonts w:ascii="Times New Roman" w:hAnsi="Times New Roman" w:cs="Times New Roman"/>
          <w:bCs/>
          <w:sz w:val="24"/>
          <w:szCs w:val="24"/>
          <w:lang w:val="en-GB"/>
        </w:rPr>
        <w:t xml:space="preserve"> et des </w:t>
      </w:r>
      <w:proofErr w:type="spellStart"/>
      <w:r w:rsidR="00944AD3" w:rsidRPr="00815BE5">
        <w:rPr>
          <w:rFonts w:ascii="Times New Roman" w:hAnsi="Times New Roman" w:cs="Times New Roman"/>
          <w:bCs/>
          <w:sz w:val="24"/>
          <w:szCs w:val="24"/>
          <w:lang w:val="en-GB"/>
        </w:rPr>
        <w:t>libertés</w:t>
      </w:r>
      <w:proofErr w:type="spellEnd"/>
      <w:r w:rsidR="00944AD3" w:rsidRPr="00815BE5">
        <w:rPr>
          <w:rFonts w:ascii="Times New Roman" w:hAnsi="Times New Roman" w:cs="Times New Roman"/>
          <w:bCs/>
          <w:sz w:val="24"/>
          <w:szCs w:val="24"/>
          <w:lang w:val="en-GB"/>
        </w:rPr>
        <w:t xml:space="preserve"> (reference: 2209994 v0 dated 22 November 2018). The</w:t>
      </w:r>
      <w:r w:rsidR="00944AD3" w:rsidRPr="00815BE5">
        <w:rPr>
          <w:rFonts w:ascii="Times New Roman" w:hAnsi="Times New Roman" w:cs="Times New Roman"/>
          <w:b/>
          <w:bCs/>
          <w:sz w:val="24"/>
          <w:szCs w:val="24"/>
          <w:lang w:val="en-GB"/>
        </w:rPr>
        <w:t xml:space="preserve"> </w:t>
      </w:r>
      <w:r w:rsidR="00944AD3" w:rsidRPr="00815BE5">
        <w:rPr>
          <w:rFonts w:ascii="Times New Roman" w:hAnsi="Times New Roman" w:cs="Times New Roman"/>
          <w:bCs/>
          <w:sz w:val="24"/>
          <w:szCs w:val="24"/>
          <w:lang w:val="en-GB"/>
        </w:rPr>
        <w:t xml:space="preserve">Direction de la Recherche Clinique et de </w:t>
      </w:r>
      <w:proofErr w:type="spellStart"/>
      <w:r w:rsidR="00944AD3" w:rsidRPr="00815BE5">
        <w:rPr>
          <w:rFonts w:ascii="Times New Roman" w:hAnsi="Times New Roman" w:cs="Times New Roman"/>
          <w:bCs/>
          <w:sz w:val="24"/>
          <w:szCs w:val="24"/>
          <w:lang w:val="en-GB"/>
        </w:rPr>
        <w:t>l'Innovation</w:t>
      </w:r>
      <w:proofErr w:type="spellEnd"/>
      <w:r w:rsidR="00944AD3" w:rsidRPr="00815BE5">
        <w:rPr>
          <w:rFonts w:ascii="Times New Roman" w:hAnsi="Times New Roman" w:cs="Times New Roman"/>
          <w:bCs/>
          <w:sz w:val="24"/>
          <w:szCs w:val="24"/>
          <w:lang w:val="en-GB"/>
        </w:rPr>
        <w:t xml:space="preserve"> (hospital administration) was informed regarding the start and end dates of the study. </w:t>
      </w:r>
    </w:p>
    <w:p w14:paraId="02D24FE3" w14:textId="77777777" w:rsidR="00944AD3" w:rsidRPr="00815BE5" w:rsidRDefault="00944AD3" w:rsidP="00944AD3">
      <w:pPr>
        <w:tabs>
          <w:tab w:val="left" w:pos="3969"/>
        </w:tabs>
        <w:spacing w:line="480" w:lineRule="auto"/>
        <w:jc w:val="both"/>
        <w:rPr>
          <w:rFonts w:ascii="Times New Roman" w:hAnsi="Times New Roman" w:cs="Times New Roman"/>
          <w:bCs/>
          <w:sz w:val="24"/>
          <w:szCs w:val="24"/>
          <w:lang w:val="en-GB"/>
        </w:rPr>
      </w:pPr>
      <w:r w:rsidRPr="00815BE5">
        <w:rPr>
          <w:rFonts w:ascii="Times New Roman" w:hAnsi="Times New Roman" w:cs="Times New Roman"/>
          <w:bCs/>
          <w:sz w:val="24"/>
          <w:szCs w:val="24"/>
          <w:lang w:val="en-GB"/>
        </w:rPr>
        <w:t>In Spain, the study was submitted to the RA (</w:t>
      </w:r>
      <w:proofErr w:type="spellStart"/>
      <w:r w:rsidRPr="00815BE5">
        <w:rPr>
          <w:rFonts w:ascii="Times New Roman" w:hAnsi="Times New Roman" w:cs="Times New Roman"/>
          <w:bCs/>
          <w:sz w:val="24"/>
          <w:szCs w:val="24"/>
          <w:lang w:val="en-GB"/>
        </w:rPr>
        <w:t>Agencia</w:t>
      </w:r>
      <w:proofErr w:type="spellEnd"/>
      <w:r w:rsidRPr="00815BE5">
        <w:rPr>
          <w:rFonts w:ascii="Times New Roman" w:hAnsi="Times New Roman" w:cs="Times New Roman"/>
          <w:bCs/>
          <w:sz w:val="24"/>
          <w:szCs w:val="24"/>
          <w:lang w:val="en-GB"/>
        </w:rPr>
        <w:t xml:space="preserve"> Española del </w:t>
      </w:r>
      <w:proofErr w:type="spellStart"/>
      <w:r w:rsidRPr="00815BE5">
        <w:rPr>
          <w:rFonts w:ascii="Times New Roman" w:hAnsi="Times New Roman" w:cs="Times New Roman"/>
          <w:bCs/>
          <w:sz w:val="24"/>
          <w:szCs w:val="24"/>
          <w:lang w:val="en-GB"/>
        </w:rPr>
        <w:t>Medicamento</w:t>
      </w:r>
      <w:proofErr w:type="spellEnd"/>
      <w:r w:rsidRPr="00815BE5">
        <w:rPr>
          <w:rFonts w:ascii="Times New Roman" w:hAnsi="Times New Roman" w:cs="Times New Roman"/>
          <w:bCs/>
          <w:sz w:val="24"/>
          <w:szCs w:val="24"/>
          <w:lang w:val="en-GB"/>
        </w:rPr>
        <w:t xml:space="preserve"> y </w:t>
      </w:r>
      <w:proofErr w:type="spellStart"/>
      <w:r w:rsidRPr="00815BE5">
        <w:rPr>
          <w:rFonts w:ascii="Times New Roman" w:hAnsi="Times New Roman" w:cs="Times New Roman"/>
          <w:bCs/>
          <w:sz w:val="24"/>
          <w:szCs w:val="24"/>
          <w:lang w:val="en-GB"/>
        </w:rPr>
        <w:t>Productos</w:t>
      </w:r>
      <w:proofErr w:type="spellEnd"/>
      <w:r w:rsidRPr="00815BE5">
        <w:rPr>
          <w:rFonts w:ascii="Times New Roman" w:hAnsi="Times New Roman" w:cs="Times New Roman"/>
          <w:bCs/>
          <w:sz w:val="24"/>
          <w:szCs w:val="24"/>
          <w:lang w:val="en-GB"/>
        </w:rPr>
        <w:t xml:space="preserve"> </w:t>
      </w:r>
      <w:proofErr w:type="spellStart"/>
      <w:r w:rsidRPr="00815BE5">
        <w:rPr>
          <w:rFonts w:ascii="Times New Roman" w:hAnsi="Times New Roman" w:cs="Times New Roman"/>
          <w:bCs/>
          <w:sz w:val="24"/>
          <w:szCs w:val="24"/>
          <w:lang w:val="en-GB"/>
        </w:rPr>
        <w:t>Sanitarios</w:t>
      </w:r>
      <w:proofErr w:type="spellEnd"/>
      <w:r w:rsidRPr="00815BE5">
        <w:rPr>
          <w:rFonts w:ascii="Times New Roman" w:hAnsi="Times New Roman" w:cs="Times New Roman"/>
          <w:bCs/>
          <w:sz w:val="24"/>
          <w:szCs w:val="24"/>
          <w:lang w:val="en-GB"/>
        </w:rPr>
        <w:t xml:space="preserve">) for classification (classification was confirmed as an EPA-SP study). The resulting classification letter was approved by the central ethics committee (EC; Hospital Morales </w:t>
      </w:r>
      <w:proofErr w:type="spellStart"/>
      <w:r w:rsidRPr="00815BE5">
        <w:rPr>
          <w:rFonts w:ascii="Times New Roman" w:hAnsi="Times New Roman" w:cs="Times New Roman"/>
          <w:bCs/>
          <w:sz w:val="24"/>
          <w:szCs w:val="24"/>
          <w:lang w:val="en-GB"/>
        </w:rPr>
        <w:t>Meseguer</w:t>
      </w:r>
      <w:proofErr w:type="spellEnd"/>
      <w:r w:rsidRPr="00815BE5">
        <w:rPr>
          <w:rFonts w:ascii="Times New Roman" w:hAnsi="Times New Roman" w:cs="Times New Roman"/>
          <w:bCs/>
          <w:sz w:val="24"/>
          <w:szCs w:val="24"/>
          <w:lang w:val="en-GB"/>
        </w:rPr>
        <w:t xml:space="preserve">), as per Spanish law. </w:t>
      </w:r>
    </w:p>
    <w:p w14:paraId="594F6911" w14:textId="059439B6" w:rsidR="00944AD3" w:rsidRPr="00815BE5" w:rsidRDefault="005157F0" w:rsidP="00944AD3">
      <w:pPr>
        <w:tabs>
          <w:tab w:val="left" w:pos="3969"/>
        </w:tabs>
        <w:spacing w:line="480" w:lineRule="auto"/>
        <w:jc w:val="both"/>
        <w:rPr>
          <w:rFonts w:ascii="Times New Roman" w:hAnsi="Times New Roman" w:cs="Times New Roman"/>
          <w:bCs/>
          <w:sz w:val="24"/>
          <w:szCs w:val="24"/>
          <w:lang w:val="en-GB"/>
        </w:rPr>
      </w:pPr>
      <w:r w:rsidRPr="00815BE5">
        <w:rPr>
          <w:rFonts w:ascii="Times New Roman" w:hAnsi="Times New Roman" w:cs="Times New Roman"/>
          <w:bCs/>
          <w:sz w:val="24"/>
          <w:szCs w:val="24"/>
          <w:lang w:val="en-GB"/>
        </w:rPr>
        <w:t>F</w:t>
      </w:r>
      <w:r w:rsidR="00944AD3" w:rsidRPr="00815BE5">
        <w:rPr>
          <w:rFonts w:ascii="Times New Roman" w:hAnsi="Times New Roman" w:cs="Times New Roman"/>
          <w:bCs/>
          <w:sz w:val="24"/>
          <w:szCs w:val="24"/>
          <w:lang w:val="en-GB"/>
        </w:rPr>
        <w:t xml:space="preserve">or Italian </w:t>
      </w:r>
      <w:proofErr w:type="spellStart"/>
      <w:r w:rsidR="00944AD3" w:rsidRPr="00815BE5">
        <w:rPr>
          <w:rFonts w:ascii="Times New Roman" w:hAnsi="Times New Roman" w:cs="Times New Roman"/>
          <w:bCs/>
          <w:sz w:val="24"/>
          <w:szCs w:val="24"/>
          <w:lang w:val="en-GB"/>
        </w:rPr>
        <w:t>cent</w:t>
      </w:r>
      <w:r w:rsidR="00ED0382" w:rsidRPr="00815BE5">
        <w:rPr>
          <w:rFonts w:ascii="Times New Roman" w:hAnsi="Times New Roman" w:cs="Times New Roman"/>
          <w:bCs/>
          <w:sz w:val="24"/>
          <w:szCs w:val="24"/>
          <w:lang w:val="en-GB"/>
        </w:rPr>
        <w:t>ers</w:t>
      </w:r>
      <w:proofErr w:type="spellEnd"/>
      <w:r w:rsidR="00944AD3" w:rsidRPr="00815BE5">
        <w:rPr>
          <w:rFonts w:ascii="Times New Roman" w:hAnsi="Times New Roman" w:cs="Times New Roman"/>
          <w:bCs/>
          <w:sz w:val="24"/>
          <w:szCs w:val="24"/>
          <w:lang w:val="en-GB"/>
        </w:rPr>
        <w:t xml:space="preserve">, approval was granted by the local EC for each </w:t>
      </w:r>
      <w:proofErr w:type="spellStart"/>
      <w:r w:rsidR="00944AD3" w:rsidRPr="00815BE5">
        <w:rPr>
          <w:rFonts w:ascii="Times New Roman" w:hAnsi="Times New Roman" w:cs="Times New Roman"/>
          <w:bCs/>
          <w:sz w:val="24"/>
          <w:szCs w:val="24"/>
          <w:lang w:val="en-GB"/>
        </w:rPr>
        <w:t>cent</w:t>
      </w:r>
      <w:r w:rsidR="00ED0382" w:rsidRPr="00815BE5">
        <w:rPr>
          <w:rFonts w:ascii="Times New Roman" w:hAnsi="Times New Roman" w:cs="Times New Roman"/>
          <w:bCs/>
          <w:sz w:val="24"/>
          <w:szCs w:val="24"/>
          <w:lang w:val="en-GB"/>
        </w:rPr>
        <w:t>er</w:t>
      </w:r>
      <w:proofErr w:type="spellEnd"/>
      <w:r w:rsidR="00944AD3" w:rsidRPr="00815BE5">
        <w:rPr>
          <w:rFonts w:ascii="Times New Roman" w:hAnsi="Times New Roman" w:cs="Times New Roman"/>
          <w:bCs/>
          <w:sz w:val="24"/>
          <w:szCs w:val="24"/>
          <w:lang w:val="en-GB"/>
        </w:rPr>
        <w:t xml:space="preserve"> (Bologna </w:t>
      </w:r>
      <w:proofErr w:type="spellStart"/>
      <w:r w:rsidR="00944AD3" w:rsidRPr="00815BE5">
        <w:rPr>
          <w:rFonts w:ascii="Times New Roman" w:hAnsi="Times New Roman" w:cs="Times New Roman"/>
          <w:bCs/>
          <w:sz w:val="24"/>
          <w:szCs w:val="24"/>
          <w:lang w:val="en-GB"/>
        </w:rPr>
        <w:t>cent</w:t>
      </w:r>
      <w:r w:rsidR="00ED0382" w:rsidRPr="00815BE5">
        <w:rPr>
          <w:rFonts w:ascii="Times New Roman" w:hAnsi="Times New Roman" w:cs="Times New Roman"/>
          <w:bCs/>
          <w:sz w:val="24"/>
          <w:szCs w:val="24"/>
          <w:lang w:val="en-GB"/>
        </w:rPr>
        <w:t>er</w:t>
      </w:r>
      <w:proofErr w:type="spellEnd"/>
      <w:r w:rsidR="00944AD3" w:rsidRPr="00815BE5">
        <w:rPr>
          <w:rFonts w:ascii="Times New Roman" w:hAnsi="Times New Roman" w:cs="Times New Roman"/>
          <w:bCs/>
          <w:sz w:val="24"/>
          <w:szCs w:val="24"/>
          <w:lang w:val="en-GB"/>
        </w:rPr>
        <w:t xml:space="preserve"> was approved by the local EC [</w:t>
      </w:r>
      <w:proofErr w:type="spellStart"/>
      <w:r w:rsidR="00944AD3" w:rsidRPr="00815BE5">
        <w:rPr>
          <w:rFonts w:ascii="Times New Roman" w:hAnsi="Times New Roman" w:cs="Times New Roman"/>
          <w:bCs/>
          <w:sz w:val="24"/>
          <w:szCs w:val="24"/>
          <w:lang w:val="en-GB"/>
        </w:rPr>
        <w:t>Comitato</w:t>
      </w:r>
      <w:proofErr w:type="spellEnd"/>
      <w:r w:rsidR="00944AD3" w:rsidRPr="00815BE5">
        <w:rPr>
          <w:rFonts w:ascii="Times New Roman" w:hAnsi="Times New Roman" w:cs="Times New Roman"/>
          <w:bCs/>
          <w:sz w:val="24"/>
          <w:szCs w:val="24"/>
          <w:lang w:val="en-GB"/>
        </w:rPr>
        <w:t xml:space="preserve"> </w:t>
      </w:r>
      <w:proofErr w:type="spellStart"/>
      <w:r w:rsidR="00944AD3" w:rsidRPr="00815BE5">
        <w:rPr>
          <w:rFonts w:ascii="Times New Roman" w:hAnsi="Times New Roman" w:cs="Times New Roman"/>
          <w:bCs/>
          <w:sz w:val="24"/>
          <w:szCs w:val="24"/>
          <w:lang w:val="en-GB"/>
        </w:rPr>
        <w:t>Etico</w:t>
      </w:r>
      <w:proofErr w:type="spellEnd"/>
      <w:r w:rsidR="00944AD3" w:rsidRPr="00815BE5">
        <w:rPr>
          <w:rFonts w:ascii="Times New Roman" w:hAnsi="Times New Roman" w:cs="Times New Roman"/>
          <w:bCs/>
          <w:sz w:val="24"/>
          <w:szCs w:val="24"/>
          <w:lang w:val="en-GB"/>
        </w:rPr>
        <w:t xml:space="preserve"> di Area </w:t>
      </w:r>
      <w:proofErr w:type="spellStart"/>
      <w:r w:rsidR="00944AD3" w:rsidRPr="00815BE5">
        <w:rPr>
          <w:rFonts w:ascii="Times New Roman" w:hAnsi="Times New Roman" w:cs="Times New Roman"/>
          <w:bCs/>
          <w:sz w:val="24"/>
          <w:szCs w:val="24"/>
          <w:lang w:val="en-GB"/>
        </w:rPr>
        <w:t>Vasta</w:t>
      </w:r>
      <w:proofErr w:type="spellEnd"/>
      <w:r w:rsidR="00944AD3" w:rsidRPr="00815BE5">
        <w:rPr>
          <w:rFonts w:ascii="Times New Roman" w:hAnsi="Times New Roman" w:cs="Times New Roman"/>
          <w:bCs/>
          <w:sz w:val="24"/>
          <w:szCs w:val="24"/>
          <w:lang w:val="en-GB"/>
        </w:rPr>
        <w:t xml:space="preserve"> Emilia Centro - c/o A.O.U. </w:t>
      </w:r>
      <w:proofErr w:type="spellStart"/>
      <w:r w:rsidR="00944AD3" w:rsidRPr="00815BE5">
        <w:rPr>
          <w:rFonts w:ascii="Times New Roman" w:hAnsi="Times New Roman" w:cs="Times New Roman"/>
          <w:bCs/>
          <w:sz w:val="24"/>
          <w:szCs w:val="24"/>
          <w:lang w:val="en-GB"/>
        </w:rPr>
        <w:t>Policlinico</w:t>
      </w:r>
      <w:proofErr w:type="spellEnd"/>
      <w:r w:rsidR="00944AD3" w:rsidRPr="00815BE5">
        <w:rPr>
          <w:rFonts w:ascii="Times New Roman" w:hAnsi="Times New Roman" w:cs="Times New Roman"/>
          <w:bCs/>
          <w:sz w:val="24"/>
          <w:szCs w:val="24"/>
          <w:lang w:val="en-GB"/>
        </w:rPr>
        <w:t xml:space="preserve"> </w:t>
      </w:r>
      <w:proofErr w:type="spellStart"/>
      <w:r w:rsidR="00944AD3" w:rsidRPr="00815BE5">
        <w:rPr>
          <w:rFonts w:ascii="Times New Roman" w:hAnsi="Times New Roman" w:cs="Times New Roman"/>
          <w:bCs/>
          <w:sz w:val="24"/>
          <w:szCs w:val="24"/>
          <w:lang w:val="en-GB"/>
        </w:rPr>
        <w:lastRenderedPageBreak/>
        <w:t>S.Orsola</w:t>
      </w:r>
      <w:proofErr w:type="spellEnd"/>
      <w:r w:rsidR="00944AD3" w:rsidRPr="00815BE5">
        <w:rPr>
          <w:rFonts w:ascii="Times New Roman" w:hAnsi="Times New Roman" w:cs="Times New Roman"/>
          <w:bCs/>
          <w:sz w:val="24"/>
          <w:szCs w:val="24"/>
          <w:lang w:val="en-GB"/>
        </w:rPr>
        <w:t xml:space="preserve"> Malpighi], reference </w:t>
      </w:r>
      <w:proofErr w:type="spellStart"/>
      <w:r w:rsidR="00944AD3" w:rsidRPr="00815BE5">
        <w:rPr>
          <w:rFonts w:ascii="Times New Roman" w:hAnsi="Times New Roman" w:cs="Times New Roman"/>
          <w:bCs/>
          <w:sz w:val="24"/>
          <w:szCs w:val="24"/>
          <w:lang w:val="en-GB"/>
        </w:rPr>
        <w:t>prot</w:t>
      </w:r>
      <w:proofErr w:type="spellEnd"/>
      <w:r w:rsidR="00944AD3" w:rsidRPr="00815BE5">
        <w:rPr>
          <w:rFonts w:ascii="Times New Roman" w:hAnsi="Times New Roman" w:cs="Times New Roman"/>
          <w:bCs/>
          <w:sz w:val="24"/>
          <w:szCs w:val="24"/>
          <w:lang w:val="en-GB"/>
        </w:rPr>
        <w:t xml:space="preserve"> 588/2018/Oss/</w:t>
      </w:r>
      <w:proofErr w:type="spellStart"/>
      <w:r w:rsidR="00944AD3" w:rsidRPr="00815BE5">
        <w:rPr>
          <w:rFonts w:ascii="Times New Roman" w:hAnsi="Times New Roman" w:cs="Times New Roman"/>
          <w:bCs/>
          <w:sz w:val="24"/>
          <w:szCs w:val="24"/>
          <w:lang w:val="en-GB"/>
        </w:rPr>
        <w:t>AOUBo</w:t>
      </w:r>
      <w:proofErr w:type="spellEnd"/>
      <w:r w:rsidR="00944AD3" w:rsidRPr="00815BE5">
        <w:rPr>
          <w:rFonts w:ascii="Times New Roman" w:hAnsi="Times New Roman" w:cs="Times New Roman"/>
          <w:bCs/>
          <w:sz w:val="24"/>
          <w:szCs w:val="24"/>
          <w:lang w:val="en-GB"/>
        </w:rPr>
        <w:t xml:space="preserve">; Firenze </w:t>
      </w:r>
      <w:proofErr w:type="spellStart"/>
      <w:r w:rsidR="00944AD3" w:rsidRPr="00815BE5">
        <w:rPr>
          <w:rFonts w:ascii="Times New Roman" w:hAnsi="Times New Roman" w:cs="Times New Roman"/>
          <w:bCs/>
          <w:sz w:val="24"/>
          <w:szCs w:val="24"/>
          <w:lang w:val="en-GB"/>
        </w:rPr>
        <w:t>cent</w:t>
      </w:r>
      <w:r w:rsidR="00ED0382" w:rsidRPr="00815BE5">
        <w:rPr>
          <w:rFonts w:ascii="Times New Roman" w:hAnsi="Times New Roman" w:cs="Times New Roman"/>
          <w:bCs/>
          <w:sz w:val="24"/>
          <w:szCs w:val="24"/>
          <w:lang w:val="en-GB"/>
        </w:rPr>
        <w:t>er</w:t>
      </w:r>
      <w:proofErr w:type="spellEnd"/>
      <w:r w:rsidR="00944AD3" w:rsidRPr="00815BE5">
        <w:rPr>
          <w:rFonts w:ascii="Times New Roman" w:hAnsi="Times New Roman" w:cs="Times New Roman"/>
          <w:bCs/>
          <w:sz w:val="24"/>
          <w:szCs w:val="24"/>
          <w:lang w:val="en-GB"/>
        </w:rPr>
        <w:t xml:space="preserve"> was approved by the local EC [</w:t>
      </w:r>
      <w:proofErr w:type="spellStart"/>
      <w:r w:rsidR="00944AD3" w:rsidRPr="00815BE5">
        <w:rPr>
          <w:rFonts w:ascii="Times New Roman" w:hAnsi="Times New Roman" w:cs="Times New Roman"/>
          <w:bCs/>
          <w:sz w:val="24"/>
          <w:szCs w:val="24"/>
          <w:lang w:val="en-GB"/>
        </w:rPr>
        <w:t>Comitato</w:t>
      </w:r>
      <w:proofErr w:type="spellEnd"/>
      <w:r w:rsidR="00944AD3" w:rsidRPr="00815BE5">
        <w:rPr>
          <w:rFonts w:ascii="Times New Roman" w:hAnsi="Times New Roman" w:cs="Times New Roman"/>
          <w:bCs/>
          <w:sz w:val="24"/>
          <w:szCs w:val="24"/>
          <w:lang w:val="en-GB"/>
        </w:rPr>
        <w:t xml:space="preserve"> </w:t>
      </w:r>
      <w:proofErr w:type="spellStart"/>
      <w:r w:rsidR="00944AD3" w:rsidRPr="00815BE5">
        <w:rPr>
          <w:rFonts w:ascii="Times New Roman" w:hAnsi="Times New Roman" w:cs="Times New Roman"/>
          <w:bCs/>
          <w:sz w:val="24"/>
          <w:szCs w:val="24"/>
          <w:lang w:val="en-GB"/>
        </w:rPr>
        <w:t>Etico</w:t>
      </w:r>
      <w:proofErr w:type="spellEnd"/>
      <w:r w:rsidR="00944AD3" w:rsidRPr="00815BE5">
        <w:rPr>
          <w:rFonts w:ascii="Times New Roman" w:hAnsi="Times New Roman" w:cs="Times New Roman"/>
          <w:bCs/>
          <w:sz w:val="24"/>
          <w:szCs w:val="24"/>
          <w:lang w:val="en-GB"/>
        </w:rPr>
        <w:t xml:space="preserve"> Area </w:t>
      </w:r>
      <w:proofErr w:type="spellStart"/>
      <w:r w:rsidR="00944AD3" w:rsidRPr="00815BE5">
        <w:rPr>
          <w:rFonts w:ascii="Times New Roman" w:hAnsi="Times New Roman" w:cs="Times New Roman"/>
          <w:bCs/>
          <w:sz w:val="24"/>
          <w:szCs w:val="24"/>
          <w:lang w:val="en-GB"/>
        </w:rPr>
        <w:t>Vasta</w:t>
      </w:r>
      <w:proofErr w:type="spellEnd"/>
      <w:r w:rsidR="00944AD3" w:rsidRPr="00815BE5">
        <w:rPr>
          <w:rFonts w:ascii="Times New Roman" w:hAnsi="Times New Roman" w:cs="Times New Roman"/>
          <w:bCs/>
          <w:sz w:val="24"/>
          <w:szCs w:val="24"/>
          <w:lang w:val="en-GB"/>
        </w:rPr>
        <w:t xml:space="preserve"> Centro - c/o A.O.U. </w:t>
      </w:r>
      <w:proofErr w:type="spellStart"/>
      <w:r w:rsidR="00944AD3" w:rsidRPr="00815BE5">
        <w:rPr>
          <w:rFonts w:ascii="Times New Roman" w:hAnsi="Times New Roman" w:cs="Times New Roman"/>
          <w:bCs/>
          <w:sz w:val="24"/>
          <w:szCs w:val="24"/>
          <w:lang w:val="en-GB"/>
        </w:rPr>
        <w:t>Careggi</w:t>
      </w:r>
      <w:proofErr w:type="spellEnd"/>
      <w:r w:rsidR="00944AD3" w:rsidRPr="00815BE5">
        <w:rPr>
          <w:rFonts w:ascii="Times New Roman" w:hAnsi="Times New Roman" w:cs="Times New Roman"/>
          <w:bCs/>
          <w:sz w:val="24"/>
          <w:szCs w:val="24"/>
          <w:lang w:val="en-GB"/>
        </w:rPr>
        <w:t xml:space="preserve">], reference 13723_oss; Siena </w:t>
      </w:r>
      <w:proofErr w:type="spellStart"/>
      <w:r w:rsidR="00944AD3" w:rsidRPr="00815BE5">
        <w:rPr>
          <w:rFonts w:ascii="Times New Roman" w:hAnsi="Times New Roman" w:cs="Times New Roman"/>
          <w:bCs/>
          <w:sz w:val="24"/>
          <w:szCs w:val="24"/>
          <w:lang w:val="en-GB"/>
        </w:rPr>
        <w:t>cent</w:t>
      </w:r>
      <w:r w:rsidR="00ED0382" w:rsidRPr="00815BE5">
        <w:rPr>
          <w:rFonts w:ascii="Times New Roman" w:hAnsi="Times New Roman" w:cs="Times New Roman"/>
          <w:bCs/>
          <w:sz w:val="24"/>
          <w:szCs w:val="24"/>
          <w:lang w:val="en-GB"/>
        </w:rPr>
        <w:t>er</w:t>
      </w:r>
      <w:proofErr w:type="spellEnd"/>
      <w:r w:rsidR="00944AD3" w:rsidRPr="00815BE5">
        <w:rPr>
          <w:rFonts w:ascii="Times New Roman" w:hAnsi="Times New Roman" w:cs="Times New Roman"/>
          <w:bCs/>
          <w:sz w:val="24"/>
          <w:szCs w:val="24"/>
          <w:lang w:val="en-GB"/>
        </w:rPr>
        <w:t xml:space="preserve"> was approved by the local EC [</w:t>
      </w:r>
      <w:proofErr w:type="spellStart"/>
      <w:r w:rsidR="00944AD3" w:rsidRPr="00815BE5">
        <w:rPr>
          <w:rFonts w:ascii="Times New Roman" w:hAnsi="Times New Roman" w:cs="Times New Roman"/>
          <w:bCs/>
          <w:sz w:val="24"/>
          <w:szCs w:val="24"/>
          <w:lang w:val="en-GB"/>
        </w:rPr>
        <w:t>Comitato</w:t>
      </w:r>
      <w:proofErr w:type="spellEnd"/>
      <w:r w:rsidR="00944AD3" w:rsidRPr="00815BE5">
        <w:rPr>
          <w:rFonts w:ascii="Times New Roman" w:hAnsi="Times New Roman" w:cs="Times New Roman"/>
          <w:bCs/>
          <w:sz w:val="24"/>
          <w:szCs w:val="24"/>
          <w:lang w:val="en-GB"/>
        </w:rPr>
        <w:t xml:space="preserve"> </w:t>
      </w:r>
      <w:proofErr w:type="spellStart"/>
      <w:r w:rsidR="00944AD3" w:rsidRPr="00815BE5">
        <w:rPr>
          <w:rFonts w:ascii="Times New Roman" w:hAnsi="Times New Roman" w:cs="Times New Roman"/>
          <w:bCs/>
          <w:sz w:val="24"/>
          <w:szCs w:val="24"/>
          <w:lang w:val="en-GB"/>
        </w:rPr>
        <w:t>Etico</w:t>
      </w:r>
      <w:proofErr w:type="spellEnd"/>
      <w:r w:rsidR="00944AD3" w:rsidRPr="00815BE5">
        <w:rPr>
          <w:rFonts w:ascii="Times New Roman" w:hAnsi="Times New Roman" w:cs="Times New Roman"/>
          <w:bCs/>
          <w:sz w:val="24"/>
          <w:szCs w:val="24"/>
          <w:lang w:val="en-GB"/>
        </w:rPr>
        <w:t xml:space="preserve"> Area </w:t>
      </w:r>
      <w:proofErr w:type="spellStart"/>
      <w:r w:rsidR="00944AD3" w:rsidRPr="00815BE5">
        <w:rPr>
          <w:rFonts w:ascii="Times New Roman" w:hAnsi="Times New Roman" w:cs="Times New Roman"/>
          <w:bCs/>
          <w:sz w:val="24"/>
          <w:szCs w:val="24"/>
          <w:lang w:val="en-GB"/>
        </w:rPr>
        <w:t>Vasta</w:t>
      </w:r>
      <w:proofErr w:type="spellEnd"/>
      <w:r w:rsidR="00944AD3" w:rsidRPr="00815BE5">
        <w:rPr>
          <w:rFonts w:ascii="Times New Roman" w:hAnsi="Times New Roman" w:cs="Times New Roman"/>
          <w:bCs/>
          <w:sz w:val="24"/>
          <w:szCs w:val="24"/>
          <w:lang w:val="en-GB"/>
        </w:rPr>
        <w:t xml:space="preserve"> Sud Est - c/o A.O.U. </w:t>
      </w:r>
      <w:proofErr w:type="spellStart"/>
      <w:r w:rsidR="00944AD3" w:rsidRPr="00815BE5">
        <w:rPr>
          <w:rFonts w:ascii="Times New Roman" w:hAnsi="Times New Roman" w:cs="Times New Roman"/>
          <w:bCs/>
          <w:sz w:val="24"/>
          <w:szCs w:val="24"/>
          <w:lang w:val="en-GB"/>
        </w:rPr>
        <w:t>Senese</w:t>
      </w:r>
      <w:proofErr w:type="spellEnd"/>
      <w:r w:rsidR="00944AD3" w:rsidRPr="00815BE5">
        <w:rPr>
          <w:rFonts w:ascii="Times New Roman" w:hAnsi="Times New Roman" w:cs="Times New Roman"/>
          <w:bCs/>
          <w:sz w:val="24"/>
          <w:szCs w:val="24"/>
          <w:lang w:val="en-GB"/>
        </w:rPr>
        <w:t xml:space="preserve">], reference </w:t>
      </w:r>
      <w:proofErr w:type="spellStart"/>
      <w:r w:rsidR="00944AD3" w:rsidRPr="00815BE5">
        <w:rPr>
          <w:rFonts w:ascii="Times New Roman" w:hAnsi="Times New Roman" w:cs="Times New Roman"/>
          <w:bCs/>
          <w:sz w:val="24"/>
          <w:szCs w:val="24"/>
          <w:lang w:val="en-GB"/>
        </w:rPr>
        <w:t>prot.</w:t>
      </w:r>
      <w:proofErr w:type="spellEnd"/>
      <w:r w:rsidR="00944AD3" w:rsidRPr="00815BE5">
        <w:rPr>
          <w:rFonts w:ascii="Times New Roman" w:hAnsi="Times New Roman" w:cs="Times New Roman"/>
          <w:bCs/>
          <w:sz w:val="24"/>
          <w:szCs w:val="24"/>
          <w:lang w:val="en-GB"/>
        </w:rPr>
        <w:t xml:space="preserve"> 13734; Aviano </w:t>
      </w:r>
      <w:proofErr w:type="spellStart"/>
      <w:r w:rsidR="00944AD3" w:rsidRPr="00815BE5">
        <w:rPr>
          <w:rFonts w:ascii="Times New Roman" w:hAnsi="Times New Roman" w:cs="Times New Roman"/>
          <w:bCs/>
          <w:sz w:val="24"/>
          <w:szCs w:val="24"/>
          <w:lang w:val="en-GB"/>
        </w:rPr>
        <w:t>Cente</w:t>
      </w:r>
      <w:r w:rsidR="00ED0382" w:rsidRPr="00815BE5">
        <w:rPr>
          <w:rFonts w:ascii="Times New Roman" w:hAnsi="Times New Roman" w:cs="Times New Roman"/>
          <w:bCs/>
          <w:sz w:val="24"/>
          <w:szCs w:val="24"/>
          <w:lang w:val="en-GB"/>
        </w:rPr>
        <w:t>r</w:t>
      </w:r>
      <w:proofErr w:type="spellEnd"/>
      <w:r w:rsidR="00ED0382" w:rsidRPr="00815BE5">
        <w:rPr>
          <w:rFonts w:ascii="Times New Roman" w:hAnsi="Times New Roman" w:cs="Times New Roman"/>
          <w:bCs/>
          <w:sz w:val="24"/>
          <w:szCs w:val="24"/>
          <w:lang w:val="en-GB"/>
        </w:rPr>
        <w:t xml:space="preserve"> </w:t>
      </w:r>
      <w:r w:rsidR="00944AD3" w:rsidRPr="00815BE5">
        <w:rPr>
          <w:rFonts w:ascii="Times New Roman" w:hAnsi="Times New Roman" w:cs="Times New Roman"/>
          <w:bCs/>
          <w:sz w:val="24"/>
          <w:szCs w:val="24"/>
          <w:lang w:val="en-GB"/>
        </w:rPr>
        <w:t>was approved by the local EC [</w:t>
      </w:r>
      <w:proofErr w:type="spellStart"/>
      <w:r w:rsidR="00944AD3" w:rsidRPr="00815BE5">
        <w:rPr>
          <w:rFonts w:ascii="Times New Roman" w:hAnsi="Times New Roman" w:cs="Times New Roman"/>
          <w:bCs/>
          <w:sz w:val="24"/>
          <w:szCs w:val="24"/>
          <w:lang w:val="en-GB"/>
        </w:rPr>
        <w:t>Comitato</w:t>
      </w:r>
      <w:proofErr w:type="spellEnd"/>
      <w:r w:rsidR="00944AD3" w:rsidRPr="00815BE5">
        <w:rPr>
          <w:rFonts w:ascii="Times New Roman" w:hAnsi="Times New Roman" w:cs="Times New Roman"/>
          <w:bCs/>
          <w:sz w:val="24"/>
          <w:szCs w:val="24"/>
          <w:lang w:val="en-GB"/>
        </w:rPr>
        <w:t xml:space="preserve"> </w:t>
      </w:r>
      <w:proofErr w:type="spellStart"/>
      <w:r w:rsidR="00944AD3" w:rsidRPr="00815BE5">
        <w:rPr>
          <w:rFonts w:ascii="Times New Roman" w:hAnsi="Times New Roman" w:cs="Times New Roman"/>
          <w:bCs/>
          <w:sz w:val="24"/>
          <w:szCs w:val="24"/>
          <w:lang w:val="en-GB"/>
        </w:rPr>
        <w:t>Etico</w:t>
      </w:r>
      <w:proofErr w:type="spellEnd"/>
      <w:r w:rsidR="00944AD3" w:rsidRPr="00815BE5">
        <w:rPr>
          <w:rFonts w:ascii="Times New Roman" w:hAnsi="Times New Roman" w:cs="Times New Roman"/>
          <w:bCs/>
          <w:sz w:val="24"/>
          <w:szCs w:val="24"/>
          <w:lang w:val="en-GB"/>
        </w:rPr>
        <w:t xml:space="preserve"> Unico </w:t>
      </w:r>
      <w:proofErr w:type="spellStart"/>
      <w:r w:rsidR="00944AD3" w:rsidRPr="00815BE5">
        <w:rPr>
          <w:rFonts w:ascii="Times New Roman" w:hAnsi="Times New Roman" w:cs="Times New Roman"/>
          <w:bCs/>
          <w:sz w:val="24"/>
          <w:szCs w:val="24"/>
          <w:lang w:val="en-GB"/>
        </w:rPr>
        <w:t>Regionale</w:t>
      </w:r>
      <w:proofErr w:type="spellEnd"/>
      <w:r w:rsidR="00944AD3" w:rsidRPr="00815BE5">
        <w:rPr>
          <w:rFonts w:ascii="Times New Roman" w:hAnsi="Times New Roman" w:cs="Times New Roman"/>
          <w:bCs/>
          <w:sz w:val="24"/>
          <w:szCs w:val="24"/>
          <w:lang w:val="en-GB"/>
        </w:rPr>
        <w:t xml:space="preserve"> - c/o </w:t>
      </w:r>
      <w:proofErr w:type="spellStart"/>
      <w:r w:rsidR="00944AD3" w:rsidRPr="00815BE5">
        <w:rPr>
          <w:rFonts w:ascii="Times New Roman" w:hAnsi="Times New Roman" w:cs="Times New Roman"/>
          <w:bCs/>
          <w:sz w:val="24"/>
          <w:szCs w:val="24"/>
          <w:lang w:val="en-GB"/>
        </w:rPr>
        <w:t>Direzione</w:t>
      </w:r>
      <w:proofErr w:type="spellEnd"/>
      <w:r w:rsidR="00944AD3" w:rsidRPr="00815BE5">
        <w:rPr>
          <w:rFonts w:ascii="Times New Roman" w:hAnsi="Times New Roman" w:cs="Times New Roman"/>
          <w:bCs/>
          <w:sz w:val="24"/>
          <w:szCs w:val="24"/>
          <w:lang w:val="en-GB"/>
        </w:rPr>
        <w:t xml:space="preserve"> </w:t>
      </w:r>
      <w:proofErr w:type="spellStart"/>
      <w:r w:rsidR="00944AD3" w:rsidRPr="00815BE5">
        <w:rPr>
          <w:rFonts w:ascii="Times New Roman" w:hAnsi="Times New Roman" w:cs="Times New Roman"/>
          <w:bCs/>
          <w:sz w:val="24"/>
          <w:szCs w:val="24"/>
          <w:lang w:val="en-GB"/>
        </w:rPr>
        <w:t>Scientifica</w:t>
      </w:r>
      <w:proofErr w:type="spellEnd"/>
      <w:r w:rsidR="00944AD3" w:rsidRPr="00815BE5">
        <w:rPr>
          <w:rFonts w:ascii="Times New Roman" w:hAnsi="Times New Roman" w:cs="Times New Roman"/>
          <w:bCs/>
          <w:sz w:val="24"/>
          <w:szCs w:val="24"/>
          <w:lang w:val="en-GB"/>
        </w:rPr>
        <w:t xml:space="preserve"> del CRO di Aviano] reference, CEUR 2018-OS-105-CRO).</w:t>
      </w:r>
    </w:p>
    <w:p w14:paraId="567E9475" w14:textId="77777777" w:rsidR="00944AD3" w:rsidRPr="00815BE5" w:rsidRDefault="00944AD3" w:rsidP="00944AD3">
      <w:pPr>
        <w:tabs>
          <w:tab w:val="left" w:pos="3969"/>
        </w:tabs>
        <w:spacing w:line="480" w:lineRule="auto"/>
        <w:jc w:val="both"/>
        <w:rPr>
          <w:rFonts w:ascii="Times New Roman" w:hAnsi="Times New Roman" w:cs="Times New Roman"/>
          <w:bCs/>
          <w:sz w:val="24"/>
          <w:szCs w:val="24"/>
          <w:lang w:val="en-GB"/>
        </w:rPr>
      </w:pPr>
      <w:r w:rsidRPr="00815BE5">
        <w:rPr>
          <w:rFonts w:ascii="Times New Roman" w:hAnsi="Times New Roman" w:cs="Times New Roman"/>
          <w:bCs/>
          <w:sz w:val="24"/>
          <w:szCs w:val="24"/>
          <w:lang w:val="en-GB"/>
        </w:rPr>
        <w:t xml:space="preserve">In Germany, the study was submitted to the EC of the </w:t>
      </w:r>
      <w:proofErr w:type="spellStart"/>
      <w:r w:rsidRPr="00815BE5">
        <w:rPr>
          <w:rFonts w:ascii="Times New Roman" w:hAnsi="Times New Roman" w:cs="Times New Roman"/>
          <w:bCs/>
          <w:sz w:val="24"/>
          <w:szCs w:val="24"/>
          <w:lang w:val="en-GB"/>
        </w:rPr>
        <w:t>Landesärztekammer</w:t>
      </w:r>
      <w:proofErr w:type="spellEnd"/>
      <w:r w:rsidRPr="00815BE5">
        <w:rPr>
          <w:rFonts w:ascii="Times New Roman" w:hAnsi="Times New Roman" w:cs="Times New Roman"/>
          <w:bCs/>
          <w:sz w:val="24"/>
          <w:szCs w:val="24"/>
          <w:lang w:val="en-GB"/>
        </w:rPr>
        <w:t xml:space="preserve"> Hessen (reference FF 123/2018). The study was also submitted by the principal investigators to their local ECs to obtain ethical advice (in this study: </w:t>
      </w:r>
      <w:proofErr w:type="spellStart"/>
      <w:r w:rsidRPr="00815BE5">
        <w:rPr>
          <w:rFonts w:ascii="Times New Roman" w:hAnsi="Times New Roman" w:cs="Times New Roman"/>
          <w:bCs/>
          <w:sz w:val="24"/>
          <w:szCs w:val="24"/>
          <w:lang w:val="en-GB"/>
        </w:rPr>
        <w:t>Ethikkommission</w:t>
      </w:r>
      <w:proofErr w:type="spellEnd"/>
      <w:r w:rsidRPr="00815BE5">
        <w:rPr>
          <w:rFonts w:ascii="Times New Roman" w:hAnsi="Times New Roman" w:cs="Times New Roman"/>
          <w:bCs/>
          <w:sz w:val="24"/>
          <w:szCs w:val="24"/>
          <w:lang w:val="en-GB"/>
        </w:rPr>
        <w:t xml:space="preserve"> der </w:t>
      </w:r>
      <w:proofErr w:type="spellStart"/>
      <w:r w:rsidRPr="00815BE5">
        <w:rPr>
          <w:rFonts w:ascii="Times New Roman" w:hAnsi="Times New Roman" w:cs="Times New Roman"/>
          <w:bCs/>
          <w:sz w:val="24"/>
          <w:szCs w:val="24"/>
          <w:lang w:val="en-GB"/>
        </w:rPr>
        <w:t>Ärztekammer</w:t>
      </w:r>
      <w:proofErr w:type="spellEnd"/>
      <w:r w:rsidRPr="00815BE5">
        <w:rPr>
          <w:rFonts w:ascii="Times New Roman" w:hAnsi="Times New Roman" w:cs="Times New Roman"/>
          <w:bCs/>
          <w:sz w:val="24"/>
          <w:szCs w:val="24"/>
          <w:lang w:val="en-GB"/>
        </w:rPr>
        <w:t xml:space="preserve"> Westfalen-Lippe – reference 2019-350-b-S; </w:t>
      </w:r>
      <w:proofErr w:type="spellStart"/>
      <w:r w:rsidRPr="00815BE5">
        <w:rPr>
          <w:rFonts w:ascii="Times New Roman" w:hAnsi="Times New Roman" w:cs="Times New Roman"/>
          <w:bCs/>
          <w:sz w:val="24"/>
          <w:szCs w:val="24"/>
          <w:lang w:val="en-GB"/>
        </w:rPr>
        <w:t>Ärztekammer</w:t>
      </w:r>
      <w:proofErr w:type="spellEnd"/>
      <w:r w:rsidRPr="00815BE5">
        <w:rPr>
          <w:rFonts w:ascii="Times New Roman" w:hAnsi="Times New Roman" w:cs="Times New Roman"/>
          <w:bCs/>
          <w:sz w:val="24"/>
          <w:szCs w:val="24"/>
          <w:lang w:val="en-GB"/>
        </w:rPr>
        <w:t xml:space="preserve"> Schleswig Holstein – reference 057/19 m; </w:t>
      </w:r>
      <w:proofErr w:type="spellStart"/>
      <w:r w:rsidRPr="00815BE5">
        <w:rPr>
          <w:rFonts w:ascii="Times New Roman" w:hAnsi="Times New Roman" w:cs="Times New Roman"/>
          <w:bCs/>
          <w:sz w:val="24"/>
          <w:szCs w:val="24"/>
          <w:lang w:val="en-GB"/>
        </w:rPr>
        <w:t>Ethik-Kommission</w:t>
      </w:r>
      <w:proofErr w:type="spellEnd"/>
      <w:r w:rsidRPr="00815BE5">
        <w:rPr>
          <w:rFonts w:ascii="Times New Roman" w:hAnsi="Times New Roman" w:cs="Times New Roman"/>
          <w:bCs/>
          <w:sz w:val="24"/>
          <w:szCs w:val="24"/>
          <w:lang w:val="en-GB"/>
        </w:rPr>
        <w:t xml:space="preserve"> der </w:t>
      </w:r>
      <w:proofErr w:type="spellStart"/>
      <w:r w:rsidRPr="00815BE5">
        <w:rPr>
          <w:rFonts w:ascii="Times New Roman" w:hAnsi="Times New Roman" w:cs="Times New Roman"/>
          <w:bCs/>
          <w:sz w:val="24"/>
          <w:szCs w:val="24"/>
          <w:lang w:val="en-GB"/>
        </w:rPr>
        <w:t>Ärztekammer</w:t>
      </w:r>
      <w:proofErr w:type="spellEnd"/>
      <w:r w:rsidRPr="00815BE5">
        <w:rPr>
          <w:rFonts w:ascii="Times New Roman" w:hAnsi="Times New Roman" w:cs="Times New Roman"/>
          <w:bCs/>
          <w:sz w:val="24"/>
          <w:szCs w:val="24"/>
          <w:lang w:val="en-GB"/>
        </w:rPr>
        <w:t xml:space="preserve"> Sachsen-Anhalt – reference 42/19). The higher federal authority—in this case, the Paul-Ehrlich-</w:t>
      </w:r>
      <w:proofErr w:type="spellStart"/>
      <w:r w:rsidRPr="00815BE5">
        <w:rPr>
          <w:rFonts w:ascii="Times New Roman" w:hAnsi="Times New Roman" w:cs="Times New Roman"/>
          <w:bCs/>
          <w:sz w:val="24"/>
          <w:szCs w:val="24"/>
          <w:lang w:val="en-GB"/>
        </w:rPr>
        <w:t>Institut</w:t>
      </w:r>
      <w:proofErr w:type="spellEnd"/>
      <w:r w:rsidRPr="00815BE5">
        <w:rPr>
          <w:rFonts w:ascii="Times New Roman" w:hAnsi="Times New Roman" w:cs="Times New Roman"/>
          <w:bCs/>
          <w:sz w:val="24"/>
          <w:szCs w:val="24"/>
          <w:lang w:val="en-GB"/>
        </w:rPr>
        <w:t xml:space="preserve"> (PEI) – reference NIS449—was notified of the study. Furthermore, the study was reported to the National Association of Statutory Health Insurance Physicians (</w:t>
      </w:r>
      <w:proofErr w:type="spellStart"/>
      <w:r w:rsidRPr="00815BE5">
        <w:rPr>
          <w:rFonts w:ascii="Times New Roman" w:hAnsi="Times New Roman" w:cs="Times New Roman"/>
          <w:bCs/>
          <w:sz w:val="24"/>
          <w:szCs w:val="24"/>
          <w:lang w:val="en-GB"/>
        </w:rPr>
        <w:t>Kassenärztliche</w:t>
      </w:r>
      <w:proofErr w:type="spellEnd"/>
      <w:r w:rsidRPr="00815BE5">
        <w:rPr>
          <w:rFonts w:ascii="Times New Roman" w:hAnsi="Times New Roman" w:cs="Times New Roman"/>
          <w:bCs/>
          <w:sz w:val="24"/>
          <w:szCs w:val="24"/>
          <w:lang w:val="en-GB"/>
        </w:rPr>
        <w:t xml:space="preserve"> </w:t>
      </w:r>
      <w:proofErr w:type="spellStart"/>
      <w:r w:rsidRPr="00815BE5">
        <w:rPr>
          <w:rFonts w:ascii="Times New Roman" w:hAnsi="Times New Roman" w:cs="Times New Roman"/>
          <w:bCs/>
          <w:sz w:val="24"/>
          <w:szCs w:val="24"/>
          <w:lang w:val="en-GB"/>
        </w:rPr>
        <w:t>Bundesvereingungen</w:t>
      </w:r>
      <w:proofErr w:type="spellEnd"/>
      <w:r w:rsidRPr="00815BE5">
        <w:rPr>
          <w:rFonts w:ascii="Times New Roman" w:hAnsi="Times New Roman" w:cs="Times New Roman"/>
          <w:bCs/>
          <w:sz w:val="24"/>
          <w:szCs w:val="24"/>
          <w:lang w:val="en-GB"/>
        </w:rPr>
        <w:t xml:space="preserve"> [KBV] – reference A70116, the Central Federal Association of Health Insurance Funds (</w:t>
      </w:r>
      <w:proofErr w:type="spellStart"/>
      <w:r w:rsidRPr="00815BE5">
        <w:rPr>
          <w:rFonts w:ascii="Times New Roman" w:hAnsi="Times New Roman" w:cs="Times New Roman"/>
          <w:bCs/>
          <w:sz w:val="24"/>
          <w:szCs w:val="24"/>
          <w:lang w:val="en-GB"/>
        </w:rPr>
        <w:t>Spitzenverband</w:t>
      </w:r>
      <w:proofErr w:type="spellEnd"/>
      <w:r w:rsidRPr="00815BE5">
        <w:rPr>
          <w:rFonts w:ascii="Times New Roman" w:hAnsi="Times New Roman" w:cs="Times New Roman"/>
          <w:bCs/>
          <w:sz w:val="24"/>
          <w:szCs w:val="24"/>
          <w:lang w:val="en-GB"/>
        </w:rPr>
        <w:t xml:space="preserve"> Bund der </w:t>
      </w:r>
      <w:proofErr w:type="spellStart"/>
      <w:r w:rsidRPr="00815BE5">
        <w:rPr>
          <w:rFonts w:ascii="Times New Roman" w:hAnsi="Times New Roman" w:cs="Times New Roman"/>
          <w:bCs/>
          <w:sz w:val="24"/>
          <w:szCs w:val="24"/>
          <w:lang w:val="en-GB"/>
        </w:rPr>
        <w:t>Krankenkassen</w:t>
      </w:r>
      <w:proofErr w:type="spellEnd"/>
      <w:r w:rsidRPr="00815BE5">
        <w:rPr>
          <w:rFonts w:ascii="Times New Roman" w:hAnsi="Times New Roman" w:cs="Times New Roman"/>
          <w:bCs/>
          <w:sz w:val="24"/>
          <w:szCs w:val="24"/>
          <w:lang w:val="en-GB"/>
        </w:rPr>
        <w:t xml:space="preserve"> [GKV] - reference 10742) and the Association of Private Health Insurances (</w:t>
      </w:r>
      <w:proofErr w:type="spellStart"/>
      <w:r w:rsidRPr="00815BE5">
        <w:rPr>
          <w:rFonts w:ascii="Times New Roman" w:hAnsi="Times New Roman" w:cs="Times New Roman"/>
          <w:bCs/>
          <w:sz w:val="24"/>
          <w:szCs w:val="24"/>
          <w:lang w:val="en-GB"/>
        </w:rPr>
        <w:t>Verband</w:t>
      </w:r>
      <w:proofErr w:type="spellEnd"/>
      <w:r w:rsidRPr="00815BE5">
        <w:rPr>
          <w:rFonts w:ascii="Times New Roman" w:hAnsi="Times New Roman" w:cs="Times New Roman"/>
          <w:bCs/>
          <w:sz w:val="24"/>
          <w:szCs w:val="24"/>
          <w:lang w:val="en-GB"/>
        </w:rPr>
        <w:t xml:space="preserve"> der </w:t>
      </w:r>
      <w:proofErr w:type="spellStart"/>
      <w:r w:rsidRPr="00815BE5">
        <w:rPr>
          <w:rFonts w:ascii="Times New Roman" w:hAnsi="Times New Roman" w:cs="Times New Roman"/>
          <w:bCs/>
          <w:sz w:val="24"/>
          <w:szCs w:val="24"/>
          <w:lang w:val="en-GB"/>
        </w:rPr>
        <w:t>Privaten</w:t>
      </w:r>
      <w:proofErr w:type="spellEnd"/>
      <w:r w:rsidRPr="00815BE5">
        <w:rPr>
          <w:rFonts w:ascii="Times New Roman" w:hAnsi="Times New Roman" w:cs="Times New Roman"/>
          <w:bCs/>
          <w:sz w:val="24"/>
          <w:szCs w:val="24"/>
          <w:lang w:val="en-GB"/>
        </w:rPr>
        <w:t xml:space="preserve"> </w:t>
      </w:r>
      <w:proofErr w:type="spellStart"/>
      <w:r w:rsidRPr="00815BE5">
        <w:rPr>
          <w:rFonts w:ascii="Times New Roman" w:hAnsi="Times New Roman" w:cs="Times New Roman"/>
          <w:bCs/>
          <w:sz w:val="24"/>
          <w:szCs w:val="24"/>
          <w:lang w:val="en-GB"/>
        </w:rPr>
        <w:t>Krankenkassen</w:t>
      </w:r>
      <w:proofErr w:type="spellEnd"/>
      <w:r w:rsidRPr="00815BE5">
        <w:rPr>
          <w:rFonts w:ascii="Times New Roman" w:hAnsi="Times New Roman" w:cs="Times New Roman"/>
          <w:bCs/>
          <w:sz w:val="24"/>
          <w:szCs w:val="24"/>
          <w:lang w:val="en-GB"/>
        </w:rPr>
        <w:t xml:space="preserve"> [PKV]).</w:t>
      </w:r>
    </w:p>
    <w:p w14:paraId="7278D9FC" w14:textId="77777777" w:rsidR="00944AD3" w:rsidRPr="00815BE5" w:rsidRDefault="00944AD3" w:rsidP="008302D4">
      <w:pPr>
        <w:tabs>
          <w:tab w:val="left" w:pos="3969"/>
        </w:tabs>
        <w:spacing w:line="480" w:lineRule="auto"/>
        <w:jc w:val="both"/>
        <w:rPr>
          <w:rFonts w:ascii="Times New Roman" w:hAnsi="Times New Roman" w:cs="Times New Roman"/>
          <w:bCs/>
          <w:sz w:val="24"/>
          <w:szCs w:val="24"/>
        </w:rPr>
      </w:pPr>
    </w:p>
    <w:p w14:paraId="453610D4" w14:textId="3E9E1D13" w:rsidR="002275C4" w:rsidRPr="00815BE5" w:rsidRDefault="002275C4" w:rsidP="008302D4">
      <w:pPr>
        <w:tabs>
          <w:tab w:val="left" w:pos="3969"/>
        </w:tabs>
        <w:spacing w:line="480" w:lineRule="auto"/>
        <w:jc w:val="both"/>
        <w:rPr>
          <w:rFonts w:ascii="Times New Roman" w:hAnsi="Times New Roman" w:cs="Times New Roman"/>
          <w:b/>
          <w:i/>
          <w:iCs/>
          <w:sz w:val="24"/>
          <w:szCs w:val="24"/>
        </w:rPr>
      </w:pPr>
      <w:r w:rsidRPr="00815BE5">
        <w:rPr>
          <w:rFonts w:ascii="Times New Roman" w:hAnsi="Times New Roman" w:cs="Times New Roman"/>
          <w:b/>
          <w:i/>
          <w:iCs/>
          <w:sz w:val="24"/>
          <w:szCs w:val="24"/>
        </w:rPr>
        <w:t>Statistical analyses</w:t>
      </w:r>
    </w:p>
    <w:p w14:paraId="7618158B" w14:textId="2CED876F" w:rsidR="00EC3635" w:rsidRPr="00815BE5" w:rsidRDefault="00EC3635" w:rsidP="008302D4">
      <w:pPr>
        <w:spacing w:line="480" w:lineRule="auto"/>
        <w:jc w:val="both"/>
        <w:rPr>
          <w:rFonts w:ascii="Times New Roman" w:hAnsi="Times New Roman" w:cs="Times New Roman"/>
          <w:sz w:val="24"/>
          <w:lang w:val="en-GB"/>
        </w:rPr>
      </w:pPr>
      <w:bookmarkStart w:id="1" w:name="_Hlk84855906"/>
      <w:r w:rsidRPr="00815BE5">
        <w:rPr>
          <w:rFonts w:ascii="Times New Roman" w:hAnsi="Times New Roman" w:cs="Times New Roman"/>
          <w:bCs/>
          <w:sz w:val="24"/>
          <w:szCs w:val="24"/>
        </w:rPr>
        <w:t>The proposed study size of 500 patients was initially proposed to ensure a sufficient sample size</w:t>
      </w:r>
      <w:r w:rsidR="00CD41C9" w:rsidRPr="00815BE5">
        <w:rPr>
          <w:rFonts w:ascii="Times New Roman" w:hAnsi="Times New Roman" w:cs="Times New Roman"/>
          <w:bCs/>
          <w:sz w:val="24"/>
          <w:szCs w:val="24"/>
        </w:rPr>
        <w:t xml:space="preserve"> to</w:t>
      </w:r>
      <w:r w:rsidRPr="00815BE5">
        <w:rPr>
          <w:rFonts w:ascii="Times New Roman" w:hAnsi="Times New Roman" w:cs="Times New Roman"/>
          <w:bCs/>
          <w:sz w:val="24"/>
          <w:szCs w:val="24"/>
        </w:rPr>
        <w:t xml:space="preserve"> allow for key descriptive analyses to be representative of the sample population as a whole as well as any relevant subgroups, whilst also considering recruitment feasibility </w:t>
      </w:r>
      <w:r w:rsidRPr="00815BE5">
        <w:rPr>
          <w:rFonts w:ascii="Times New Roman" w:hAnsi="Times New Roman" w:cs="Times New Roman"/>
          <w:bCs/>
          <w:sz w:val="24"/>
          <w:szCs w:val="24"/>
          <w:lang w:val="en-GB"/>
        </w:rPr>
        <w:fldChar w:fldCharType="begin"/>
      </w:r>
      <w:r w:rsidR="00A4109C" w:rsidRPr="00815BE5">
        <w:rPr>
          <w:rFonts w:ascii="Times New Roman" w:hAnsi="Times New Roman" w:cs="Times New Roman"/>
          <w:bCs/>
          <w:sz w:val="24"/>
          <w:szCs w:val="24"/>
          <w:lang w:val="en-GB"/>
        </w:rPr>
        <w:instrText xml:space="preserve"> ADDIN ZOTERO_ITEM CSL_CITATION {"citationID":"A0NwjILC","properties":{"formattedCitation":"\\super 20\\nosupersub{}","plainCitation":"20","dontUpdate":true,"noteIndex":0},"citationItems":[{"id":1661,"uris":["http://zotero.org/groups/1993282/items/N5JRJLEY"],"uri":["http://zotero.org/groups/1993282/items/N5JRJLEY"],"itemData":{"id":1661,"type":"article-journal","abstract":"A retrospective study was performed to assess the outcome of patients with diffuse large B cell lymphoma (DLBCL) who did not achieve complete response or who relapsed before and after the use of rituximab. Clinical features and outcome of 816 (425 M/391 F; median age 63 years) patients diagnosed from 1991 to 2001 (pre-rituximab era, N = 348) and from 2002 to 2012 (rituximab era, N = 468) in a single institution were evaluated. Five hundred fifty-three patients achieved complete remission (CR), 57 partial response (PR), and 206 were refractory with a median overall survival of 15, 1.5, and 0.4 years, respectively. Patients receiving rituximab had lower risk of refractoriness or relapse. In primarily refractory and PR patients, there was not a difference in survival depending on whether patients received or not rituximab-containing frontline treatment. Early death rate was 11 %, including 3.6 % due to infectious complications. Rituximab did not modify these figures. In the relapse setting, 5-year survival from relapse was 25 % for patients who never received rituximab, 54 % for those who received rituximab only at relapse, and 48 % for those treated with immunochemotherapy both as frontline and at relapse. In conclusion, relapsed/refractory patients with DLBCL show poor prognosis despite the use of frontline immunochemotherapy. New therapeutic approaches are needed in this group of patients.","archive":"PMC","archive_location":"PMC4374121","container-title":"Annals of Hematology","DOI":"10.1007/s00277-014-2271-1","ISSN":"0939-5555","issue":"5","page":"803-812","title":"Prognosis of patients with diffuse large B cell lymphoma not reaching complete response or relapsing after frontline chemotherapy or immunochemotherapy","volume":"94","author":[{"family":"Rovira","given":"Jordina"},{"family":"Valera","given":"Alexandra"},{"family":"Colomo","given":"Lluis"},{"family":"Setoain","given":"Xavier"},{"family":"Rodríguez","given":"Sonia"},{"family":"Martínez-Trillos","given":"Alejandra"},{"family":"Giné","given":"Eva"},{"family":"Dlouhy","given":"Ivan"},{"family":"Magnano","given":"Laura"},{"family":"Gaya","given":"Anna"},{"family":"Martínez","given":"Daniel"},{"family":"Martínez","given":"Antonio"},{"family":"Campo","given":"Elías"},{"family":"López-Guillermo","given":"Armando"}],"issued":{"date-parts":[["2015"]]}}}],"schema":"https://github.com/citation-style-language/schema/raw/master/csl-citation.json"} </w:instrText>
      </w:r>
      <w:r w:rsidRPr="00815BE5">
        <w:rPr>
          <w:rFonts w:ascii="Times New Roman" w:hAnsi="Times New Roman" w:cs="Times New Roman"/>
          <w:bCs/>
          <w:sz w:val="24"/>
          <w:szCs w:val="24"/>
          <w:lang w:val="en-GB"/>
        </w:rPr>
        <w:fldChar w:fldCharType="separate"/>
      </w:r>
      <w:r w:rsidR="00011652" w:rsidRPr="00815BE5">
        <w:rPr>
          <w:rFonts w:ascii="Times New Roman" w:hAnsi="Times New Roman" w:cs="Times New Roman"/>
          <w:sz w:val="24"/>
          <w:szCs w:val="24"/>
          <w:vertAlign w:val="superscript"/>
        </w:rPr>
        <w:t>20</w:t>
      </w:r>
      <w:r w:rsidRPr="00815BE5">
        <w:rPr>
          <w:rFonts w:ascii="Times New Roman" w:hAnsi="Times New Roman" w:cs="Times New Roman"/>
          <w:bCs/>
          <w:sz w:val="24"/>
          <w:szCs w:val="24"/>
        </w:rPr>
        <w:fldChar w:fldCharType="end"/>
      </w:r>
      <w:r w:rsidR="00202953" w:rsidRPr="00815BE5">
        <w:rPr>
          <w:rFonts w:ascii="Times New Roman" w:hAnsi="Times New Roman" w:cs="Times New Roman"/>
          <w:bCs/>
          <w:sz w:val="24"/>
          <w:szCs w:val="24"/>
        </w:rPr>
        <w:t xml:space="preserve">. </w:t>
      </w:r>
      <w:r w:rsidR="00D917CD" w:rsidRPr="00815BE5">
        <w:rPr>
          <w:rFonts w:ascii="Times New Roman" w:hAnsi="Times New Roman" w:cs="Times New Roman"/>
          <w:bCs/>
          <w:sz w:val="24"/>
          <w:szCs w:val="24"/>
        </w:rPr>
        <w:t xml:space="preserve">Based </w:t>
      </w:r>
      <w:r w:rsidR="00D917CD" w:rsidRPr="00815BE5">
        <w:rPr>
          <w:rFonts w:ascii="Times New Roman" w:hAnsi="Times New Roman" w:cs="Times New Roman"/>
          <w:bCs/>
          <w:sz w:val="24"/>
          <w:szCs w:val="24"/>
          <w:lang w:val="en-GB"/>
        </w:rPr>
        <w:t>on</w:t>
      </w:r>
      <w:r w:rsidRPr="00815BE5">
        <w:rPr>
          <w:rFonts w:ascii="Times New Roman" w:hAnsi="Times New Roman" w:cs="Times New Roman"/>
          <w:bCs/>
          <w:sz w:val="24"/>
          <w:szCs w:val="24"/>
          <w:lang w:val="en-GB"/>
        </w:rPr>
        <w:t xml:space="preserve"> a </w:t>
      </w:r>
      <w:r w:rsidR="00011652" w:rsidRPr="00815BE5">
        <w:rPr>
          <w:rFonts w:ascii="Times New Roman" w:hAnsi="Times New Roman" w:cs="Times New Roman"/>
          <w:bCs/>
          <w:sz w:val="24"/>
          <w:szCs w:val="24"/>
          <w:lang w:val="en-GB"/>
        </w:rPr>
        <w:t xml:space="preserve">previously reported </w:t>
      </w:r>
      <w:r w:rsidR="00CD41C9" w:rsidRPr="00815BE5">
        <w:rPr>
          <w:rFonts w:ascii="Times New Roman" w:hAnsi="Times New Roman" w:cs="Times New Roman"/>
          <w:bCs/>
          <w:sz w:val="24"/>
          <w:szCs w:val="24"/>
          <w:lang w:val="en-GB"/>
        </w:rPr>
        <w:t>PFS</w:t>
      </w:r>
      <w:r w:rsidRPr="00815BE5">
        <w:rPr>
          <w:rFonts w:ascii="Times New Roman" w:hAnsi="Times New Roman" w:cs="Times New Roman"/>
          <w:bCs/>
          <w:sz w:val="24"/>
          <w:szCs w:val="24"/>
          <w:lang w:val="en-GB"/>
        </w:rPr>
        <w:t xml:space="preserve"> rate over </w:t>
      </w:r>
      <w:r w:rsidR="00202953" w:rsidRPr="00815BE5">
        <w:rPr>
          <w:rFonts w:ascii="Times New Roman" w:hAnsi="Times New Roman" w:cs="Times New Roman"/>
          <w:bCs/>
          <w:sz w:val="24"/>
          <w:szCs w:val="24"/>
          <w:lang w:val="en-GB"/>
        </w:rPr>
        <w:t>3</w:t>
      </w:r>
      <w:r w:rsidRPr="00815BE5">
        <w:rPr>
          <w:rFonts w:ascii="Times New Roman" w:hAnsi="Times New Roman" w:cs="Times New Roman"/>
          <w:bCs/>
          <w:sz w:val="24"/>
          <w:szCs w:val="24"/>
          <w:lang w:val="en-GB"/>
        </w:rPr>
        <w:t xml:space="preserve"> years of a</w:t>
      </w:r>
      <w:r w:rsidR="00455588" w:rsidRPr="00815BE5">
        <w:rPr>
          <w:rFonts w:ascii="Times New Roman" w:hAnsi="Times New Roman" w:cs="Times New Roman"/>
          <w:bCs/>
          <w:sz w:val="24"/>
          <w:szCs w:val="24"/>
          <w:lang w:val="en-GB"/>
        </w:rPr>
        <w:t>pproximately</w:t>
      </w:r>
      <w:r w:rsidRPr="00815BE5">
        <w:rPr>
          <w:rFonts w:ascii="Times New Roman" w:hAnsi="Times New Roman" w:cs="Times New Roman"/>
          <w:bCs/>
          <w:sz w:val="24"/>
          <w:szCs w:val="24"/>
          <w:lang w:val="en-GB"/>
        </w:rPr>
        <w:t xml:space="preserve"> 55%</w:t>
      </w:r>
      <w:r w:rsidR="00011652" w:rsidRPr="00815BE5">
        <w:rPr>
          <w:rFonts w:ascii="Times New Roman" w:hAnsi="Times New Roman" w:cs="Times New Roman"/>
          <w:bCs/>
          <w:sz w:val="24"/>
          <w:szCs w:val="24"/>
          <w:lang w:val="en-GB"/>
        </w:rPr>
        <w:fldChar w:fldCharType="begin"/>
      </w:r>
      <w:r w:rsidR="0070093D" w:rsidRPr="00815BE5">
        <w:rPr>
          <w:rFonts w:ascii="Times New Roman" w:hAnsi="Times New Roman" w:cs="Times New Roman"/>
          <w:bCs/>
          <w:sz w:val="24"/>
          <w:szCs w:val="24"/>
          <w:lang w:val="en-GB"/>
        </w:rPr>
        <w:instrText xml:space="preserve"> ADDIN ZOTERO_ITEM CSL_CITATION {"citationID":"asODcIZV","properties":{"formattedCitation":"\\super 21\\nosupersub{}","plainCitation":"21","noteIndex":0},"citationItems":[{"id":1661,"uris":["http://zotero.org/groups/1993282/items/N5JRJLEY"],"uri":["http://zotero.org/groups/1993282/items/N5JRJLEY"],"itemData":{"id":1661,"type":"article-journal","abstract":"A retrospective study was performed to assess the outcome of patients with diffuse large B cell lymphoma (DLBCL) who did not achieve complete response or who relapsed before and after the use of rituximab. Clinical features and outcome of 816 (425 M/391 F; median age 63 years) patients diagnosed from 1991 to 2001 (pre-rituximab era, N = 348) and from 2002 to 2012 (rituximab era, N = 468) in a single institution were evaluated. Five hundred fifty-three patients achieved complete remission (CR), 57 partial response (PR), and 206 were refractory with a median overall survival of 15, 1.5, and 0.4 years, respectively. Patients receiving rituximab had lower risk of refractoriness or relapse. In primarily refractory and PR patients, there was not a difference in survival depending on whether patients received or not rituximab-containing frontline treatment. Early death rate was 11 %, including 3.6 % due to infectious complications. Rituximab did not modify these figures. In the relapse setting, 5-year survival from relapse was 25 % for patients who never received rituximab, 54 % for those who received rituximab only at relapse, and 48 % for those treated with immunochemotherapy both as frontline and at relapse. In conclusion, relapsed/refractory patients with DLBCL show poor prognosis despite the use of frontline immunochemotherapy. New therapeutic approaches are needed in this group of patients.","archive":"PMC","archive_location":"PMC4374121","container-title":"Annals of Hematology","DOI":"10.1007/s00277-014-2271-1","ISSN":"0939-5555","issue":"5","page":"803-812","title":"Prognosis of patients with diffuse large B cell lymphoma not reaching complete response or relapsing after frontline chemotherapy or immunochemotherapy","volume":"94","author":[{"family":"Rovira","given":"Jordina"},{"family":"Valera","given":"Alexandra"},{"family":"Colomo","given":"Lluis"},{"family":"Setoain","given":"Xavier"},{"family":"Rodríguez","given":"Sonia"},{"family":"Martínez-Trillos","given":"Alejandra"},{"family":"Giné","given":"Eva"},{"family":"Dlouhy","given":"Ivan"},{"family":"Magnano","given":"Laura"},{"family":"Gaya","given":"Anna"},{"family":"Martínez","given":"Daniel"},{"family":"Martínez","given":"Antonio"},{"family":"Campo","given":"Elías"},{"family":"López-Guillermo","given":"Armando"}],"issued":{"date-parts":[["2015"]]}}}],"schema":"https://github.com/citation-style-language/schema/raw/master/csl-citation.json"} </w:instrText>
      </w:r>
      <w:r w:rsidR="00011652" w:rsidRPr="00815BE5">
        <w:rPr>
          <w:rFonts w:ascii="Times New Roman" w:hAnsi="Times New Roman" w:cs="Times New Roman"/>
          <w:bCs/>
          <w:sz w:val="24"/>
          <w:szCs w:val="24"/>
          <w:lang w:val="en-GB"/>
        </w:rPr>
        <w:fldChar w:fldCharType="separate"/>
      </w:r>
      <w:r w:rsidR="0070093D" w:rsidRPr="00815BE5">
        <w:rPr>
          <w:rFonts w:ascii="Times New Roman" w:hAnsi="Times New Roman" w:cs="Times New Roman"/>
          <w:sz w:val="24"/>
          <w:szCs w:val="24"/>
          <w:vertAlign w:val="superscript"/>
        </w:rPr>
        <w:t>21</w:t>
      </w:r>
      <w:r w:rsidR="00011652" w:rsidRPr="00815BE5">
        <w:rPr>
          <w:rFonts w:ascii="Times New Roman" w:hAnsi="Times New Roman" w:cs="Times New Roman"/>
          <w:bCs/>
          <w:sz w:val="24"/>
          <w:szCs w:val="24"/>
          <w:lang w:val="en-GB"/>
        </w:rPr>
        <w:fldChar w:fldCharType="end"/>
      </w:r>
      <w:r w:rsidR="00011652" w:rsidRPr="00815BE5">
        <w:rPr>
          <w:rFonts w:ascii="Times New Roman" w:hAnsi="Times New Roman" w:cs="Times New Roman"/>
          <w:bCs/>
          <w:sz w:val="24"/>
          <w:szCs w:val="24"/>
          <w:lang w:val="en-GB"/>
        </w:rPr>
        <w:t xml:space="preserve"> </w:t>
      </w:r>
      <w:r w:rsidRPr="00815BE5">
        <w:rPr>
          <w:rFonts w:ascii="Times New Roman" w:hAnsi="Times New Roman" w:cs="Times New Roman"/>
          <w:bCs/>
          <w:sz w:val="24"/>
          <w:szCs w:val="24"/>
          <w:lang w:val="en-GB"/>
        </w:rPr>
        <w:t>and the target sample size of 500 patients, a 95% CI between 50.5%</w:t>
      </w:r>
      <w:r w:rsidR="004609F9" w:rsidRPr="00815BE5">
        <w:rPr>
          <w:rFonts w:ascii="Times New Roman" w:hAnsi="Times New Roman" w:cs="Times New Roman"/>
          <w:bCs/>
          <w:sz w:val="24"/>
          <w:szCs w:val="24"/>
          <w:lang w:val="en-GB"/>
        </w:rPr>
        <w:t>-</w:t>
      </w:r>
      <w:r w:rsidRPr="00815BE5">
        <w:rPr>
          <w:rFonts w:ascii="Times New Roman" w:hAnsi="Times New Roman" w:cs="Times New Roman"/>
          <w:bCs/>
          <w:sz w:val="24"/>
          <w:szCs w:val="24"/>
          <w:lang w:val="en-GB"/>
        </w:rPr>
        <w:t xml:space="preserve">59.4% was </w:t>
      </w:r>
      <w:r w:rsidR="004609F9" w:rsidRPr="00815BE5">
        <w:rPr>
          <w:rFonts w:ascii="Times New Roman" w:hAnsi="Times New Roman" w:cs="Times New Roman"/>
          <w:bCs/>
          <w:sz w:val="24"/>
          <w:szCs w:val="24"/>
          <w:lang w:val="en-GB"/>
        </w:rPr>
        <w:t>e</w:t>
      </w:r>
      <w:r w:rsidR="00D917CD" w:rsidRPr="00815BE5">
        <w:rPr>
          <w:rFonts w:ascii="Times New Roman" w:hAnsi="Times New Roman" w:cs="Times New Roman"/>
          <w:bCs/>
          <w:sz w:val="24"/>
          <w:szCs w:val="24"/>
          <w:lang w:val="en-GB"/>
        </w:rPr>
        <w:t>xpected in the present study</w:t>
      </w:r>
      <w:r w:rsidRPr="00815BE5">
        <w:rPr>
          <w:rFonts w:ascii="Times New Roman" w:hAnsi="Times New Roman" w:cs="Times New Roman"/>
          <w:bCs/>
          <w:sz w:val="24"/>
          <w:szCs w:val="24"/>
          <w:lang w:val="en-GB"/>
        </w:rPr>
        <w:t xml:space="preserve">, </w:t>
      </w:r>
      <w:r w:rsidRPr="00815BE5">
        <w:rPr>
          <w:rFonts w:ascii="Times New Roman" w:hAnsi="Times New Roman" w:cs="Times New Roman"/>
          <w:bCs/>
          <w:sz w:val="24"/>
          <w:szCs w:val="24"/>
          <w:lang w:val="en-GB"/>
        </w:rPr>
        <w:lastRenderedPageBreak/>
        <w:t xml:space="preserve">which was considered to represent adequate precision to characterise this population. The proportion of patients experiencing a complete </w:t>
      </w:r>
      <w:r w:rsidR="00AF2A98" w:rsidRPr="00815BE5">
        <w:rPr>
          <w:rFonts w:ascii="Times New Roman" w:hAnsi="Times New Roman" w:cs="Times New Roman"/>
          <w:bCs/>
          <w:sz w:val="24"/>
          <w:szCs w:val="24"/>
          <w:lang w:val="en-GB"/>
        </w:rPr>
        <w:t xml:space="preserve">or partial </w:t>
      </w:r>
      <w:r w:rsidRPr="00815BE5">
        <w:rPr>
          <w:rFonts w:ascii="Times New Roman" w:hAnsi="Times New Roman" w:cs="Times New Roman"/>
          <w:bCs/>
          <w:sz w:val="24"/>
          <w:szCs w:val="24"/>
          <w:lang w:val="en-GB"/>
        </w:rPr>
        <w:t>response in th</w:t>
      </w:r>
      <w:r w:rsidR="00AF2A98" w:rsidRPr="00815BE5">
        <w:rPr>
          <w:rFonts w:ascii="Times New Roman" w:hAnsi="Times New Roman" w:cs="Times New Roman"/>
          <w:bCs/>
          <w:sz w:val="24"/>
          <w:szCs w:val="24"/>
          <w:lang w:val="en-GB"/>
        </w:rPr>
        <w:t xml:space="preserve">e above-referenced </w:t>
      </w:r>
      <w:r w:rsidR="00011652" w:rsidRPr="00815BE5">
        <w:rPr>
          <w:rFonts w:ascii="Times New Roman" w:hAnsi="Times New Roman" w:cs="Times New Roman"/>
          <w:bCs/>
          <w:sz w:val="24"/>
          <w:szCs w:val="24"/>
          <w:lang w:val="en-GB"/>
        </w:rPr>
        <w:t>study</w:t>
      </w:r>
      <w:r w:rsidR="00202953" w:rsidRPr="00815BE5">
        <w:rPr>
          <w:rFonts w:ascii="Times New Roman" w:hAnsi="Times New Roman" w:cs="Times New Roman"/>
          <w:bCs/>
          <w:sz w:val="24"/>
          <w:szCs w:val="24"/>
          <w:lang w:val="en-GB"/>
        </w:rPr>
        <w:fldChar w:fldCharType="begin"/>
      </w:r>
      <w:r w:rsidR="0070093D" w:rsidRPr="00815BE5">
        <w:rPr>
          <w:rFonts w:ascii="Times New Roman" w:hAnsi="Times New Roman" w:cs="Times New Roman"/>
          <w:bCs/>
          <w:sz w:val="24"/>
          <w:szCs w:val="24"/>
          <w:lang w:val="en-GB"/>
        </w:rPr>
        <w:instrText xml:space="preserve"> ADDIN ZOTERO_ITEM CSL_CITATION {"citationID":"NFgwq5Kc","properties":{"formattedCitation":"\\super 21\\nosupersub{}","plainCitation":"21","noteIndex":0},"citationItems":[{"id":1661,"uris":["http://zotero.org/groups/1993282/items/N5JRJLEY"],"uri":["http://zotero.org/groups/1993282/items/N5JRJLEY"],"itemData":{"id":1661,"type":"article-journal","abstract":"A retrospective study was performed to assess the outcome of patients with diffuse large B cell lymphoma (DLBCL) who did not achieve complete response or who relapsed before and after the use of rituximab. Clinical features and outcome of 816 (425 M/391 F; median age 63 years) patients diagnosed from 1991 to 2001 (pre-rituximab era, N = 348) and from 2002 to 2012 (rituximab era, N = 468) in a single institution were evaluated. Five hundred fifty-three patients achieved complete remission (CR), 57 partial response (PR), and 206 were refractory with a median overall survival of 15, 1.5, and 0.4 years, respectively. Patients receiving rituximab had lower risk of refractoriness or relapse. In primarily refractory and PR patients, there was not a difference in survival depending on whether patients received or not rituximab-containing frontline treatment. Early death rate was 11 %, including 3.6 % due to infectious complications. Rituximab did not modify these figures. In the relapse setting, 5-year survival from relapse was 25 % for patients who never received rituximab, 54 % for those who received rituximab only at relapse, and 48 % for those treated with immunochemotherapy both as frontline and at relapse. In conclusion, relapsed/refractory patients with DLBCL show poor prognosis despite the use of frontline immunochemotherapy. New therapeutic approaches are needed in this group of patients.","archive":"PMC","archive_location":"PMC4374121","container-title":"Annals of Hematology","DOI":"10.1007/s00277-014-2271-1","ISSN":"0939-5555","issue":"5","page":"803-812","title":"Prognosis of patients with diffuse large B cell lymphoma not reaching complete response or relapsing after frontline chemotherapy or immunochemotherapy","volume":"94","author":[{"family":"Rovira","given":"Jordina"},{"family":"Valera","given":"Alexandra"},{"family":"Colomo","given":"Lluis"},{"family":"Setoain","given":"Xavier"},{"family":"Rodríguez","given":"Sonia"},{"family":"Martínez-Trillos","given":"Alejandra"},{"family":"Giné","given":"Eva"},{"family":"Dlouhy","given":"Ivan"},{"family":"Magnano","given":"Laura"},{"family":"Gaya","given":"Anna"},{"family":"Martínez","given":"Daniel"},{"family":"Martínez","given":"Antonio"},{"family":"Campo","given":"Elías"},{"family":"López-Guillermo","given":"Armando"}],"issued":{"date-parts":[["2015"]]}}}],"schema":"https://github.com/citation-style-language/schema/raw/master/csl-citation.json"} </w:instrText>
      </w:r>
      <w:r w:rsidR="00202953" w:rsidRPr="00815BE5">
        <w:rPr>
          <w:rFonts w:ascii="Times New Roman" w:hAnsi="Times New Roman" w:cs="Times New Roman"/>
          <w:bCs/>
          <w:sz w:val="24"/>
          <w:szCs w:val="24"/>
          <w:lang w:val="en-GB"/>
        </w:rPr>
        <w:fldChar w:fldCharType="separate"/>
      </w:r>
      <w:r w:rsidR="0070093D" w:rsidRPr="00815BE5">
        <w:rPr>
          <w:rFonts w:ascii="Times New Roman" w:hAnsi="Times New Roman" w:cs="Times New Roman"/>
          <w:sz w:val="24"/>
          <w:szCs w:val="24"/>
          <w:vertAlign w:val="superscript"/>
        </w:rPr>
        <w:t>21</w:t>
      </w:r>
      <w:r w:rsidR="00202953" w:rsidRPr="00815BE5">
        <w:rPr>
          <w:rFonts w:ascii="Times New Roman" w:hAnsi="Times New Roman" w:cs="Times New Roman"/>
          <w:bCs/>
          <w:sz w:val="24"/>
          <w:szCs w:val="24"/>
          <w:lang w:val="en-GB"/>
        </w:rPr>
        <w:fldChar w:fldCharType="end"/>
      </w:r>
      <w:r w:rsidRPr="00815BE5">
        <w:rPr>
          <w:rFonts w:ascii="Times New Roman" w:hAnsi="Times New Roman" w:cs="Times New Roman"/>
          <w:bCs/>
          <w:sz w:val="24"/>
          <w:szCs w:val="24"/>
          <w:lang w:val="en-GB"/>
        </w:rPr>
        <w:t xml:space="preserve"> was </w:t>
      </w:r>
      <w:r w:rsidR="00011652" w:rsidRPr="00815BE5">
        <w:rPr>
          <w:rFonts w:ascii="Times New Roman" w:hAnsi="Times New Roman" w:cs="Times New Roman"/>
          <w:bCs/>
          <w:sz w:val="24"/>
          <w:szCs w:val="24"/>
          <w:lang w:val="en-GB"/>
        </w:rPr>
        <w:t>approximately</w:t>
      </w:r>
      <w:r w:rsidRPr="00815BE5">
        <w:rPr>
          <w:rFonts w:ascii="Times New Roman" w:hAnsi="Times New Roman" w:cs="Times New Roman"/>
          <w:bCs/>
          <w:sz w:val="24"/>
          <w:szCs w:val="24"/>
          <w:lang w:val="en-GB"/>
        </w:rPr>
        <w:t xml:space="preserve"> 75%, </w:t>
      </w:r>
      <w:r w:rsidR="00AF2A98" w:rsidRPr="00815BE5">
        <w:rPr>
          <w:rFonts w:ascii="Times New Roman" w:hAnsi="Times New Roman" w:cs="Times New Roman"/>
          <w:bCs/>
          <w:sz w:val="24"/>
          <w:szCs w:val="24"/>
          <w:lang w:val="en-GB"/>
        </w:rPr>
        <w:t xml:space="preserve">which </w:t>
      </w:r>
      <w:r w:rsidR="00D917CD" w:rsidRPr="00815BE5">
        <w:rPr>
          <w:rFonts w:ascii="Times New Roman" w:hAnsi="Times New Roman" w:cs="Times New Roman"/>
          <w:bCs/>
          <w:sz w:val="24"/>
          <w:szCs w:val="24"/>
          <w:lang w:val="en-GB"/>
        </w:rPr>
        <w:t>w</w:t>
      </w:r>
      <w:r w:rsidR="00AF2A98" w:rsidRPr="00815BE5">
        <w:rPr>
          <w:rFonts w:ascii="Times New Roman" w:hAnsi="Times New Roman" w:cs="Times New Roman"/>
          <w:bCs/>
          <w:sz w:val="24"/>
          <w:szCs w:val="24"/>
          <w:lang w:val="en-GB"/>
        </w:rPr>
        <w:t xml:space="preserve">ould translate into </w:t>
      </w:r>
      <w:r w:rsidRPr="00815BE5">
        <w:rPr>
          <w:rFonts w:ascii="Times New Roman" w:hAnsi="Times New Roman" w:cs="Times New Roman"/>
          <w:bCs/>
          <w:sz w:val="24"/>
          <w:szCs w:val="24"/>
          <w:lang w:val="en-GB"/>
        </w:rPr>
        <w:t>a 95% CI between 71.0% and 78.7%</w:t>
      </w:r>
      <w:r w:rsidR="00AF2A98" w:rsidRPr="00815BE5">
        <w:rPr>
          <w:rFonts w:ascii="Times New Roman" w:hAnsi="Times New Roman" w:cs="Times New Roman"/>
          <w:bCs/>
          <w:sz w:val="24"/>
          <w:szCs w:val="24"/>
          <w:lang w:val="en-GB"/>
        </w:rPr>
        <w:t xml:space="preserve"> with a sample size of 500 patients</w:t>
      </w:r>
      <w:r w:rsidRPr="00815BE5">
        <w:rPr>
          <w:rFonts w:ascii="Times New Roman" w:hAnsi="Times New Roman" w:cs="Times New Roman"/>
          <w:bCs/>
          <w:sz w:val="24"/>
          <w:szCs w:val="24"/>
          <w:lang w:val="en-GB"/>
        </w:rPr>
        <w:t xml:space="preserve">. </w:t>
      </w:r>
      <w:r w:rsidRPr="00815BE5">
        <w:rPr>
          <w:rFonts w:ascii="Times New Roman" w:hAnsi="Times New Roman" w:cs="Times New Roman"/>
          <w:sz w:val="24"/>
          <w:lang w:val="en-GB"/>
        </w:rPr>
        <w:t xml:space="preserve">The actual sample size for this study was n=389, as opposed to the </w:t>
      </w:r>
      <w:r w:rsidR="00D917CD" w:rsidRPr="00815BE5">
        <w:rPr>
          <w:rFonts w:ascii="Times New Roman" w:hAnsi="Times New Roman" w:cs="Times New Roman"/>
          <w:sz w:val="24"/>
          <w:lang w:val="en-GB"/>
        </w:rPr>
        <w:t xml:space="preserve">planned </w:t>
      </w:r>
      <w:r w:rsidRPr="00815BE5">
        <w:rPr>
          <w:rFonts w:ascii="Times New Roman" w:hAnsi="Times New Roman" w:cs="Times New Roman"/>
          <w:sz w:val="24"/>
          <w:lang w:val="en-GB"/>
        </w:rPr>
        <w:t>n=500 that the initial precision estimates were based upon.</w:t>
      </w:r>
      <w:r w:rsidR="00426702">
        <w:rPr>
          <w:rFonts w:ascii="Times New Roman" w:hAnsi="Times New Roman" w:cs="Times New Roman"/>
          <w:sz w:val="24"/>
          <w:lang w:val="en-GB"/>
        </w:rPr>
        <w:t xml:space="preserve"> </w:t>
      </w:r>
    </w:p>
    <w:bookmarkEnd w:id="1"/>
    <w:p w14:paraId="4AB08F77" w14:textId="2521E6A9" w:rsidR="000900B6" w:rsidRPr="00815BE5" w:rsidRDefault="000900B6" w:rsidP="000900B6">
      <w:pPr>
        <w:spacing w:line="480" w:lineRule="auto"/>
        <w:jc w:val="both"/>
        <w:rPr>
          <w:rFonts w:ascii="Times New Roman" w:hAnsi="Times New Roman" w:cs="Times New Roman"/>
          <w:bCs/>
          <w:sz w:val="24"/>
          <w:szCs w:val="24"/>
        </w:rPr>
      </w:pPr>
      <w:r w:rsidRPr="00815BE5">
        <w:rPr>
          <w:rFonts w:ascii="Times New Roman" w:hAnsi="Times New Roman" w:cs="Times New Roman"/>
          <w:bCs/>
          <w:sz w:val="24"/>
          <w:szCs w:val="24"/>
        </w:rPr>
        <w:t xml:space="preserve">Time-to-event analyses were conducted using the Kaplan-Meier (KM) method and displayed using KM plots from the index date until the date of event or censoring. </w:t>
      </w:r>
      <w:r w:rsidR="002275C4" w:rsidRPr="00815BE5">
        <w:rPr>
          <w:rFonts w:ascii="Times New Roman" w:hAnsi="Times New Roman" w:cs="Times New Roman"/>
          <w:bCs/>
          <w:sz w:val="24"/>
          <w:szCs w:val="24"/>
        </w:rPr>
        <w:t>For OS, patients known to be alive or lost to follow-up were censored at 30-months post-index date or the date of the last recorded hospital visit within 30-months post index, respectively. For PFS, patients were censored on the date of the last documented response assessment</w:t>
      </w:r>
      <w:r w:rsidR="0066600E" w:rsidRPr="00815BE5">
        <w:rPr>
          <w:rFonts w:ascii="Times New Roman" w:hAnsi="Times New Roman" w:cs="Times New Roman"/>
          <w:bCs/>
          <w:sz w:val="24"/>
          <w:szCs w:val="24"/>
        </w:rPr>
        <w:t xml:space="preserve"> in the medical records (this included the </w:t>
      </w:r>
      <w:proofErr w:type="spellStart"/>
      <w:r w:rsidR="0066600E" w:rsidRPr="00815BE5">
        <w:rPr>
          <w:rFonts w:ascii="Times New Roman" w:hAnsi="Times New Roman" w:cs="Times New Roman"/>
          <w:bCs/>
          <w:sz w:val="24"/>
          <w:szCs w:val="24"/>
        </w:rPr>
        <w:t>Revi</w:t>
      </w:r>
      <w:r w:rsidR="00ED0382" w:rsidRPr="00815BE5">
        <w:rPr>
          <w:rFonts w:ascii="Times New Roman" w:hAnsi="Times New Roman" w:cs="Times New Roman"/>
          <w:bCs/>
          <w:sz w:val="24"/>
          <w:szCs w:val="24"/>
        </w:rPr>
        <w:t>z</w:t>
      </w:r>
      <w:r w:rsidR="0066600E" w:rsidRPr="00815BE5">
        <w:rPr>
          <w:rFonts w:ascii="Times New Roman" w:hAnsi="Times New Roman" w:cs="Times New Roman"/>
          <w:bCs/>
          <w:sz w:val="24"/>
          <w:szCs w:val="24"/>
        </w:rPr>
        <w:t>ed</w:t>
      </w:r>
      <w:proofErr w:type="spellEnd"/>
      <w:r w:rsidR="0066600E" w:rsidRPr="00815BE5">
        <w:rPr>
          <w:rFonts w:ascii="Times New Roman" w:hAnsi="Times New Roman" w:cs="Times New Roman"/>
          <w:bCs/>
          <w:sz w:val="24"/>
          <w:szCs w:val="24"/>
        </w:rPr>
        <w:t xml:space="preserve"> Response Criteria for Malignant Lymphoma</w:t>
      </w:r>
      <w:r w:rsidR="0066600E" w:rsidRPr="00815BE5">
        <w:rPr>
          <w:rFonts w:ascii="Times New Roman" w:hAnsi="Times New Roman" w:cs="Times New Roman"/>
          <w:bCs/>
          <w:sz w:val="24"/>
          <w:szCs w:val="24"/>
        </w:rPr>
        <w:fldChar w:fldCharType="begin"/>
      </w:r>
      <w:r w:rsidR="0066600E" w:rsidRPr="00815BE5">
        <w:rPr>
          <w:rFonts w:ascii="Times New Roman" w:hAnsi="Times New Roman" w:cs="Times New Roman"/>
          <w:bCs/>
          <w:sz w:val="24"/>
          <w:szCs w:val="24"/>
        </w:rPr>
        <w:instrText xml:space="preserve"> ADDIN ZOTERO_ITEM CSL_CITATION {"citationID":"HcXdFPK9","properties":{"formattedCitation":"\\super 22\\nosupersub{}","plainCitation":"22","noteIndex":0},"citationItems":[{"id":1669,"uris":["http://zotero.org/groups/1993282/items/WIE445EV"],"uri":["http://zotero.org/groups/1993282/items/WIE445EV"],"itemData":{"id":1669,"type":"article-journal","abstract":"PURPOSE: Standardized response criteria are needed to interpret and compare clinical trials and for approval of new therapeutic agents by regulatory agencies.\nMETHODS: The International Working Group response criteria (Cheson et al, J Clin Oncol 17:1244, 1999) were widely adopted, but required reassessment because of identified limitations and the increased use of [18F]fluorodeoxyglucose-positron emission tomography (PET), immunohistochemistry (IHC), and flow cytometry. The International Harmonization Project was convened to provide updated recommendations.\nRESULTS: New guidelines are presented incorporating PET, IHC, and flow cytometry for definitions of response in non-Hodgkin's and Hodgkin's lymphoma. Standardized definitions of end points are provided.\nCONCLUSION: We hope that these guidelines will be adopted widely by study groups, pharmaceutical and biotechnology companies, and regulatory agencies to facilitate the development of new and more effective therapies to improve the outcome of patients with lymphoma.","container-title":"Journal of Clinical Oncology: Official Journal of the American Society of Clinical Oncology","DOI":"10.1200/JCO.2006.09.2403","ISSN":"1527-7755","issue":"5","journalAbbreviation":"J Clin Oncol","language":"eng","note":"PMID: 17242396","page":"579-586","source":"PubMed","title":"Revised response criteria for malignant lymphoma","volume":"25","author":[{"family":"Cheson","given":"Bruce D."},{"family":"Pfistner","given":"Beate"},{"family":"Juweid","given":"Malik E."},{"family":"Gascoyne","given":"Randy D."},{"family":"Specht","given":"Lena"},{"family":"Horning","given":"Sandra J."},{"family":"Coiffier","given":"Bertrand"},{"family":"Fisher","given":"Richard I."},{"family":"Hagenbeek","given":"Anton"},{"family":"Zucca","given":"Emanuele"},{"family":"Rosen","given":"Steven T."},{"family":"Stroobants","given":"Sigrid"},{"family":"Lister","given":"T. Andrew"},{"family":"Hoppe","given":"Richard T."},{"family":"Dreyling","given":"Martin"},{"family":"Tobinai","given":"Kensei"},{"family":"Vose","given":"Julie M."},{"family":"Connors","given":"Joseph M."},{"family":"Federico","given":"Massimo"},{"family":"Diehl","given":"Volker"},{"literal":"International Harmonization Project on Lymphoma"}],"issued":{"date-parts":[["2007",2,10]]}}}],"schema":"https://github.com/citation-style-language/schema/raw/master/csl-citation.json"} </w:instrText>
      </w:r>
      <w:r w:rsidR="0066600E" w:rsidRPr="00815BE5">
        <w:rPr>
          <w:rFonts w:ascii="Times New Roman" w:hAnsi="Times New Roman" w:cs="Times New Roman"/>
          <w:bCs/>
          <w:sz w:val="24"/>
          <w:szCs w:val="24"/>
        </w:rPr>
        <w:fldChar w:fldCharType="separate"/>
      </w:r>
      <w:r w:rsidR="0066600E" w:rsidRPr="00815BE5">
        <w:rPr>
          <w:rFonts w:ascii="Times New Roman" w:hAnsi="Times New Roman" w:cs="Times New Roman"/>
          <w:sz w:val="24"/>
          <w:szCs w:val="24"/>
          <w:vertAlign w:val="superscript"/>
        </w:rPr>
        <w:t>22</w:t>
      </w:r>
      <w:r w:rsidR="0066600E" w:rsidRPr="00815BE5">
        <w:rPr>
          <w:rFonts w:ascii="Times New Roman" w:hAnsi="Times New Roman" w:cs="Times New Roman"/>
          <w:bCs/>
          <w:sz w:val="24"/>
          <w:szCs w:val="24"/>
        </w:rPr>
        <w:fldChar w:fldCharType="end"/>
      </w:r>
      <w:r w:rsidR="0066600E" w:rsidRPr="00815BE5">
        <w:rPr>
          <w:rFonts w:ascii="Times New Roman" w:hAnsi="Times New Roman" w:cs="Times New Roman"/>
          <w:bCs/>
          <w:sz w:val="24"/>
          <w:szCs w:val="24"/>
        </w:rPr>
        <w:t>, if these criteria were used and documented locally)</w:t>
      </w:r>
      <w:r w:rsidR="002275C4" w:rsidRPr="00815BE5">
        <w:rPr>
          <w:rFonts w:ascii="Times New Roman" w:hAnsi="Times New Roman" w:cs="Times New Roman"/>
          <w:bCs/>
          <w:sz w:val="24"/>
          <w:szCs w:val="24"/>
        </w:rPr>
        <w:t>.</w:t>
      </w:r>
      <w:r w:rsidRPr="00815BE5">
        <w:rPr>
          <w:rFonts w:ascii="Times New Roman" w:hAnsi="Times New Roman" w:cs="Times New Roman"/>
          <w:bCs/>
          <w:sz w:val="24"/>
          <w:szCs w:val="24"/>
        </w:rPr>
        <w:t xml:space="preserve"> OS and PFS rates (with 95% CI) were calculated at 12-, 18- and 30 months post-index.</w:t>
      </w:r>
    </w:p>
    <w:p w14:paraId="6169F57F" w14:textId="727CAF54" w:rsidR="002275C4" w:rsidRPr="00815BE5" w:rsidRDefault="002275C4" w:rsidP="008302D4">
      <w:pPr>
        <w:spacing w:line="480" w:lineRule="auto"/>
        <w:jc w:val="both"/>
        <w:rPr>
          <w:rFonts w:ascii="Times New Roman" w:hAnsi="Times New Roman" w:cs="Times New Roman"/>
          <w:bCs/>
          <w:sz w:val="24"/>
          <w:szCs w:val="24"/>
        </w:rPr>
      </w:pPr>
      <w:r w:rsidRPr="00815BE5">
        <w:rPr>
          <w:rFonts w:ascii="Times New Roman" w:hAnsi="Times New Roman" w:cs="Times New Roman"/>
          <w:bCs/>
          <w:sz w:val="24"/>
          <w:szCs w:val="24"/>
        </w:rPr>
        <w:t xml:space="preserve"> For time to complete or partial response, patients were not censored – for patients with ≥1 record of complete response the time from index until the first documentation was used. </w:t>
      </w:r>
    </w:p>
    <w:p w14:paraId="38FBF688" w14:textId="24458420" w:rsidR="002275C4" w:rsidRPr="00815BE5" w:rsidRDefault="002275C4" w:rsidP="008302D4">
      <w:pPr>
        <w:spacing w:line="480" w:lineRule="auto"/>
        <w:jc w:val="both"/>
        <w:rPr>
          <w:rFonts w:ascii="Times New Roman" w:hAnsi="Times New Roman" w:cs="Times New Roman"/>
          <w:bCs/>
          <w:sz w:val="24"/>
          <w:szCs w:val="24"/>
        </w:rPr>
      </w:pPr>
      <w:r w:rsidRPr="00815BE5" w:rsidDel="00595347">
        <w:rPr>
          <w:rFonts w:ascii="Times New Roman" w:hAnsi="Times New Roman" w:cs="Times New Roman"/>
          <w:bCs/>
          <w:sz w:val="24"/>
          <w:szCs w:val="24"/>
        </w:rPr>
        <w:t>OS and PFS for patients where CT-P10 was the first</w:t>
      </w:r>
      <w:r w:rsidR="00074E3A" w:rsidRPr="00815BE5">
        <w:rPr>
          <w:rFonts w:ascii="Times New Roman" w:hAnsi="Times New Roman" w:cs="Times New Roman"/>
          <w:bCs/>
          <w:sz w:val="24"/>
          <w:szCs w:val="24"/>
        </w:rPr>
        <w:t xml:space="preserve"> </w:t>
      </w:r>
      <w:r w:rsidRPr="00815BE5" w:rsidDel="00595347">
        <w:rPr>
          <w:rFonts w:ascii="Times New Roman" w:hAnsi="Times New Roman" w:cs="Times New Roman"/>
          <w:bCs/>
          <w:sz w:val="24"/>
          <w:szCs w:val="24"/>
        </w:rPr>
        <w:t xml:space="preserve">line of treatment were displayed </w:t>
      </w:r>
      <w:r w:rsidRPr="00815BE5">
        <w:rPr>
          <w:rFonts w:ascii="Times New Roman" w:hAnsi="Times New Roman" w:cs="Times New Roman"/>
          <w:bCs/>
          <w:sz w:val="24"/>
          <w:szCs w:val="24"/>
        </w:rPr>
        <w:t xml:space="preserve">descriptively </w:t>
      </w:r>
      <w:r w:rsidRPr="00815BE5" w:rsidDel="00595347">
        <w:rPr>
          <w:rFonts w:ascii="Times New Roman" w:hAnsi="Times New Roman" w:cs="Times New Roman"/>
          <w:bCs/>
          <w:sz w:val="24"/>
          <w:szCs w:val="24"/>
        </w:rPr>
        <w:t>using Kaplan</w:t>
      </w:r>
      <w:r w:rsidRPr="00815BE5" w:rsidDel="00595347">
        <w:rPr>
          <w:rFonts w:ascii="Times New Roman" w:hAnsi="Times New Roman" w:cs="Times New Roman"/>
        </w:rPr>
        <w:t>–</w:t>
      </w:r>
      <w:r w:rsidRPr="00815BE5" w:rsidDel="00595347">
        <w:rPr>
          <w:rFonts w:ascii="Times New Roman" w:hAnsi="Times New Roman" w:cs="Times New Roman"/>
          <w:bCs/>
          <w:sz w:val="24"/>
          <w:szCs w:val="24"/>
        </w:rPr>
        <w:t xml:space="preserve">Meier (KM) plots from the index date until </w:t>
      </w:r>
      <w:r w:rsidRPr="00815BE5">
        <w:rPr>
          <w:rFonts w:ascii="Times New Roman" w:hAnsi="Times New Roman" w:cs="Times New Roman"/>
          <w:bCs/>
          <w:sz w:val="24"/>
          <w:szCs w:val="24"/>
        </w:rPr>
        <w:t xml:space="preserve">the date of the event or </w:t>
      </w:r>
      <w:r w:rsidRPr="00815BE5" w:rsidDel="00595347">
        <w:rPr>
          <w:rFonts w:ascii="Times New Roman" w:hAnsi="Times New Roman" w:cs="Times New Roman"/>
          <w:bCs/>
          <w:sz w:val="24"/>
          <w:szCs w:val="24"/>
        </w:rPr>
        <w:t>censoring.</w:t>
      </w:r>
      <w:r w:rsidRPr="00815BE5">
        <w:rPr>
          <w:rFonts w:ascii="Times New Roman" w:hAnsi="Times New Roman" w:cs="Times New Roman"/>
          <w:bCs/>
          <w:sz w:val="24"/>
          <w:szCs w:val="24"/>
        </w:rPr>
        <w:t xml:space="preserve"> OS and PFS rates were calculated at 12-, 18- and 30-months post-index date. </w:t>
      </w:r>
    </w:p>
    <w:p w14:paraId="39208A3D" w14:textId="3AD8B27E" w:rsidR="00CC726F" w:rsidRPr="00815BE5" w:rsidRDefault="00CC726F" w:rsidP="008302D4">
      <w:pPr>
        <w:spacing w:line="480" w:lineRule="auto"/>
        <w:jc w:val="both"/>
        <w:rPr>
          <w:rFonts w:ascii="Times New Roman" w:hAnsi="Times New Roman" w:cs="Times New Roman"/>
          <w:bCs/>
          <w:sz w:val="24"/>
          <w:szCs w:val="24"/>
        </w:rPr>
      </w:pPr>
      <w:r w:rsidRPr="00815BE5">
        <w:rPr>
          <w:rFonts w:ascii="Times New Roman" w:hAnsi="Times New Roman" w:cs="Times New Roman"/>
          <w:bCs/>
          <w:sz w:val="24"/>
          <w:szCs w:val="24"/>
        </w:rPr>
        <w:t xml:space="preserve">The proportion of patients assessed as having a best response of complete response, partial response, stable disease or progressive disease in the 30 months post-index, were calculated. </w:t>
      </w:r>
      <w:r w:rsidR="002B39F1" w:rsidRPr="00815BE5">
        <w:rPr>
          <w:rFonts w:ascii="Times New Roman" w:hAnsi="Times New Roman" w:cs="Times New Roman"/>
          <w:bCs/>
          <w:sz w:val="24"/>
          <w:szCs w:val="24"/>
        </w:rPr>
        <w:t xml:space="preserve">In addition, the first response recorded that was at least 3 months, and at least 6 months post-index was assessed. </w:t>
      </w:r>
    </w:p>
    <w:p w14:paraId="3F584A20" w14:textId="5D272CEC" w:rsidR="00CC726F" w:rsidRPr="00815BE5" w:rsidRDefault="00CC726F" w:rsidP="008302D4">
      <w:pPr>
        <w:spacing w:line="480" w:lineRule="auto"/>
        <w:jc w:val="both"/>
        <w:rPr>
          <w:rFonts w:ascii="Times New Roman" w:hAnsi="Times New Roman" w:cs="Times New Roman"/>
          <w:bCs/>
          <w:sz w:val="24"/>
          <w:szCs w:val="24"/>
        </w:rPr>
      </w:pPr>
      <w:r w:rsidRPr="00815BE5">
        <w:rPr>
          <w:rFonts w:ascii="Times New Roman" w:hAnsi="Times New Roman" w:cs="Times New Roman"/>
          <w:bCs/>
          <w:sz w:val="24"/>
          <w:szCs w:val="24"/>
        </w:rPr>
        <w:lastRenderedPageBreak/>
        <w:t xml:space="preserve">Treatment patterns for CT-P10 were described for the entire study period. Summary statistics were displayed for the treatment dose and treatment duration, and a distribution for the treatment discontinuation reason. </w:t>
      </w:r>
    </w:p>
    <w:p w14:paraId="6132D736" w14:textId="762B934E" w:rsidR="002C287B" w:rsidRPr="00944AD3" w:rsidRDefault="00074E8F" w:rsidP="008302D4">
      <w:pPr>
        <w:spacing w:line="480" w:lineRule="auto"/>
        <w:jc w:val="both"/>
        <w:rPr>
          <w:rFonts w:ascii="Times New Roman" w:hAnsi="Times New Roman" w:cs="Times New Roman"/>
          <w:bCs/>
          <w:sz w:val="24"/>
          <w:szCs w:val="24"/>
          <w:lang w:val="en-GB"/>
        </w:rPr>
      </w:pPr>
      <w:r w:rsidRPr="00815BE5">
        <w:rPr>
          <w:rFonts w:ascii="Times New Roman" w:hAnsi="Times New Roman" w:cs="Times New Roman"/>
          <w:bCs/>
          <w:sz w:val="24"/>
          <w:szCs w:val="24"/>
        </w:rPr>
        <w:t>Due to the descriptive nature of this study,</w:t>
      </w:r>
      <w:r w:rsidR="00BD21AA" w:rsidRPr="00815BE5">
        <w:rPr>
          <w:rFonts w:ascii="Times New Roman" w:hAnsi="Times New Roman" w:cs="Times New Roman"/>
          <w:bCs/>
          <w:sz w:val="24"/>
          <w:szCs w:val="24"/>
        </w:rPr>
        <w:t xml:space="preserve"> </w:t>
      </w:r>
      <w:r w:rsidR="00BD21AA" w:rsidRPr="00815BE5">
        <w:rPr>
          <w:rFonts w:ascii="Times New Roman" w:hAnsi="Times New Roman" w:cs="Times New Roman"/>
          <w:bCs/>
          <w:sz w:val="24"/>
          <w:szCs w:val="24"/>
          <w:lang w:val="en-GB"/>
        </w:rPr>
        <w:t>no analyses to control for confounding were carried out. In relation to missing data, where dates were ambiguous because of missing days, standard imputation was applied: where day was missing, the 15</w:t>
      </w:r>
      <w:r w:rsidR="00BD21AA" w:rsidRPr="00815BE5">
        <w:rPr>
          <w:rFonts w:ascii="Times New Roman" w:hAnsi="Times New Roman" w:cs="Times New Roman"/>
          <w:bCs/>
          <w:sz w:val="24"/>
          <w:szCs w:val="24"/>
          <w:vertAlign w:val="superscript"/>
          <w:lang w:val="en-GB"/>
        </w:rPr>
        <w:t>th</w:t>
      </w:r>
      <w:r w:rsidR="00BD21AA" w:rsidRPr="00815BE5">
        <w:rPr>
          <w:rFonts w:ascii="Times New Roman" w:hAnsi="Times New Roman" w:cs="Times New Roman"/>
          <w:bCs/>
          <w:sz w:val="24"/>
          <w:szCs w:val="24"/>
          <w:lang w:val="en-GB"/>
        </w:rPr>
        <w:t xml:space="preserve"> of the month was assumed if sensible according to the scale of the measurements. Aside from this, where data were missing from the original medical record, the affected analyses were conducted using only the results of those patients with data available and the number included in each analysis was stated. No other data imputation was carried out. The number of patients with data missing was reported for each study variable.</w:t>
      </w:r>
    </w:p>
    <w:sectPr w:rsidR="002C287B" w:rsidRPr="00944AD3" w:rsidSect="005340A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F11399" w14:textId="77777777" w:rsidR="006F5642" w:rsidRDefault="006F5642" w:rsidP="00D64CEA">
      <w:pPr>
        <w:spacing w:after="0" w:line="240" w:lineRule="auto"/>
      </w:pPr>
      <w:r>
        <w:separator/>
      </w:r>
    </w:p>
  </w:endnote>
  <w:endnote w:type="continuationSeparator" w:id="0">
    <w:p w14:paraId="287A1F00" w14:textId="77777777" w:rsidR="006F5642" w:rsidRDefault="006F5642" w:rsidP="00D64CEA">
      <w:pPr>
        <w:spacing w:after="0" w:line="240" w:lineRule="auto"/>
      </w:pPr>
      <w:r>
        <w:continuationSeparator/>
      </w:r>
    </w:p>
  </w:endnote>
  <w:endnote w:type="continuationNotice" w:id="1">
    <w:p w14:paraId="6674B110" w14:textId="77777777" w:rsidR="006F5642" w:rsidRDefault="006F56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D81B97" w14:textId="77777777" w:rsidR="006F5642" w:rsidRDefault="006F5642" w:rsidP="00D64CEA">
      <w:pPr>
        <w:spacing w:after="0" w:line="240" w:lineRule="auto"/>
      </w:pPr>
      <w:r>
        <w:separator/>
      </w:r>
    </w:p>
  </w:footnote>
  <w:footnote w:type="continuationSeparator" w:id="0">
    <w:p w14:paraId="524126B3" w14:textId="77777777" w:rsidR="006F5642" w:rsidRDefault="006F5642" w:rsidP="00D64CEA">
      <w:pPr>
        <w:spacing w:after="0" w:line="240" w:lineRule="auto"/>
      </w:pPr>
      <w:r>
        <w:continuationSeparator/>
      </w:r>
    </w:p>
  </w:footnote>
  <w:footnote w:type="continuationNotice" w:id="1">
    <w:p w14:paraId="663192DA" w14:textId="77777777" w:rsidR="006F5642" w:rsidRDefault="006F564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1"/>
    <w:multiLevelType w:val="singleLevel"/>
    <w:tmpl w:val="8ECA8028"/>
    <w:lvl w:ilvl="0">
      <w:start w:val="1"/>
      <w:numFmt w:val="bullet"/>
      <w:pStyle w:val="ListBullet4"/>
      <w:lvlText w:val=""/>
      <w:lvlJc w:val="left"/>
      <w:pPr>
        <w:tabs>
          <w:tab w:val="num" w:pos="1209"/>
        </w:tabs>
        <w:ind w:left="1209" w:hanging="360"/>
      </w:pPr>
      <w:rPr>
        <w:rFonts w:ascii="Symbol" w:hAnsi="Symbol" w:hint="default"/>
      </w:rPr>
    </w:lvl>
  </w:abstractNum>
  <w:abstractNum w:abstractNumId="1" w15:restartNumberingAfterBreak="0">
    <w:nsid w:val="01AC536F"/>
    <w:multiLevelType w:val="hybridMultilevel"/>
    <w:tmpl w:val="24B46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FE4B2B"/>
    <w:multiLevelType w:val="hybridMultilevel"/>
    <w:tmpl w:val="D020FE6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69179C"/>
    <w:multiLevelType w:val="hybridMultilevel"/>
    <w:tmpl w:val="D69A7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FB04EE"/>
    <w:multiLevelType w:val="hybridMultilevel"/>
    <w:tmpl w:val="33D0F926"/>
    <w:lvl w:ilvl="0" w:tplc="35D8222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15:restartNumberingAfterBreak="0">
    <w:nsid w:val="1BCD3B94"/>
    <w:multiLevelType w:val="multilevel"/>
    <w:tmpl w:val="04090025"/>
    <w:lvl w:ilvl="0">
      <w:start w:val="1"/>
      <w:numFmt w:val="decimal"/>
      <w:pStyle w:val="Heading1"/>
      <w:lvlText w:val="%1"/>
      <w:lvlJc w:val="left"/>
      <w:pPr>
        <w:ind w:left="574" w:hanging="432"/>
      </w:pPr>
    </w:lvl>
    <w:lvl w:ilvl="1">
      <w:start w:val="1"/>
      <w:numFmt w:val="decimal"/>
      <w:lvlText w:val="%1.%2"/>
      <w:lvlJc w:val="left"/>
      <w:pPr>
        <w:ind w:left="1284"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 w15:restartNumberingAfterBreak="0">
    <w:nsid w:val="2C2B18BD"/>
    <w:multiLevelType w:val="hybridMultilevel"/>
    <w:tmpl w:val="A648BB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DC37B7"/>
    <w:multiLevelType w:val="multilevel"/>
    <w:tmpl w:val="53404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2E452F"/>
    <w:multiLevelType w:val="hybridMultilevel"/>
    <w:tmpl w:val="B8B0A6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A9028A"/>
    <w:multiLevelType w:val="hybridMultilevel"/>
    <w:tmpl w:val="354AD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AB51E0"/>
    <w:multiLevelType w:val="hybridMultilevel"/>
    <w:tmpl w:val="86A00E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37F07C7"/>
    <w:multiLevelType w:val="hybridMultilevel"/>
    <w:tmpl w:val="F89AE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5352627"/>
    <w:multiLevelType w:val="hybridMultilevel"/>
    <w:tmpl w:val="DA42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B21D7F"/>
    <w:multiLevelType w:val="hybridMultilevel"/>
    <w:tmpl w:val="E918E582"/>
    <w:lvl w:ilvl="0" w:tplc="45AEA2C0">
      <w:start w:val="1"/>
      <w:numFmt w:val="bullet"/>
      <w:lvlText w:val=""/>
      <w:lvlJc w:val="left"/>
      <w:pPr>
        <w:ind w:left="72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8765230"/>
    <w:multiLevelType w:val="hybridMultilevel"/>
    <w:tmpl w:val="924CF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B6D7567"/>
    <w:multiLevelType w:val="hybridMultilevel"/>
    <w:tmpl w:val="4A52A1C8"/>
    <w:lvl w:ilvl="0" w:tplc="22463A56">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11305633">
    <w:abstractNumId w:val="5"/>
  </w:num>
  <w:num w:numId="2" w16cid:durableId="1730808058">
    <w:abstractNumId w:val="3"/>
  </w:num>
  <w:num w:numId="3" w16cid:durableId="646084100">
    <w:abstractNumId w:val="14"/>
  </w:num>
  <w:num w:numId="4" w16cid:durableId="248585258">
    <w:abstractNumId w:val="10"/>
  </w:num>
  <w:num w:numId="5" w16cid:durableId="114062307">
    <w:abstractNumId w:val="8"/>
  </w:num>
  <w:num w:numId="6" w16cid:durableId="1261377538">
    <w:abstractNumId w:val="12"/>
  </w:num>
  <w:num w:numId="7" w16cid:durableId="649986678">
    <w:abstractNumId w:val="9"/>
  </w:num>
  <w:num w:numId="8" w16cid:durableId="655299169">
    <w:abstractNumId w:val="13"/>
  </w:num>
  <w:num w:numId="9" w16cid:durableId="1381594115">
    <w:abstractNumId w:val="6"/>
  </w:num>
  <w:num w:numId="10" w16cid:durableId="460154146">
    <w:abstractNumId w:val="0"/>
  </w:num>
  <w:num w:numId="11" w16cid:durableId="236941292">
    <w:abstractNumId w:val="2"/>
  </w:num>
  <w:num w:numId="12" w16cid:durableId="1748260085">
    <w:abstractNumId w:val="1"/>
  </w:num>
  <w:num w:numId="13" w16cid:durableId="1573856633">
    <w:abstractNumId w:val="11"/>
  </w:num>
  <w:num w:numId="14" w16cid:durableId="136647967">
    <w:abstractNumId w:val="4"/>
  </w:num>
  <w:num w:numId="15" w16cid:durableId="2016297041">
    <w:abstractNumId w:val="7"/>
  </w:num>
  <w:num w:numId="16" w16cid:durableId="1316225835">
    <w:abstractNumId w:val="1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2009xrapwp5s4eftdkpavvpvvzr5f0aewwp&quot;&gt;DMD manuscript&lt;record-ids&gt;&lt;item&gt;1&lt;/item&gt;&lt;item&gt;2&lt;/item&gt;&lt;item&gt;3&lt;/item&gt;&lt;item&gt;4&lt;/item&gt;&lt;item&gt;5&lt;/item&gt;&lt;item&gt;6&lt;/item&gt;&lt;item&gt;7&lt;/item&gt;&lt;item&gt;8&lt;/item&gt;&lt;/record-ids&gt;&lt;/item&gt;&lt;/Libraries&gt;"/>
  </w:docVars>
  <w:rsids>
    <w:rsidRoot w:val="0097460E"/>
    <w:rsid w:val="000004CA"/>
    <w:rsid w:val="000009DB"/>
    <w:rsid w:val="00001727"/>
    <w:rsid w:val="00002100"/>
    <w:rsid w:val="00005500"/>
    <w:rsid w:val="0000796B"/>
    <w:rsid w:val="00007CF0"/>
    <w:rsid w:val="00010282"/>
    <w:rsid w:val="000102EF"/>
    <w:rsid w:val="0001079E"/>
    <w:rsid w:val="00011652"/>
    <w:rsid w:val="00012462"/>
    <w:rsid w:val="0001427A"/>
    <w:rsid w:val="0001666F"/>
    <w:rsid w:val="00021E02"/>
    <w:rsid w:val="00023263"/>
    <w:rsid w:val="000238FC"/>
    <w:rsid w:val="0002400B"/>
    <w:rsid w:val="000249EE"/>
    <w:rsid w:val="00024B69"/>
    <w:rsid w:val="000254D6"/>
    <w:rsid w:val="00027462"/>
    <w:rsid w:val="0002797E"/>
    <w:rsid w:val="000301BF"/>
    <w:rsid w:val="000305AF"/>
    <w:rsid w:val="00030839"/>
    <w:rsid w:val="00031DF8"/>
    <w:rsid w:val="000321B3"/>
    <w:rsid w:val="00032A9C"/>
    <w:rsid w:val="00032F66"/>
    <w:rsid w:val="00033FAE"/>
    <w:rsid w:val="000340C6"/>
    <w:rsid w:val="000341D0"/>
    <w:rsid w:val="00035573"/>
    <w:rsid w:val="00036119"/>
    <w:rsid w:val="0003772D"/>
    <w:rsid w:val="00041385"/>
    <w:rsid w:val="000413E9"/>
    <w:rsid w:val="00041E1D"/>
    <w:rsid w:val="000435E7"/>
    <w:rsid w:val="0004383E"/>
    <w:rsid w:val="00043FD5"/>
    <w:rsid w:val="00044541"/>
    <w:rsid w:val="0004584D"/>
    <w:rsid w:val="00045E20"/>
    <w:rsid w:val="00046E9E"/>
    <w:rsid w:val="00047EC1"/>
    <w:rsid w:val="0005076D"/>
    <w:rsid w:val="00050796"/>
    <w:rsid w:val="000513C6"/>
    <w:rsid w:val="00051737"/>
    <w:rsid w:val="00051FF0"/>
    <w:rsid w:val="000547EB"/>
    <w:rsid w:val="000559C6"/>
    <w:rsid w:val="00057E9C"/>
    <w:rsid w:val="00057FF9"/>
    <w:rsid w:val="00060338"/>
    <w:rsid w:val="000607CC"/>
    <w:rsid w:val="000609D8"/>
    <w:rsid w:val="000611C0"/>
    <w:rsid w:val="00061FA6"/>
    <w:rsid w:val="0006278F"/>
    <w:rsid w:val="00063BEB"/>
    <w:rsid w:val="00066F0F"/>
    <w:rsid w:val="00070C54"/>
    <w:rsid w:val="00071628"/>
    <w:rsid w:val="000718A4"/>
    <w:rsid w:val="00071A88"/>
    <w:rsid w:val="00071D7F"/>
    <w:rsid w:val="00072F4E"/>
    <w:rsid w:val="00074E3A"/>
    <w:rsid w:val="00074E8F"/>
    <w:rsid w:val="00075B65"/>
    <w:rsid w:val="000763B4"/>
    <w:rsid w:val="00082918"/>
    <w:rsid w:val="000841D3"/>
    <w:rsid w:val="000843E7"/>
    <w:rsid w:val="00084FC2"/>
    <w:rsid w:val="000855B4"/>
    <w:rsid w:val="00087954"/>
    <w:rsid w:val="000900B6"/>
    <w:rsid w:val="00090291"/>
    <w:rsid w:val="000905D9"/>
    <w:rsid w:val="000906DD"/>
    <w:rsid w:val="00090CD6"/>
    <w:rsid w:val="00091BE3"/>
    <w:rsid w:val="00092273"/>
    <w:rsid w:val="0009280D"/>
    <w:rsid w:val="0009292C"/>
    <w:rsid w:val="000931DB"/>
    <w:rsid w:val="00096682"/>
    <w:rsid w:val="00096AD1"/>
    <w:rsid w:val="00096FDA"/>
    <w:rsid w:val="00096FF8"/>
    <w:rsid w:val="00097117"/>
    <w:rsid w:val="000A0D8B"/>
    <w:rsid w:val="000A2E63"/>
    <w:rsid w:val="000A342C"/>
    <w:rsid w:val="000A35BB"/>
    <w:rsid w:val="000A3607"/>
    <w:rsid w:val="000A3D00"/>
    <w:rsid w:val="000A4101"/>
    <w:rsid w:val="000A450B"/>
    <w:rsid w:val="000A4A8E"/>
    <w:rsid w:val="000A4BDB"/>
    <w:rsid w:val="000A61FD"/>
    <w:rsid w:val="000A6462"/>
    <w:rsid w:val="000A6651"/>
    <w:rsid w:val="000A77A7"/>
    <w:rsid w:val="000A7919"/>
    <w:rsid w:val="000B1DAA"/>
    <w:rsid w:val="000B25DE"/>
    <w:rsid w:val="000B2C21"/>
    <w:rsid w:val="000B3AD8"/>
    <w:rsid w:val="000B56CC"/>
    <w:rsid w:val="000B58A5"/>
    <w:rsid w:val="000C1BB9"/>
    <w:rsid w:val="000C396B"/>
    <w:rsid w:val="000C3D6A"/>
    <w:rsid w:val="000C6005"/>
    <w:rsid w:val="000C60FB"/>
    <w:rsid w:val="000D0B27"/>
    <w:rsid w:val="000D0FD4"/>
    <w:rsid w:val="000D18A0"/>
    <w:rsid w:val="000D26B8"/>
    <w:rsid w:val="000D2905"/>
    <w:rsid w:val="000D3865"/>
    <w:rsid w:val="000D3F60"/>
    <w:rsid w:val="000D4F4D"/>
    <w:rsid w:val="000D51FF"/>
    <w:rsid w:val="000D59E0"/>
    <w:rsid w:val="000D635D"/>
    <w:rsid w:val="000D6B4C"/>
    <w:rsid w:val="000D72C3"/>
    <w:rsid w:val="000E015F"/>
    <w:rsid w:val="000E0269"/>
    <w:rsid w:val="000E077A"/>
    <w:rsid w:val="000E1DC3"/>
    <w:rsid w:val="000E3729"/>
    <w:rsid w:val="000E3C59"/>
    <w:rsid w:val="000E3E0D"/>
    <w:rsid w:val="000E3EC5"/>
    <w:rsid w:val="000E4D89"/>
    <w:rsid w:val="000F1DB9"/>
    <w:rsid w:val="000F20A2"/>
    <w:rsid w:val="000F243F"/>
    <w:rsid w:val="000F2B2F"/>
    <w:rsid w:val="000F3E4B"/>
    <w:rsid w:val="000F4805"/>
    <w:rsid w:val="000F4EF1"/>
    <w:rsid w:val="000F5378"/>
    <w:rsid w:val="000F56A2"/>
    <w:rsid w:val="000F5804"/>
    <w:rsid w:val="00100A30"/>
    <w:rsid w:val="00100F3E"/>
    <w:rsid w:val="001015EC"/>
    <w:rsid w:val="00101E9B"/>
    <w:rsid w:val="001032D6"/>
    <w:rsid w:val="0010385B"/>
    <w:rsid w:val="00105268"/>
    <w:rsid w:val="00105A44"/>
    <w:rsid w:val="00106671"/>
    <w:rsid w:val="00106A17"/>
    <w:rsid w:val="00106F7C"/>
    <w:rsid w:val="00107605"/>
    <w:rsid w:val="00112ADF"/>
    <w:rsid w:val="00112C92"/>
    <w:rsid w:val="00113B44"/>
    <w:rsid w:val="00116626"/>
    <w:rsid w:val="001169C4"/>
    <w:rsid w:val="00120204"/>
    <w:rsid w:val="0012147C"/>
    <w:rsid w:val="00121BE5"/>
    <w:rsid w:val="00121D60"/>
    <w:rsid w:val="00122922"/>
    <w:rsid w:val="00122ECD"/>
    <w:rsid w:val="00123B7C"/>
    <w:rsid w:val="0012406E"/>
    <w:rsid w:val="00124E2E"/>
    <w:rsid w:val="0012569A"/>
    <w:rsid w:val="00126619"/>
    <w:rsid w:val="0013007A"/>
    <w:rsid w:val="001301BE"/>
    <w:rsid w:val="00130E56"/>
    <w:rsid w:val="00133BA8"/>
    <w:rsid w:val="00135AF5"/>
    <w:rsid w:val="001371FB"/>
    <w:rsid w:val="001373AA"/>
    <w:rsid w:val="00137590"/>
    <w:rsid w:val="001423E0"/>
    <w:rsid w:val="001428A3"/>
    <w:rsid w:val="00142C98"/>
    <w:rsid w:val="001437D5"/>
    <w:rsid w:val="0014411A"/>
    <w:rsid w:val="00150EBE"/>
    <w:rsid w:val="001515FD"/>
    <w:rsid w:val="0015204A"/>
    <w:rsid w:val="001527BB"/>
    <w:rsid w:val="00153300"/>
    <w:rsid w:val="0015384B"/>
    <w:rsid w:val="001542A8"/>
    <w:rsid w:val="0015472F"/>
    <w:rsid w:val="00154A4D"/>
    <w:rsid w:val="0015501F"/>
    <w:rsid w:val="00155C55"/>
    <w:rsid w:val="0015636B"/>
    <w:rsid w:val="00156A58"/>
    <w:rsid w:val="00157464"/>
    <w:rsid w:val="0015756C"/>
    <w:rsid w:val="001622E1"/>
    <w:rsid w:val="00164AD9"/>
    <w:rsid w:val="00164B76"/>
    <w:rsid w:val="00164E0E"/>
    <w:rsid w:val="0016558C"/>
    <w:rsid w:val="00166206"/>
    <w:rsid w:val="0016630E"/>
    <w:rsid w:val="001664E5"/>
    <w:rsid w:val="00166CAB"/>
    <w:rsid w:val="00166E3E"/>
    <w:rsid w:val="00166E71"/>
    <w:rsid w:val="00167072"/>
    <w:rsid w:val="0016752B"/>
    <w:rsid w:val="00171E5B"/>
    <w:rsid w:val="00172E26"/>
    <w:rsid w:val="00172FB6"/>
    <w:rsid w:val="00173C14"/>
    <w:rsid w:val="00174D9F"/>
    <w:rsid w:val="0017588C"/>
    <w:rsid w:val="001808B8"/>
    <w:rsid w:val="00181B75"/>
    <w:rsid w:val="00182097"/>
    <w:rsid w:val="00182324"/>
    <w:rsid w:val="00182750"/>
    <w:rsid w:val="001828DA"/>
    <w:rsid w:val="001832CF"/>
    <w:rsid w:val="00183804"/>
    <w:rsid w:val="00183D85"/>
    <w:rsid w:val="00185A30"/>
    <w:rsid w:val="00187A2A"/>
    <w:rsid w:val="00187FF8"/>
    <w:rsid w:val="00191B78"/>
    <w:rsid w:val="00191E94"/>
    <w:rsid w:val="0019282E"/>
    <w:rsid w:val="00192FA0"/>
    <w:rsid w:val="0019389B"/>
    <w:rsid w:val="00194172"/>
    <w:rsid w:val="001949C6"/>
    <w:rsid w:val="00194AB4"/>
    <w:rsid w:val="0019503F"/>
    <w:rsid w:val="00196D20"/>
    <w:rsid w:val="001A0690"/>
    <w:rsid w:val="001A0918"/>
    <w:rsid w:val="001A1393"/>
    <w:rsid w:val="001A1E11"/>
    <w:rsid w:val="001A5381"/>
    <w:rsid w:val="001A717B"/>
    <w:rsid w:val="001A74E4"/>
    <w:rsid w:val="001A7BFE"/>
    <w:rsid w:val="001B08E5"/>
    <w:rsid w:val="001B0B0F"/>
    <w:rsid w:val="001B0BA3"/>
    <w:rsid w:val="001B0FB3"/>
    <w:rsid w:val="001B1139"/>
    <w:rsid w:val="001B42E5"/>
    <w:rsid w:val="001B5BA5"/>
    <w:rsid w:val="001B6D49"/>
    <w:rsid w:val="001B7D97"/>
    <w:rsid w:val="001C08D4"/>
    <w:rsid w:val="001C1158"/>
    <w:rsid w:val="001C1460"/>
    <w:rsid w:val="001C154A"/>
    <w:rsid w:val="001C374E"/>
    <w:rsid w:val="001C5487"/>
    <w:rsid w:val="001C5733"/>
    <w:rsid w:val="001C592C"/>
    <w:rsid w:val="001C6C91"/>
    <w:rsid w:val="001D0791"/>
    <w:rsid w:val="001D0FCF"/>
    <w:rsid w:val="001D39AA"/>
    <w:rsid w:val="001D3E32"/>
    <w:rsid w:val="001D4929"/>
    <w:rsid w:val="001D52CC"/>
    <w:rsid w:val="001D69F0"/>
    <w:rsid w:val="001E0043"/>
    <w:rsid w:val="001E0FEA"/>
    <w:rsid w:val="001E1A38"/>
    <w:rsid w:val="001E1B7F"/>
    <w:rsid w:val="001E1BE9"/>
    <w:rsid w:val="001E20A9"/>
    <w:rsid w:val="001E4462"/>
    <w:rsid w:val="001E493B"/>
    <w:rsid w:val="001E5CA9"/>
    <w:rsid w:val="001E677F"/>
    <w:rsid w:val="001E7F32"/>
    <w:rsid w:val="001F2B47"/>
    <w:rsid w:val="001F2B9D"/>
    <w:rsid w:val="001F2BBF"/>
    <w:rsid w:val="001F4BD2"/>
    <w:rsid w:val="001F4E59"/>
    <w:rsid w:val="001F79E5"/>
    <w:rsid w:val="00200CC7"/>
    <w:rsid w:val="002015CF"/>
    <w:rsid w:val="00201B2B"/>
    <w:rsid w:val="002021DB"/>
    <w:rsid w:val="002027A8"/>
    <w:rsid w:val="00202953"/>
    <w:rsid w:val="002030B4"/>
    <w:rsid w:val="00203B28"/>
    <w:rsid w:val="002048AD"/>
    <w:rsid w:val="0020520E"/>
    <w:rsid w:val="0020599D"/>
    <w:rsid w:val="002069D0"/>
    <w:rsid w:val="0021020B"/>
    <w:rsid w:val="0021095F"/>
    <w:rsid w:val="0021114B"/>
    <w:rsid w:val="00212575"/>
    <w:rsid w:val="002125F8"/>
    <w:rsid w:val="00215A5B"/>
    <w:rsid w:val="00216876"/>
    <w:rsid w:val="00216AE3"/>
    <w:rsid w:val="0021783A"/>
    <w:rsid w:val="00217E2D"/>
    <w:rsid w:val="00220491"/>
    <w:rsid w:val="0022135D"/>
    <w:rsid w:val="0022152D"/>
    <w:rsid w:val="00221FF5"/>
    <w:rsid w:val="00222F13"/>
    <w:rsid w:val="00223A0A"/>
    <w:rsid w:val="002244DE"/>
    <w:rsid w:val="00224F5C"/>
    <w:rsid w:val="00226421"/>
    <w:rsid w:val="002275C4"/>
    <w:rsid w:val="00230816"/>
    <w:rsid w:val="00231D77"/>
    <w:rsid w:val="002326DE"/>
    <w:rsid w:val="00233E27"/>
    <w:rsid w:val="00234299"/>
    <w:rsid w:val="002349AF"/>
    <w:rsid w:val="0023504B"/>
    <w:rsid w:val="0023525E"/>
    <w:rsid w:val="00237780"/>
    <w:rsid w:val="00237DE3"/>
    <w:rsid w:val="00240431"/>
    <w:rsid w:val="00241795"/>
    <w:rsid w:val="002434E6"/>
    <w:rsid w:val="00243690"/>
    <w:rsid w:val="002449A4"/>
    <w:rsid w:val="002449B7"/>
    <w:rsid w:val="0024662F"/>
    <w:rsid w:val="0025027D"/>
    <w:rsid w:val="00251467"/>
    <w:rsid w:val="002516BE"/>
    <w:rsid w:val="00252111"/>
    <w:rsid w:val="00252BB9"/>
    <w:rsid w:val="00252DEA"/>
    <w:rsid w:val="0025537B"/>
    <w:rsid w:val="002564AB"/>
    <w:rsid w:val="00257369"/>
    <w:rsid w:val="00260D95"/>
    <w:rsid w:val="00261FF6"/>
    <w:rsid w:val="00262122"/>
    <w:rsid w:val="00263D6B"/>
    <w:rsid w:val="00264DC6"/>
    <w:rsid w:val="00264E36"/>
    <w:rsid w:val="00266C46"/>
    <w:rsid w:val="00270020"/>
    <w:rsid w:val="002708F9"/>
    <w:rsid w:val="00273CD3"/>
    <w:rsid w:val="00273DC5"/>
    <w:rsid w:val="00274119"/>
    <w:rsid w:val="002744CD"/>
    <w:rsid w:val="00275F3F"/>
    <w:rsid w:val="0027782B"/>
    <w:rsid w:val="00277E87"/>
    <w:rsid w:val="002801ED"/>
    <w:rsid w:val="002819A7"/>
    <w:rsid w:val="00281F48"/>
    <w:rsid w:val="00282DDC"/>
    <w:rsid w:val="002833F6"/>
    <w:rsid w:val="00284E24"/>
    <w:rsid w:val="00284F16"/>
    <w:rsid w:val="002859D7"/>
    <w:rsid w:val="00285A7C"/>
    <w:rsid w:val="00285BB7"/>
    <w:rsid w:val="00285E39"/>
    <w:rsid w:val="00286C65"/>
    <w:rsid w:val="00286F9B"/>
    <w:rsid w:val="0028747F"/>
    <w:rsid w:val="002918DB"/>
    <w:rsid w:val="002922EA"/>
    <w:rsid w:val="002923CF"/>
    <w:rsid w:val="00292525"/>
    <w:rsid w:val="00292F54"/>
    <w:rsid w:val="0029348E"/>
    <w:rsid w:val="00294A96"/>
    <w:rsid w:val="002952A5"/>
    <w:rsid w:val="002952DC"/>
    <w:rsid w:val="002954D2"/>
    <w:rsid w:val="002961F3"/>
    <w:rsid w:val="00296206"/>
    <w:rsid w:val="00297AB0"/>
    <w:rsid w:val="002A0B52"/>
    <w:rsid w:val="002A0C73"/>
    <w:rsid w:val="002A11C6"/>
    <w:rsid w:val="002A2F39"/>
    <w:rsid w:val="002A30E4"/>
    <w:rsid w:val="002A34C4"/>
    <w:rsid w:val="002A3ACF"/>
    <w:rsid w:val="002A4887"/>
    <w:rsid w:val="002A497F"/>
    <w:rsid w:val="002A5AE6"/>
    <w:rsid w:val="002A6A71"/>
    <w:rsid w:val="002A6D5C"/>
    <w:rsid w:val="002A7B85"/>
    <w:rsid w:val="002B01CA"/>
    <w:rsid w:val="002B1370"/>
    <w:rsid w:val="002B1BAE"/>
    <w:rsid w:val="002B23F7"/>
    <w:rsid w:val="002B2A7A"/>
    <w:rsid w:val="002B39F1"/>
    <w:rsid w:val="002B4576"/>
    <w:rsid w:val="002B5BDE"/>
    <w:rsid w:val="002C1768"/>
    <w:rsid w:val="002C1782"/>
    <w:rsid w:val="002C255C"/>
    <w:rsid w:val="002C287B"/>
    <w:rsid w:val="002C3F26"/>
    <w:rsid w:val="002C4C96"/>
    <w:rsid w:val="002C7174"/>
    <w:rsid w:val="002C745F"/>
    <w:rsid w:val="002D0403"/>
    <w:rsid w:val="002D0C1F"/>
    <w:rsid w:val="002D1969"/>
    <w:rsid w:val="002D1AD7"/>
    <w:rsid w:val="002D1C9A"/>
    <w:rsid w:val="002D2410"/>
    <w:rsid w:val="002D3ED7"/>
    <w:rsid w:val="002D452F"/>
    <w:rsid w:val="002D6671"/>
    <w:rsid w:val="002D6F67"/>
    <w:rsid w:val="002D75AC"/>
    <w:rsid w:val="002D78C1"/>
    <w:rsid w:val="002E0568"/>
    <w:rsid w:val="002E25C9"/>
    <w:rsid w:val="002E4F06"/>
    <w:rsid w:val="002E5893"/>
    <w:rsid w:val="002E5D03"/>
    <w:rsid w:val="002E6E55"/>
    <w:rsid w:val="002E70C5"/>
    <w:rsid w:val="002F0F3D"/>
    <w:rsid w:val="002F3115"/>
    <w:rsid w:val="002F43F3"/>
    <w:rsid w:val="002F4D6F"/>
    <w:rsid w:val="002F6002"/>
    <w:rsid w:val="002F64C8"/>
    <w:rsid w:val="002F6B62"/>
    <w:rsid w:val="003017CC"/>
    <w:rsid w:val="003024F1"/>
    <w:rsid w:val="00304C28"/>
    <w:rsid w:val="00305EB8"/>
    <w:rsid w:val="0030660F"/>
    <w:rsid w:val="003067B9"/>
    <w:rsid w:val="003079AD"/>
    <w:rsid w:val="00307C5D"/>
    <w:rsid w:val="00310798"/>
    <w:rsid w:val="00311235"/>
    <w:rsid w:val="0031164F"/>
    <w:rsid w:val="003117FC"/>
    <w:rsid w:val="003126DC"/>
    <w:rsid w:val="00312CD4"/>
    <w:rsid w:val="00314A58"/>
    <w:rsid w:val="00314A94"/>
    <w:rsid w:val="0031619A"/>
    <w:rsid w:val="00317E70"/>
    <w:rsid w:val="0032055B"/>
    <w:rsid w:val="00320AC0"/>
    <w:rsid w:val="00321538"/>
    <w:rsid w:val="0032323A"/>
    <w:rsid w:val="0032368C"/>
    <w:rsid w:val="00323A31"/>
    <w:rsid w:val="00325219"/>
    <w:rsid w:val="003254E8"/>
    <w:rsid w:val="00325D1C"/>
    <w:rsid w:val="00326A62"/>
    <w:rsid w:val="00326BFF"/>
    <w:rsid w:val="00327437"/>
    <w:rsid w:val="003302F0"/>
    <w:rsid w:val="00330E89"/>
    <w:rsid w:val="00332652"/>
    <w:rsid w:val="00332E05"/>
    <w:rsid w:val="00333770"/>
    <w:rsid w:val="003339EE"/>
    <w:rsid w:val="003343B4"/>
    <w:rsid w:val="003343D7"/>
    <w:rsid w:val="00334D74"/>
    <w:rsid w:val="0033541D"/>
    <w:rsid w:val="00337D0F"/>
    <w:rsid w:val="00337E8F"/>
    <w:rsid w:val="003405EC"/>
    <w:rsid w:val="00340A4E"/>
    <w:rsid w:val="00341080"/>
    <w:rsid w:val="003421EC"/>
    <w:rsid w:val="00342812"/>
    <w:rsid w:val="00343B15"/>
    <w:rsid w:val="00344BD6"/>
    <w:rsid w:val="003452C7"/>
    <w:rsid w:val="0034544F"/>
    <w:rsid w:val="00345F1F"/>
    <w:rsid w:val="00346D15"/>
    <w:rsid w:val="003472B1"/>
    <w:rsid w:val="00347DDB"/>
    <w:rsid w:val="00347DE1"/>
    <w:rsid w:val="003532EE"/>
    <w:rsid w:val="00356312"/>
    <w:rsid w:val="00357EA1"/>
    <w:rsid w:val="00362247"/>
    <w:rsid w:val="003631B5"/>
    <w:rsid w:val="003631DB"/>
    <w:rsid w:val="003631DC"/>
    <w:rsid w:val="00364418"/>
    <w:rsid w:val="00364683"/>
    <w:rsid w:val="00365DB0"/>
    <w:rsid w:val="0036600C"/>
    <w:rsid w:val="00366D5E"/>
    <w:rsid w:val="00366D8C"/>
    <w:rsid w:val="00367474"/>
    <w:rsid w:val="003700BB"/>
    <w:rsid w:val="003706D6"/>
    <w:rsid w:val="00371EBB"/>
    <w:rsid w:val="0037250C"/>
    <w:rsid w:val="00372578"/>
    <w:rsid w:val="00372DB0"/>
    <w:rsid w:val="0038021F"/>
    <w:rsid w:val="00380CEC"/>
    <w:rsid w:val="00381833"/>
    <w:rsid w:val="003818E1"/>
    <w:rsid w:val="003819BA"/>
    <w:rsid w:val="00383613"/>
    <w:rsid w:val="00383B02"/>
    <w:rsid w:val="003850E3"/>
    <w:rsid w:val="0038687F"/>
    <w:rsid w:val="00386C6C"/>
    <w:rsid w:val="00387697"/>
    <w:rsid w:val="00387816"/>
    <w:rsid w:val="00387A7D"/>
    <w:rsid w:val="00390DB8"/>
    <w:rsid w:val="003918EA"/>
    <w:rsid w:val="00392B78"/>
    <w:rsid w:val="00393100"/>
    <w:rsid w:val="003938A2"/>
    <w:rsid w:val="00393C54"/>
    <w:rsid w:val="00393DE0"/>
    <w:rsid w:val="00393EB3"/>
    <w:rsid w:val="00394BFC"/>
    <w:rsid w:val="003952D4"/>
    <w:rsid w:val="003A0016"/>
    <w:rsid w:val="003A203A"/>
    <w:rsid w:val="003A36DD"/>
    <w:rsid w:val="003A3864"/>
    <w:rsid w:val="003A3E8A"/>
    <w:rsid w:val="003A4376"/>
    <w:rsid w:val="003A4C56"/>
    <w:rsid w:val="003A4C7E"/>
    <w:rsid w:val="003A5419"/>
    <w:rsid w:val="003A682C"/>
    <w:rsid w:val="003B0EEF"/>
    <w:rsid w:val="003B1C19"/>
    <w:rsid w:val="003B250E"/>
    <w:rsid w:val="003B2C49"/>
    <w:rsid w:val="003B342E"/>
    <w:rsid w:val="003B45FD"/>
    <w:rsid w:val="003B4AEF"/>
    <w:rsid w:val="003B4C4B"/>
    <w:rsid w:val="003B772F"/>
    <w:rsid w:val="003C0212"/>
    <w:rsid w:val="003C05C1"/>
    <w:rsid w:val="003C09E6"/>
    <w:rsid w:val="003C14DA"/>
    <w:rsid w:val="003C39D9"/>
    <w:rsid w:val="003C3F14"/>
    <w:rsid w:val="003C42EA"/>
    <w:rsid w:val="003C4B3E"/>
    <w:rsid w:val="003C54A9"/>
    <w:rsid w:val="003C5A82"/>
    <w:rsid w:val="003C5B67"/>
    <w:rsid w:val="003C6125"/>
    <w:rsid w:val="003C7A79"/>
    <w:rsid w:val="003C7B98"/>
    <w:rsid w:val="003D0927"/>
    <w:rsid w:val="003D0A03"/>
    <w:rsid w:val="003D26CC"/>
    <w:rsid w:val="003D2819"/>
    <w:rsid w:val="003D4193"/>
    <w:rsid w:val="003D4322"/>
    <w:rsid w:val="003D50B1"/>
    <w:rsid w:val="003D51F0"/>
    <w:rsid w:val="003D6420"/>
    <w:rsid w:val="003D7FD2"/>
    <w:rsid w:val="003E69C5"/>
    <w:rsid w:val="003E73C0"/>
    <w:rsid w:val="003F01E5"/>
    <w:rsid w:val="003F3E12"/>
    <w:rsid w:val="003F4A02"/>
    <w:rsid w:val="003F4AAA"/>
    <w:rsid w:val="003F4C4B"/>
    <w:rsid w:val="003F4FAC"/>
    <w:rsid w:val="003F5F64"/>
    <w:rsid w:val="003F6DFA"/>
    <w:rsid w:val="003F79EA"/>
    <w:rsid w:val="003F7E49"/>
    <w:rsid w:val="00400815"/>
    <w:rsid w:val="00400CEB"/>
    <w:rsid w:val="004016F1"/>
    <w:rsid w:val="00401AED"/>
    <w:rsid w:val="004027B6"/>
    <w:rsid w:val="00403F7E"/>
    <w:rsid w:val="00405DE9"/>
    <w:rsid w:val="00406244"/>
    <w:rsid w:val="00407045"/>
    <w:rsid w:val="00411125"/>
    <w:rsid w:val="0041125B"/>
    <w:rsid w:val="0041160A"/>
    <w:rsid w:val="00412494"/>
    <w:rsid w:val="004125A4"/>
    <w:rsid w:val="00413C28"/>
    <w:rsid w:val="00413D9F"/>
    <w:rsid w:val="00414C9D"/>
    <w:rsid w:val="00416F25"/>
    <w:rsid w:val="00417300"/>
    <w:rsid w:val="004178F0"/>
    <w:rsid w:val="00421CC8"/>
    <w:rsid w:val="0042241C"/>
    <w:rsid w:val="00422936"/>
    <w:rsid w:val="00422A8E"/>
    <w:rsid w:val="00423527"/>
    <w:rsid w:val="00426702"/>
    <w:rsid w:val="00426983"/>
    <w:rsid w:val="00426E88"/>
    <w:rsid w:val="004277A4"/>
    <w:rsid w:val="004308D8"/>
    <w:rsid w:val="00431B8A"/>
    <w:rsid w:val="00432225"/>
    <w:rsid w:val="00432FB2"/>
    <w:rsid w:val="00433914"/>
    <w:rsid w:val="00433F28"/>
    <w:rsid w:val="00434386"/>
    <w:rsid w:val="00437B1C"/>
    <w:rsid w:val="00437D96"/>
    <w:rsid w:val="0044019A"/>
    <w:rsid w:val="004411A2"/>
    <w:rsid w:val="00442E29"/>
    <w:rsid w:val="004438E0"/>
    <w:rsid w:val="004439C2"/>
    <w:rsid w:val="00444714"/>
    <w:rsid w:val="00445624"/>
    <w:rsid w:val="004463A3"/>
    <w:rsid w:val="004464C8"/>
    <w:rsid w:val="00447E81"/>
    <w:rsid w:val="004500D1"/>
    <w:rsid w:val="00450D87"/>
    <w:rsid w:val="00451549"/>
    <w:rsid w:val="00452961"/>
    <w:rsid w:val="00455588"/>
    <w:rsid w:val="0045605B"/>
    <w:rsid w:val="004566B3"/>
    <w:rsid w:val="004609F9"/>
    <w:rsid w:val="00462706"/>
    <w:rsid w:val="00462CB8"/>
    <w:rsid w:val="004637AB"/>
    <w:rsid w:val="00464199"/>
    <w:rsid w:val="0046453E"/>
    <w:rsid w:val="00466385"/>
    <w:rsid w:val="004673B2"/>
    <w:rsid w:val="004703ED"/>
    <w:rsid w:val="00470775"/>
    <w:rsid w:val="00470AC4"/>
    <w:rsid w:val="00470DD1"/>
    <w:rsid w:val="00472164"/>
    <w:rsid w:val="00472296"/>
    <w:rsid w:val="00472778"/>
    <w:rsid w:val="00472B9D"/>
    <w:rsid w:val="00472CE5"/>
    <w:rsid w:val="00473296"/>
    <w:rsid w:val="00473B45"/>
    <w:rsid w:val="004740D4"/>
    <w:rsid w:val="004754B8"/>
    <w:rsid w:val="00477EC3"/>
    <w:rsid w:val="00480E3F"/>
    <w:rsid w:val="0048123B"/>
    <w:rsid w:val="00483534"/>
    <w:rsid w:val="004841CB"/>
    <w:rsid w:val="004841F5"/>
    <w:rsid w:val="004850E1"/>
    <w:rsid w:val="00485196"/>
    <w:rsid w:val="00485C8B"/>
    <w:rsid w:val="004867E3"/>
    <w:rsid w:val="00487DD3"/>
    <w:rsid w:val="00491B97"/>
    <w:rsid w:val="00492044"/>
    <w:rsid w:val="0049239E"/>
    <w:rsid w:val="00492854"/>
    <w:rsid w:val="00492AAA"/>
    <w:rsid w:val="00493841"/>
    <w:rsid w:val="00494AE3"/>
    <w:rsid w:val="00495B5B"/>
    <w:rsid w:val="00495D49"/>
    <w:rsid w:val="0049663A"/>
    <w:rsid w:val="004966BE"/>
    <w:rsid w:val="00496914"/>
    <w:rsid w:val="00496EB9"/>
    <w:rsid w:val="004972E3"/>
    <w:rsid w:val="00497BDE"/>
    <w:rsid w:val="004A0FF6"/>
    <w:rsid w:val="004A1078"/>
    <w:rsid w:val="004A141B"/>
    <w:rsid w:val="004A397C"/>
    <w:rsid w:val="004A3B0C"/>
    <w:rsid w:val="004A4463"/>
    <w:rsid w:val="004A5408"/>
    <w:rsid w:val="004A6022"/>
    <w:rsid w:val="004B028E"/>
    <w:rsid w:val="004B0874"/>
    <w:rsid w:val="004B08E3"/>
    <w:rsid w:val="004B1B54"/>
    <w:rsid w:val="004B3C25"/>
    <w:rsid w:val="004B3E89"/>
    <w:rsid w:val="004B56F5"/>
    <w:rsid w:val="004B6654"/>
    <w:rsid w:val="004B6838"/>
    <w:rsid w:val="004B7A93"/>
    <w:rsid w:val="004B7AAC"/>
    <w:rsid w:val="004B7BA0"/>
    <w:rsid w:val="004B7EEC"/>
    <w:rsid w:val="004B7F54"/>
    <w:rsid w:val="004C0BAF"/>
    <w:rsid w:val="004C1000"/>
    <w:rsid w:val="004C15FF"/>
    <w:rsid w:val="004C1CB8"/>
    <w:rsid w:val="004C3462"/>
    <w:rsid w:val="004C453A"/>
    <w:rsid w:val="004C69C7"/>
    <w:rsid w:val="004C708E"/>
    <w:rsid w:val="004C7266"/>
    <w:rsid w:val="004C755E"/>
    <w:rsid w:val="004D08EA"/>
    <w:rsid w:val="004D1788"/>
    <w:rsid w:val="004D247C"/>
    <w:rsid w:val="004D2E58"/>
    <w:rsid w:val="004D2FFE"/>
    <w:rsid w:val="004D3623"/>
    <w:rsid w:val="004D393B"/>
    <w:rsid w:val="004D448F"/>
    <w:rsid w:val="004D46D7"/>
    <w:rsid w:val="004D4A9A"/>
    <w:rsid w:val="004D69D1"/>
    <w:rsid w:val="004D7140"/>
    <w:rsid w:val="004D7167"/>
    <w:rsid w:val="004D73FF"/>
    <w:rsid w:val="004D79E6"/>
    <w:rsid w:val="004E20FB"/>
    <w:rsid w:val="004E2323"/>
    <w:rsid w:val="004E2B96"/>
    <w:rsid w:val="004E30F0"/>
    <w:rsid w:val="004E3DB8"/>
    <w:rsid w:val="004E4AB4"/>
    <w:rsid w:val="004E54D6"/>
    <w:rsid w:val="004E6455"/>
    <w:rsid w:val="004E6F92"/>
    <w:rsid w:val="004E782D"/>
    <w:rsid w:val="004F07B3"/>
    <w:rsid w:val="004F12D8"/>
    <w:rsid w:val="004F17E2"/>
    <w:rsid w:val="004F2403"/>
    <w:rsid w:val="004F2DBC"/>
    <w:rsid w:val="0050065E"/>
    <w:rsid w:val="005046CE"/>
    <w:rsid w:val="00506580"/>
    <w:rsid w:val="00510D69"/>
    <w:rsid w:val="00511099"/>
    <w:rsid w:val="00511C48"/>
    <w:rsid w:val="0051278A"/>
    <w:rsid w:val="00512AF9"/>
    <w:rsid w:val="0051438F"/>
    <w:rsid w:val="005157F0"/>
    <w:rsid w:val="00520809"/>
    <w:rsid w:val="00520B07"/>
    <w:rsid w:val="00520BDF"/>
    <w:rsid w:val="005210AE"/>
    <w:rsid w:val="0052259E"/>
    <w:rsid w:val="005238A2"/>
    <w:rsid w:val="005255B9"/>
    <w:rsid w:val="00527B1F"/>
    <w:rsid w:val="00527F5C"/>
    <w:rsid w:val="00527FD7"/>
    <w:rsid w:val="00530AFC"/>
    <w:rsid w:val="00530DC5"/>
    <w:rsid w:val="005330B4"/>
    <w:rsid w:val="00533BF9"/>
    <w:rsid w:val="005340A4"/>
    <w:rsid w:val="005343F5"/>
    <w:rsid w:val="00534BD3"/>
    <w:rsid w:val="0053652E"/>
    <w:rsid w:val="005366FD"/>
    <w:rsid w:val="00536AAC"/>
    <w:rsid w:val="00536F46"/>
    <w:rsid w:val="005370E2"/>
    <w:rsid w:val="0053775D"/>
    <w:rsid w:val="005401D1"/>
    <w:rsid w:val="00540279"/>
    <w:rsid w:val="0054316A"/>
    <w:rsid w:val="00546D9F"/>
    <w:rsid w:val="0054790A"/>
    <w:rsid w:val="005514DE"/>
    <w:rsid w:val="00551EA4"/>
    <w:rsid w:val="005524EF"/>
    <w:rsid w:val="005528B3"/>
    <w:rsid w:val="00553BCA"/>
    <w:rsid w:val="005542FF"/>
    <w:rsid w:val="00557E8A"/>
    <w:rsid w:val="00562384"/>
    <w:rsid w:val="005632AA"/>
    <w:rsid w:val="0056452D"/>
    <w:rsid w:val="00564B8C"/>
    <w:rsid w:val="00564CA5"/>
    <w:rsid w:val="0056578C"/>
    <w:rsid w:val="00566DEC"/>
    <w:rsid w:val="0056784E"/>
    <w:rsid w:val="00570760"/>
    <w:rsid w:val="00571124"/>
    <w:rsid w:val="005713EF"/>
    <w:rsid w:val="0057169E"/>
    <w:rsid w:val="00571785"/>
    <w:rsid w:val="0057373B"/>
    <w:rsid w:val="005747EB"/>
    <w:rsid w:val="0057496C"/>
    <w:rsid w:val="00574E33"/>
    <w:rsid w:val="00575940"/>
    <w:rsid w:val="0057650F"/>
    <w:rsid w:val="00576AA8"/>
    <w:rsid w:val="00577980"/>
    <w:rsid w:val="0058037F"/>
    <w:rsid w:val="00580A50"/>
    <w:rsid w:val="005814D5"/>
    <w:rsid w:val="00581695"/>
    <w:rsid w:val="005816A9"/>
    <w:rsid w:val="0058201F"/>
    <w:rsid w:val="00584C3D"/>
    <w:rsid w:val="00585C61"/>
    <w:rsid w:val="00586A22"/>
    <w:rsid w:val="00586D2F"/>
    <w:rsid w:val="0059078D"/>
    <w:rsid w:val="0059142B"/>
    <w:rsid w:val="00592600"/>
    <w:rsid w:val="00592672"/>
    <w:rsid w:val="005928D2"/>
    <w:rsid w:val="00592F69"/>
    <w:rsid w:val="00592FEA"/>
    <w:rsid w:val="00593136"/>
    <w:rsid w:val="0059437E"/>
    <w:rsid w:val="00594620"/>
    <w:rsid w:val="00595347"/>
    <w:rsid w:val="0059562E"/>
    <w:rsid w:val="00595998"/>
    <w:rsid w:val="00596EF6"/>
    <w:rsid w:val="00597317"/>
    <w:rsid w:val="00597D96"/>
    <w:rsid w:val="005A1061"/>
    <w:rsid w:val="005A1774"/>
    <w:rsid w:val="005A27E2"/>
    <w:rsid w:val="005A4665"/>
    <w:rsid w:val="005A57D3"/>
    <w:rsid w:val="005A6A70"/>
    <w:rsid w:val="005B097A"/>
    <w:rsid w:val="005B09F2"/>
    <w:rsid w:val="005B2B7E"/>
    <w:rsid w:val="005B6538"/>
    <w:rsid w:val="005B6946"/>
    <w:rsid w:val="005B78F3"/>
    <w:rsid w:val="005C03BC"/>
    <w:rsid w:val="005C0D91"/>
    <w:rsid w:val="005C0FBE"/>
    <w:rsid w:val="005C1003"/>
    <w:rsid w:val="005C1A39"/>
    <w:rsid w:val="005C2067"/>
    <w:rsid w:val="005C2507"/>
    <w:rsid w:val="005C3A9C"/>
    <w:rsid w:val="005C5422"/>
    <w:rsid w:val="005C64B7"/>
    <w:rsid w:val="005C68BE"/>
    <w:rsid w:val="005D2047"/>
    <w:rsid w:val="005D3117"/>
    <w:rsid w:val="005D320A"/>
    <w:rsid w:val="005D3F6E"/>
    <w:rsid w:val="005D51D3"/>
    <w:rsid w:val="005D5646"/>
    <w:rsid w:val="005E01DB"/>
    <w:rsid w:val="005E0FCA"/>
    <w:rsid w:val="005E124E"/>
    <w:rsid w:val="005E2739"/>
    <w:rsid w:val="005E332F"/>
    <w:rsid w:val="005E3C60"/>
    <w:rsid w:val="005E4665"/>
    <w:rsid w:val="005E5201"/>
    <w:rsid w:val="005E694C"/>
    <w:rsid w:val="005F06F4"/>
    <w:rsid w:val="005F0761"/>
    <w:rsid w:val="005F129C"/>
    <w:rsid w:val="005F1A4A"/>
    <w:rsid w:val="005F1ECE"/>
    <w:rsid w:val="005F26E7"/>
    <w:rsid w:val="005F383F"/>
    <w:rsid w:val="005F3A76"/>
    <w:rsid w:val="005F4C0E"/>
    <w:rsid w:val="005F68F1"/>
    <w:rsid w:val="005F77A5"/>
    <w:rsid w:val="00601CE7"/>
    <w:rsid w:val="00602942"/>
    <w:rsid w:val="0060350C"/>
    <w:rsid w:val="0060404F"/>
    <w:rsid w:val="00604397"/>
    <w:rsid w:val="00604D13"/>
    <w:rsid w:val="006051A4"/>
    <w:rsid w:val="0060549E"/>
    <w:rsid w:val="00607200"/>
    <w:rsid w:val="0061118B"/>
    <w:rsid w:val="00611A15"/>
    <w:rsid w:val="006130DE"/>
    <w:rsid w:val="00614E3B"/>
    <w:rsid w:val="006161A1"/>
    <w:rsid w:val="00616FE8"/>
    <w:rsid w:val="006201D5"/>
    <w:rsid w:val="006206AC"/>
    <w:rsid w:val="00620A09"/>
    <w:rsid w:val="006227A7"/>
    <w:rsid w:val="00622D5D"/>
    <w:rsid w:val="00622E8C"/>
    <w:rsid w:val="0062527E"/>
    <w:rsid w:val="00625629"/>
    <w:rsid w:val="00626D1A"/>
    <w:rsid w:val="006279C8"/>
    <w:rsid w:val="006304F2"/>
    <w:rsid w:val="00630992"/>
    <w:rsid w:val="00630D3E"/>
    <w:rsid w:val="00631A59"/>
    <w:rsid w:val="00631B6A"/>
    <w:rsid w:val="00634333"/>
    <w:rsid w:val="00635DC2"/>
    <w:rsid w:val="00637181"/>
    <w:rsid w:val="006373CB"/>
    <w:rsid w:val="00637A88"/>
    <w:rsid w:val="00645288"/>
    <w:rsid w:val="0064592C"/>
    <w:rsid w:val="00647C61"/>
    <w:rsid w:val="006507A7"/>
    <w:rsid w:val="006516A6"/>
    <w:rsid w:val="0065318A"/>
    <w:rsid w:val="00654B7A"/>
    <w:rsid w:val="00654FEE"/>
    <w:rsid w:val="006558E9"/>
    <w:rsid w:val="00656637"/>
    <w:rsid w:val="00657037"/>
    <w:rsid w:val="006572E1"/>
    <w:rsid w:val="00657CE9"/>
    <w:rsid w:val="00660210"/>
    <w:rsid w:val="006609BA"/>
    <w:rsid w:val="00660BB6"/>
    <w:rsid w:val="006617D3"/>
    <w:rsid w:val="006638BF"/>
    <w:rsid w:val="006646F5"/>
    <w:rsid w:val="006657F7"/>
    <w:rsid w:val="006659C0"/>
    <w:rsid w:val="0066600E"/>
    <w:rsid w:val="006663FD"/>
    <w:rsid w:val="0066659A"/>
    <w:rsid w:val="00670383"/>
    <w:rsid w:val="006708BF"/>
    <w:rsid w:val="00670C9E"/>
    <w:rsid w:val="00673A05"/>
    <w:rsid w:val="00674128"/>
    <w:rsid w:val="00674D07"/>
    <w:rsid w:val="006753A3"/>
    <w:rsid w:val="00675828"/>
    <w:rsid w:val="006770FD"/>
    <w:rsid w:val="006774CA"/>
    <w:rsid w:val="0067752C"/>
    <w:rsid w:val="00680D4D"/>
    <w:rsid w:val="00680FA9"/>
    <w:rsid w:val="0068162F"/>
    <w:rsid w:val="0068188C"/>
    <w:rsid w:val="006819D0"/>
    <w:rsid w:val="006821C7"/>
    <w:rsid w:val="0068270C"/>
    <w:rsid w:val="006827DB"/>
    <w:rsid w:val="00682A32"/>
    <w:rsid w:val="00684050"/>
    <w:rsid w:val="006850A9"/>
    <w:rsid w:val="006861D0"/>
    <w:rsid w:val="00687490"/>
    <w:rsid w:val="00687AEB"/>
    <w:rsid w:val="006902EA"/>
    <w:rsid w:val="00690C1F"/>
    <w:rsid w:val="00691A8A"/>
    <w:rsid w:val="00691E8C"/>
    <w:rsid w:val="00693370"/>
    <w:rsid w:val="00693EF2"/>
    <w:rsid w:val="00693F4A"/>
    <w:rsid w:val="00695497"/>
    <w:rsid w:val="00695672"/>
    <w:rsid w:val="00696623"/>
    <w:rsid w:val="006A0072"/>
    <w:rsid w:val="006A10CF"/>
    <w:rsid w:val="006A1813"/>
    <w:rsid w:val="006A421C"/>
    <w:rsid w:val="006A44E3"/>
    <w:rsid w:val="006A6C2B"/>
    <w:rsid w:val="006A7516"/>
    <w:rsid w:val="006A7E7C"/>
    <w:rsid w:val="006B01C2"/>
    <w:rsid w:val="006B0AA4"/>
    <w:rsid w:val="006B17E6"/>
    <w:rsid w:val="006B1B17"/>
    <w:rsid w:val="006B1D2A"/>
    <w:rsid w:val="006B294A"/>
    <w:rsid w:val="006B2C0D"/>
    <w:rsid w:val="006B3F2E"/>
    <w:rsid w:val="006B4CD2"/>
    <w:rsid w:val="006B4D11"/>
    <w:rsid w:val="006B58BD"/>
    <w:rsid w:val="006B607C"/>
    <w:rsid w:val="006B65E8"/>
    <w:rsid w:val="006C0621"/>
    <w:rsid w:val="006C261E"/>
    <w:rsid w:val="006C4D8C"/>
    <w:rsid w:val="006C69C1"/>
    <w:rsid w:val="006C7331"/>
    <w:rsid w:val="006C7AFC"/>
    <w:rsid w:val="006D28A9"/>
    <w:rsid w:val="006D4AF7"/>
    <w:rsid w:val="006D4B01"/>
    <w:rsid w:val="006D5563"/>
    <w:rsid w:val="006D6727"/>
    <w:rsid w:val="006D6ADB"/>
    <w:rsid w:val="006E0027"/>
    <w:rsid w:val="006E0C9C"/>
    <w:rsid w:val="006E18BF"/>
    <w:rsid w:val="006E5121"/>
    <w:rsid w:val="006E577A"/>
    <w:rsid w:val="006E587E"/>
    <w:rsid w:val="006E7801"/>
    <w:rsid w:val="006E7CF9"/>
    <w:rsid w:val="006F02CF"/>
    <w:rsid w:val="006F0D41"/>
    <w:rsid w:val="006F19FE"/>
    <w:rsid w:val="006F25AE"/>
    <w:rsid w:val="006F2ED0"/>
    <w:rsid w:val="006F37E0"/>
    <w:rsid w:val="006F3898"/>
    <w:rsid w:val="006F5642"/>
    <w:rsid w:val="0070093D"/>
    <w:rsid w:val="007009DE"/>
    <w:rsid w:val="00702D1A"/>
    <w:rsid w:val="00703948"/>
    <w:rsid w:val="00705AFB"/>
    <w:rsid w:val="00705DC1"/>
    <w:rsid w:val="007060CD"/>
    <w:rsid w:val="007067ED"/>
    <w:rsid w:val="007073BB"/>
    <w:rsid w:val="0071035C"/>
    <w:rsid w:val="00710661"/>
    <w:rsid w:val="00710692"/>
    <w:rsid w:val="00710EEF"/>
    <w:rsid w:val="00710F12"/>
    <w:rsid w:val="0071481E"/>
    <w:rsid w:val="0071482E"/>
    <w:rsid w:val="007161E8"/>
    <w:rsid w:val="00716A6D"/>
    <w:rsid w:val="00723A12"/>
    <w:rsid w:val="007246E0"/>
    <w:rsid w:val="007249B2"/>
    <w:rsid w:val="00724DCA"/>
    <w:rsid w:val="0072533B"/>
    <w:rsid w:val="00725F55"/>
    <w:rsid w:val="00727202"/>
    <w:rsid w:val="0073042F"/>
    <w:rsid w:val="00730884"/>
    <w:rsid w:val="0073141F"/>
    <w:rsid w:val="0073352F"/>
    <w:rsid w:val="007339C0"/>
    <w:rsid w:val="00733DA8"/>
    <w:rsid w:val="007342F8"/>
    <w:rsid w:val="0073525F"/>
    <w:rsid w:val="00736BE0"/>
    <w:rsid w:val="007371C3"/>
    <w:rsid w:val="00740D53"/>
    <w:rsid w:val="0074104C"/>
    <w:rsid w:val="00744758"/>
    <w:rsid w:val="00744A27"/>
    <w:rsid w:val="00744A61"/>
    <w:rsid w:val="00746B8B"/>
    <w:rsid w:val="00747960"/>
    <w:rsid w:val="007511AF"/>
    <w:rsid w:val="00751ABD"/>
    <w:rsid w:val="007522E8"/>
    <w:rsid w:val="007563F3"/>
    <w:rsid w:val="00757296"/>
    <w:rsid w:val="007601C2"/>
    <w:rsid w:val="00761154"/>
    <w:rsid w:val="00761468"/>
    <w:rsid w:val="00762D25"/>
    <w:rsid w:val="007646C4"/>
    <w:rsid w:val="00770083"/>
    <w:rsid w:val="0077080D"/>
    <w:rsid w:val="00770EDF"/>
    <w:rsid w:val="00771F32"/>
    <w:rsid w:val="00772013"/>
    <w:rsid w:val="0077244D"/>
    <w:rsid w:val="00775657"/>
    <w:rsid w:val="007760C9"/>
    <w:rsid w:val="00776B83"/>
    <w:rsid w:val="00777EF1"/>
    <w:rsid w:val="007800BE"/>
    <w:rsid w:val="007807A7"/>
    <w:rsid w:val="00782874"/>
    <w:rsid w:val="00782B8B"/>
    <w:rsid w:val="007830A9"/>
    <w:rsid w:val="007834A8"/>
    <w:rsid w:val="007835CE"/>
    <w:rsid w:val="00784585"/>
    <w:rsid w:val="00786B65"/>
    <w:rsid w:val="00787F9D"/>
    <w:rsid w:val="00790114"/>
    <w:rsid w:val="007907E3"/>
    <w:rsid w:val="00791298"/>
    <w:rsid w:val="007915FB"/>
    <w:rsid w:val="00792228"/>
    <w:rsid w:val="00792290"/>
    <w:rsid w:val="00792F94"/>
    <w:rsid w:val="007935EA"/>
    <w:rsid w:val="0079398D"/>
    <w:rsid w:val="00793E2C"/>
    <w:rsid w:val="00795519"/>
    <w:rsid w:val="0079578C"/>
    <w:rsid w:val="00797316"/>
    <w:rsid w:val="007A14AB"/>
    <w:rsid w:val="007A160A"/>
    <w:rsid w:val="007A16A2"/>
    <w:rsid w:val="007A1802"/>
    <w:rsid w:val="007A24D6"/>
    <w:rsid w:val="007A43E2"/>
    <w:rsid w:val="007A5100"/>
    <w:rsid w:val="007A5613"/>
    <w:rsid w:val="007A64F7"/>
    <w:rsid w:val="007A6ADC"/>
    <w:rsid w:val="007A6C9E"/>
    <w:rsid w:val="007A7B2D"/>
    <w:rsid w:val="007B0703"/>
    <w:rsid w:val="007B0947"/>
    <w:rsid w:val="007B09CC"/>
    <w:rsid w:val="007B243A"/>
    <w:rsid w:val="007B3223"/>
    <w:rsid w:val="007B49A4"/>
    <w:rsid w:val="007B4B77"/>
    <w:rsid w:val="007B5BFF"/>
    <w:rsid w:val="007B7138"/>
    <w:rsid w:val="007C01AE"/>
    <w:rsid w:val="007C0AC0"/>
    <w:rsid w:val="007C224B"/>
    <w:rsid w:val="007C28A9"/>
    <w:rsid w:val="007C2CD0"/>
    <w:rsid w:val="007C3099"/>
    <w:rsid w:val="007C322D"/>
    <w:rsid w:val="007C3302"/>
    <w:rsid w:val="007C3E9C"/>
    <w:rsid w:val="007C453E"/>
    <w:rsid w:val="007C46E0"/>
    <w:rsid w:val="007C4A2E"/>
    <w:rsid w:val="007C4A81"/>
    <w:rsid w:val="007C5063"/>
    <w:rsid w:val="007C50F9"/>
    <w:rsid w:val="007C51F3"/>
    <w:rsid w:val="007C56FE"/>
    <w:rsid w:val="007C58B2"/>
    <w:rsid w:val="007C5D52"/>
    <w:rsid w:val="007C66D8"/>
    <w:rsid w:val="007C78F7"/>
    <w:rsid w:val="007C7C4D"/>
    <w:rsid w:val="007D09CA"/>
    <w:rsid w:val="007D1770"/>
    <w:rsid w:val="007D2840"/>
    <w:rsid w:val="007D34F8"/>
    <w:rsid w:val="007D3D5C"/>
    <w:rsid w:val="007D3FE4"/>
    <w:rsid w:val="007D46BC"/>
    <w:rsid w:val="007D4842"/>
    <w:rsid w:val="007D5034"/>
    <w:rsid w:val="007D55A6"/>
    <w:rsid w:val="007D67F4"/>
    <w:rsid w:val="007D6BBE"/>
    <w:rsid w:val="007D700E"/>
    <w:rsid w:val="007D73A6"/>
    <w:rsid w:val="007D7D8F"/>
    <w:rsid w:val="007E0ED2"/>
    <w:rsid w:val="007E49F5"/>
    <w:rsid w:val="007E520D"/>
    <w:rsid w:val="007E5DBB"/>
    <w:rsid w:val="007E604F"/>
    <w:rsid w:val="007E6322"/>
    <w:rsid w:val="007F036E"/>
    <w:rsid w:val="007F1A8E"/>
    <w:rsid w:val="007F2398"/>
    <w:rsid w:val="007F3F11"/>
    <w:rsid w:val="007F6033"/>
    <w:rsid w:val="007F6AD7"/>
    <w:rsid w:val="007F7D91"/>
    <w:rsid w:val="00801760"/>
    <w:rsid w:val="00801F89"/>
    <w:rsid w:val="0080252E"/>
    <w:rsid w:val="008034A7"/>
    <w:rsid w:val="00803949"/>
    <w:rsid w:val="00803D45"/>
    <w:rsid w:val="00804503"/>
    <w:rsid w:val="00804D35"/>
    <w:rsid w:val="0080618D"/>
    <w:rsid w:val="0080686E"/>
    <w:rsid w:val="008068C7"/>
    <w:rsid w:val="0080707B"/>
    <w:rsid w:val="008076CC"/>
    <w:rsid w:val="00807C13"/>
    <w:rsid w:val="00807DF9"/>
    <w:rsid w:val="00810E6A"/>
    <w:rsid w:val="008113CE"/>
    <w:rsid w:val="00812BD3"/>
    <w:rsid w:val="00812E77"/>
    <w:rsid w:val="00813774"/>
    <w:rsid w:val="008144CC"/>
    <w:rsid w:val="008148D5"/>
    <w:rsid w:val="00815BE5"/>
    <w:rsid w:val="00816B4C"/>
    <w:rsid w:val="00817487"/>
    <w:rsid w:val="00817902"/>
    <w:rsid w:val="00817CA9"/>
    <w:rsid w:val="00821C4D"/>
    <w:rsid w:val="00822B81"/>
    <w:rsid w:val="00822EFB"/>
    <w:rsid w:val="0082308D"/>
    <w:rsid w:val="00823BD3"/>
    <w:rsid w:val="0082513E"/>
    <w:rsid w:val="00826E88"/>
    <w:rsid w:val="008300A5"/>
    <w:rsid w:val="008302D4"/>
    <w:rsid w:val="0083092C"/>
    <w:rsid w:val="00831D41"/>
    <w:rsid w:val="00834663"/>
    <w:rsid w:val="00834733"/>
    <w:rsid w:val="00836C7D"/>
    <w:rsid w:val="008402EA"/>
    <w:rsid w:val="00840812"/>
    <w:rsid w:val="008410E9"/>
    <w:rsid w:val="008416D1"/>
    <w:rsid w:val="00841D46"/>
    <w:rsid w:val="00842202"/>
    <w:rsid w:val="00842F22"/>
    <w:rsid w:val="00843F73"/>
    <w:rsid w:val="00844A20"/>
    <w:rsid w:val="00845420"/>
    <w:rsid w:val="00845662"/>
    <w:rsid w:val="0084652A"/>
    <w:rsid w:val="00846B5D"/>
    <w:rsid w:val="00846BC5"/>
    <w:rsid w:val="00847ABB"/>
    <w:rsid w:val="00850560"/>
    <w:rsid w:val="00850C7E"/>
    <w:rsid w:val="00850EC1"/>
    <w:rsid w:val="00853CC3"/>
    <w:rsid w:val="0085415A"/>
    <w:rsid w:val="008542F1"/>
    <w:rsid w:val="00854E89"/>
    <w:rsid w:val="00855333"/>
    <w:rsid w:val="00855E90"/>
    <w:rsid w:val="00856B39"/>
    <w:rsid w:val="00860300"/>
    <w:rsid w:val="00860970"/>
    <w:rsid w:val="00860A54"/>
    <w:rsid w:val="00860D5F"/>
    <w:rsid w:val="00861897"/>
    <w:rsid w:val="00861F30"/>
    <w:rsid w:val="0086244C"/>
    <w:rsid w:val="00862D2B"/>
    <w:rsid w:val="00862F8C"/>
    <w:rsid w:val="00863E81"/>
    <w:rsid w:val="00864F6B"/>
    <w:rsid w:val="008654DD"/>
    <w:rsid w:val="008679CF"/>
    <w:rsid w:val="00871362"/>
    <w:rsid w:val="0087140E"/>
    <w:rsid w:val="00871519"/>
    <w:rsid w:val="00871C8C"/>
    <w:rsid w:val="00872420"/>
    <w:rsid w:val="00872AAD"/>
    <w:rsid w:val="00872DA6"/>
    <w:rsid w:val="00872F90"/>
    <w:rsid w:val="008738DD"/>
    <w:rsid w:val="00873A9F"/>
    <w:rsid w:val="00877504"/>
    <w:rsid w:val="00877578"/>
    <w:rsid w:val="008812CB"/>
    <w:rsid w:val="00881813"/>
    <w:rsid w:val="0088235C"/>
    <w:rsid w:val="00882912"/>
    <w:rsid w:val="00882B53"/>
    <w:rsid w:val="00885131"/>
    <w:rsid w:val="00885F21"/>
    <w:rsid w:val="00886262"/>
    <w:rsid w:val="0088743C"/>
    <w:rsid w:val="00891492"/>
    <w:rsid w:val="008926C2"/>
    <w:rsid w:val="00892EB7"/>
    <w:rsid w:val="00893237"/>
    <w:rsid w:val="008938E0"/>
    <w:rsid w:val="008939E9"/>
    <w:rsid w:val="00894664"/>
    <w:rsid w:val="00895B75"/>
    <w:rsid w:val="00896607"/>
    <w:rsid w:val="008A304B"/>
    <w:rsid w:val="008A379A"/>
    <w:rsid w:val="008A5C3B"/>
    <w:rsid w:val="008A672C"/>
    <w:rsid w:val="008A7575"/>
    <w:rsid w:val="008A799E"/>
    <w:rsid w:val="008B0453"/>
    <w:rsid w:val="008B1A7B"/>
    <w:rsid w:val="008B2640"/>
    <w:rsid w:val="008B3FAA"/>
    <w:rsid w:val="008B428E"/>
    <w:rsid w:val="008B4617"/>
    <w:rsid w:val="008B476C"/>
    <w:rsid w:val="008B72D3"/>
    <w:rsid w:val="008B7300"/>
    <w:rsid w:val="008C037E"/>
    <w:rsid w:val="008C0648"/>
    <w:rsid w:val="008C0D8A"/>
    <w:rsid w:val="008C19A0"/>
    <w:rsid w:val="008C2A02"/>
    <w:rsid w:val="008C6808"/>
    <w:rsid w:val="008C6DEC"/>
    <w:rsid w:val="008D075F"/>
    <w:rsid w:val="008D0822"/>
    <w:rsid w:val="008D1327"/>
    <w:rsid w:val="008D2260"/>
    <w:rsid w:val="008D340E"/>
    <w:rsid w:val="008D3F28"/>
    <w:rsid w:val="008D4A37"/>
    <w:rsid w:val="008D5316"/>
    <w:rsid w:val="008D5FD5"/>
    <w:rsid w:val="008D6845"/>
    <w:rsid w:val="008D6C61"/>
    <w:rsid w:val="008E0C42"/>
    <w:rsid w:val="008E0CA7"/>
    <w:rsid w:val="008E15ED"/>
    <w:rsid w:val="008E1C47"/>
    <w:rsid w:val="008E20C1"/>
    <w:rsid w:val="008E3122"/>
    <w:rsid w:val="008E40F8"/>
    <w:rsid w:val="008E507C"/>
    <w:rsid w:val="008E5275"/>
    <w:rsid w:val="008E604B"/>
    <w:rsid w:val="008E6058"/>
    <w:rsid w:val="008E60A4"/>
    <w:rsid w:val="008E6BDE"/>
    <w:rsid w:val="008F0518"/>
    <w:rsid w:val="008F1C7C"/>
    <w:rsid w:val="008F2A5E"/>
    <w:rsid w:val="008F3625"/>
    <w:rsid w:val="008F44D4"/>
    <w:rsid w:val="008F629E"/>
    <w:rsid w:val="008F6960"/>
    <w:rsid w:val="008F727E"/>
    <w:rsid w:val="008F7CFC"/>
    <w:rsid w:val="00900A6F"/>
    <w:rsid w:val="009022ED"/>
    <w:rsid w:val="00902F34"/>
    <w:rsid w:val="00903947"/>
    <w:rsid w:val="00904B45"/>
    <w:rsid w:val="009066FB"/>
    <w:rsid w:val="0090671E"/>
    <w:rsid w:val="009073FB"/>
    <w:rsid w:val="00907BED"/>
    <w:rsid w:val="00910D74"/>
    <w:rsid w:val="00910F41"/>
    <w:rsid w:val="0091214E"/>
    <w:rsid w:val="00912708"/>
    <w:rsid w:val="00912CAD"/>
    <w:rsid w:val="00912EB4"/>
    <w:rsid w:val="0091477C"/>
    <w:rsid w:val="00915661"/>
    <w:rsid w:val="00917A6A"/>
    <w:rsid w:val="00920C5C"/>
    <w:rsid w:val="0092153A"/>
    <w:rsid w:val="00923D50"/>
    <w:rsid w:val="00924AA5"/>
    <w:rsid w:val="00927BA2"/>
    <w:rsid w:val="00927EAE"/>
    <w:rsid w:val="009305F3"/>
    <w:rsid w:val="00931C88"/>
    <w:rsid w:val="00933DB4"/>
    <w:rsid w:val="00934B3E"/>
    <w:rsid w:val="00935B8C"/>
    <w:rsid w:val="0093615B"/>
    <w:rsid w:val="00936A80"/>
    <w:rsid w:val="009376F7"/>
    <w:rsid w:val="009378E1"/>
    <w:rsid w:val="00941142"/>
    <w:rsid w:val="00941674"/>
    <w:rsid w:val="00941CD9"/>
    <w:rsid w:val="009421B8"/>
    <w:rsid w:val="00943552"/>
    <w:rsid w:val="009438D3"/>
    <w:rsid w:val="00944AD3"/>
    <w:rsid w:val="00945588"/>
    <w:rsid w:val="00946827"/>
    <w:rsid w:val="0094732E"/>
    <w:rsid w:val="009503DF"/>
    <w:rsid w:val="009515C6"/>
    <w:rsid w:val="00952837"/>
    <w:rsid w:val="00953916"/>
    <w:rsid w:val="00953ED0"/>
    <w:rsid w:val="00953F96"/>
    <w:rsid w:val="009552D7"/>
    <w:rsid w:val="00955C21"/>
    <w:rsid w:val="009563CA"/>
    <w:rsid w:val="009564E0"/>
    <w:rsid w:val="00957140"/>
    <w:rsid w:val="00960BE0"/>
    <w:rsid w:val="00961C9F"/>
    <w:rsid w:val="009621B6"/>
    <w:rsid w:val="0096333B"/>
    <w:rsid w:val="00963426"/>
    <w:rsid w:val="0096453E"/>
    <w:rsid w:val="009665CE"/>
    <w:rsid w:val="0097155C"/>
    <w:rsid w:val="00973D19"/>
    <w:rsid w:val="00973E3F"/>
    <w:rsid w:val="0097460E"/>
    <w:rsid w:val="00974A8C"/>
    <w:rsid w:val="00974D46"/>
    <w:rsid w:val="00974E08"/>
    <w:rsid w:val="0097585A"/>
    <w:rsid w:val="00975C81"/>
    <w:rsid w:val="00975F32"/>
    <w:rsid w:val="00976AAE"/>
    <w:rsid w:val="00976B66"/>
    <w:rsid w:val="009770D5"/>
    <w:rsid w:val="0097718A"/>
    <w:rsid w:val="00977416"/>
    <w:rsid w:val="0098142D"/>
    <w:rsid w:val="0098243A"/>
    <w:rsid w:val="009825D4"/>
    <w:rsid w:val="009825FE"/>
    <w:rsid w:val="00982948"/>
    <w:rsid w:val="00983502"/>
    <w:rsid w:val="00983AED"/>
    <w:rsid w:val="0098468E"/>
    <w:rsid w:val="00984883"/>
    <w:rsid w:val="009854EA"/>
    <w:rsid w:val="009865E8"/>
    <w:rsid w:val="00986A62"/>
    <w:rsid w:val="0098772C"/>
    <w:rsid w:val="00987C61"/>
    <w:rsid w:val="0099050F"/>
    <w:rsid w:val="00990635"/>
    <w:rsid w:val="0099075E"/>
    <w:rsid w:val="0099101C"/>
    <w:rsid w:val="00992225"/>
    <w:rsid w:val="0099248D"/>
    <w:rsid w:val="00992566"/>
    <w:rsid w:val="009934CB"/>
    <w:rsid w:val="00994AB3"/>
    <w:rsid w:val="00995D22"/>
    <w:rsid w:val="00995D53"/>
    <w:rsid w:val="00996CCF"/>
    <w:rsid w:val="009973BB"/>
    <w:rsid w:val="009A06E8"/>
    <w:rsid w:val="009A07CD"/>
    <w:rsid w:val="009A19B8"/>
    <w:rsid w:val="009A265C"/>
    <w:rsid w:val="009A325A"/>
    <w:rsid w:val="009A439D"/>
    <w:rsid w:val="009A64C3"/>
    <w:rsid w:val="009A6CBF"/>
    <w:rsid w:val="009A7CC9"/>
    <w:rsid w:val="009A7DBE"/>
    <w:rsid w:val="009B007D"/>
    <w:rsid w:val="009B015B"/>
    <w:rsid w:val="009B29F7"/>
    <w:rsid w:val="009B3A80"/>
    <w:rsid w:val="009B4C89"/>
    <w:rsid w:val="009B523A"/>
    <w:rsid w:val="009B5DD9"/>
    <w:rsid w:val="009B656F"/>
    <w:rsid w:val="009B7013"/>
    <w:rsid w:val="009B71AF"/>
    <w:rsid w:val="009C03FC"/>
    <w:rsid w:val="009C195B"/>
    <w:rsid w:val="009C4448"/>
    <w:rsid w:val="009C5602"/>
    <w:rsid w:val="009C6F4A"/>
    <w:rsid w:val="009C7202"/>
    <w:rsid w:val="009C7C48"/>
    <w:rsid w:val="009D0F14"/>
    <w:rsid w:val="009D48B2"/>
    <w:rsid w:val="009D5A27"/>
    <w:rsid w:val="009D5DA4"/>
    <w:rsid w:val="009D691C"/>
    <w:rsid w:val="009D6BD9"/>
    <w:rsid w:val="009D7A21"/>
    <w:rsid w:val="009E0509"/>
    <w:rsid w:val="009E22E6"/>
    <w:rsid w:val="009E287E"/>
    <w:rsid w:val="009E3BC5"/>
    <w:rsid w:val="009E572A"/>
    <w:rsid w:val="009E7355"/>
    <w:rsid w:val="009E75A7"/>
    <w:rsid w:val="009E7875"/>
    <w:rsid w:val="009F0B79"/>
    <w:rsid w:val="009F1500"/>
    <w:rsid w:val="009F239D"/>
    <w:rsid w:val="009F35E0"/>
    <w:rsid w:val="009F4809"/>
    <w:rsid w:val="009F6118"/>
    <w:rsid w:val="009F6E73"/>
    <w:rsid w:val="009F6F54"/>
    <w:rsid w:val="00A00605"/>
    <w:rsid w:val="00A00DE9"/>
    <w:rsid w:val="00A040B3"/>
    <w:rsid w:val="00A04BA8"/>
    <w:rsid w:val="00A04CEB"/>
    <w:rsid w:val="00A06A73"/>
    <w:rsid w:val="00A074BA"/>
    <w:rsid w:val="00A076EE"/>
    <w:rsid w:val="00A07D09"/>
    <w:rsid w:val="00A10100"/>
    <w:rsid w:val="00A108E5"/>
    <w:rsid w:val="00A11E2D"/>
    <w:rsid w:val="00A131DA"/>
    <w:rsid w:val="00A13BFB"/>
    <w:rsid w:val="00A1470E"/>
    <w:rsid w:val="00A14DF7"/>
    <w:rsid w:val="00A14EEB"/>
    <w:rsid w:val="00A1528B"/>
    <w:rsid w:val="00A15E1D"/>
    <w:rsid w:val="00A16D56"/>
    <w:rsid w:val="00A17EF1"/>
    <w:rsid w:val="00A210EB"/>
    <w:rsid w:val="00A21E15"/>
    <w:rsid w:val="00A23A97"/>
    <w:rsid w:val="00A23B31"/>
    <w:rsid w:val="00A23CDB"/>
    <w:rsid w:val="00A2459A"/>
    <w:rsid w:val="00A271E0"/>
    <w:rsid w:val="00A27853"/>
    <w:rsid w:val="00A27F5F"/>
    <w:rsid w:val="00A321A4"/>
    <w:rsid w:val="00A335FC"/>
    <w:rsid w:val="00A34694"/>
    <w:rsid w:val="00A352ED"/>
    <w:rsid w:val="00A3553E"/>
    <w:rsid w:val="00A35DB3"/>
    <w:rsid w:val="00A366D6"/>
    <w:rsid w:val="00A36ADA"/>
    <w:rsid w:val="00A36C96"/>
    <w:rsid w:val="00A4109C"/>
    <w:rsid w:val="00A41400"/>
    <w:rsid w:val="00A41822"/>
    <w:rsid w:val="00A41B02"/>
    <w:rsid w:val="00A41B0F"/>
    <w:rsid w:val="00A41BB8"/>
    <w:rsid w:val="00A427ED"/>
    <w:rsid w:val="00A42840"/>
    <w:rsid w:val="00A437C7"/>
    <w:rsid w:val="00A45B2E"/>
    <w:rsid w:val="00A45CFC"/>
    <w:rsid w:val="00A47337"/>
    <w:rsid w:val="00A47E32"/>
    <w:rsid w:val="00A47EB1"/>
    <w:rsid w:val="00A5014C"/>
    <w:rsid w:val="00A5091B"/>
    <w:rsid w:val="00A50DF9"/>
    <w:rsid w:val="00A528BE"/>
    <w:rsid w:val="00A530CB"/>
    <w:rsid w:val="00A54010"/>
    <w:rsid w:val="00A54DCE"/>
    <w:rsid w:val="00A55F3E"/>
    <w:rsid w:val="00A56467"/>
    <w:rsid w:val="00A57A1C"/>
    <w:rsid w:val="00A600DB"/>
    <w:rsid w:val="00A60736"/>
    <w:rsid w:val="00A61E60"/>
    <w:rsid w:val="00A62731"/>
    <w:rsid w:val="00A62CBF"/>
    <w:rsid w:val="00A63290"/>
    <w:rsid w:val="00A636DB"/>
    <w:rsid w:val="00A63BE4"/>
    <w:rsid w:val="00A64F2A"/>
    <w:rsid w:val="00A6516A"/>
    <w:rsid w:val="00A65DD0"/>
    <w:rsid w:val="00A66A05"/>
    <w:rsid w:val="00A66BA0"/>
    <w:rsid w:val="00A67F2B"/>
    <w:rsid w:val="00A67F85"/>
    <w:rsid w:val="00A71FD8"/>
    <w:rsid w:val="00A727D7"/>
    <w:rsid w:val="00A72B0F"/>
    <w:rsid w:val="00A73119"/>
    <w:rsid w:val="00A73FA9"/>
    <w:rsid w:val="00A75F1B"/>
    <w:rsid w:val="00A7669B"/>
    <w:rsid w:val="00A76F36"/>
    <w:rsid w:val="00A8024A"/>
    <w:rsid w:val="00A80685"/>
    <w:rsid w:val="00A81116"/>
    <w:rsid w:val="00A816E6"/>
    <w:rsid w:val="00A81868"/>
    <w:rsid w:val="00A8235D"/>
    <w:rsid w:val="00A82BBA"/>
    <w:rsid w:val="00A82DC4"/>
    <w:rsid w:val="00A8432A"/>
    <w:rsid w:val="00A84A61"/>
    <w:rsid w:val="00A854FF"/>
    <w:rsid w:val="00A90018"/>
    <w:rsid w:val="00A90B7D"/>
    <w:rsid w:val="00A913D9"/>
    <w:rsid w:val="00A928B9"/>
    <w:rsid w:val="00A935E6"/>
    <w:rsid w:val="00A93A8E"/>
    <w:rsid w:val="00A945B5"/>
    <w:rsid w:val="00A94B6B"/>
    <w:rsid w:val="00A95518"/>
    <w:rsid w:val="00AA073B"/>
    <w:rsid w:val="00AA3831"/>
    <w:rsid w:val="00AA4284"/>
    <w:rsid w:val="00AA6D61"/>
    <w:rsid w:val="00AA6F1F"/>
    <w:rsid w:val="00AA7935"/>
    <w:rsid w:val="00AB09BD"/>
    <w:rsid w:val="00AB09FE"/>
    <w:rsid w:val="00AB0E56"/>
    <w:rsid w:val="00AB205C"/>
    <w:rsid w:val="00AB230C"/>
    <w:rsid w:val="00AB2DB2"/>
    <w:rsid w:val="00AB30E2"/>
    <w:rsid w:val="00AB33F9"/>
    <w:rsid w:val="00AB3A70"/>
    <w:rsid w:val="00AB7C4E"/>
    <w:rsid w:val="00AC06CC"/>
    <w:rsid w:val="00AC0B65"/>
    <w:rsid w:val="00AC0E2F"/>
    <w:rsid w:val="00AC1DC3"/>
    <w:rsid w:val="00AC3F42"/>
    <w:rsid w:val="00AC46A0"/>
    <w:rsid w:val="00AC4906"/>
    <w:rsid w:val="00AC617E"/>
    <w:rsid w:val="00AC6C92"/>
    <w:rsid w:val="00AD19FA"/>
    <w:rsid w:val="00AD1E6F"/>
    <w:rsid w:val="00AD38AE"/>
    <w:rsid w:val="00AD3B91"/>
    <w:rsid w:val="00AD3E1C"/>
    <w:rsid w:val="00AD54FE"/>
    <w:rsid w:val="00AD5514"/>
    <w:rsid w:val="00AD5ED4"/>
    <w:rsid w:val="00AD5EE0"/>
    <w:rsid w:val="00AD754A"/>
    <w:rsid w:val="00AD7BA9"/>
    <w:rsid w:val="00AE12CB"/>
    <w:rsid w:val="00AE26AB"/>
    <w:rsid w:val="00AE4A6C"/>
    <w:rsid w:val="00AE4C87"/>
    <w:rsid w:val="00AE5146"/>
    <w:rsid w:val="00AE7E9A"/>
    <w:rsid w:val="00AF25A0"/>
    <w:rsid w:val="00AF2A98"/>
    <w:rsid w:val="00AF427A"/>
    <w:rsid w:val="00AF4D65"/>
    <w:rsid w:val="00AF6285"/>
    <w:rsid w:val="00AF6476"/>
    <w:rsid w:val="00AF7664"/>
    <w:rsid w:val="00AF79D5"/>
    <w:rsid w:val="00AF7A26"/>
    <w:rsid w:val="00AF7FA8"/>
    <w:rsid w:val="00B00527"/>
    <w:rsid w:val="00B00E5D"/>
    <w:rsid w:val="00B02674"/>
    <w:rsid w:val="00B04030"/>
    <w:rsid w:val="00B04837"/>
    <w:rsid w:val="00B05126"/>
    <w:rsid w:val="00B06ABB"/>
    <w:rsid w:val="00B109A4"/>
    <w:rsid w:val="00B11032"/>
    <w:rsid w:val="00B1312E"/>
    <w:rsid w:val="00B132A2"/>
    <w:rsid w:val="00B136D3"/>
    <w:rsid w:val="00B137F3"/>
    <w:rsid w:val="00B13DD8"/>
    <w:rsid w:val="00B13FD4"/>
    <w:rsid w:val="00B15507"/>
    <w:rsid w:val="00B1592C"/>
    <w:rsid w:val="00B16CEA"/>
    <w:rsid w:val="00B170ED"/>
    <w:rsid w:val="00B2092E"/>
    <w:rsid w:val="00B20DD4"/>
    <w:rsid w:val="00B2203A"/>
    <w:rsid w:val="00B22260"/>
    <w:rsid w:val="00B22DDA"/>
    <w:rsid w:val="00B22E1F"/>
    <w:rsid w:val="00B23041"/>
    <w:rsid w:val="00B231D1"/>
    <w:rsid w:val="00B23217"/>
    <w:rsid w:val="00B239F3"/>
    <w:rsid w:val="00B23CF0"/>
    <w:rsid w:val="00B30082"/>
    <w:rsid w:val="00B30C18"/>
    <w:rsid w:val="00B34C65"/>
    <w:rsid w:val="00B35A57"/>
    <w:rsid w:val="00B35C4E"/>
    <w:rsid w:val="00B3736F"/>
    <w:rsid w:val="00B41291"/>
    <w:rsid w:val="00B41FDB"/>
    <w:rsid w:val="00B4286C"/>
    <w:rsid w:val="00B4290C"/>
    <w:rsid w:val="00B4439A"/>
    <w:rsid w:val="00B46CDF"/>
    <w:rsid w:val="00B4723A"/>
    <w:rsid w:val="00B5160C"/>
    <w:rsid w:val="00B516C8"/>
    <w:rsid w:val="00B51ACF"/>
    <w:rsid w:val="00B51FC1"/>
    <w:rsid w:val="00B522CC"/>
    <w:rsid w:val="00B52A1E"/>
    <w:rsid w:val="00B52AE2"/>
    <w:rsid w:val="00B537C4"/>
    <w:rsid w:val="00B53821"/>
    <w:rsid w:val="00B53F27"/>
    <w:rsid w:val="00B5475E"/>
    <w:rsid w:val="00B555B2"/>
    <w:rsid w:val="00B5598A"/>
    <w:rsid w:val="00B5713B"/>
    <w:rsid w:val="00B6013C"/>
    <w:rsid w:val="00B60403"/>
    <w:rsid w:val="00B613DC"/>
    <w:rsid w:val="00B61B03"/>
    <w:rsid w:val="00B6253B"/>
    <w:rsid w:val="00B635B6"/>
    <w:rsid w:val="00B64077"/>
    <w:rsid w:val="00B64F0B"/>
    <w:rsid w:val="00B66CC4"/>
    <w:rsid w:val="00B66EDE"/>
    <w:rsid w:val="00B67038"/>
    <w:rsid w:val="00B67860"/>
    <w:rsid w:val="00B70599"/>
    <w:rsid w:val="00B71CB2"/>
    <w:rsid w:val="00B726CA"/>
    <w:rsid w:val="00B732CA"/>
    <w:rsid w:val="00B756B8"/>
    <w:rsid w:val="00B76D8E"/>
    <w:rsid w:val="00B77D4D"/>
    <w:rsid w:val="00B80452"/>
    <w:rsid w:val="00B80C13"/>
    <w:rsid w:val="00B8148E"/>
    <w:rsid w:val="00B81A5B"/>
    <w:rsid w:val="00B81B46"/>
    <w:rsid w:val="00B81D05"/>
    <w:rsid w:val="00B81D32"/>
    <w:rsid w:val="00B82854"/>
    <w:rsid w:val="00B834B8"/>
    <w:rsid w:val="00B841A1"/>
    <w:rsid w:val="00B85EC8"/>
    <w:rsid w:val="00B87AA8"/>
    <w:rsid w:val="00B90061"/>
    <w:rsid w:val="00B9176F"/>
    <w:rsid w:val="00B92609"/>
    <w:rsid w:val="00B92CDD"/>
    <w:rsid w:val="00B934F2"/>
    <w:rsid w:val="00B96ED5"/>
    <w:rsid w:val="00B973A2"/>
    <w:rsid w:val="00B97FA4"/>
    <w:rsid w:val="00BA0077"/>
    <w:rsid w:val="00BA1BCB"/>
    <w:rsid w:val="00BA222C"/>
    <w:rsid w:val="00BA4D6F"/>
    <w:rsid w:val="00BA558E"/>
    <w:rsid w:val="00BA6233"/>
    <w:rsid w:val="00BA6E54"/>
    <w:rsid w:val="00BA7083"/>
    <w:rsid w:val="00BA7EBE"/>
    <w:rsid w:val="00BB1646"/>
    <w:rsid w:val="00BB1EAE"/>
    <w:rsid w:val="00BB2465"/>
    <w:rsid w:val="00BB259C"/>
    <w:rsid w:val="00BB4859"/>
    <w:rsid w:val="00BB48E2"/>
    <w:rsid w:val="00BB4C1D"/>
    <w:rsid w:val="00BB543A"/>
    <w:rsid w:val="00BB7A90"/>
    <w:rsid w:val="00BC077E"/>
    <w:rsid w:val="00BC07CB"/>
    <w:rsid w:val="00BC08CB"/>
    <w:rsid w:val="00BC111A"/>
    <w:rsid w:val="00BC1388"/>
    <w:rsid w:val="00BC2167"/>
    <w:rsid w:val="00BC21DC"/>
    <w:rsid w:val="00BC2E5B"/>
    <w:rsid w:val="00BC2E7E"/>
    <w:rsid w:val="00BC49F8"/>
    <w:rsid w:val="00BC6B7C"/>
    <w:rsid w:val="00BC7EBE"/>
    <w:rsid w:val="00BD1D2C"/>
    <w:rsid w:val="00BD21AA"/>
    <w:rsid w:val="00BD2269"/>
    <w:rsid w:val="00BD2F06"/>
    <w:rsid w:val="00BD38F7"/>
    <w:rsid w:val="00BD50B5"/>
    <w:rsid w:val="00BD6C79"/>
    <w:rsid w:val="00BD6FE8"/>
    <w:rsid w:val="00BD75AC"/>
    <w:rsid w:val="00BE1AFB"/>
    <w:rsid w:val="00BE38E3"/>
    <w:rsid w:val="00BE545C"/>
    <w:rsid w:val="00BE668A"/>
    <w:rsid w:val="00BE705B"/>
    <w:rsid w:val="00BF1871"/>
    <w:rsid w:val="00BF1C0B"/>
    <w:rsid w:val="00BF297D"/>
    <w:rsid w:val="00BF311D"/>
    <w:rsid w:val="00BF31A7"/>
    <w:rsid w:val="00BF3A48"/>
    <w:rsid w:val="00BF50A3"/>
    <w:rsid w:val="00BF56BD"/>
    <w:rsid w:val="00C000E1"/>
    <w:rsid w:val="00C0086A"/>
    <w:rsid w:val="00C01549"/>
    <w:rsid w:val="00C01738"/>
    <w:rsid w:val="00C01FFD"/>
    <w:rsid w:val="00C02004"/>
    <w:rsid w:val="00C022B1"/>
    <w:rsid w:val="00C034CC"/>
    <w:rsid w:val="00C03525"/>
    <w:rsid w:val="00C038E0"/>
    <w:rsid w:val="00C108B2"/>
    <w:rsid w:val="00C11D72"/>
    <w:rsid w:val="00C11F81"/>
    <w:rsid w:val="00C12655"/>
    <w:rsid w:val="00C13946"/>
    <w:rsid w:val="00C13A8F"/>
    <w:rsid w:val="00C148E8"/>
    <w:rsid w:val="00C155B2"/>
    <w:rsid w:val="00C15F7B"/>
    <w:rsid w:val="00C172A7"/>
    <w:rsid w:val="00C17528"/>
    <w:rsid w:val="00C20DDD"/>
    <w:rsid w:val="00C22EB6"/>
    <w:rsid w:val="00C2316D"/>
    <w:rsid w:val="00C244C1"/>
    <w:rsid w:val="00C25810"/>
    <w:rsid w:val="00C25FFA"/>
    <w:rsid w:val="00C2663B"/>
    <w:rsid w:val="00C27226"/>
    <w:rsid w:val="00C272DA"/>
    <w:rsid w:val="00C27571"/>
    <w:rsid w:val="00C31873"/>
    <w:rsid w:val="00C31FC7"/>
    <w:rsid w:val="00C320B1"/>
    <w:rsid w:val="00C33525"/>
    <w:rsid w:val="00C350BF"/>
    <w:rsid w:val="00C35EE3"/>
    <w:rsid w:val="00C37A0B"/>
    <w:rsid w:val="00C40211"/>
    <w:rsid w:val="00C41AD7"/>
    <w:rsid w:val="00C422D1"/>
    <w:rsid w:val="00C44120"/>
    <w:rsid w:val="00C442A6"/>
    <w:rsid w:val="00C44840"/>
    <w:rsid w:val="00C44BF1"/>
    <w:rsid w:val="00C45D48"/>
    <w:rsid w:val="00C4629C"/>
    <w:rsid w:val="00C465C2"/>
    <w:rsid w:val="00C46E00"/>
    <w:rsid w:val="00C47C0C"/>
    <w:rsid w:val="00C50980"/>
    <w:rsid w:val="00C50CD6"/>
    <w:rsid w:val="00C513D3"/>
    <w:rsid w:val="00C535F8"/>
    <w:rsid w:val="00C53B59"/>
    <w:rsid w:val="00C53E98"/>
    <w:rsid w:val="00C544B5"/>
    <w:rsid w:val="00C54BCB"/>
    <w:rsid w:val="00C56A77"/>
    <w:rsid w:val="00C5718C"/>
    <w:rsid w:val="00C573DA"/>
    <w:rsid w:val="00C60061"/>
    <w:rsid w:val="00C60949"/>
    <w:rsid w:val="00C61973"/>
    <w:rsid w:val="00C61A06"/>
    <w:rsid w:val="00C61A90"/>
    <w:rsid w:val="00C70A16"/>
    <w:rsid w:val="00C7345F"/>
    <w:rsid w:val="00C738BD"/>
    <w:rsid w:val="00C745CE"/>
    <w:rsid w:val="00C7474E"/>
    <w:rsid w:val="00C74C5D"/>
    <w:rsid w:val="00C765A0"/>
    <w:rsid w:val="00C76689"/>
    <w:rsid w:val="00C77C8D"/>
    <w:rsid w:val="00C77CB8"/>
    <w:rsid w:val="00C82434"/>
    <w:rsid w:val="00C83624"/>
    <w:rsid w:val="00C8495C"/>
    <w:rsid w:val="00C85A5B"/>
    <w:rsid w:val="00C861E6"/>
    <w:rsid w:val="00C909F3"/>
    <w:rsid w:val="00C91418"/>
    <w:rsid w:val="00C9238F"/>
    <w:rsid w:val="00C93F3B"/>
    <w:rsid w:val="00C95DDD"/>
    <w:rsid w:val="00C96CB1"/>
    <w:rsid w:val="00C96E0C"/>
    <w:rsid w:val="00CA14A6"/>
    <w:rsid w:val="00CA26C6"/>
    <w:rsid w:val="00CA29EE"/>
    <w:rsid w:val="00CA33B2"/>
    <w:rsid w:val="00CA4062"/>
    <w:rsid w:val="00CA4A39"/>
    <w:rsid w:val="00CA4A6D"/>
    <w:rsid w:val="00CA64F1"/>
    <w:rsid w:val="00CA6E8F"/>
    <w:rsid w:val="00CA74AC"/>
    <w:rsid w:val="00CA787A"/>
    <w:rsid w:val="00CA7B05"/>
    <w:rsid w:val="00CA7F74"/>
    <w:rsid w:val="00CB3340"/>
    <w:rsid w:val="00CB46F8"/>
    <w:rsid w:val="00CC0218"/>
    <w:rsid w:val="00CC0420"/>
    <w:rsid w:val="00CC077C"/>
    <w:rsid w:val="00CC0D41"/>
    <w:rsid w:val="00CC302C"/>
    <w:rsid w:val="00CC3491"/>
    <w:rsid w:val="00CC426C"/>
    <w:rsid w:val="00CC437E"/>
    <w:rsid w:val="00CC45FE"/>
    <w:rsid w:val="00CC6355"/>
    <w:rsid w:val="00CC6CB9"/>
    <w:rsid w:val="00CC6DCB"/>
    <w:rsid w:val="00CC726F"/>
    <w:rsid w:val="00CC72B1"/>
    <w:rsid w:val="00CC7D97"/>
    <w:rsid w:val="00CD0BC7"/>
    <w:rsid w:val="00CD0BCA"/>
    <w:rsid w:val="00CD1225"/>
    <w:rsid w:val="00CD18A0"/>
    <w:rsid w:val="00CD2E06"/>
    <w:rsid w:val="00CD3A2E"/>
    <w:rsid w:val="00CD41C9"/>
    <w:rsid w:val="00CD476F"/>
    <w:rsid w:val="00CD4789"/>
    <w:rsid w:val="00CD5721"/>
    <w:rsid w:val="00CD6A40"/>
    <w:rsid w:val="00CD7A06"/>
    <w:rsid w:val="00CD7FA2"/>
    <w:rsid w:val="00CE0241"/>
    <w:rsid w:val="00CE11B6"/>
    <w:rsid w:val="00CE1350"/>
    <w:rsid w:val="00CE1590"/>
    <w:rsid w:val="00CE1652"/>
    <w:rsid w:val="00CE1944"/>
    <w:rsid w:val="00CE32DD"/>
    <w:rsid w:val="00CE34B8"/>
    <w:rsid w:val="00CE3CF8"/>
    <w:rsid w:val="00CE503A"/>
    <w:rsid w:val="00CE6300"/>
    <w:rsid w:val="00CE634B"/>
    <w:rsid w:val="00CE634E"/>
    <w:rsid w:val="00CE6E47"/>
    <w:rsid w:val="00CF0BDB"/>
    <w:rsid w:val="00CF0EEB"/>
    <w:rsid w:val="00CF1F9C"/>
    <w:rsid w:val="00CF2D5E"/>
    <w:rsid w:val="00CF3036"/>
    <w:rsid w:val="00CF3351"/>
    <w:rsid w:val="00CF42B5"/>
    <w:rsid w:val="00CF445C"/>
    <w:rsid w:val="00CF771B"/>
    <w:rsid w:val="00D0050A"/>
    <w:rsid w:val="00D0158F"/>
    <w:rsid w:val="00D01C92"/>
    <w:rsid w:val="00D01F61"/>
    <w:rsid w:val="00D0281F"/>
    <w:rsid w:val="00D037FA"/>
    <w:rsid w:val="00D03BDF"/>
    <w:rsid w:val="00D03C37"/>
    <w:rsid w:val="00D040B1"/>
    <w:rsid w:val="00D04807"/>
    <w:rsid w:val="00D04E39"/>
    <w:rsid w:val="00D05BB5"/>
    <w:rsid w:val="00D06A06"/>
    <w:rsid w:val="00D07D46"/>
    <w:rsid w:val="00D10096"/>
    <w:rsid w:val="00D10F68"/>
    <w:rsid w:val="00D110F9"/>
    <w:rsid w:val="00D12965"/>
    <w:rsid w:val="00D12FCE"/>
    <w:rsid w:val="00D157FB"/>
    <w:rsid w:val="00D15CB9"/>
    <w:rsid w:val="00D15E5B"/>
    <w:rsid w:val="00D16672"/>
    <w:rsid w:val="00D169F5"/>
    <w:rsid w:val="00D179CD"/>
    <w:rsid w:val="00D2004B"/>
    <w:rsid w:val="00D2053B"/>
    <w:rsid w:val="00D206BF"/>
    <w:rsid w:val="00D22EDF"/>
    <w:rsid w:val="00D25DCE"/>
    <w:rsid w:val="00D26AAC"/>
    <w:rsid w:val="00D26D69"/>
    <w:rsid w:val="00D26E5B"/>
    <w:rsid w:val="00D272C9"/>
    <w:rsid w:val="00D276C3"/>
    <w:rsid w:val="00D27864"/>
    <w:rsid w:val="00D32AB1"/>
    <w:rsid w:val="00D32D52"/>
    <w:rsid w:val="00D33217"/>
    <w:rsid w:val="00D3513E"/>
    <w:rsid w:val="00D35FB8"/>
    <w:rsid w:val="00D36C23"/>
    <w:rsid w:val="00D3712F"/>
    <w:rsid w:val="00D37DFE"/>
    <w:rsid w:val="00D40C2B"/>
    <w:rsid w:val="00D40EA2"/>
    <w:rsid w:val="00D42DAA"/>
    <w:rsid w:val="00D43397"/>
    <w:rsid w:val="00D43BB5"/>
    <w:rsid w:val="00D4477B"/>
    <w:rsid w:val="00D44E2D"/>
    <w:rsid w:val="00D50079"/>
    <w:rsid w:val="00D51371"/>
    <w:rsid w:val="00D51449"/>
    <w:rsid w:val="00D537F4"/>
    <w:rsid w:val="00D549C9"/>
    <w:rsid w:val="00D54CA3"/>
    <w:rsid w:val="00D553CB"/>
    <w:rsid w:val="00D55558"/>
    <w:rsid w:val="00D56785"/>
    <w:rsid w:val="00D56E38"/>
    <w:rsid w:val="00D56E75"/>
    <w:rsid w:val="00D57E44"/>
    <w:rsid w:val="00D60730"/>
    <w:rsid w:val="00D615B7"/>
    <w:rsid w:val="00D6338A"/>
    <w:rsid w:val="00D63EB5"/>
    <w:rsid w:val="00D64CEA"/>
    <w:rsid w:val="00D65F7A"/>
    <w:rsid w:val="00D66041"/>
    <w:rsid w:val="00D6652C"/>
    <w:rsid w:val="00D671DC"/>
    <w:rsid w:val="00D6734D"/>
    <w:rsid w:val="00D67BAD"/>
    <w:rsid w:val="00D67E78"/>
    <w:rsid w:val="00D72C5C"/>
    <w:rsid w:val="00D73C45"/>
    <w:rsid w:val="00D7557C"/>
    <w:rsid w:val="00D75842"/>
    <w:rsid w:val="00D76581"/>
    <w:rsid w:val="00D76F9C"/>
    <w:rsid w:val="00D77097"/>
    <w:rsid w:val="00D801B7"/>
    <w:rsid w:val="00D81276"/>
    <w:rsid w:val="00D822C2"/>
    <w:rsid w:val="00D867C5"/>
    <w:rsid w:val="00D86FA9"/>
    <w:rsid w:val="00D873DE"/>
    <w:rsid w:val="00D8771B"/>
    <w:rsid w:val="00D8782A"/>
    <w:rsid w:val="00D90249"/>
    <w:rsid w:val="00D917CD"/>
    <w:rsid w:val="00D91F78"/>
    <w:rsid w:val="00D93860"/>
    <w:rsid w:val="00D93D60"/>
    <w:rsid w:val="00D93FB8"/>
    <w:rsid w:val="00D9523B"/>
    <w:rsid w:val="00D9530C"/>
    <w:rsid w:val="00D96419"/>
    <w:rsid w:val="00D96729"/>
    <w:rsid w:val="00D9765C"/>
    <w:rsid w:val="00DA05B3"/>
    <w:rsid w:val="00DA0CA6"/>
    <w:rsid w:val="00DA16C2"/>
    <w:rsid w:val="00DA177C"/>
    <w:rsid w:val="00DA1981"/>
    <w:rsid w:val="00DA34EE"/>
    <w:rsid w:val="00DA4236"/>
    <w:rsid w:val="00DA4DD2"/>
    <w:rsid w:val="00DA5BD8"/>
    <w:rsid w:val="00DA674C"/>
    <w:rsid w:val="00DB010F"/>
    <w:rsid w:val="00DB1FA9"/>
    <w:rsid w:val="00DB2F72"/>
    <w:rsid w:val="00DB3306"/>
    <w:rsid w:val="00DB40F9"/>
    <w:rsid w:val="00DB618A"/>
    <w:rsid w:val="00DB65B4"/>
    <w:rsid w:val="00DB78E6"/>
    <w:rsid w:val="00DC6ABC"/>
    <w:rsid w:val="00DC722C"/>
    <w:rsid w:val="00DC7240"/>
    <w:rsid w:val="00DD0760"/>
    <w:rsid w:val="00DD1261"/>
    <w:rsid w:val="00DD1488"/>
    <w:rsid w:val="00DD2351"/>
    <w:rsid w:val="00DD297B"/>
    <w:rsid w:val="00DD44B3"/>
    <w:rsid w:val="00DD5066"/>
    <w:rsid w:val="00DD53B5"/>
    <w:rsid w:val="00DD5874"/>
    <w:rsid w:val="00DD7F43"/>
    <w:rsid w:val="00DE033B"/>
    <w:rsid w:val="00DE186F"/>
    <w:rsid w:val="00DE1F9E"/>
    <w:rsid w:val="00DE20EE"/>
    <w:rsid w:val="00DE2EF9"/>
    <w:rsid w:val="00DE3492"/>
    <w:rsid w:val="00DE37FE"/>
    <w:rsid w:val="00DE4064"/>
    <w:rsid w:val="00DE427F"/>
    <w:rsid w:val="00DE430B"/>
    <w:rsid w:val="00DE5055"/>
    <w:rsid w:val="00DE59BE"/>
    <w:rsid w:val="00DE5D9C"/>
    <w:rsid w:val="00DE788D"/>
    <w:rsid w:val="00DF09BF"/>
    <w:rsid w:val="00DF2AC1"/>
    <w:rsid w:val="00DF3116"/>
    <w:rsid w:val="00DF6696"/>
    <w:rsid w:val="00DF6C15"/>
    <w:rsid w:val="00DF6D71"/>
    <w:rsid w:val="00E013C4"/>
    <w:rsid w:val="00E023A0"/>
    <w:rsid w:val="00E024D0"/>
    <w:rsid w:val="00E0393A"/>
    <w:rsid w:val="00E04FDD"/>
    <w:rsid w:val="00E06C6C"/>
    <w:rsid w:val="00E06FB9"/>
    <w:rsid w:val="00E07813"/>
    <w:rsid w:val="00E1103C"/>
    <w:rsid w:val="00E11B42"/>
    <w:rsid w:val="00E12077"/>
    <w:rsid w:val="00E12F2E"/>
    <w:rsid w:val="00E13179"/>
    <w:rsid w:val="00E13911"/>
    <w:rsid w:val="00E13A2A"/>
    <w:rsid w:val="00E14867"/>
    <w:rsid w:val="00E15D48"/>
    <w:rsid w:val="00E169C9"/>
    <w:rsid w:val="00E16E50"/>
    <w:rsid w:val="00E17BFC"/>
    <w:rsid w:val="00E20BDD"/>
    <w:rsid w:val="00E214EB"/>
    <w:rsid w:val="00E22C0B"/>
    <w:rsid w:val="00E22CDB"/>
    <w:rsid w:val="00E22E82"/>
    <w:rsid w:val="00E23616"/>
    <w:rsid w:val="00E23CDC"/>
    <w:rsid w:val="00E25470"/>
    <w:rsid w:val="00E26D6D"/>
    <w:rsid w:val="00E27D89"/>
    <w:rsid w:val="00E30810"/>
    <w:rsid w:val="00E30BE2"/>
    <w:rsid w:val="00E3236A"/>
    <w:rsid w:val="00E33667"/>
    <w:rsid w:val="00E34FF1"/>
    <w:rsid w:val="00E351B0"/>
    <w:rsid w:val="00E353EE"/>
    <w:rsid w:val="00E3648C"/>
    <w:rsid w:val="00E366C8"/>
    <w:rsid w:val="00E37360"/>
    <w:rsid w:val="00E3788D"/>
    <w:rsid w:val="00E3792E"/>
    <w:rsid w:val="00E37F98"/>
    <w:rsid w:val="00E40B4C"/>
    <w:rsid w:val="00E414E0"/>
    <w:rsid w:val="00E41502"/>
    <w:rsid w:val="00E41B12"/>
    <w:rsid w:val="00E43DA8"/>
    <w:rsid w:val="00E4412A"/>
    <w:rsid w:val="00E46071"/>
    <w:rsid w:val="00E500A4"/>
    <w:rsid w:val="00E51B30"/>
    <w:rsid w:val="00E52D46"/>
    <w:rsid w:val="00E5313F"/>
    <w:rsid w:val="00E5404F"/>
    <w:rsid w:val="00E551B8"/>
    <w:rsid w:val="00E55EAF"/>
    <w:rsid w:val="00E572AD"/>
    <w:rsid w:val="00E61308"/>
    <w:rsid w:val="00E6139C"/>
    <w:rsid w:val="00E61C08"/>
    <w:rsid w:val="00E62055"/>
    <w:rsid w:val="00E62D2E"/>
    <w:rsid w:val="00E63328"/>
    <w:rsid w:val="00E6343F"/>
    <w:rsid w:val="00E63721"/>
    <w:rsid w:val="00E63CE2"/>
    <w:rsid w:val="00E63D02"/>
    <w:rsid w:val="00E63E72"/>
    <w:rsid w:val="00E64DD5"/>
    <w:rsid w:val="00E71C25"/>
    <w:rsid w:val="00E8010F"/>
    <w:rsid w:val="00E81AAC"/>
    <w:rsid w:val="00E82A1F"/>
    <w:rsid w:val="00E8380F"/>
    <w:rsid w:val="00E83DBD"/>
    <w:rsid w:val="00E85873"/>
    <w:rsid w:val="00E85BCF"/>
    <w:rsid w:val="00E86ABC"/>
    <w:rsid w:val="00E9020F"/>
    <w:rsid w:val="00E903A3"/>
    <w:rsid w:val="00E90D35"/>
    <w:rsid w:val="00E91530"/>
    <w:rsid w:val="00E93904"/>
    <w:rsid w:val="00E96493"/>
    <w:rsid w:val="00E964D6"/>
    <w:rsid w:val="00E96856"/>
    <w:rsid w:val="00E97624"/>
    <w:rsid w:val="00EA1107"/>
    <w:rsid w:val="00EA1A33"/>
    <w:rsid w:val="00EA2284"/>
    <w:rsid w:val="00EA3532"/>
    <w:rsid w:val="00EA3552"/>
    <w:rsid w:val="00EA3BFA"/>
    <w:rsid w:val="00EA618B"/>
    <w:rsid w:val="00EA6ADD"/>
    <w:rsid w:val="00EA6C96"/>
    <w:rsid w:val="00EA72A8"/>
    <w:rsid w:val="00EA7451"/>
    <w:rsid w:val="00EA7A05"/>
    <w:rsid w:val="00EB306F"/>
    <w:rsid w:val="00EB442F"/>
    <w:rsid w:val="00EB5001"/>
    <w:rsid w:val="00EB50B4"/>
    <w:rsid w:val="00EB5315"/>
    <w:rsid w:val="00EB5420"/>
    <w:rsid w:val="00EB5567"/>
    <w:rsid w:val="00EB5C22"/>
    <w:rsid w:val="00EB65B3"/>
    <w:rsid w:val="00EB65D3"/>
    <w:rsid w:val="00EB6B43"/>
    <w:rsid w:val="00EB7AB9"/>
    <w:rsid w:val="00EB7DBC"/>
    <w:rsid w:val="00EB7FE4"/>
    <w:rsid w:val="00EC0B3B"/>
    <w:rsid w:val="00EC0B9D"/>
    <w:rsid w:val="00EC1ABE"/>
    <w:rsid w:val="00EC1B86"/>
    <w:rsid w:val="00EC1DD1"/>
    <w:rsid w:val="00EC284D"/>
    <w:rsid w:val="00EC3635"/>
    <w:rsid w:val="00EC65D0"/>
    <w:rsid w:val="00EC6F2D"/>
    <w:rsid w:val="00EC70C3"/>
    <w:rsid w:val="00EC79EC"/>
    <w:rsid w:val="00ED0382"/>
    <w:rsid w:val="00ED14C1"/>
    <w:rsid w:val="00ED14D2"/>
    <w:rsid w:val="00ED433E"/>
    <w:rsid w:val="00ED63D9"/>
    <w:rsid w:val="00ED6CA5"/>
    <w:rsid w:val="00ED726E"/>
    <w:rsid w:val="00ED7EF0"/>
    <w:rsid w:val="00EE1C46"/>
    <w:rsid w:val="00EE254E"/>
    <w:rsid w:val="00EE29A7"/>
    <w:rsid w:val="00EE3864"/>
    <w:rsid w:val="00EE38EC"/>
    <w:rsid w:val="00EE398B"/>
    <w:rsid w:val="00EE4120"/>
    <w:rsid w:val="00EE4629"/>
    <w:rsid w:val="00EE4A1A"/>
    <w:rsid w:val="00EE5322"/>
    <w:rsid w:val="00EE5BE3"/>
    <w:rsid w:val="00EE7667"/>
    <w:rsid w:val="00EF01D9"/>
    <w:rsid w:val="00EF0911"/>
    <w:rsid w:val="00EF221A"/>
    <w:rsid w:val="00EF390C"/>
    <w:rsid w:val="00EF4687"/>
    <w:rsid w:val="00EF497A"/>
    <w:rsid w:val="00EF4F4C"/>
    <w:rsid w:val="00F00BE4"/>
    <w:rsid w:val="00F016E1"/>
    <w:rsid w:val="00F01732"/>
    <w:rsid w:val="00F01A0F"/>
    <w:rsid w:val="00F01B23"/>
    <w:rsid w:val="00F0238A"/>
    <w:rsid w:val="00F0487E"/>
    <w:rsid w:val="00F04AF9"/>
    <w:rsid w:val="00F06840"/>
    <w:rsid w:val="00F0774C"/>
    <w:rsid w:val="00F12ADA"/>
    <w:rsid w:val="00F12F08"/>
    <w:rsid w:val="00F14A25"/>
    <w:rsid w:val="00F15316"/>
    <w:rsid w:val="00F15898"/>
    <w:rsid w:val="00F16B82"/>
    <w:rsid w:val="00F172E3"/>
    <w:rsid w:val="00F17596"/>
    <w:rsid w:val="00F20354"/>
    <w:rsid w:val="00F203A8"/>
    <w:rsid w:val="00F206A1"/>
    <w:rsid w:val="00F20ACA"/>
    <w:rsid w:val="00F2165D"/>
    <w:rsid w:val="00F218CE"/>
    <w:rsid w:val="00F2368C"/>
    <w:rsid w:val="00F23708"/>
    <w:rsid w:val="00F24769"/>
    <w:rsid w:val="00F24C71"/>
    <w:rsid w:val="00F24FC2"/>
    <w:rsid w:val="00F25C35"/>
    <w:rsid w:val="00F25DA8"/>
    <w:rsid w:val="00F260B0"/>
    <w:rsid w:val="00F26163"/>
    <w:rsid w:val="00F26C28"/>
    <w:rsid w:val="00F27292"/>
    <w:rsid w:val="00F27A03"/>
    <w:rsid w:val="00F27BB0"/>
    <w:rsid w:val="00F27D4B"/>
    <w:rsid w:val="00F30FFC"/>
    <w:rsid w:val="00F32C29"/>
    <w:rsid w:val="00F33A2F"/>
    <w:rsid w:val="00F33F83"/>
    <w:rsid w:val="00F345C7"/>
    <w:rsid w:val="00F35A43"/>
    <w:rsid w:val="00F37ED4"/>
    <w:rsid w:val="00F40633"/>
    <w:rsid w:val="00F40A10"/>
    <w:rsid w:val="00F456F8"/>
    <w:rsid w:val="00F45B72"/>
    <w:rsid w:val="00F45C37"/>
    <w:rsid w:val="00F45F55"/>
    <w:rsid w:val="00F4620F"/>
    <w:rsid w:val="00F465B5"/>
    <w:rsid w:val="00F47183"/>
    <w:rsid w:val="00F47B0A"/>
    <w:rsid w:val="00F507E9"/>
    <w:rsid w:val="00F50962"/>
    <w:rsid w:val="00F50AEF"/>
    <w:rsid w:val="00F51CD5"/>
    <w:rsid w:val="00F51E77"/>
    <w:rsid w:val="00F54FCD"/>
    <w:rsid w:val="00F55A64"/>
    <w:rsid w:val="00F55D22"/>
    <w:rsid w:val="00F55F38"/>
    <w:rsid w:val="00F562D7"/>
    <w:rsid w:val="00F56A66"/>
    <w:rsid w:val="00F57405"/>
    <w:rsid w:val="00F57BDC"/>
    <w:rsid w:val="00F60B3E"/>
    <w:rsid w:val="00F60CD6"/>
    <w:rsid w:val="00F62747"/>
    <w:rsid w:val="00F62AB1"/>
    <w:rsid w:val="00F62BE2"/>
    <w:rsid w:val="00F62D67"/>
    <w:rsid w:val="00F62DB8"/>
    <w:rsid w:val="00F64801"/>
    <w:rsid w:val="00F64BD3"/>
    <w:rsid w:val="00F65775"/>
    <w:rsid w:val="00F65C94"/>
    <w:rsid w:val="00F6675D"/>
    <w:rsid w:val="00F667FF"/>
    <w:rsid w:val="00F669ED"/>
    <w:rsid w:val="00F6755B"/>
    <w:rsid w:val="00F70E8F"/>
    <w:rsid w:val="00F711DB"/>
    <w:rsid w:val="00F72AC2"/>
    <w:rsid w:val="00F72BC9"/>
    <w:rsid w:val="00F7370E"/>
    <w:rsid w:val="00F75C11"/>
    <w:rsid w:val="00F75E0B"/>
    <w:rsid w:val="00F76DBA"/>
    <w:rsid w:val="00F7716F"/>
    <w:rsid w:val="00F80C1C"/>
    <w:rsid w:val="00F81474"/>
    <w:rsid w:val="00F81F9A"/>
    <w:rsid w:val="00F828E2"/>
    <w:rsid w:val="00F83053"/>
    <w:rsid w:val="00F84D07"/>
    <w:rsid w:val="00F84D7B"/>
    <w:rsid w:val="00F851CC"/>
    <w:rsid w:val="00F8610E"/>
    <w:rsid w:val="00F87115"/>
    <w:rsid w:val="00F87C58"/>
    <w:rsid w:val="00F90B40"/>
    <w:rsid w:val="00F91337"/>
    <w:rsid w:val="00F920A1"/>
    <w:rsid w:val="00F93637"/>
    <w:rsid w:val="00F9377A"/>
    <w:rsid w:val="00F9469C"/>
    <w:rsid w:val="00F95E7D"/>
    <w:rsid w:val="00F96933"/>
    <w:rsid w:val="00F96DA2"/>
    <w:rsid w:val="00FA1260"/>
    <w:rsid w:val="00FA13D3"/>
    <w:rsid w:val="00FA1443"/>
    <w:rsid w:val="00FA3347"/>
    <w:rsid w:val="00FA507F"/>
    <w:rsid w:val="00FA54D9"/>
    <w:rsid w:val="00FA6B85"/>
    <w:rsid w:val="00FA7438"/>
    <w:rsid w:val="00FA79D0"/>
    <w:rsid w:val="00FB095B"/>
    <w:rsid w:val="00FB0D67"/>
    <w:rsid w:val="00FB128F"/>
    <w:rsid w:val="00FB211D"/>
    <w:rsid w:val="00FB2B51"/>
    <w:rsid w:val="00FB3184"/>
    <w:rsid w:val="00FB33BF"/>
    <w:rsid w:val="00FB6438"/>
    <w:rsid w:val="00FC0288"/>
    <w:rsid w:val="00FC0C38"/>
    <w:rsid w:val="00FC0F00"/>
    <w:rsid w:val="00FC1311"/>
    <w:rsid w:val="00FC1735"/>
    <w:rsid w:val="00FC180C"/>
    <w:rsid w:val="00FC1C61"/>
    <w:rsid w:val="00FC2608"/>
    <w:rsid w:val="00FC33FD"/>
    <w:rsid w:val="00FC3A86"/>
    <w:rsid w:val="00FC3C0E"/>
    <w:rsid w:val="00FC56E1"/>
    <w:rsid w:val="00FC5AED"/>
    <w:rsid w:val="00FC6105"/>
    <w:rsid w:val="00FC74BA"/>
    <w:rsid w:val="00FD01E3"/>
    <w:rsid w:val="00FD0A16"/>
    <w:rsid w:val="00FD2309"/>
    <w:rsid w:val="00FD24E8"/>
    <w:rsid w:val="00FD29D7"/>
    <w:rsid w:val="00FD3638"/>
    <w:rsid w:val="00FD5997"/>
    <w:rsid w:val="00FD6050"/>
    <w:rsid w:val="00FE0352"/>
    <w:rsid w:val="00FE095F"/>
    <w:rsid w:val="00FE106B"/>
    <w:rsid w:val="00FE131B"/>
    <w:rsid w:val="00FE1CED"/>
    <w:rsid w:val="00FE2FC3"/>
    <w:rsid w:val="00FE3218"/>
    <w:rsid w:val="00FE3441"/>
    <w:rsid w:val="00FE3AC2"/>
    <w:rsid w:val="00FE46C7"/>
    <w:rsid w:val="00FE6E52"/>
    <w:rsid w:val="00FF0402"/>
    <w:rsid w:val="00FF0D4A"/>
    <w:rsid w:val="00FF1BFB"/>
    <w:rsid w:val="00FF3DBD"/>
    <w:rsid w:val="00FF40E1"/>
    <w:rsid w:val="00FF48DC"/>
    <w:rsid w:val="00FF58CD"/>
    <w:rsid w:val="00FF5F05"/>
    <w:rsid w:val="00FF727C"/>
    <w:rsid w:val="00FF7BAB"/>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1DE1DF"/>
  <w15:docId w15:val="{DCFDA738-60ED-460A-922B-105E0BA60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link w:val="Heading1Char"/>
    <w:uiPriority w:val="9"/>
    <w:qFormat/>
    <w:rsid w:val="00693EF2"/>
    <w:pPr>
      <w:keepNext/>
      <w:numPr>
        <w:numId w:val="1"/>
      </w:numPr>
      <w:spacing w:before="240" w:after="60"/>
      <w:outlineLvl w:val="0"/>
    </w:pPr>
    <w:rPr>
      <w:rFonts w:ascii="Calibri" w:eastAsia="Times New Roman" w:hAnsi="Calibri" w:cs="Times New Roman"/>
      <w:b/>
      <w:bCs/>
      <w:kern w:val="32"/>
      <w:sz w:val="32"/>
      <w:szCs w:val="32"/>
    </w:rPr>
  </w:style>
  <w:style w:type="paragraph" w:styleId="Heading2">
    <w:name w:val="heading 2"/>
    <w:basedOn w:val="Normal"/>
    <w:next w:val="Normal"/>
    <w:link w:val="Heading2Char"/>
    <w:autoRedefine/>
    <w:uiPriority w:val="9"/>
    <w:unhideWhenUsed/>
    <w:qFormat/>
    <w:rsid w:val="00F7370E"/>
    <w:pPr>
      <w:keepNext/>
      <w:spacing w:before="240" w:after="60"/>
      <w:outlineLvl w:val="1"/>
    </w:pPr>
    <w:rPr>
      <w:rFonts w:ascii="Calibri" w:eastAsia="Times New Roman" w:hAnsi="Calibri" w:cs="Times New Roman"/>
      <w:b/>
      <w:bCs/>
      <w:sz w:val="24"/>
      <w:szCs w:val="24"/>
    </w:rPr>
  </w:style>
  <w:style w:type="paragraph" w:styleId="Heading3">
    <w:name w:val="heading 3"/>
    <w:basedOn w:val="Normal"/>
    <w:next w:val="Normal"/>
    <w:link w:val="Heading3Char"/>
    <w:uiPriority w:val="9"/>
    <w:unhideWhenUsed/>
    <w:qFormat/>
    <w:rsid w:val="00693EF2"/>
    <w:pPr>
      <w:keepNext/>
      <w:numPr>
        <w:ilvl w:val="2"/>
        <w:numId w:val="1"/>
      </w:numPr>
      <w:spacing w:before="240" w:after="60"/>
      <w:outlineLvl w:val="2"/>
    </w:pPr>
    <w:rPr>
      <w:rFonts w:ascii="Calibri" w:eastAsia="Times New Roman" w:hAnsi="Calibri" w:cs="Times New Roman"/>
      <w:b/>
      <w:bCs/>
      <w:szCs w:val="26"/>
    </w:rPr>
  </w:style>
  <w:style w:type="paragraph" w:styleId="Heading4">
    <w:name w:val="heading 4"/>
    <w:basedOn w:val="Normal"/>
    <w:next w:val="Normal"/>
    <w:link w:val="Heading4Char"/>
    <w:uiPriority w:val="9"/>
    <w:unhideWhenUsed/>
    <w:qFormat/>
    <w:rsid w:val="00693EF2"/>
    <w:pPr>
      <w:keepNext/>
      <w:numPr>
        <w:ilvl w:val="3"/>
        <w:numId w:val="1"/>
      </w:numPr>
      <w:spacing w:before="240" w:after="60"/>
      <w:outlineLvl w:val="3"/>
    </w:pPr>
    <w:rPr>
      <w:rFonts w:ascii="Calibri" w:eastAsia="Times New Roman" w:hAnsi="Calibri" w:cs="Times New Roman"/>
      <w:b/>
      <w:bCs/>
      <w:sz w:val="24"/>
      <w:szCs w:val="28"/>
    </w:rPr>
  </w:style>
  <w:style w:type="paragraph" w:styleId="Heading5">
    <w:name w:val="heading 5"/>
    <w:basedOn w:val="Normal"/>
    <w:next w:val="Normal"/>
    <w:link w:val="Heading5Char"/>
    <w:uiPriority w:val="9"/>
    <w:unhideWhenUsed/>
    <w:qFormat/>
    <w:rsid w:val="00693EF2"/>
    <w:pPr>
      <w:numPr>
        <w:ilvl w:val="4"/>
        <w:numId w:val="1"/>
      </w:numPr>
      <w:spacing w:before="240" w:after="60"/>
      <w:outlineLvl w:val="4"/>
    </w:pPr>
    <w:rPr>
      <w:rFonts w:ascii="Calibri" w:eastAsia="Times New Roman" w:hAnsi="Calibri" w:cs="Times New Roman"/>
      <w:b/>
      <w:bCs/>
      <w:iCs/>
      <w:sz w:val="24"/>
      <w:szCs w:val="26"/>
    </w:rPr>
  </w:style>
  <w:style w:type="paragraph" w:styleId="Heading6">
    <w:name w:val="heading 6"/>
    <w:basedOn w:val="Normal"/>
    <w:next w:val="Normal"/>
    <w:link w:val="Heading6Char"/>
    <w:uiPriority w:val="9"/>
    <w:semiHidden/>
    <w:unhideWhenUsed/>
    <w:qFormat/>
    <w:rsid w:val="00693EF2"/>
    <w:pPr>
      <w:numPr>
        <w:ilvl w:val="5"/>
        <w:numId w:val="1"/>
      </w:numPr>
      <w:spacing w:before="240" w:after="60"/>
      <w:outlineLvl w:val="5"/>
    </w:pPr>
    <w:rPr>
      <w:rFonts w:ascii="Calibri" w:eastAsia="Times New Roman" w:hAnsi="Calibri" w:cs="Times New Roman"/>
      <w:b/>
      <w:bCs/>
    </w:rPr>
  </w:style>
  <w:style w:type="paragraph" w:styleId="Heading7">
    <w:name w:val="heading 7"/>
    <w:basedOn w:val="Normal"/>
    <w:next w:val="Normal"/>
    <w:link w:val="Heading7Char"/>
    <w:uiPriority w:val="9"/>
    <w:semiHidden/>
    <w:unhideWhenUsed/>
    <w:qFormat/>
    <w:rsid w:val="00693EF2"/>
    <w:pPr>
      <w:numPr>
        <w:ilvl w:val="6"/>
        <w:numId w:val="1"/>
      </w:numPr>
      <w:spacing w:before="240" w:after="60"/>
      <w:outlineLvl w:val="6"/>
    </w:pPr>
    <w:rPr>
      <w:rFonts w:ascii="Calibri" w:eastAsia="Times New Roman" w:hAnsi="Calibri" w:cs="Times New Roman"/>
      <w:sz w:val="24"/>
      <w:szCs w:val="24"/>
    </w:rPr>
  </w:style>
  <w:style w:type="paragraph" w:styleId="Heading8">
    <w:name w:val="heading 8"/>
    <w:basedOn w:val="Normal"/>
    <w:next w:val="Normal"/>
    <w:link w:val="Heading8Char"/>
    <w:uiPriority w:val="9"/>
    <w:semiHidden/>
    <w:unhideWhenUsed/>
    <w:qFormat/>
    <w:rsid w:val="00693EF2"/>
    <w:pPr>
      <w:numPr>
        <w:ilvl w:val="7"/>
        <w:numId w:val="1"/>
      </w:numPr>
      <w:spacing w:before="240" w:after="60"/>
      <w:outlineLvl w:val="7"/>
    </w:pPr>
    <w:rPr>
      <w:rFonts w:ascii="Calibri" w:eastAsia="Times New Roman" w:hAnsi="Calibri" w:cs="Times New Roman"/>
      <w:i/>
      <w:iCs/>
      <w:sz w:val="24"/>
      <w:szCs w:val="24"/>
    </w:rPr>
  </w:style>
  <w:style w:type="paragraph" w:styleId="Heading9">
    <w:name w:val="heading 9"/>
    <w:basedOn w:val="Normal"/>
    <w:next w:val="Normal"/>
    <w:link w:val="Heading9Char"/>
    <w:uiPriority w:val="9"/>
    <w:semiHidden/>
    <w:unhideWhenUsed/>
    <w:qFormat/>
    <w:rsid w:val="00693EF2"/>
    <w:pPr>
      <w:numPr>
        <w:ilvl w:val="8"/>
        <w:numId w:val="1"/>
      </w:numPr>
      <w:spacing w:before="240" w:after="60"/>
      <w:outlineLvl w:val="8"/>
    </w:pPr>
    <w:rPr>
      <w:rFonts w:ascii="Cambria" w:eastAsia="Times New Roman" w:hAnsi="Cambria"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7460E"/>
    <w:rPr>
      <w:sz w:val="16"/>
      <w:szCs w:val="16"/>
    </w:rPr>
  </w:style>
  <w:style w:type="paragraph" w:styleId="CommentText">
    <w:name w:val="annotation text"/>
    <w:basedOn w:val="Normal"/>
    <w:link w:val="CommentTextChar"/>
    <w:uiPriority w:val="99"/>
    <w:unhideWhenUsed/>
    <w:rsid w:val="0097460E"/>
    <w:pPr>
      <w:spacing w:line="240" w:lineRule="auto"/>
    </w:pPr>
    <w:rPr>
      <w:sz w:val="20"/>
      <w:szCs w:val="20"/>
    </w:rPr>
  </w:style>
  <w:style w:type="character" w:customStyle="1" w:styleId="CommentTextChar">
    <w:name w:val="Comment Text Char"/>
    <w:basedOn w:val="DefaultParagraphFont"/>
    <w:link w:val="CommentText"/>
    <w:uiPriority w:val="99"/>
    <w:rsid w:val="0097460E"/>
    <w:rPr>
      <w:sz w:val="20"/>
      <w:szCs w:val="20"/>
    </w:rPr>
  </w:style>
  <w:style w:type="paragraph" w:styleId="CommentSubject">
    <w:name w:val="annotation subject"/>
    <w:basedOn w:val="CommentText"/>
    <w:next w:val="CommentText"/>
    <w:link w:val="CommentSubjectChar"/>
    <w:uiPriority w:val="99"/>
    <w:semiHidden/>
    <w:unhideWhenUsed/>
    <w:rsid w:val="0097460E"/>
    <w:rPr>
      <w:b/>
      <w:bCs/>
    </w:rPr>
  </w:style>
  <w:style w:type="character" w:customStyle="1" w:styleId="CommentSubjectChar">
    <w:name w:val="Comment Subject Char"/>
    <w:basedOn w:val="CommentTextChar"/>
    <w:link w:val="CommentSubject"/>
    <w:uiPriority w:val="99"/>
    <w:semiHidden/>
    <w:rsid w:val="0097460E"/>
    <w:rPr>
      <w:b/>
      <w:bCs/>
      <w:sz w:val="20"/>
      <w:szCs w:val="20"/>
    </w:rPr>
  </w:style>
  <w:style w:type="paragraph" w:styleId="BalloonText">
    <w:name w:val="Balloon Text"/>
    <w:basedOn w:val="Normal"/>
    <w:link w:val="BalloonTextChar"/>
    <w:uiPriority w:val="99"/>
    <w:semiHidden/>
    <w:unhideWhenUsed/>
    <w:rsid w:val="009746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7460E"/>
    <w:rPr>
      <w:rFonts w:ascii="Tahoma" w:hAnsi="Tahoma" w:cs="Tahoma"/>
      <w:sz w:val="16"/>
      <w:szCs w:val="16"/>
    </w:rPr>
  </w:style>
  <w:style w:type="paragraph" w:styleId="ListParagraph">
    <w:name w:val="List Paragraph"/>
    <w:basedOn w:val="Normal"/>
    <w:link w:val="ListParagraphChar"/>
    <w:uiPriority w:val="34"/>
    <w:qFormat/>
    <w:rsid w:val="009B656F"/>
    <w:pPr>
      <w:ind w:left="720"/>
      <w:contextualSpacing/>
    </w:pPr>
  </w:style>
  <w:style w:type="character" w:styleId="Hyperlink">
    <w:name w:val="Hyperlink"/>
    <w:basedOn w:val="DefaultParagraphFont"/>
    <w:uiPriority w:val="99"/>
    <w:unhideWhenUsed/>
    <w:rsid w:val="0080707B"/>
    <w:rPr>
      <w:color w:val="0000FF"/>
      <w:u w:val="single"/>
    </w:rPr>
  </w:style>
  <w:style w:type="paragraph" w:customStyle="1" w:styleId="EndNoteBibliographyTitle">
    <w:name w:val="EndNote Bibliography Title"/>
    <w:basedOn w:val="Normal"/>
    <w:link w:val="EndNoteBibliographyTitleChar"/>
    <w:rsid w:val="00FE46C7"/>
    <w:pPr>
      <w:spacing w:after="0"/>
      <w:jc w:val="center"/>
    </w:pPr>
    <w:rPr>
      <w:rFonts w:ascii="Calibri" w:hAnsi="Calibri" w:cs="Calibri"/>
      <w:noProof/>
    </w:rPr>
  </w:style>
  <w:style w:type="character" w:customStyle="1" w:styleId="ListParagraphChar">
    <w:name w:val="List Paragraph Char"/>
    <w:basedOn w:val="DefaultParagraphFont"/>
    <w:link w:val="ListParagraph"/>
    <w:uiPriority w:val="34"/>
    <w:rsid w:val="00FE46C7"/>
  </w:style>
  <w:style w:type="character" w:customStyle="1" w:styleId="EndNoteBibliographyTitleChar">
    <w:name w:val="EndNote Bibliography Title Char"/>
    <w:basedOn w:val="ListParagraphChar"/>
    <w:link w:val="EndNoteBibliographyTitle"/>
    <w:rsid w:val="00FE46C7"/>
    <w:rPr>
      <w:rFonts w:ascii="Calibri" w:hAnsi="Calibri" w:cs="Calibri"/>
      <w:noProof/>
      <w:lang w:val="en-US"/>
    </w:rPr>
  </w:style>
  <w:style w:type="paragraph" w:customStyle="1" w:styleId="EndNoteBibliography">
    <w:name w:val="EndNote Bibliography"/>
    <w:basedOn w:val="Normal"/>
    <w:link w:val="EndNoteBibliographyChar"/>
    <w:rsid w:val="00FE46C7"/>
    <w:pPr>
      <w:spacing w:line="240" w:lineRule="auto"/>
    </w:pPr>
    <w:rPr>
      <w:rFonts w:ascii="Calibri" w:hAnsi="Calibri" w:cs="Calibri"/>
      <w:noProof/>
    </w:rPr>
  </w:style>
  <w:style w:type="character" w:customStyle="1" w:styleId="EndNoteBibliographyChar">
    <w:name w:val="EndNote Bibliography Char"/>
    <w:basedOn w:val="ListParagraphChar"/>
    <w:link w:val="EndNoteBibliography"/>
    <w:rsid w:val="00FE46C7"/>
    <w:rPr>
      <w:rFonts w:ascii="Calibri" w:hAnsi="Calibri" w:cs="Calibri"/>
      <w:noProof/>
      <w:lang w:val="en-US"/>
    </w:rPr>
  </w:style>
  <w:style w:type="paragraph" w:styleId="Revision">
    <w:name w:val="Revision"/>
    <w:hidden/>
    <w:uiPriority w:val="99"/>
    <w:semiHidden/>
    <w:rsid w:val="00D64CEA"/>
    <w:pPr>
      <w:spacing w:after="0" w:line="240" w:lineRule="auto"/>
    </w:pPr>
  </w:style>
  <w:style w:type="paragraph" w:styleId="Header">
    <w:name w:val="header"/>
    <w:basedOn w:val="Normal"/>
    <w:link w:val="HeaderChar"/>
    <w:uiPriority w:val="99"/>
    <w:unhideWhenUsed/>
    <w:rsid w:val="00D64CEA"/>
    <w:pPr>
      <w:tabs>
        <w:tab w:val="center" w:pos="4513"/>
        <w:tab w:val="right" w:pos="9026"/>
      </w:tabs>
      <w:spacing w:after="0" w:line="240" w:lineRule="auto"/>
    </w:pPr>
  </w:style>
  <w:style w:type="character" w:customStyle="1" w:styleId="HeaderChar">
    <w:name w:val="Header Char"/>
    <w:basedOn w:val="DefaultParagraphFont"/>
    <w:link w:val="Header"/>
    <w:uiPriority w:val="99"/>
    <w:rsid w:val="00D64CEA"/>
  </w:style>
  <w:style w:type="paragraph" w:styleId="Footer">
    <w:name w:val="footer"/>
    <w:basedOn w:val="Normal"/>
    <w:link w:val="FooterChar"/>
    <w:uiPriority w:val="99"/>
    <w:unhideWhenUsed/>
    <w:rsid w:val="00D64CEA"/>
    <w:pPr>
      <w:tabs>
        <w:tab w:val="center" w:pos="4513"/>
        <w:tab w:val="right" w:pos="9026"/>
      </w:tabs>
      <w:spacing w:after="0" w:line="240" w:lineRule="auto"/>
    </w:pPr>
  </w:style>
  <w:style w:type="character" w:customStyle="1" w:styleId="FooterChar">
    <w:name w:val="Footer Char"/>
    <w:basedOn w:val="DefaultParagraphFont"/>
    <w:link w:val="Footer"/>
    <w:uiPriority w:val="99"/>
    <w:rsid w:val="00D64CEA"/>
  </w:style>
  <w:style w:type="paragraph" w:styleId="Bibliography">
    <w:name w:val="Bibliography"/>
    <w:basedOn w:val="Normal"/>
    <w:next w:val="Normal"/>
    <w:uiPriority w:val="37"/>
    <w:unhideWhenUsed/>
    <w:rsid w:val="00D64CEA"/>
    <w:pPr>
      <w:tabs>
        <w:tab w:val="left" w:pos="384"/>
      </w:tabs>
      <w:spacing w:after="240" w:line="240" w:lineRule="auto"/>
      <w:ind w:left="384" w:hanging="384"/>
    </w:pPr>
  </w:style>
  <w:style w:type="character" w:customStyle="1" w:styleId="UnresolvedMention1">
    <w:name w:val="Unresolved Mention1"/>
    <w:basedOn w:val="DefaultParagraphFont"/>
    <w:uiPriority w:val="99"/>
    <w:semiHidden/>
    <w:unhideWhenUsed/>
    <w:rsid w:val="00130E56"/>
    <w:rPr>
      <w:color w:val="605E5C"/>
      <w:shd w:val="clear" w:color="auto" w:fill="E1DFDD"/>
    </w:rPr>
  </w:style>
  <w:style w:type="paragraph" w:styleId="NormalWeb">
    <w:name w:val="Normal (Web)"/>
    <w:basedOn w:val="Normal"/>
    <w:uiPriority w:val="99"/>
    <w:unhideWhenUsed/>
    <w:rsid w:val="00807C13"/>
    <w:rPr>
      <w:rFonts w:ascii="Times New Roman" w:hAnsi="Times New Roman" w:cs="Times New Roman"/>
      <w:sz w:val="24"/>
      <w:szCs w:val="24"/>
    </w:rPr>
  </w:style>
  <w:style w:type="character" w:customStyle="1" w:styleId="UnresolvedMention2">
    <w:name w:val="Unresolved Mention2"/>
    <w:basedOn w:val="DefaultParagraphFont"/>
    <w:uiPriority w:val="99"/>
    <w:semiHidden/>
    <w:unhideWhenUsed/>
    <w:rsid w:val="009D0F14"/>
    <w:rPr>
      <w:color w:val="605E5C"/>
      <w:shd w:val="clear" w:color="auto" w:fill="E1DFDD"/>
    </w:rPr>
  </w:style>
  <w:style w:type="table" w:styleId="TableGrid">
    <w:name w:val="Table Grid"/>
    <w:basedOn w:val="TableNormal"/>
    <w:uiPriority w:val="39"/>
    <w:rsid w:val="00E51B30"/>
    <w:pPr>
      <w:spacing w:after="0" w:line="240" w:lineRule="auto"/>
    </w:pPr>
    <w:rPr>
      <w:rFonts w:ascii="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693EF2"/>
    <w:rPr>
      <w:rFonts w:ascii="Calibri" w:eastAsia="Times New Roman" w:hAnsi="Calibri" w:cs="Times New Roman"/>
      <w:b/>
      <w:bCs/>
      <w:kern w:val="32"/>
      <w:sz w:val="32"/>
      <w:szCs w:val="32"/>
    </w:rPr>
  </w:style>
  <w:style w:type="character" w:customStyle="1" w:styleId="Heading3Char">
    <w:name w:val="Heading 3 Char"/>
    <w:basedOn w:val="DefaultParagraphFont"/>
    <w:link w:val="Heading3"/>
    <w:uiPriority w:val="9"/>
    <w:rsid w:val="00693EF2"/>
    <w:rPr>
      <w:rFonts w:ascii="Calibri" w:eastAsia="Times New Roman" w:hAnsi="Calibri" w:cs="Times New Roman"/>
      <w:b/>
      <w:bCs/>
      <w:szCs w:val="26"/>
    </w:rPr>
  </w:style>
  <w:style w:type="character" w:customStyle="1" w:styleId="Heading4Char">
    <w:name w:val="Heading 4 Char"/>
    <w:basedOn w:val="DefaultParagraphFont"/>
    <w:link w:val="Heading4"/>
    <w:uiPriority w:val="9"/>
    <w:rsid w:val="00693EF2"/>
    <w:rPr>
      <w:rFonts w:ascii="Calibri" w:eastAsia="Times New Roman" w:hAnsi="Calibri" w:cs="Times New Roman"/>
      <w:b/>
      <w:bCs/>
      <w:sz w:val="24"/>
      <w:szCs w:val="28"/>
    </w:rPr>
  </w:style>
  <w:style w:type="character" w:customStyle="1" w:styleId="Heading5Char">
    <w:name w:val="Heading 5 Char"/>
    <w:basedOn w:val="DefaultParagraphFont"/>
    <w:link w:val="Heading5"/>
    <w:uiPriority w:val="9"/>
    <w:rsid w:val="00693EF2"/>
    <w:rPr>
      <w:rFonts w:ascii="Calibri" w:eastAsia="Times New Roman" w:hAnsi="Calibri" w:cs="Times New Roman"/>
      <w:b/>
      <w:bCs/>
      <w:iCs/>
      <w:sz w:val="24"/>
      <w:szCs w:val="26"/>
    </w:rPr>
  </w:style>
  <w:style w:type="character" w:customStyle="1" w:styleId="Heading6Char">
    <w:name w:val="Heading 6 Char"/>
    <w:basedOn w:val="DefaultParagraphFont"/>
    <w:link w:val="Heading6"/>
    <w:uiPriority w:val="9"/>
    <w:semiHidden/>
    <w:rsid w:val="00693EF2"/>
    <w:rPr>
      <w:rFonts w:ascii="Calibri" w:eastAsia="Times New Roman" w:hAnsi="Calibri" w:cs="Times New Roman"/>
      <w:b/>
      <w:bCs/>
    </w:rPr>
  </w:style>
  <w:style w:type="character" w:customStyle="1" w:styleId="Heading7Char">
    <w:name w:val="Heading 7 Char"/>
    <w:basedOn w:val="DefaultParagraphFont"/>
    <w:link w:val="Heading7"/>
    <w:uiPriority w:val="9"/>
    <w:semiHidden/>
    <w:rsid w:val="00693EF2"/>
    <w:rPr>
      <w:rFonts w:ascii="Calibri" w:eastAsia="Times New Roman" w:hAnsi="Calibri" w:cs="Times New Roman"/>
      <w:sz w:val="24"/>
      <w:szCs w:val="24"/>
    </w:rPr>
  </w:style>
  <w:style w:type="character" w:customStyle="1" w:styleId="Heading8Char">
    <w:name w:val="Heading 8 Char"/>
    <w:basedOn w:val="DefaultParagraphFont"/>
    <w:link w:val="Heading8"/>
    <w:uiPriority w:val="9"/>
    <w:semiHidden/>
    <w:rsid w:val="00693EF2"/>
    <w:rPr>
      <w:rFonts w:ascii="Calibri" w:eastAsia="Times New Roman" w:hAnsi="Calibri" w:cs="Times New Roman"/>
      <w:i/>
      <w:iCs/>
      <w:sz w:val="24"/>
      <w:szCs w:val="24"/>
    </w:rPr>
  </w:style>
  <w:style w:type="character" w:customStyle="1" w:styleId="Heading9Char">
    <w:name w:val="Heading 9 Char"/>
    <w:basedOn w:val="DefaultParagraphFont"/>
    <w:link w:val="Heading9"/>
    <w:uiPriority w:val="9"/>
    <w:semiHidden/>
    <w:rsid w:val="00693EF2"/>
    <w:rPr>
      <w:rFonts w:ascii="Cambria" w:eastAsia="Times New Roman" w:hAnsi="Cambria" w:cs="Times New Roman"/>
    </w:rPr>
  </w:style>
  <w:style w:type="character" w:customStyle="1" w:styleId="Heading2Char">
    <w:name w:val="Heading 2 Char"/>
    <w:basedOn w:val="DefaultParagraphFont"/>
    <w:link w:val="Heading2"/>
    <w:uiPriority w:val="9"/>
    <w:rsid w:val="00F7370E"/>
    <w:rPr>
      <w:rFonts w:ascii="Calibri" w:eastAsia="Times New Roman" w:hAnsi="Calibri" w:cs="Times New Roman"/>
      <w:b/>
      <w:bCs/>
      <w:sz w:val="24"/>
      <w:szCs w:val="24"/>
      <w:lang w:val="en-US"/>
    </w:rPr>
  </w:style>
  <w:style w:type="paragraph" w:styleId="EndnoteText">
    <w:name w:val="endnote text"/>
    <w:basedOn w:val="Normal"/>
    <w:link w:val="EndnoteTextChar"/>
    <w:uiPriority w:val="99"/>
    <w:rsid w:val="00F7370E"/>
    <w:pPr>
      <w:spacing w:after="0" w:line="240" w:lineRule="auto"/>
    </w:pPr>
    <w:rPr>
      <w:rFonts w:ascii="Arial" w:eastAsia="Times New Roman" w:hAnsi="Arial" w:cs="Times New Roman"/>
      <w:sz w:val="20"/>
      <w:szCs w:val="20"/>
    </w:rPr>
  </w:style>
  <w:style w:type="character" w:customStyle="1" w:styleId="EndnoteTextChar">
    <w:name w:val="Endnote Text Char"/>
    <w:basedOn w:val="DefaultParagraphFont"/>
    <w:link w:val="EndnoteText"/>
    <w:uiPriority w:val="99"/>
    <w:rsid w:val="00F7370E"/>
    <w:rPr>
      <w:rFonts w:ascii="Arial" w:eastAsia="Times New Roman" w:hAnsi="Arial" w:cs="Times New Roman"/>
      <w:sz w:val="20"/>
      <w:szCs w:val="20"/>
    </w:rPr>
  </w:style>
  <w:style w:type="character" w:styleId="EndnoteReference">
    <w:name w:val="endnote reference"/>
    <w:semiHidden/>
    <w:rsid w:val="00F7370E"/>
    <w:rPr>
      <w:vertAlign w:val="superscript"/>
    </w:rPr>
  </w:style>
  <w:style w:type="table" w:styleId="MediumShading1-Accent5">
    <w:name w:val="Medium Shading 1 Accent 5"/>
    <w:basedOn w:val="TableNormal"/>
    <w:uiPriority w:val="63"/>
    <w:rsid w:val="00F7370E"/>
    <w:pPr>
      <w:spacing w:after="0" w:line="240" w:lineRule="auto"/>
    </w:pPr>
    <w:rPr>
      <w:rFonts w:ascii="Calibri" w:hAnsi="Calibri" w:cs="Times New Roman"/>
      <w:sz w:val="20"/>
      <w:szCs w:val="20"/>
      <w:lang w:eastAsia="en-GB"/>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paragraph" w:styleId="TOC1">
    <w:name w:val="toc 1"/>
    <w:basedOn w:val="Normal"/>
    <w:next w:val="Normal"/>
    <w:autoRedefine/>
    <w:uiPriority w:val="39"/>
    <w:unhideWhenUsed/>
    <w:rsid w:val="00F7370E"/>
    <w:rPr>
      <w:rFonts w:ascii="Calibri" w:hAnsi="Calibri" w:cs="Times New Roman"/>
    </w:rPr>
  </w:style>
  <w:style w:type="paragraph" w:styleId="TOC2">
    <w:name w:val="toc 2"/>
    <w:basedOn w:val="Normal"/>
    <w:next w:val="Normal"/>
    <w:autoRedefine/>
    <w:uiPriority w:val="39"/>
    <w:unhideWhenUsed/>
    <w:rsid w:val="00F7370E"/>
    <w:pPr>
      <w:ind w:left="220"/>
    </w:pPr>
    <w:rPr>
      <w:rFonts w:ascii="Calibri" w:hAnsi="Calibri" w:cs="Times New Roman"/>
    </w:rPr>
  </w:style>
  <w:style w:type="paragraph" w:customStyle="1" w:styleId="maintext">
    <w:name w:val="maintext"/>
    <w:basedOn w:val="Normal"/>
    <w:rsid w:val="00F7370E"/>
    <w:pPr>
      <w:spacing w:after="100" w:afterAutospacing="1" w:line="240" w:lineRule="auto"/>
    </w:pPr>
    <w:rPr>
      <w:rFonts w:ascii="Trebuchet MS" w:eastAsia="Times New Roman" w:hAnsi="Trebuchet MS" w:cs="Times New Roman"/>
      <w:sz w:val="18"/>
      <w:szCs w:val="18"/>
    </w:rPr>
  </w:style>
  <w:style w:type="paragraph" w:styleId="BodyText2">
    <w:name w:val="Body Text 2"/>
    <w:basedOn w:val="Normal"/>
    <w:link w:val="BodyText2Char"/>
    <w:rsid w:val="00F7370E"/>
    <w:pPr>
      <w:spacing w:after="0" w:line="240" w:lineRule="auto"/>
      <w:jc w:val="both"/>
    </w:pPr>
    <w:rPr>
      <w:rFonts w:ascii="Arial" w:eastAsia="Times New Roman" w:hAnsi="Arial" w:cs="Times New Roman"/>
      <w:sz w:val="24"/>
      <w:szCs w:val="20"/>
      <w:lang w:eastAsia="es-ES"/>
    </w:rPr>
  </w:style>
  <w:style w:type="character" w:customStyle="1" w:styleId="BodyText2Char">
    <w:name w:val="Body Text 2 Char"/>
    <w:basedOn w:val="DefaultParagraphFont"/>
    <w:link w:val="BodyText2"/>
    <w:rsid w:val="00F7370E"/>
    <w:rPr>
      <w:rFonts w:ascii="Arial" w:eastAsia="Times New Roman" w:hAnsi="Arial" w:cs="Times New Roman"/>
      <w:sz w:val="24"/>
      <w:szCs w:val="20"/>
      <w:lang w:eastAsia="es-ES"/>
    </w:rPr>
  </w:style>
  <w:style w:type="paragraph" w:styleId="FootnoteText">
    <w:name w:val="footnote text"/>
    <w:basedOn w:val="Normal"/>
    <w:link w:val="FootnoteTextChar"/>
    <w:semiHidden/>
    <w:rsid w:val="00F7370E"/>
    <w:pPr>
      <w:spacing w:after="0" w:line="240" w:lineRule="auto"/>
    </w:pPr>
    <w:rPr>
      <w:rFonts w:ascii="Times New Roman" w:eastAsia="Times New Roman" w:hAnsi="Times New Roman" w:cs="Times New Roman"/>
      <w:sz w:val="20"/>
      <w:szCs w:val="20"/>
      <w:lang w:val="es-ES" w:eastAsia="es-ES"/>
    </w:rPr>
  </w:style>
  <w:style w:type="character" w:customStyle="1" w:styleId="FootnoteTextChar">
    <w:name w:val="Footnote Text Char"/>
    <w:basedOn w:val="DefaultParagraphFont"/>
    <w:link w:val="FootnoteText"/>
    <w:semiHidden/>
    <w:rsid w:val="00F7370E"/>
    <w:rPr>
      <w:rFonts w:ascii="Times New Roman" w:eastAsia="Times New Roman" w:hAnsi="Times New Roman" w:cs="Times New Roman"/>
      <w:sz w:val="20"/>
      <w:szCs w:val="20"/>
      <w:lang w:val="es-ES" w:eastAsia="es-ES"/>
    </w:rPr>
  </w:style>
  <w:style w:type="character" w:styleId="FootnoteReference">
    <w:name w:val="footnote reference"/>
    <w:uiPriority w:val="99"/>
    <w:semiHidden/>
    <w:rsid w:val="00F7370E"/>
    <w:rPr>
      <w:vertAlign w:val="superscript"/>
    </w:rPr>
  </w:style>
  <w:style w:type="paragraph" w:customStyle="1" w:styleId="Estilo3">
    <w:name w:val="Estilo3"/>
    <w:basedOn w:val="Normal"/>
    <w:autoRedefine/>
    <w:rsid w:val="00F7370E"/>
    <w:pPr>
      <w:spacing w:after="0" w:line="360" w:lineRule="auto"/>
      <w:jc w:val="both"/>
    </w:pPr>
    <w:rPr>
      <w:rFonts w:ascii="Calibri" w:eastAsia="Times New Roman" w:hAnsi="Calibri" w:cs="Times New Roman"/>
      <w:bCs/>
      <w:iCs/>
      <w:color w:val="000000"/>
      <w:sz w:val="24"/>
      <w:szCs w:val="24"/>
      <w:lang w:eastAsia="es-ES"/>
    </w:rPr>
  </w:style>
  <w:style w:type="paragraph" w:customStyle="1" w:styleId="Default">
    <w:name w:val="Default"/>
    <w:rsid w:val="00F7370E"/>
    <w:pPr>
      <w:autoSpaceDE w:val="0"/>
      <w:autoSpaceDN w:val="0"/>
      <w:adjustRightInd w:val="0"/>
      <w:spacing w:after="0" w:line="240" w:lineRule="auto"/>
    </w:pPr>
    <w:rPr>
      <w:rFonts w:ascii="Calibri" w:hAnsi="Calibri" w:cs="Calibri"/>
      <w:color w:val="000000"/>
      <w:sz w:val="24"/>
      <w:szCs w:val="24"/>
      <w:lang w:eastAsia="en-GB"/>
    </w:rPr>
  </w:style>
  <w:style w:type="character" w:styleId="FollowedHyperlink">
    <w:name w:val="FollowedHyperlink"/>
    <w:uiPriority w:val="99"/>
    <w:semiHidden/>
    <w:unhideWhenUsed/>
    <w:rsid w:val="00F7370E"/>
    <w:rPr>
      <w:color w:val="800080"/>
      <w:u w:val="single"/>
    </w:rPr>
  </w:style>
  <w:style w:type="paragraph" w:customStyle="1" w:styleId="toa">
    <w:name w:val="toa"/>
    <w:basedOn w:val="Normal"/>
    <w:rsid w:val="00F7370E"/>
    <w:pPr>
      <w:tabs>
        <w:tab w:val="left" w:pos="9000"/>
        <w:tab w:val="right" w:pos="9360"/>
      </w:tabs>
      <w:spacing w:after="0" w:line="240" w:lineRule="auto"/>
    </w:pPr>
    <w:rPr>
      <w:rFonts w:ascii="Courier New" w:eastAsia="Times New Roman" w:hAnsi="Courier New" w:cs="Times New Roman"/>
      <w:sz w:val="24"/>
      <w:szCs w:val="20"/>
      <w:lang w:eastAsia="es-ES"/>
    </w:rPr>
  </w:style>
  <w:style w:type="paragraph" w:customStyle="1" w:styleId="heading2text">
    <w:name w:val="heading 2 text"/>
    <w:basedOn w:val="Normal"/>
    <w:rsid w:val="00F7370E"/>
    <w:pPr>
      <w:spacing w:after="0" w:line="240" w:lineRule="auto"/>
      <w:ind w:left="360"/>
      <w:jc w:val="both"/>
    </w:pPr>
    <w:rPr>
      <w:rFonts w:ascii="Helv" w:eastAsia="Times New Roman" w:hAnsi="Times New Roman" w:cs="Times New Roman"/>
      <w:caps/>
      <w:sz w:val="24"/>
      <w:szCs w:val="20"/>
      <w:lang w:eastAsia="es-ES"/>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character" w:styleId="Strong">
    <w:name w:val="Strong"/>
    <w:uiPriority w:val="22"/>
    <w:qFormat/>
    <w:rsid w:val="00F7370E"/>
    <w:rPr>
      <w:b/>
      <w:bCs/>
    </w:rPr>
  </w:style>
  <w:style w:type="paragraph" w:styleId="ListBullet4">
    <w:name w:val="List Bullet 4"/>
    <w:basedOn w:val="Normal"/>
    <w:autoRedefine/>
    <w:rsid w:val="00F7370E"/>
    <w:pPr>
      <w:numPr>
        <w:numId w:val="10"/>
      </w:numPr>
      <w:spacing w:after="0" w:line="240" w:lineRule="auto"/>
    </w:pPr>
    <w:rPr>
      <w:rFonts w:ascii="Times New Roman" w:eastAsia="Times New Roman" w:hAnsi="Times New Roman" w:cs="Times New Roman"/>
      <w:sz w:val="20"/>
      <w:szCs w:val="20"/>
      <w:lang w:eastAsia="es-ES"/>
    </w:rPr>
  </w:style>
  <w:style w:type="paragraph" w:styleId="TOCHeading">
    <w:name w:val="TOC Heading"/>
    <w:basedOn w:val="Heading1"/>
    <w:next w:val="Normal"/>
    <w:uiPriority w:val="39"/>
    <w:semiHidden/>
    <w:unhideWhenUsed/>
    <w:qFormat/>
    <w:rsid w:val="00F7370E"/>
    <w:pPr>
      <w:keepLines/>
      <w:numPr>
        <w:numId w:val="0"/>
      </w:numPr>
      <w:spacing w:before="480" w:after="0"/>
      <w:outlineLvl w:val="9"/>
    </w:pPr>
    <w:rPr>
      <w:rFonts w:ascii="Cambria" w:hAnsi="Cambria"/>
      <w:color w:val="365F91"/>
      <w:kern w:val="0"/>
      <w:sz w:val="28"/>
      <w:szCs w:val="28"/>
    </w:rPr>
  </w:style>
  <w:style w:type="paragraph" w:customStyle="1" w:styleId="Tabletext">
    <w:name w:val="Table text"/>
    <w:basedOn w:val="Normal"/>
    <w:rsid w:val="00F7370E"/>
    <w:pPr>
      <w:spacing w:before="120" w:after="0" w:line="240" w:lineRule="auto"/>
    </w:pPr>
    <w:rPr>
      <w:rFonts w:ascii="Times New Roman" w:eastAsia="Times New Roman" w:hAnsi="Times New Roman" w:cs="Times New Roman"/>
      <w:szCs w:val="20"/>
      <w:lang w:eastAsia="es-ES"/>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styleId="TOC3">
    <w:name w:val="toc 3"/>
    <w:basedOn w:val="Normal"/>
    <w:next w:val="Normal"/>
    <w:autoRedefine/>
    <w:uiPriority w:val="39"/>
    <w:unhideWhenUsed/>
    <w:rsid w:val="00F7370E"/>
    <w:pPr>
      <w:ind w:left="440"/>
    </w:pPr>
    <w:rPr>
      <w:rFonts w:ascii="Calibri" w:hAnsi="Calibri" w:cs="Times New Roman"/>
    </w:rPr>
  </w:style>
  <w:style w:type="paragraph" w:styleId="Caption">
    <w:name w:val="caption"/>
    <w:basedOn w:val="Normal"/>
    <w:next w:val="Normal"/>
    <w:uiPriority w:val="35"/>
    <w:unhideWhenUsed/>
    <w:qFormat/>
    <w:rsid w:val="00F7370E"/>
    <w:pPr>
      <w:spacing w:line="240" w:lineRule="auto"/>
    </w:pPr>
    <w:rPr>
      <w:rFonts w:ascii="Calibri" w:hAnsi="Calibri" w:cs="Times New Roman"/>
      <w:b/>
      <w:bCs/>
      <w:color w:val="4F81BD"/>
      <w:sz w:val="18"/>
      <w:szCs w:val="18"/>
    </w:rPr>
  </w:style>
  <w:style w:type="paragraph" w:styleId="TableofFigures">
    <w:name w:val="table of figures"/>
    <w:basedOn w:val="Normal"/>
    <w:next w:val="Normal"/>
    <w:uiPriority w:val="99"/>
    <w:unhideWhenUsed/>
    <w:rsid w:val="00F7370E"/>
    <w:pPr>
      <w:spacing w:after="0"/>
    </w:pPr>
    <w:rPr>
      <w:rFonts w:ascii="Calibri" w:hAnsi="Calibri" w:cs="Times New Roman"/>
    </w:rPr>
  </w:style>
  <w:style w:type="character" w:styleId="PlaceholderText">
    <w:name w:val="Placeholder Text"/>
    <w:basedOn w:val="DefaultParagraphFont"/>
    <w:uiPriority w:val="99"/>
    <w:semiHidden/>
    <w:rsid w:val="00F7370E"/>
    <w:rPr>
      <w:color w:val="808080"/>
    </w:rPr>
  </w:style>
  <w:style w:type="paragraph" w:customStyle="1" w:styleId="Text">
    <w:name w:val="Text"/>
    <w:basedOn w:val="Normal"/>
    <w:link w:val="TextChar1"/>
    <w:rsid w:val="00F7370E"/>
    <w:pPr>
      <w:spacing w:before="120" w:after="40" w:line="240" w:lineRule="auto"/>
      <w:jc w:val="both"/>
    </w:pPr>
    <w:rPr>
      <w:rFonts w:ascii="Times New Roman" w:eastAsia="MS Mincho" w:hAnsi="Times New Roman" w:cs="Times New Roman"/>
      <w:sz w:val="24"/>
      <w:szCs w:val="20"/>
      <w:lang w:eastAsia="zh-CN"/>
    </w:rPr>
  </w:style>
  <w:style w:type="character" w:customStyle="1" w:styleId="TextChar1">
    <w:name w:val="Text Char1"/>
    <w:link w:val="Text"/>
    <w:rsid w:val="00F7370E"/>
    <w:rPr>
      <w:rFonts w:ascii="Times New Roman" w:eastAsia="MS Mincho" w:hAnsi="Times New Roman" w:cs="Times New Roman"/>
      <w:sz w:val="24"/>
      <w:szCs w:val="20"/>
      <w:lang w:val="en-US" w:eastAsia="zh-CN"/>
    </w:rPr>
  </w:style>
  <w:style w:type="character" w:customStyle="1" w:styleId="authors">
    <w:name w:val="authors"/>
    <w:basedOn w:val="DefaultParagraphFont"/>
    <w:rsid w:val="00F7370E"/>
  </w:style>
  <w:style w:type="character" w:customStyle="1" w:styleId="Date1">
    <w:name w:val="Date1"/>
    <w:basedOn w:val="DefaultParagraphFont"/>
    <w:rsid w:val="00F7370E"/>
  </w:style>
  <w:style w:type="character" w:customStyle="1" w:styleId="arttitle">
    <w:name w:val="art_title"/>
    <w:basedOn w:val="DefaultParagraphFont"/>
    <w:rsid w:val="00F7370E"/>
  </w:style>
  <w:style w:type="character" w:customStyle="1" w:styleId="serialtitle">
    <w:name w:val="serial_title"/>
    <w:basedOn w:val="DefaultParagraphFont"/>
    <w:rsid w:val="00F7370E"/>
  </w:style>
  <w:style w:type="character" w:customStyle="1" w:styleId="volumeissue">
    <w:name w:val="volume_issue"/>
    <w:basedOn w:val="DefaultParagraphFont"/>
    <w:rsid w:val="00F7370E"/>
  </w:style>
  <w:style w:type="character" w:customStyle="1" w:styleId="pagerange">
    <w:name w:val="page_range"/>
    <w:basedOn w:val="DefaultParagraphFont"/>
    <w:rsid w:val="00F7370E"/>
  </w:style>
  <w:style w:type="character" w:customStyle="1" w:styleId="TextChar">
    <w:name w:val="Text Char"/>
    <w:basedOn w:val="DefaultParagraphFont"/>
    <w:locked/>
    <w:rsid w:val="00F7370E"/>
    <w:rPr>
      <w:rFonts w:ascii="Calibri" w:eastAsia="Times New Roman" w:hAnsi="Calibri" w:cs="Times New Roman"/>
      <w:sz w:val="24"/>
      <w:szCs w:val="20"/>
      <w:lang w:val="en-US"/>
    </w:rPr>
  </w:style>
  <w:style w:type="character" w:customStyle="1" w:styleId="UnresolvedMention20">
    <w:name w:val="Unresolved Mention2"/>
    <w:basedOn w:val="DefaultParagraphFont"/>
    <w:uiPriority w:val="99"/>
    <w:semiHidden/>
    <w:unhideWhenUsed/>
    <w:rsid w:val="00F7370E"/>
    <w:rPr>
      <w:color w:val="605E5C"/>
      <w:shd w:val="clear" w:color="auto" w:fill="E1DFDD"/>
    </w:rPr>
  </w:style>
  <w:style w:type="character" w:customStyle="1" w:styleId="uworddic">
    <w:name w:val="u_word_dic"/>
    <w:basedOn w:val="DefaultParagraphFont"/>
    <w:rsid w:val="00044541"/>
  </w:style>
  <w:style w:type="character" w:styleId="UnresolvedMention">
    <w:name w:val="Unresolved Mention"/>
    <w:basedOn w:val="DefaultParagraphFont"/>
    <w:uiPriority w:val="99"/>
    <w:semiHidden/>
    <w:unhideWhenUsed/>
    <w:rsid w:val="00F84D07"/>
    <w:rPr>
      <w:color w:val="605E5C"/>
      <w:shd w:val="clear" w:color="auto" w:fill="E1DFDD"/>
    </w:rPr>
  </w:style>
  <w:style w:type="character" w:styleId="Emphasis">
    <w:name w:val="Emphasis"/>
    <w:basedOn w:val="DefaultParagraphFont"/>
    <w:uiPriority w:val="20"/>
    <w:qFormat/>
    <w:rsid w:val="00341080"/>
    <w:rPr>
      <w:i/>
      <w:iCs/>
    </w:rPr>
  </w:style>
  <w:style w:type="character" w:customStyle="1" w:styleId="UnresolvedMention3">
    <w:name w:val="Unresolved Mention3"/>
    <w:basedOn w:val="DefaultParagraphFont"/>
    <w:uiPriority w:val="99"/>
    <w:semiHidden/>
    <w:unhideWhenUsed/>
    <w:rsid w:val="008E3122"/>
    <w:rPr>
      <w:color w:val="605E5C"/>
      <w:shd w:val="clear" w:color="auto" w:fill="E1DFDD"/>
    </w:rPr>
  </w:style>
  <w:style w:type="character" w:customStyle="1" w:styleId="1">
    <w:name w:val="확인되지 않은 멘션1"/>
    <w:basedOn w:val="DefaultParagraphFont"/>
    <w:uiPriority w:val="99"/>
    <w:semiHidden/>
    <w:unhideWhenUsed/>
    <w:rsid w:val="00F90B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22290">
      <w:bodyDiv w:val="1"/>
      <w:marLeft w:val="0"/>
      <w:marRight w:val="0"/>
      <w:marTop w:val="0"/>
      <w:marBottom w:val="0"/>
      <w:divBdr>
        <w:top w:val="none" w:sz="0" w:space="0" w:color="auto"/>
        <w:left w:val="none" w:sz="0" w:space="0" w:color="auto"/>
        <w:bottom w:val="none" w:sz="0" w:space="0" w:color="auto"/>
        <w:right w:val="none" w:sz="0" w:space="0" w:color="auto"/>
      </w:divBdr>
    </w:div>
    <w:div w:id="49694849">
      <w:bodyDiv w:val="1"/>
      <w:marLeft w:val="0"/>
      <w:marRight w:val="0"/>
      <w:marTop w:val="0"/>
      <w:marBottom w:val="0"/>
      <w:divBdr>
        <w:top w:val="none" w:sz="0" w:space="0" w:color="auto"/>
        <w:left w:val="none" w:sz="0" w:space="0" w:color="auto"/>
        <w:bottom w:val="none" w:sz="0" w:space="0" w:color="auto"/>
        <w:right w:val="none" w:sz="0" w:space="0" w:color="auto"/>
      </w:divBdr>
    </w:div>
    <w:div w:id="102769965">
      <w:bodyDiv w:val="1"/>
      <w:marLeft w:val="0"/>
      <w:marRight w:val="0"/>
      <w:marTop w:val="0"/>
      <w:marBottom w:val="0"/>
      <w:divBdr>
        <w:top w:val="none" w:sz="0" w:space="0" w:color="auto"/>
        <w:left w:val="none" w:sz="0" w:space="0" w:color="auto"/>
        <w:bottom w:val="none" w:sz="0" w:space="0" w:color="auto"/>
        <w:right w:val="none" w:sz="0" w:space="0" w:color="auto"/>
      </w:divBdr>
    </w:div>
    <w:div w:id="131674468">
      <w:bodyDiv w:val="1"/>
      <w:marLeft w:val="0"/>
      <w:marRight w:val="0"/>
      <w:marTop w:val="0"/>
      <w:marBottom w:val="0"/>
      <w:divBdr>
        <w:top w:val="none" w:sz="0" w:space="0" w:color="auto"/>
        <w:left w:val="none" w:sz="0" w:space="0" w:color="auto"/>
        <w:bottom w:val="none" w:sz="0" w:space="0" w:color="auto"/>
        <w:right w:val="none" w:sz="0" w:space="0" w:color="auto"/>
      </w:divBdr>
    </w:div>
    <w:div w:id="166407254">
      <w:bodyDiv w:val="1"/>
      <w:marLeft w:val="0"/>
      <w:marRight w:val="0"/>
      <w:marTop w:val="0"/>
      <w:marBottom w:val="0"/>
      <w:divBdr>
        <w:top w:val="none" w:sz="0" w:space="0" w:color="auto"/>
        <w:left w:val="none" w:sz="0" w:space="0" w:color="auto"/>
        <w:bottom w:val="none" w:sz="0" w:space="0" w:color="auto"/>
        <w:right w:val="none" w:sz="0" w:space="0" w:color="auto"/>
      </w:divBdr>
    </w:div>
    <w:div w:id="193154710">
      <w:bodyDiv w:val="1"/>
      <w:marLeft w:val="0"/>
      <w:marRight w:val="0"/>
      <w:marTop w:val="0"/>
      <w:marBottom w:val="0"/>
      <w:divBdr>
        <w:top w:val="none" w:sz="0" w:space="0" w:color="auto"/>
        <w:left w:val="none" w:sz="0" w:space="0" w:color="auto"/>
        <w:bottom w:val="none" w:sz="0" w:space="0" w:color="auto"/>
        <w:right w:val="none" w:sz="0" w:space="0" w:color="auto"/>
      </w:divBdr>
    </w:div>
    <w:div w:id="318579899">
      <w:bodyDiv w:val="1"/>
      <w:marLeft w:val="0"/>
      <w:marRight w:val="0"/>
      <w:marTop w:val="0"/>
      <w:marBottom w:val="0"/>
      <w:divBdr>
        <w:top w:val="none" w:sz="0" w:space="0" w:color="auto"/>
        <w:left w:val="none" w:sz="0" w:space="0" w:color="auto"/>
        <w:bottom w:val="none" w:sz="0" w:space="0" w:color="auto"/>
        <w:right w:val="none" w:sz="0" w:space="0" w:color="auto"/>
      </w:divBdr>
    </w:div>
    <w:div w:id="369844748">
      <w:bodyDiv w:val="1"/>
      <w:marLeft w:val="0"/>
      <w:marRight w:val="0"/>
      <w:marTop w:val="0"/>
      <w:marBottom w:val="0"/>
      <w:divBdr>
        <w:top w:val="none" w:sz="0" w:space="0" w:color="auto"/>
        <w:left w:val="none" w:sz="0" w:space="0" w:color="auto"/>
        <w:bottom w:val="none" w:sz="0" w:space="0" w:color="auto"/>
        <w:right w:val="none" w:sz="0" w:space="0" w:color="auto"/>
      </w:divBdr>
    </w:div>
    <w:div w:id="442385418">
      <w:bodyDiv w:val="1"/>
      <w:marLeft w:val="0"/>
      <w:marRight w:val="0"/>
      <w:marTop w:val="0"/>
      <w:marBottom w:val="0"/>
      <w:divBdr>
        <w:top w:val="none" w:sz="0" w:space="0" w:color="auto"/>
        <w:left w:val="none" w:sz="0" w:space="0" w:color="auto"/>
        <w:bottom w:val="none" w:sz="0" w:space="0" w:color="auto"/>
        <w:right w:val="none" w:sz="0" w:space="0" w:color="auto"/>
      </w:divBdr>
    </w:div>
    <w:div w:id="464464918">
      <w:bodyDiv w:val="1"/>
      <w:marLeft w:val="0"/>
      <w:marRight w:val="0"/>
      <w:marTop w:val="0"/>
      <w:marBottom w:val="0"/>
      <w:divBdr>
        <w:top w:val="none" w:sz="0" w:space="0" w:color="auto"/>
        <w:left w:val="none" w:sz="0" w:space="0" w:color="auto"/>
        <w:bottom w:val="none" w:sz="0" w:space="0" w:color="auto"/>
        <w:right w:val="none" w:sz="0" w:space="0" w:color="auto"/>
      </w:divBdr>
    </w:div>
    <w:div w:id="592318031">
      <w:bodyDiv w:val="1"/>
      <w:marLeft w:val="0"/>
      <w:marRight w:val="0"/>
      <w:marTop w:val="0"/>
      <w:marBottom w:val="0"/>
      <w:divBdr>
        <w:top w:val="none" w:sz="0" w:space="0" w:color="auto"/>
        <w:left w:val="none" w:sz="0" w:space="0" w:color="auto"/>
        <w:bottom w:val="none" w:sz="0" w:space="0" w:color="auto"/>
        <w:right w:val="none" w:sz="0" w:space="0" w:color="auto"/>
      </w:divBdr>
    </w:div>
    <w:div w:id="602105279">
      <w:bodyDiv w:val="1"/>
      <w:marLeft w:val="0"/>
      <w:marRight w:val="0"/>
      <w:marTop w:val="0"/>
      <w:marBottom w:val="0"/>
      <w:divBdr>
        <w:top w:val="none" w:sz="0" w:space="0" w:color="auto"/>
        <w:left w:val="none" w:sz="0" w:space="0" w:color="auto"/>
        <w:bottom w:val="none" w:sz="0" w:space="0" w:color="auto"/>
        <w:right w:val="none" w:sz="0" w:space="0" w:color="auto"/>
      </w:divBdr>
    </w:div>
    <w:div w:id="737089937">
      <w:bodyDiv w:val="1"/>
      <w:marLeft w:val="0"/>
      <w:marRight w:val="0"/>
      <w:marTop w:val="0"/>
      <w:marBottom w:val="0"/>
      <w:divBdr>
        <w:top w:val="none" w:sz="0" w:space="0" w:color="auto"/>
        <w:left w:val="none" w:sz="0" w:space="0" w:color="auto"/>
        <w:bottom w:val="none" w:sz="0" w:space="0" w:color="auto"/>
        <w:right w:val="none" w:sz="0" w:space="0" w:color="auto"/>
      </w:divBdr>
    </w:div>
    <w:div w:id="755135314">
      <w:bodyDiv w:val="1"/>
      <w:marLeft w:val="0"/>
      <w:marRight w:val="0"/>
      <w:marTop w:val="0"/>
      <w:marBottom w:val="0"/>
      <w:divBdr>
        <w:top w:val="none" w:sz="0" w:space="0" w:color="auto"/>
        <w:left w:val="none" w:sz="0" w:space="0" w:color="auto"/>
        <w:bottom w:val="none" w:sz="0" w:space="0" w:color="auto"/>
        <w:right w:val="none" w:sz="0" w:space="0" w:color="auto"/>
      </w:divBdr>
    </w:div>
    <w:div w:id="867639713">
      <w:bodyDiv w:val="1"/>
      <w:marLeft w:val="0"/>
      <w:marRight w:val="0"/>
      <w:marTop w:val="0"/>
      <w:marBottom w:val="0"/>
      <w:divBdr>
        <w:top w:val="none" w:sz="0" w:space="0" w:color="auto"/>
        <w:left w:val="none" w:sz="0" w:space="0" w:color="auto"/>
        <w:bottom w:val="none" w:sz="0" w:space="0" w:color="auto"/>
        <w:right w:val="none" w:sz="0" w:space="0" w:color="auto"/>
      </w:divBdr>
    </w:div>
    <w:div w:id="903904717">
      <w:bodyDiv w:val="1"/>
      <w:marLeft w:val="0"/>
      <w:marRight w:val="0"/>
      <w:marTop w:val="0"/>
      <w:marBottom w:val="0"/>
      <w:divBdr>
        <w:top w:val="none" w:sz="0" w:space="0" w:color="auto"/>
        <w:left w:val="none" w:sz="0" w:space="0" w:color="auto"/>
        <w:bottom w:val="none" w:sz="0" w:space="0" w:color="auto"/>
        <w:right w:val="none" w:sz="0" w:space="0" w:color="auto"/>
      </w:divBdr>
    </w:div>
    <w:div w:id="910584443">
      <w:bodyDiv w:val="1"/>
      <w:marLeft w:val="0"/>
      <w:marRight w:val="0"/>
      <w:marTop w:val="0"/>
      <w:marBottom w:val="0"/>
      <w:divBdr>
        <w:top w:val="none" w:sz="0" w:space="0" w:color="auto"/>
        <w:left w:val="none" w:sz="0" w:space="0" w:color="auto"/>
        <w:bottom w:val="none" w:sz="0" w:space="0" w:color="auto"/>
        <w:right w:val="none" w:sz="0" w:space="0" w:color="auto"/>
      </w:divBdr>
    </w:div>
    <w:div w:id="1018967483">
      <w:bodyDiv w:val="1"/>
      <w:marLeft w:val="0"/>
      <w:marRight w:val="0"/>
      <w:marTop w:val="0"/>
      <w:marBottom w:val="0"/>
      <w:divBdr>
        <w:top w:val="none" w:sz="0" w:space="0" w:color="auto"/>
        <w:left w:val="none" w:sz="0" w:space="0" w:color="auto"/>
        <w:bottom w:val="none" w:sz="0" w:space="0" w:color="auto"/>
        <w:right w:val="none" w:sz="0" w:space="0" w:color="auto"/>
      </w:divBdr>
    </w:div>
    <w:div w:id="1036614898">
      <w:bodyDiv w:val="1"/>
      <w:marLeft w:val="0"/>
      <w:marRight w:val="0"/>
      <w:marTop w:val="0"/>
      <w:marBottom w:val="0"/>
      <w:divBdr>
        <w:top w:val="none" w:sz="0" w:space="0" w:color="auto"/>
        <w:left w:val="none" w:sz="0" w:space="0" w:color="auto"/>
        <w:bottom w:val="none" w:sz="0" w:space="0" w:color="auto"/>
        <w:right w:val="none" w:sz="0" w:space="0" w:color="auto"/>
      </w:divBdr>
    </w:div>
    <w:div w:id="1152916203">
      <w:bodyDiv w:val="1"/>
      <w:marLeft w:val="0"/>
      <w:marRight w:val="0"/>
      <w:marTop w:val="0"/>
      <w:marBottom w:val="0"/>
      <w:divBdr>
        <w:top w:val="none" w:sz="0" w:space="0" w:color="auto"/>
        <w:left w:val="none" w:sz="0" w:space="0" w:color="auto"/>
        <w:bottom w:val="none" w:sz="0" w:space="0" w:color="auto"/>
        <w:right w:val="none" w:sz="0" w:space="0" w:color="auto"/>
      </w:divBdr>
    </w:div>
    <w:div w:id="1250389742">
      <w:bodyDiv w:val="1"/>
      <w:marLeft w:val="0"/>
      <w:marRight w:val="0"/>
      <w:marTop w:val="0"/>
      <w:marBottom w:val="0"/>
      <w:divBdr>
        <w:top w:val="none" w:sz="0" w:space="0" w:color="auto"/>
        <w:left w:val="none" w:sz="0" w:space="0" w:color="auto"/>
        <w:bottom w:val="none" w:sz="0" w:space="0" w:color="auto"/>
        <w:right w:val="none" w:sz="0" w:space="0" w:color="auto"/>
      </w:divBdr>
    </w:div>
    <w:div w:id="1323043167">
      <w:bodyDiv w:val="1"/>
      <w:marLeft w:val="0"/>
      <w:marRight w:val="0"/>
      <w:marTop w:val="0"/>
      <w:marBottom w:val="0"/>
      <w:divBdr>
        <w:top w:val="none" w:sz="0" w:space="0" w:color="auto"/>
        <w:left w:val="none" w:sz="0" w:space="0" w:color="auto"/>
        <w:bottom w:val="none" w:sz="0" w:space="0" w:color="auto"/>
        <w:right w:val="none" w:sz="0" w:space="0" w:color="auto"/>
      </w:divBdr>
    </w:div>
    <w:div w:id="1380663719">
      <w:bodyDiv w:val="1"/>
      <w:marLeft w:val="0"/>
      <w:marRight w:val="0"/>
      <w:marTop w:val="0"/>
      <w:marBottom w:val="0"/>
      <w:divBdr>
        <w:top w:val="none" w:sz="0" w:space="0" w:color="auto"/>
        <w:left w:val="none" w:sz="0" w:space="0" w:color="auto"/>
        <w:bottom w:val="none" w:sz="0" w:space="0" w:color="auto"/>
        <w:right w:val="none" w:sz="0" w:space="0" w:color="auto"/>
      </w:divBdr>
    </w:div>
    <w:div w:id="1428623628">
      <w:bodyDiv w:val="1"/>
      <w:marLeft w:val="0"/>
      <w:marRight w:val="0"/>
      <w:marTop w:val="0"/>
      <w:marBottom w:val="0"/>
      <w:divBdr>
        <w:top w:val="none" w:sz="0" w:space="0" w:color="auto"/>
        <w:left w:val="none" w:sz="0" w:space="0" w:color="auto"/>
        <w:bottom w:val="none" w:sz="0" w:space="0" w:color="auto"/>
        <w:right w:val="none" w:sz="0" w:space="0" w:color="auto"/>
      </w:divBdr>
    </w:div>
    <w:div w:id="1466236945">
      <w:bodyDiv w:val="1"/>
      <w:marLeft w:val="0"/>
      <w:marRight w:val="0"/>
      <w:marTop w:val="0"/>
      <w:marBottom w:val="0"/>
      <w:divBdr>
        <w:top w:val="none" w:sz="0" w:space="0" w:color="auto"/>
        <w:left w:val="none" w:sz="0" w:space="0" w:color="auto"/>
        <w:bottom w:val="none" w:sz="0" w:space="0" w:color="auto"/>
        <w:right w:val="none" w:sz="0" w:space="0" w:color="auto"/>
      </w:divBdr>
    </w:div>
    <w:div w:id="1712147916">
      <w:bodyDiv w:val="1"/>
      <w:marLeft w:val="0"/>
      <w:marRight w:val="0"/>
      <w:marTop w:val="0"/>
      <w:marBottom w:val="0"/>
      <w:divBdr>
        <w:top w:val="none" w:sz="0" w:space="0" w:color="auto"/>
        <w:left w:val="none" w:sz="0" w:space="0" w:color="auto"/>
        <w:bottom w:val="none" w:sz="0" w:space="0" w:color="auto"/>
        <w:right w:val="none" w:sz="0" w:space="0" w:color="auto"/>
      </w:divBdr>
    </w:div>
    <w:div w:id="1745102439">
      <w:bodyDiv w:val="1"/>
      <w:marLeft w:val="0"/>
      <w:marRight w:val="0"/>
      <w:marTop w:val="0"/>
      <w:marBottom w:val="0"/>
      <w:divBdr>
        <w:top w:val="none" w:sz="0" w:space="0" w:color="auto"/>
        <w:left w:val="none" w:sz="0" w:space="0" w:color="auto"/>
        <w:bottom w:val="none" w:sz="0" w:space="0" w:color="auto"/>
        <w:right w:val="none" w:sz="0" w:space="0" w:color="auto"/>
      </w:divBdr>
      <w:divsChild>
        <w:div w:id="1375890639">
          <w:marLeft w:val="0"/>
          <w:marRight w:val="0"/>
          <w:marTop w:val="180"/>
          <w:marBottom w:val="0"/>
          <w:divBdr>
            <w:top w:val="none" w:sz="0" w:space="0" w:color="auto"/>
            <w:left w:val="none" w:sz="0" w:space="0" w:color="auto"/>
            <w:bottom w:val="none" w:sz="0" w:space="0" w:color="auto"/>
            <w:right w:val="none" w:sz="0" w:space="0" w:color="auto"/>
          </w:divBdr>
          <w:divsChild>
            <w:div w:id="141123493">
              <w:marLeft w:val="0"/>
              <w:marRight w:val="0"/>
              <w:marTop w:val="0"/>
              <w:marBottom w:val="0"/>
              <w:divBdr>
                <w:top w:val="none" w:sz="0" w:space="0" w:color="auto"/>
                <w:left w:val="none" w:sz="0" w:space="0" w:color="auto"/>
                <w:bottom w:val="none" w:sz="0" w:space="0" w:color="auto"/>
                <w:right w:val="none" w:sz="0" w:space="0" w:color="auto"/>
              </w:divBdr>
              <w:divsChild>
                <w:div w:id="1144157586">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755661291">
      <w:bodyDiv w:val="1"/>
      <w:marLeft w:val="0"/>
      <w:marRight w:val="0"/>
      <w:marTop w:val="0"/>
      <w:marBottom w:val="0"/>
      <w:divBdr>
        <w:top w:val="none" w:sz="0" w:space="0" w:color="auto"/>
        <w:left w:val="none" w:sz="0" w:space="0" w:color="auto"/>
        <w:bottom w:val="none" w:sz="0" w:space="0" w:color="auto"/>
        <w:right w:val="none" w:sz="0" w:space="0" w:color="auto"/>
      </w:divBdr>
    </w:div>
    <w:div w:id="2007246734">
      <w:bodyDiv w:val="1"/>
      <w:marLeft w:val="0"/>
      <w:marRight w:val="0"/>
      <w:marTop w:val="0"/>
      <w:marBottom w:val="0"/>
      <w:divBdr>
        <w:top w:val="none" w:sz="0" w:space="0" w:color="auto"/>
        <w:left w:val="none" w:sz="0" w:space="0" w:color="auto"/>
        <w:bottom w:val="none" w:sz="0" w:space="0" w:color="auto"/>
        <w:right w:val="none" w:sz="0" w:space="0" w:color="auto"/>
      </w:divBdr>
    </w:div>
    <w:div w:id="2039622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45127C43327E44910340B250CF8745" ma:contentTypeVersion="12" ma:contentTypeDescription="Create a new document." ma:contentTypeScope="" ma:versionID="5b456baa10ca61314e09e3e7660f6991">
  <xsd:schema xmlns:xsd="http://www.w3.org/2001/XMLSchema" xmlns:xs="http://www.w3.org/2001/XMLSchema" xmlns:p="http://schemas.microsoft.com/office/2006/metadata/properties" xmlns:ns2="e1d75392-51f5-4302-b6e6-42ada80aed1f" xmlns:ns3="3d3a2bde-001e-4570-8b8d-78213c87d6c6" targetNamespace="http://schemas.microsoft.com/office/2006/metadata/properties" ma:root="true" ma:fieldsID="37a78f10a977e9833de5e8b02b000662" ns2:_="" ns3:_="">
    <xsd:import namespace="e1d75392-51f5-4302-b6e6-42ada80aed1f"/>
    <xsd:import namespace="3d3a2bde-001e-4570-8b8d-78213c87d6c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d75392-51f5-4302-b6e6-42ada80aed1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d3a2bde-001e-4570-8b8d-78213c87d6c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8DA46D-5E18-4914-B1B4-1D95481A4C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d75392-51f5-4302-b6e6-42ada80aed1f"/>
    <ds:schemaRef ds:uri="3d3a2bde-001e-4570-8b8d-78213c87d6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66DC52-6DEB-4366-8D12-0F55D8EB7C2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F851256-C0CE-4ED6-B421-58106762E5EA}">
  <ds:schemaRefs>
    <ds:schemaRef ds:uri="http://schemas.openxmlformats.org/officeDocument/2006/bibliography"/>
  </ds:schemaRefs>
</ds:datastoreItem>
</file>

<file path=customXml/itemProps4.xml><?xml version="1.0" encoding="utf-8"?>
<ds:datastoreItem xmlns:ds="http://schemas.openxmlformats.org/officeDocument/2006/customXml" ds:itemID="{B637617A-5229-4FB8-9DD2-B6B5187BBB4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2651</Words>
  <Characters>15116</Characters>
  <Application>Microsoft Office Word</Application>
  <DocSecurity>0</DocSecurity>
  <Lines>125</Lines>
  <Paragraphs>35</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
      <vt:lpstr/>
    </vt:vector>
  </TitlesOfParts>
  <Company>Lancashire Teaching Hospitals</Company>
  <LinksUpToDate>false</LinksUpToDate>
  <CharactersWithSpaces>17732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LORNA WYCHERLEY</cp:lastModifiedBy>
  <cp:revision>2</cp:revision>
  <cp:lastPrinted>2021-12-22T09:00:00Z</cp:lastPrinted>
  <dcterms:created xsi:type="dcterms:W3CDTF">2022-09-17T12:19:00Z</dcterms:created>
  <dcterms:modified xsi:type="dcterms:W3CDTF">2022-09-17T12:19:00Z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0x0101002645127C43327E44910340B250CF8745</vt:lpwstr>
  </property>
  <property fmtid="{D5CDD505-2E9C-101B-9397-08002B2CF9AE}" pid="3" name="ZOTERO_PREF_1">
    <vt:lpwstr>&lt;data data-version="3" zotero-version="5.0.96.2"&gt;&lt;session id="bPfSXsyx"/&gt;&lt;style id="http://www.zotero.org/styles/medicine" hasBibliography="1" bibliographyStyleHasBeenSet="1"/&gt;&lt;prefs&gt;&lt;pref name="fieldType" value="Field"/&gt;&lt;/prefs&gt;&lt;/data&gt;</vt:lpwstr>
  </property>
  <property fmtid="{D5CDD505-2E9C-101B-9397-08002B2CF9AE}" pid="4" name="MSIP_Label_80a0d41b-3816-4c83-aa40-c3f27fcb97e7_Enabled">
    <vt:lpwstr>true</vt:lpwstr>
  </property>
  <property fmtid="{D5CDD505-2E9C-101B-9397-08002B2CF9AE}" pid="5" name="MSIP_Label_80a0d41b-3816-4c83-aa40-c3f27fcb97e7_SetDate">
    <vt:lpwstr>2020-11-20T13:19:43Z</vt:lpwstr>
  </property>
  <property fmtid="{D5CDD505-2E9C-101B-9397-08002B2CF9AE}" pid="6" name="MSIP_Label_80a0d41b-3816-4c83-aa40-c3f27fcb97e7_Method">
    <vt:lpwstr>Standard</vt:lpwstr>
  </property>
  <property fmtid="{D5CDD505-2E9C-101B-9397-08002B2CF9AE}" pid="7" name="MSIP_Label_80a0d41b-3816-4c83-aa40-c3f27fcb97e7_Name">
    <vt:lpwstr>INC10788229</vt:lpwstr>
  </property>
  <property fmtid="{D5CDD505-2E9C-101B-9397-08002B2CF9AE}" pid="8" name="MSIP_Label_80a0d41b-3816-4c83-aa40-c3f27fcb97e7_SiteId">
    <vt:lpwstr>b98f0765-0764-4153-ac9c-4713ff722c48</vt:lpwstr>
  </property>
  <property fmtid="{D5CDD505-2E9C-101B-9397-08002B2CF9AE}" pid="9" name="MSIP_Label_80a0d41b-3816-4c83-aa40-c3f27fcb97e7_ActionId">
    <vt:lpwstr>79fce19f-9c07-4582-afa3-11a9c9a97888</vt:lpwstr>
  </property>
  <property fmtid="{D5CDD505-2E9C-101B-9397-08002B2CF9AE}" pid="10" name="MSIP_Label_80a0d41b-3816-4c83-aa40-c3f27fcb97e7_ContentBits">
    <vt:lpwstr>0</vt:lpwstr>
  </property>
</Properties>
</file>