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7E0A81" w14:textId="77777777" w:rsidR="007E2B53" w:rsidRDefault="00000000">
      <w:pPr>
        <w:rPr>
          <w:rFonts w:eastAsia="仿宋" w:cs="Times New Roman"/>
          <w:b/>
          <w:bCs/>
          <w:sz w:val="22"/>
        </w:rPr>
      </w:pPr>
      <w:bookmarkStart w:id="0" w:name="_Hlk155561402"/>
      <w:r>
        <w:rPr>
          <w:rFonts w:eastAsia="仿宋" w:cs="Times New Roman" w:hint="eastAsia"/>
          <w:b/>
          <w:bCs/>
          <w:sz w:val="22"/>
        </w:rPr>
        <w:t>Supplementary Table</w:t>
      </w:r>
      <w:r>
        <w:rPr>
          <w:rFonts w:eastAsia="仿宋" w:cs="Times New Roman"/>
          <w:b/>
          <w:bCs/>
          <w:sz w:val="22"/>
        </w:rPr>
        <w:t xml:space="preserve"> 1. </w:t>
      </w:r>
      <w:r>
        <w:rPr>
          <w:rFonts w:eastAsia="仿宋" w:cs="Times New Roman" w:hint="eastAsia"/>
          <w:b/>
          <w:bCs/>
          <w:sz w:val="22"/>
        </w:rPr>
        <w:t xml:space="preserve">Sensitivity analysis </w:t>
      </w:r>
      <w:r>
        <w:rPr>
          <w:rFonts w:eastAsia="仿宋" w:cs="Times New Roman"/>
          <w:b/>
          <w:bCs/>
          <w:sz w:val="22"/>
        </w:rPr>
        <w:t xml:space="preserve">of different models </w:t>
      </w:r>
      <w:r>
        <w:rPr>
          <w:rFonts w:eastAsia="仿宋" w:cs="Times New Roman" w:hint="eastAsia"/>
          <w:b/>
          <w:bCs/>
          <w:sz w:val="22"/>
        </w:rPr>
        <w:t>for rul</w:t>
      </w:r>
      <w:r>
        <w:rPr>
          <w:rFonts w:eastAsia="仿宋" w:cs="Times New Roman"/>
          <w:b/>
          <w:bCs/>
          <w:sz w:val="22"/>
        </w:rPr>
        <w:t>e-</w:t>
      </w:r>
      <w:r>
        <w:rPr>
          <w:rFonts w:eastAsia="仿宋" w:cs="Times New Roman" w:hint="eastAsia"/>
          <w:b/>
          <w:bCs/>
          <w:sz w:val="22"/>
        </w:rPr>
        <w:t>in CSPH</w:t>
      </w:r>
    </w:p>
    <w:tbl>
      <w:tblPr>
        <w:tblStyle w:val="4-31"/>
        <w:tblW w:w="0" w:type="auto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3"/>
        <w:gridCol w:w="3883"/>
        <w:gridCol w:w="1969"/>
        <w:gridCol w:w="1969"/>
        <w:gridCol w:w="1969"/>
        <w:gridCol w:w="1969"/>
      </w:tblGrid>
      <w:tr w:rsidR="002A2008" w14:paraId="34348A05" w14:textId="77777777" w:rsidTr="00C85B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96" w:type="dxa"/>
            <w:gridSpan w:val="2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vAlign w:val="center"/>
          </w:tcPr>
          <w:p w14:paraId="536D43B8" w14:textId="77777777" w:rsidR="002A2008" w:rsidRDefault="002A2008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Model</w:t>
            </w:r>
          </w:p>
        </w:tc>
        <w:tc>
          <w:tcPr>
            <w:tcW w:w="1969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vAlign w:val="center"/>
          </w:tcPr>
          <w:p w14:paraId="21CBC76E" w14:textId="77777777" w:rsidR="002A2008" w:rsidRDefault="002A200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CSPH misdiagnosed</w:t>
            </w:r>
          </w:p>
        </w:tc>
        <w:tc>
          <w:tcPr>
            <w:tcW w:w="1969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vAlign w:val="center"/>
          </w:tcPr>
          <w:p w14:paraId="21AE9BC8" w14:textId="77777777" w:rsidR="002A2008" w:rsidRDefault="002A200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Rule-in CSPH</w:t>
            </w:r>
          </w:p>
        </w:tc>
        <w:tc>
          <w:tcPr>
            <w:tcW w:w="1969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vAlign w:val="center"/>
          </w:tcPr>
          <w:p w14:paraId="429B12CF" w14:textId="77777777" w:rsidR="002A2008" w:rsidRDefault="002A200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Specificity</w:t>
            </w:r>
          </w:p>
        </w:tc>
        <w:tc>
          <w:tcPr>
            <w:tcW w:w="1969" w:type="dxa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  <w:vAlign w:val="center"/>
          </w:tcPr>
          <w:p w14:paraId="522D7028" w14:textId="77777777" w:rsidR="002A2008" w:rsidRDefault="002A200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PPV</w:t>
            </w:r>
          </w:p>
        </w:tc>
      </w:tr>
      <w:tr w:rsidR="007E2B53" w14:paraId="18276FBA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 w:val="restart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5E9FB356" w14:textId="77777777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HBV</w:t>
            </w:r>
            <w:r>
              <w:rPr>
                <w:rFonts w:eastAsia="仿宋" w:cs="Times New Roman"/>
                <w:sz w:val="22"/>
                <w:szCs w:val="20"/>
              </w:rPr>
              <w:t xml:space="preserve"> cohort</w:t>
            </w:r>
          </w:p>
          <w:p w14:paraId="2FAFDC0F" w14:textId="79B12AC6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 w:rsidRPr="00C85B70">
              <w:rPr>
                <w:rFonts w:eastAsia="仿宋" w:cs="Times New Roman"/>
                <w:b w:val="0"/>
                <w:bCs w:val="0"/>
                <w:i/>
                <w:iCs/>
                <w:sz w:val="22"/>
                <w:szCs w:val="20"/>
              </w:rPr>
              <w:t>n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=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53</w:t>
            </w:r>
          </w:p>
        </w:tc>
        <w:tc>
          <w:tcPr>
            <w:tcW w:w="3883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089A01EC" w14:textId="1CC2E5D1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≥25 kPa</w:t>
            </w:r>
          </w:p>
        </w:tc>
        <w:tc>
          <w:tcPr>
            <w:tcW w:w="1969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17485F61" w14:textId="7BF74E60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</w:t>
            </w:r>
            <w:r>
              <w:rPr>
                <w:rFonts w:eastAsia="仿宋" w:cs="Times New Roman" w:hint="eastAsia"/>
                <w:sz w:val="22"/>
                <w:szCs w:val="20"/>
              </w:rPr>
              <w:t>(</w:t>
            </w:r>
            <w:r>
              <w:rPr>
                <w:rFonts w:eastAsia="仿宋" w:cs="Times New Roman"/>
                <w:sz w:val="22"/>
                <w:szCs w:val="20"/>
              </w:rPr>
              <w:t>0)</w:t>
            </w:r>
          </w:p>
        </w:tc>
        <w:tc>
          <w:tcPr>
            <w:tcW w:w="1969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4E7FB8E5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2 (3.8%)</w:t>
            </w:r>
          </w:p>
        </w:tc>
        <w:tc>
          <w:tcPr>
            <w:tcW w:w="1969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14E50CED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322D8A82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086AFE57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vAlign w:val="center"/>
          </w:tcPr>
          <w:p w14:paraId="3BF5E586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883" w:type="dxa"/>
            <w:vAlign w:val="center"/>
          </w:tcPr>
          <w:p w14:paraId="63730CEF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ascii="等线" w:eastAsia="等线" w:hAnsi="等线" w:cs="Times New Roman" w:hint="eastAsia"/>
                <w:sz w:val="22"/>
                <w:szCs w:val="20"/>
              </w:rPr>
              <w:t>&gt;</w:t>
            </w:r>
            <w:r>
              <w:rPr>
                <w:rFonts w:ascii="等线" w:eastAsia="等线" w:hAnsi="等线" w:cs="Times New Roman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50 kPa</w:t>
            </w:r>
          </w:p>
        </w:tc>
        <w:tc>
          <w:tcPr>
            <w:tcW w:w="1969" w:type="dxa"/>
            <w:vAlign w:val="center"/>
          </w:tcPr>
          <w:p w14:paraId="4FC4230F" w14:textId="5986B5B4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</w:t>
            </w:r>
            <w:r>
              <w:rPr>
                <w:rFonts w:eastAsia="仿宋" w:cs="Times New Roman" w:hint="eastAsia"/>
                <w:sz w:val="22"/>
                <w:szCs w:val="20"/>
              </w:rPr>
              <w:t>(</w:t>
            </w:r>
            <w:r>
              <w:rPr>
                <w:rFonts w:eastAsia="仿宋" w:cs="Times New Roman"/>
                <w:sz w:val="22"/>
                <w:szCs w:val="20"/>
              </w:rPr>
              <w:t>0)</w:t>
            </w:r>
          </w:p>
        </w:tc>
        <w:tc>
          <w:tcPr>
            <w:tcW w:w="1969" w:type="dxa"/>
            <w:vAlign w:val="center"/>
          </w:tcPr>
          <w:p w14:paraId="3281E86B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11 (20.8%)</w:t>
            </w:r>
          </w:p>
        </w:tc>
        <w:tc>
          <w:tcPr>
            <w:tcW w:w="1969" w:type="dxa"/>
            <w:vAlign w:val="center"/>
          </w:tcPr>
          <w:p w14:paraId="3CBE0EEA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vAlign w:val="center"/>
          </w:tcPr>
          <w:p w14:paraId="624EE9C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2D20CB0A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shd w:val="clear" w:color="auto" w:fill="EDEDED" w:themeFill="accent3" w:themeFillTint="33"/>
            <w:vAlign w:val="center"/>
          </w:tcPr>
          <w:p w14:paraId="0BAC05EF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883" w:type="dxa"/>
            <w:shd w:val="clear" w:color="auto" w:fill="EDEDED" w:themeFill="accent3" w:themeFillTint="33"/>
            <w:vAlign w:val="center"/>
          </w:tcPr>
          <w:p w14:paraId="616C4962" w14:textId="2ED0C43D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ascii="等线" w:eastAsia="等线" w:hAnsi="等线" w:cs="Times New Roman" w:hint="eastAsia"/>
                <w:sz w:val="22"/>
                <w:szCs w:val="20"/>
              </w:rPr>
              <w:t>&gt;</w:t>
            </w:r>
            <w:r>
              <w:rPr>
                <w:rFonts w:eastAsia="仿宋" w:cs="Times New Roman"/>
                <w:sz w:val="22"/>
                <w:szCs w:val="20"/>
              </w:rPr>
              <w:t xml:space="preserve">50 kPa </w:t>
            </w:r>
            <w:r w:rsidRPr="00C85B70">
              <w:rPr>
                <w:rFonts w:eastAsia="仿宋" w:cs="Times New Roman"/>
                <w:sz w:val="22"/>
                <w:szCs w:val="20"/>
              </w:rPr>
              <w:t>OR</w:t>
            </w:r>
            <w:r>
              <w:rPr>
                <w:rFonts w:eastAsia="仿宋" w:cs="Times New Roman"/>
                <w:sz w:val="22"/>
                <w:szCs w:val="20"/>
              </w:rPr>
              <w:t xml:space="preserve"> 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≥25 kPa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12483136" w14:textId="1A0533A6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0 (0)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76949AB6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11 (20.8%)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3E003DDD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2A5229F8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07998138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 w:val="restart"/>
            <w:vAlign w:val="center"/>
          </w:tcPr>
          <w:p w14:paraId="5E19FE18" w14:textId="77777777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Non-HBV cohort</w:t>
            </w:r>
          </w:p>
          <w:p w14:paraId="2635D927" w14:textId="61DFE877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 w:hint="eastAsia"/>
                <w:i/>
                <w:iCs/>
                <w:sz w:val="22"/>
                <w:szCs w:val="20"/>
              </w:rPr>
              <w:t>n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=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57</w:t>
            </w:r>
          </w:p>
        </w:tc>
        <w:tc>
          <w:tcPr>
            <w:tcW w:w="3883" w:type="dxa"/>
            <w:vAlign w:val="center"/>
          </w:tcPr>
          <w:p w14:paraId="7AD87F5C" w14:textId="65E61A0F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≥25 kPa</w:t>
            </w:r>
          </w:p>
        </w:tc>
        <w:tc>
          <w:tcPr>
            <w:tcW w:w="1969" w:type="dxa"/>
            <w:vAlign w:val="center"/>
          </w:tcPr>
          <w:p w14:paraId="5E9AF697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 xml:space="preserve"> (5.0%)</w:t>
            </w:r>
          </w:p>
        </w:tc>
        <w:tc>
          <w:tcPr>
            <w:tcW w:w="1969" w:type="dxa"/>
            <w:vAlign w:val="center"/>
          </w:tcPr>
          <w:p w14:paraId="79F2D698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2</w:t>
            </w:r>
            <w:r>
              <w:rPr>
                <w:rFonts w:eastAsia="仿宋" w:cs="Times New Roman"/>
                <w:sz w:val="22"/>
                <w:szCs w:val="20"/>
              </w:rPr>
              <w:t>0 (35.1%)</w:t>
            </w:r>
          </w:p>
        </w:tc>
        <w:tc>
          <w:tcPr>
            <w:tcW w:w="1969" w:type="dxa"/>
            <w:vAlign w:val="center"/>
          </w:tcPr>
          <w:p w14:paraId="741F79F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6.4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vAlign w:val="center"/>
          </w:tcPr>
          <w:p w14:paraId="769685D7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5.0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79DF9E58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shd w:val="clear" w:color="auto" w:fill="EDEDED" w:themeFill="accent3" w:themeFillTint="33"/>
            <w:vAlign w:val="center"/>
          </w:tcPr>
          <w:p w14:paraId="26FEFB6A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883" w:type="dxa"/>
            <w:shd w:val="clear" w:color="auto" w:fill="EDEDED" w:themeFill="accent3" w:themeFillTint="33"/>
            <w:vAlign w:val="center"/>
          </w:tcPr>
          <w:p w14:paraId="1EFFE295" w14:textId="4782A2D1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ascii="等线" w:eastAsia="等线" w:hAnsi="等线" w:cs="Times New Roman" w:hint="eastAsia"/>
                <w:sz w:val="22"/>
                <w:szCs w:val="20"/>
              </w:rPr>
              <w:t>&gt;</w:t>
            </w:r>
            <w:r>
              <w:rPr>
                <w:rFonts w:eastAsia="仿宋" w:cs="Times New Roman"/>
                <w:sz w:val="22"/>
                <w:szCs w:val="20"/>
              </w:rPr>
              <w:t>50 kPa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59A43622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 xml:space="preserve"> (10.0%)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0BBDA58C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10 (17.5%)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0584B49E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6.4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shd w:val="clear" w:color="auto" w:fill="EDEDED" w:themeFill="accent3" w:themeFillTint="33"/>
            <w:vAlign w:val="center"/>
          </w:tcPr>
          <w:p w14:paraId="4F11D32F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6C1CA92A" w14:textId="77777777" w:rsidTr="00C85B70">
        <w:trPr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13" w:type="dxa"/>
            <w:vMerge/>
            <w:vAlign w:val="center"/>
          </w:tcPr>
          <w:p w14:paraId="12CA81DE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883" w:type="dxa"/>
            <w:vAlign w:val="center"/>
          </w:tcPr>
          <w:p w14:paraId="7DE4EAB3" w14:textId="7CBD6DA4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ascii="等线" w:eastAsia="等线" w:hAnsi="等线" w:cs="Times New Roman" w:hint="eastAsia"/>
                <w:sz w:val="22"/>
                <w:szCs w:val="20"/>
              </w:rPr>
              <w:t>&gt;</w:t>
            </w:r>
            <w:r>
              <w:rPr>
                <w:rFonts w:eastAsia="仿宋" w:cs="Times New Roman"/>
                <w:sz w:val="22"/>
                <w:szCs w:val="20"/>
              </w:rPr>
              <w:t xml:space="preserve">50 kPa </w:t>
            </w:r>
            <w:r w:rsidRPr="00C85B70">
              <w:rPr>
                <w:rFonts w:eastAsia="仿宋" w:cs="Times New Roman"/>
                <w:sz w:val="22"/>
                <w:szCs w:val="20"/>
              </w:rPr>
              <w:t>OR</w:t>
            </w:r>
            <w:r>
              <w:rPr>
                <w:rFonts w:eastAsia="仿宋" w:cs="Times New Roman"/>
                <w:sz w:val="22"/>
                <w:szCs w:val="20"/>
              </w:rPr>
              <w:t xml:space="preserve"> 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≥25 kPa</w:t>
            </w:r>
          </w:p>
        </w:tc>
        <w:tc>
          <w:tcPr>
            <w:tcW w:w="1969" w:type="dxa"/>
            <w:vAlign w:val="center"/>
          </w:tcPr>
          <w:p w14:paraId="520CD90D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2</w:t>
            </w:r>
            <w:r>
              <w:rPr>
                <w:rFonts w:eastAsia="仿宋" w:cs="Times New Roman"/>
                <w:sz w:val="22"/>
                <w:szCs w:val="20"/>
              </w:rPr>
              <w:t xml:space="preserve"> (8.3%)</w:t>
            </w:r>
          </w:p>
        </w:tc>
        <w:tc>
          <w:tcPr>
            <w:tcW w:w="1969" w:type="dxa"/>
            <w:vAlign w:val="center"/>
          </w:tcPr>
          <w:p w14:paraId="51EFA3A9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24 (42.1%)</w:t>
            </w:r>
          </w:p>
        </w:tc>
        <w:tc>
          <w:tcPr>
            <w:tcW w:w="1969" w:type="dxa"/>
            <w:vAlign w:val="center"/>
          </w:tcPr>
          <w:p w14:paraId="71665F5C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2.9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69" w:type="dxa"/>
            <w:vAlign w:val="center"/>
          </w:tcPr>
          <w:p w14:paraId="7F654BDF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1.7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</w:tbl>
    <w:p w14:paraId="2292938A" w14:textId="77777777" w:rsidR="007E2B53" w:rsidRDefault="00000000">
      <w:pPr>
        <w:rPr>
          <w:rFonts w:eastAsia="仿宋" w:cs="Times New Roman"/>
          <w:sz w:val="22"/>
        </w:rPr>
      </w:pPr>
      <w:r>
        <w:rPr>
          <w:rFonts w:eastAsia="仿宋" w:cs="Times New Roman"/>
          <w:sz w:val="22"/>
        </w:rPr>
        <w:t xml:space="preserve">Note: </w:t>
      </w:r>
      <w:r>
        <w:rPr>
          <w:rFonts w:eastAsia="仿宋" w:cs="Times New Roman" w:hint="eastAsia"/>
          <w:sz w:val="22"/>
        </w:rPr>
        <w:t xml:space="preserve">Date </w:t>
      </w:r>
      <w:proofErr w:type="gramStart"/>
      <w:r>
        <w:rPr>
          <w:rFonts w:eastAsia="仿宋" w:cs="Times New Roman" w:hint="eastAsia"/>
          <w:sz w:val="22"/>
        </w:rPr>
        <w:t>were</w:t>
      </w:r>
      <w:proofErr w:type="gramEnd"/>
      <w:r>
        <w:rPr>
          <w:rFonts w:eastAsia="仿宋" w:cs="Times New Roman" w:hint="eastAsia"/>
          <w:sz w:val="22"/>
        </w:rPr>
        <w:t xml:space="preserve"> presented as </w:t>
      </w:r>
      <w:r w:rsidRPr="00C85B70">
        <w:rPr>
          <w:rFonts w:eastAsia="仿宋" w:cs="Times New Roman"/>
          <w:i/>
          <w:iCs/>
          <w:sz w:val="22"/>
        </w:rPr>
        <w:t>n</w:t>
      </w:r>
      <w:r>
        <w:rPr>
          <w:rFonts w:eastAsia="仿宋" w:cs="Times New Roman" w:hint="eastAsia"/>
          <w:sz w:val="22"/>
        </w:rPr>
        <w:t xml:space="preserve"> (%).</w:t>
      </w:r>
    </w:p>
    <w:p w14:paraId="6C32E288" w14:textId="77777777" w:rsidR="007E2B53" w:rsidRDefault="00000000">
      <w:pPr>
        <w:rPr>
          <w:rFonts w:eastAsia="仿宋" w:cs="Times New Roman"/>
          <w:sz w:val="22"/>
        </w:rPr>
      </w:pPr>
      <w:r>
        <w:rPr>
          <w:rFonts w:eastAsia="仿宋" w:cs="Times New Roman" w:hint="eastAsia"/>
          <w:sz w:val="22"/>
        </w:rPr>
        <w:t xml:space="preserve">Abbreviation: </w:t>
      </w:r>
      <w:r>
        <w:rPr>
          <w:rFonts w:eastAsia="仿宋" w:cs="Times New Roman"/>
          <w:sz w:val="22"/>
        </w:rPr>
        <w:t>CSPH, clinically significant portal hypertension; HBV,</w:t>
      </w:r>
      <w:r>
        <w:t xml:space="preserve"> </w:t>
      </w:r>
      <w:r>
        <w:rPr>
          <w:rFonts w:eastAsia="仿宋" w:cs="Times New Roman"/>
          <w:sz w:val="22"/>
        </w:rPr>
        <w:t>hepatitis B virus; LSM, liver stiffness measurement;</w:t>
      </w:r>
      <w:r>
        <w:rPr>
          <w:rFonts w:eastAsia="仿宋" w:cs="Times New Roman" w:hint="eastAsia"/>
          <w:sz w:val="22"/>
        </w:rPr>
        <w:t xml:space="preserve"> </w:t>
      </w:r>
      <w:r>
        <w:rPr>
          <w:rFonts w:eastAsia="仿宋" w:cs="Times New Roman"/>
          <w:sz w:val="22"/>
        </w:rPr>
        <w:t>PPV, positive predictive value; S</w:t>
      </w:r>
      <w:r>
        <w:rPr>
          <w:rFonts w:eastAsia="仿宋" w:cs="Times New Roman" w:hint="eastAsia"/>
          <w:sz w:val="22"/>
        </w:rPr>
        <w:t>SM</w:t>
      </w:r>
      <w:r>
        <w:rPr>
          <w:rFonts w:eastAsia="仿宋" w:cs="Times New Roman"/>
          <w:sz w:val="22"/>
        </w:rPr>
        <w:t>, spleen stiffness measurement.</w:t>
      </w:r>
    </w:p>
    <w:p w14:paraId="77296D98" w14:textId="77777777" w:rsidR="007E2B53" w:rsidRDefault="007E2B53">
      <w:pPr>
        <w:rPr>
          <w:rFonts w:eastAsia="仿宋" w:cs="Times New Roman"/>
          <w:sz w:val="22"/>
        </w:rPr>
      </w:pPr>
    </w:p>
    <w:p w14:paraId="0B5E5988" w14:textId="77777777" w:rsidR="007E2B53" w:rsidRDefault="007E2B53">
      <w:pPr>
        <w:rPr>
          <w:rFonts w:eastAsia="仿宋" w:cs="Times New Roman"/>
          <w:sz w:val="22"/>
        </w:rPr>
      </w:pPr>
    </w:p>
    <w:p w14:paraId="3D9D6CE1" w14:textId="77777777" w:rsidR="007E2B53" w:rsidRDefault="007E2B53">
      <w:pPr>
        <w:rPr>
          <w:rFonts w:eastAsia="仿宋" w:cs="Times New Roman"/>
          <w:sz w:val="22"/>
        </w:rPr>
      </w:pPr>
    </w:p>
    <w:p w14:paraId="5B66CF99" w14:textId="77777777" w:rsidR="007E2B53" w:rsidRDefault="007E2B53">
      <w:pPr>
        <w:rPr>
          <w:rFonts w:eastAsia="仿宋" w:cs="Times New Roman"/>
          <w:sz w:val="22"/>
        </w:rPr>
      </w:pPr>
    </w:p>
    <w:p w14:paraId="123714F3" w14:textId="77777777" w:rsidR="007E2B53" w:rsidRDefault="007E2B53">
      <w:pPr>
        <w:rPr>
          <w:rFonts w:eastAsia="仿宋" w:cs="Times New Roman"/>
          <w:sz w:val="22"/>
        </w:rPr>
      </w:pPr>
    </w:p>
    <w:p w14:paraId="662B651F" w14:textId="77777777" w:rsidR="007E2B53" w:rsidRDefault="007E2B53">
      <w:pPr>
        <w:rPr>
          <w:rFonts w:eastAsia="仿宋" w:cs="Times New Roman"/>
          <w:sz w:val="22"/>
        </w:rPr>
      </w:pPr>
    </w:p>
    <w:p w14:paraId="29D354F8" w14:textId="77777777" w:rsidR="007E2B53" w:rsidRDefault="007E2B53">
      <w:pPr>
        <w:rPr>
          <w:rFonts w:eastAsia="仿宋" w:cs="Times New Roman"/>
          <w:sz w:val="22"/>
        </w:rPr>
      </w:pPr>
    </w:p>
    <w:p w14:paraId="2B6F677E" w14:textId="77777777" w:rsidR="007E2B53" w:rsidRDefault="007E2B53">
      <w:pPr>
        <w:rPr>
          <w:rFonts w:eastAsia="仿宋" w:cs="Times New Roman"/>
          <w:sz w:val="22"/>
        </w:rPr>
      </w:pPr>
    </w:p>
    <w:p w14:paraId="6BE2057E" w14:textId="77777777" w:rsidR="007E2B53" w:rsidRDefault="007E2B53">
      <w:pPr>
        <w:rPr>
          <w:rFonts w:eastAsia="仿宋" w:cs="Times New Roman"/>
          <w:sz w:val="22"/>
        </w:rPr>
      </w:pPr>
    </w:p>
    <w:p w14:paraId="58F99FDE" w14:textId="77777777" w:rsidR="007E2B53" w:rsidRDefault="007E2B53">
      <w:pPr>
        <w:rPr>
          <w:rFonts w:eastAsia="仿宋" w:cs="Times New Roman"/>
          <w:sz w:val="22"/>
        </w:rPr>
      </w:pPr>
    </w:p>
    <w:p w14:paraId="7B76F378" w14:textId="77777777" w:rsidR="007E2B53" w:rsidRDefault="007E2B53">
      <w:pPr>
        <w:rPr>
          <w:rFonts w:eastAsia="仿宋" w:cs="Times New Roman"/>
          <w:sz w:val="22"/>
        </w:rPr>
      </w:pPr>
    </w:p>
    <w:p w14:paraId="1D672B0C" w14:textId="77777777" w:rsidR="007E2B53" w:rsidRDefault="007E2B53">
      <w:pPr>
        <w:rPr>
          <w:rFonts w:eastAsia="仿宋" w:cs="Times New Roman"/>
          <w:sz w:val="22"/>
        </w:rPr>
      </w:pPr>
    </w:p>
    <w:p w14:paraId="19EB26EE" w14:textId="77777777" w:rsidR="007E2B53" w:rsidRDefault="00000000">
      <w:pPr>
        <w:rPr>
          <w:rFonts w:eastAsia="仿宋" w:cs="Times New Roman"/>
          <w:b/>
          <w:bCs/>
          <w:sz w:val="22"/>
        </w:rPr>
      </w:pPr>
      <w:r>
        <w:rPr>
          <w:rFonts w:eastAsia="仿宋" w:cs="Times New Roman" w:hint="eastAsia"/>
          <w:b/>
          <w:bCs/>
          <w:sz w:val="22"/>
        </w:rPr>
        <w:t>Supplementary Table</w:t>
      </w:r>
      <w:r>
        <w:rPr>
          <w:rFonts w:eastAsia="仿宋" w:cs="Times New Roman"/>
          <w:b/>
          <w:bCs/>
          <w:sz w:val="22"/>
        </w:rPr>
        <w:t xml:space="preserve"> 2. Sen</w:t>
      </w:r>
      <w:r>
        <w:rPr>
          <w:rFonts w:eastAsia="仿宋" w:cs="Times New Roman" w:hint="eastAsia"/>
          <w:b/>
          <w:bCs/>
          <w:sz w:val="22"/>
        </w:rPr>
        <w:t>sitivity</w:t>
      </w:r>
      <w:r>
        <w:rPr>
          <w:rFonts w:eastAsia="仿宋" w:cs="Times New Roman"/>
          <w:b/>
          <w:bCs/>
          <w:sz w:val="22"/>
        </w:rPr>
        <w:t xml:space="preserve"> analysis of different models for rule-out CSPH</w:t>
      </w:r>
    </w:p>
    <w:tbl>
      <w:tblPr>
        <w:tblStyle w:val="4-31"/>
        <w:tblW w:w="0" w:type="auto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8"/>
        <w:gridCol w:w="3912"/>
        <w:gridCol w:w="1984"/>
        <w:gridCol w:w="1984"/>
        <w:gridCol w:w="1984"/>
        <w:gridCol w:w="1984"/>
      </w:tblGrid>
      <w:tr w:rsidR="003610D9" w14:paraId="6E47DA3A" w14:textId="77777777" w:rsidTr="00C85B7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84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926D16" w14:textId="77777777" w:rsidR="003610D9" w:rsidRDefault="003610D9">
            <w:pPr>
              <w:jc w:val="center"/>
              <w:rPr>
                <w:rFonts w:eastAsia="仿宋" w:cs="Times New Roman"/>
                <w:b w:val="0"/>
                <w:bCs w:val="0"/>
                <w:color w:val="000000" w:themeColor="text1"/>
                <w:sz w:val="22"/>
                <w:szCs w:val="20"/>
              </w:rPr>
            </w:pPr>
            <w:r>
              <w:rPr>
                <w:rFonts w:eastAsia="仿宋" w:cs="Times New Roman"/>
                <w:color w:val="000000" w:themeColor="text1"/>
                <w:sz w:val="22"/>
                <w:szCs w:val="20"/>
              </w:rPr>
              <w:t>Model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FDBC1" w14:textId="77777777" w:rsidR="003610D9" w:rsidRDefault="003610D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color w:val="000000" w:themeColor="text1"/>
                <w:sz w:val="22"/>
                <w:szCs w:val="20"/>
              </w:rPr>
            </w:pPr>
            <w:r>
              <w:rPr>
                <w:rFonts w:eastAsia="仿宋" w:cs="Times New Roman"/>
                <w:color w:val="000000" w:themeColor="text1"/>
                <w:sz w:val="22"/>
                <w:szCs w:val="20"/>
              </w:rPr>
              <w:t>CSPH missed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E5136" w14:textId="77777777" w:rsidR="003610D9" w:rsidRDefault="003610D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color w:val="000000" w:themeColor="text1"/>
                <w:sz w:val="22"/>
                <w:szCs w:val="20"/>
              </w:rPr>
            </w:pPr>
            <w:r>
              <w:rPr>
                <w:rFonts w:eastAsia="仿宋" w:cs="Times New Roman"/>
                <w:color w:val="000000" w:themeColor="text1"/>
                <w:sz w:val="22"/>
                <w:szCs w:val="20"/>
              </w:rPr>
              <w:t>Rule-out CSPH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8E2CC7" w14:textId="77777777" w:rsidR="003610D9" w:rsidRDefault="003610D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color w:val="000000" w:themeColor="text1"/>
                <w:sz w:val="22"/>
                <w:szCs w:val="20"/>
              </w:rPr>
            </w:pPr>
            <w:r>
              <w:rPr>
                <w:rFonts w:eastAsia="仿宋" w:cs="Times New Roman"/>
                <w:color w:val="auto"/>
                <w:sz w:val="22"/>
                <w:szCs w:val="20"/>
              </w:rPr>
              <w:t>Sensitivity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58B5EC" w14:textId="77777777" w:rsidR="003610D9" w:rsidRDefault="003610D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b w:val="0"/>
                <w:bCs w:val="0"/>
                <w:color w:val="000000" w:themeColor="text1"/>
                <w:sz w:val="22"/>
                <w:szCs w:val="20"/>
              </w:rPr>
            </w:pPr>
            <w:r>
              <w:rPr>
                <w:rFonts w:eastAsia="仿宋" w:cs="Times New Roman"/>
                <w:color w:val="000000" w:themeColor="text1"/>
                <w:sz w:val="22"/>
                <w:szCs w:val="20"/>
              </w:rPr>
              <w:t>NPV</w:t>
            </w:r>
          </w:p>
        </w:tc>
      </w:tr>
      <w:tr w:rsidR="007E2B53" w14:paraId="2B4254E9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 w:val="restart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558BC573" w14:textId="77777777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HBV</w:t>
            </w:r>
            <w:r>
              <w:rPr>
                <w:rFonts w:eastAsia="仿宋" w:cs="Times New Roman"/>
                <w:sz w:val="22"/>
                <w:szCs w:val="20"/>
              </w:rPr>
              <w:t xml:space="preserve"> cohort</w:t>
            </w:r>
          </w:p>
          <w:p w14:paraId="6E22B9A5" w14:textId="277DD5ED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 w:hint="eastAsia"/>
                <w:i/>
                <w:iCs/>
                <w:sz w:val="22"/>
                <w:szCs w:val="20"/>
              </w:rPr>
              <w:t>n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=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53</w:t>
            </w:r>
          </w:p>
        </w:tc>
        <w:tc>
          <w:tcPr>
            <w:tcW w:w="3912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4538EC39" w14:textId="77372D10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≤15 kPa </w:t>
            </w:r>
            <w:r w:rsidRPr="00C85B70">
              <w:rPr>
                <w:rFonts w:eastAsia="仿宋" w:cs="Times New Roman"/>
                <w:sz w:val="22"/>
                <w:szCs w:val="20"/>
              </w:rPr>
              <w:t>AND</w:t>
            </w:r>
            <w:r>
              <w:rPr>
                <w:rFonts w:eastAsia="仿宋" w:cs="Times New Roman"/>
                <w:sz w:val="22"/>
                <w:szCs w:val="20"/>
              </w:rPr>
              <w:t xml:space="preserve"> PLT ≥150</w:t>
            </w:r>
            <w:r>
              <w:rPr>
                <w:rFonts w:eastAsia="仿宋" w:cs="Times New Roman"/>
                <w:sz w:val="22"/>
                <w:szCs w:val="20"/>
              </w:rPr>
              <w:sym w:font="Wingdings 2" w:char="F0CD"/>
            </w:r>
            <w:r>
              <w:rPr>
                <w:rFonts w:eastAsia="仿宋" w:cs="Times New Roman"/>
                <w:sz w:val="22"/>
                <w:szCs w:val="20"/>
              </w:rPr>
              <w:t>10</w:t>
            </w:r>
            <w:r>
              <w:rPr>
                <w:rFonts w:eastAsia="仿宋" w:cs="Times New Roman"/>
                <w:sz w:val="22"/>
                <w:szCs w:val="20"/>
                <w:vertAlign w:val="superscript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/L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33CB1528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2 (11.1%)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10F78031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18 (34.0%)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01FD976B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3.1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EDEDED" w:themeFill="accent3" w:themeFillTint="33"/>
            <w:vAlign w:val="center"/>
          </w:tcPr>
          <w:p w14:paraId="78A69F83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88.9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3CE452C7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/>
            <w:vAlign w:val="center"/>
          </w:tcPr>
          <w:p w14:paraId="2AC043D7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912" w:type="dxa"/>
            <w:vAlign w:val="center"/>
          </w:tcPr>
          <w:p w14:paraId="2CF756BD" w14:textId="1AC8B1E8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&lt;21 kPa</w:t>
            </w:r>
          </w:p>
        </w:tc>
        <w:tc>
          <w:tcPr>
            <w:tcW w:w="1984" w:type="dxa"/>
            <w:vAlign w:val="center"/>
          </w:tcPr>
          <w:p w14:paraId="27C75D0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(0.0%)</w:t>
            </w:r>
          </w:p>
        </w:tc>
        <w:tc>
          <w:tcPr>
            <w:tcW w:w="1984" w:type="dxa"/>
            <w:vAlign w:val="center"/>
          </w:tcPr>
          <w:p w14:paraId="2648197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2</w:t>
            </w:r>
            <w:r>
              <w:rPr>
                <w:rFonts w:eastAsia="仿宋" w:cs="Times New Roman"/>
                <w:sz w:val="22"/>
                <w:szCs w:val="20"/>
              </w:rPr>
              <w:t xml:space="preserve"> (3.8%)</w:t>
            </w:r>
          </w:p>
        </w:tc>
        <w:tc>
          <w:tcPr>
            <w:tcW w:w="1984" w:type="dxa"/>
            <w:vAlign w:val="center"/>
          </w:tcPr>
          <w:p w14:paraId="3705370E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vAlign w:val="center"/>
          </w:tcPr>
          <w:p w14:paraId="5E1DEB9A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005176AA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/>
            <w:shd w:val="clear" w:color="auto" w:fill="EDEDED" w:themeFill="accent3" w:themeFillTint="33"/>
            <w:vAlign w:val="center"/>
          </w:tcPr>
          <w:p w14:paraId="1E488259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912" w:type="dxa"/>
            <w:shd w:val="clear" w:color="auto" w:fill="EDEDED" w:themeFill="accent3" w:themeFillTint="33"/>
            <w:vAlign w:val="center"/>
          </w:tcPr>
          <w:p w14:paraId="5EBD52F1" w14:textId="205DC4C2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&lt;21 kPa </w:t>
            </w:r>
            <w:r w:rsidRPr="00C85B70">
              <w:rPr>
                <w:rFonts w:eastAsia="仿宋" w:cs="Times New Roman"/>
                <w:sz w:val="22"/>
                <w:szCs w:val="20"/>
              </w:rPr>
              <w:t>OR</w:t>
            </w:r>
            <w:r>
              <w:rPr>
                <w:rFonts w:eastAsia="仿宋" w:cs="Times New Roman"/>
                <w:sz w:val="22"/>
                <w:szCs w:val="20"/>
              </w:rPr>
              <w:t xml:space="preserve"> </w:t>
            </w:r>
          </w:p>
          <w:p w14:paraId="2023D3C0" w14:textId="10754333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(LS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≤15 kPa </w:t>
            </w:r>
            <w:r w:rsidRPr="00C85B70">
              <w:rPr>
                <w:rFonts w:eastAsia="仿宋" w:cs="Times New Roman"/>
                <w:sz w:val="22"/>
                <w:szCs w:val="20"/>
              </w:rPr>
              <w:t>AND</w:t>
            </w:r>
            <w:r>
              <w:rPr>
                <w:rFonts w:eastAsia="仿宋" w:cs="Times New Roman"/>
                <w:b/>
                <w:bCs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PLT ≥150</w:t>
            </w:r>
            <w:r>
              <w:rPr>
                <w:rFonts w:eastAsia="仿宋" w:cs="Times New Roman"/>
                <w:sz w:val="22"/>
                <w:szCs w:val="20"/>
              </w:rPr>
              <w:sym w:font="Wingdings 2" w:char="F0CD"/>
            </w:r>
            <w:r>
              <w:rPr>
                <w:rFonts w:eastAsia="仿宋" w:cs="Times New Roman"/>
                <w:sz w:val="22"/>
                <w:szCs w:val="20"/>
              </w:rPr>
              <w:t>10</w:t>
            </w:r>
            <w:r>
              <w:rPr>
                <w:rFonts w:eastAsia="仿宋" w:cs="Times New Roman"/>
                <w:sz w:val="22"/>
                <w:szCs w:val="20"/>
                <w:vertAlign w:val="superscript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/L)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197F2B51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2 (10.5%)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3EAD8F9A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19 (35.8%)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236AE43C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3.1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56C28ABE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89.5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5868C4CC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 w:val="restart"/>
            <w:vAlign w:val="center"/>
          </w:tcPr>
          <w:p w14:paraId="504210DA" w14:textId="77777777" w:rsidR="007E2B53" w:rsidRDefault="00000000">
            <w:pPr>
              <w:jc w:val="center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Non-HBV cohort</w:t>
            </w:r>
          </w:p>
          <w:p w14:paraId="118D64C6" w14:textId="704BFF14" w:rsidR="007E2B53" w:rsidRDefault="00000000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  <w:r>
              <w:rPr>
                <w:rFonts w:eastAsia="仿宋" w:cs="Times New Roman" w:hint="eastAsia"/>
                <w:i/>
                <w:iCs/>
                <w:sz w:val="22"/>
                <w:szCs w:val="20"/>
              </w:rPr>
              <w:t>n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=</w:t>
            </w:r>
            <w:r>
              <w:rPr>
                <w:rFonts w:eastAsia="仿宋" w:cs="Times New Roman" w:hint="eastAsia"/>
                <w:sz w:val="22"/>
                <w:szCs w:val="20"/>
              </w:rPr>
              <w:t xml:space="preserve"> </w:t>
            </w:r>
            <w:r>
              <w:rPr>
                <w:rFonts w:eastAsia="仿宋" w:cs="Times New Roman"/>
                <w:sz w:val="22"/>
                <w:szCs w:val="20"/>
              </w:rPr>
              <w:t>57</w:t>
            </w:r>
          </w:p>
        </w:tc>
        <w:tc>
          <w:tcPr>
            <w:tcW w:w="3912" w:type="dxa"/>
            <w:vAlign w:val="center"/>
          </w:tcPr>
          <w:p w14:paraId="785FBF2B" w14:textId="55A5BF23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≤15 kPa </w:t>
            </w:r>
            <w:r w:rsidRPr="00C85B70">
              <w:rPr>
                <w:rFonts w:eastAsia="仿宋" w:cs="Times New Roman"/>
                <w:sz w:val="22"/>
                <w:szCs w:val="20"/>
              </w:rPr>
              <w:t>AND</w:t>
            </w:r>
            <w:r>
              <w:rPr>
                <w:rFonts w:eastAsia="仿宋" w:cs="Times New Roman"/>
                <w:sz w:val="22"/>
                <w:szCs w:val="20"/>
              </w:rPr>
              <w:t xml:space="preserve"> PLT ≥150</w:t>
            </w:r>
            <w:r>
              <w:rPr>
                <w:rFonts w:eastAsia="仿宋" w:cs="Times New Roman"/>
                <w:sz w:val="22"/>
                <w:szCs w:val="20"/>
              </w:rPr>
              <w:sym w:font="Wingdings 2" w:char="F0CD"/>
            </w:r>
            <w:r>
              <w:rPr>
                <w:rFonts w:eastAsia="仿宋" w:cs="Times New Roman"/>
                <w:sz w:val="22"/>
                <w:szCs w:val="20"/>
              </w:rPr>
              <w:t>10</w:t>
            </w:r>
            <w:r>
              <w:rPr>
                <w:rFonts w:eastAsia="仿宋" w:cs="Times New Roman"/>
                <w:sz w:val="22"/>
                <w:szCs w:val="20"/>
                <w:vertAlign w:val="superscript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/L</w:t>
            </w:r>
          </w:p>
        </w:tc>
        <w:tc>
          <w:tcPr>
            <w:tcW w:w="1984" w:type="dxa"/>
            <w:vAlign w:val="center"/>
          </w:tcPr>
          <w:p w14:paraId="0C35BA27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(0.0%)</w:t>
            </w:r>
          </w:p>
        </w:tc>
        <w:tc>
          <w:tcPr>
            <w:tcW w:w="1984" w:type="dxa"/>
            <w:vAlign w:val="center"/>
          </w:tcPr>
          <w:p w14:paraId="04332271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16 (28.1%)</w:t>
            </w:r>
          </w:p>
        </w:tc>
        <w:tc>
          <w:tcPr>
            <w:tcW w:w="1984" w:type="dxa"/>
            <w:vAlign w:val="center"/>
          </w:tcPr>
          <w:p w14:paraId="38BD0C56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vAlign w:val="center"/>
          </w:tcPr>
          <w:p w14:paraId="478F1D6D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77D8A31B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/>
            <w:shd w:val="clear" w:color="auto" w:fill="EDEDED" w:themeFill="accent3" w:themeFillTint="33"/>
            <w:vAlign w:val="center"/>
          </w:tcPr>
          <w:p w14:paraId="4652BD05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912" w:type="dxa"/>
            <w:shd w:val="clear" w:color="auto" w:fill="EDEDED" w:themeFill="accent3" w:themeFillTint="33"/>
            <w:vAlign w:val="center"/>
          </w:tcPr>
          <w:p w14:paraId="6F2A4CC5" w14:textId="52A27915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>&lt;21 kPa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44D0073E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(0.0%)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7BB2C217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8</w:t>
            </w:r>
            <w:r>
              <w:rPr>
                <w:rFonts w:eastAsia="仿宋" w:cs="Times New Roman"/>
                <w:sz w:val="22"/>
                <w:szCs w:val="20"/>
              </w:rPr>
              <w:t xml:space="preserve"> (14.0%)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13CCF421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shd w:val="clear" w:color="auto" w:fill="EDEDED" w:themeFill="accent3" w:themeFillTint="33"/>
            <w:vAlign w:val="center"/>
          </w:tcPr>
          <w:p w14:paraId="38BE4E8F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  <w:tr w:rsidR="007E2B53" w14:paraId="7D07C031" w14:textId="77777777" w:rsidTr="00C85B70">
        <w:trPr>
          <w:trHeight w:val="6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8" w:type="dxa"/>
            <w:vMerge/>
            <w:vAlign w:val="center"/>
          </w:tcPr>
          <w:p w14:paraId="4CF636DF" w14:textId="77777777" w:rsidR="007E2B53" w:rsidRDefault="007E2B53">
            <w:pPr>
              <w:jc w:val="center"/>
              <w:rPr>
                <w:rFonts w:eastAsia="仿宋" w:cs="Times New Roman"/>
                <w:b w:val="0"/>
                <w:bCs w:val="0"/>
                <w:sz w:val="22"/>
                <w:szCs w:val="20"/>
              </w:rPr>
            </w:pPr>
          </w:p>
        </w:tc>
        <w:tc>
          <w:tcPr>
            <w:tcW w:w="3912" w:type="dxa"/>
            <w:vAlign w:val="center"/>
          </w:tcPr>
          <w:p w14:paraId="1CA3F0CA" w14:textId="3E0BEC8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SS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&lt;21 kPa </w:t>
            </w:r>
            <w:r w:rsidRPr="00C85B70">
              <w:rPr>
                <w:rFonts w:eastAsia="仿宋" w:cs="Times New Roman"/>
                <w:sz w:val="22"/>
                <w:szCs w:val="20"/>
              </w:rPr>
              <w:t>OR</w:t>
            </w:r>
            <w:r>
              <w:rPr>
                <w:rFonts w:eastAsia="仿宋" w:cs="Times New Roman"/>
                <w:sz w:val="22"/>
                <w:szCs w:val="20"/>
              </w:rPr>
              <w:t xml:space="preserve"> </w:t>
            </w:r>
          </w:p>
          <w:p w14:paraId="58593ED0" w14:textId="75143EAE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(LS</w:t>
            </w:r>
            <w:r>
              <w:rPr>
                <w:rFonts w:eastAsia="宋体" w:cs="Times New Roman"/>
                <w:sz w:val="22"/>
                <w:szCs w:val="20"/>
              </w:rPr>
              <w:t xml:space="preserve">M </w:t>
            </w:r>
            <w:r>
              <w:rPr>
                <w:rFonts w:eastAsia="仿宋" w:cs="Times New Roman"/>
                <w:sz w:val="22"/>
                <w:szCs w:val="20"/>
              </w:rPr>
              <w:t xml:space="preserve">≤15 kPa </w:t>
            </w:r>
            <w:r w:rsidRPr="00C85B70">
              <w:rPr>
                <w:rFonts w:eastAsia="仿宋" w:cs="Times New Roman"/>
                <w:sz w:val="22"/>
                <w:szCs w:val="20"/>
              </w:rPr>
              <w:t>AND</w:t>
            </w:r>
            <w:r>
              <w:rPr>
                <w:rFonts w:eastAsia="仿宋" w:cs="Times New Roman"/>
                <w:sz w:val="22"/>
                <w:szCs w:val="20"/>
              </w:rPr>
              <w:t xml:space="preserve"> PLT ≥150</w:t>
            </w:r>
            <w:r>
              <w:rPr>
                <w:rFonts w:eastAsia="仿宋" w:cs="Times New Roman"/>
                <w:sz w:val="22"/>
                <w:szCs w:val="20"/>
              </w:rPr>
              <w:sym w:font="Wingdings 2" w:char="F0CD"/>
            </w:r>
            <w:r>
              <w:rPr>
                <w:rFonts w:eastAsia="仿宋" w:cs="Times New Roman"/>
                <w:sz w:val="22"/>
                <w:szCs w:val="20"/>
              </w:rPr>
              <w:t>10</w:t>
            </w:r>
            <w:r>
              <w:rPr>
                <w:rFonts w:eastAsia="仿宋" w:cs="Times New Roman"/>
                <w:sz w:val="22"/>
                <w:szCs w:val="20"/>
                <w:vertAlign w:val="superscript"/>
              </w:rPr>
              <w:t>9</w:t>
            </w:r>
            <w:r>
              <w:rPr>
                <w:rFonts w:eastAsia="仿宋" w:cs="Times New Roman"/>
                <w:sz w:val="22"/>
                <w:szCs w:val="20"/>
              </w:rPr>
              <w:t>/L)</w:t>
            </w:r>
          </w:p>
        </w:tc>
        <w:tc>
          <w:tcPr>
            <w:tcW w:w="1984" w:type="dxa"/>
            <w:vAlign w:val="center"/>
          </w:tcPr>
          <w:p w14:paraId="72CB8BB3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0</w:t>
            </w:r>
            <w:r>
              <w:rPr>
                <w:rFonts w:eastAsia="仿宋" w:cs="Times New Roman"/>
                <w:sz w:val="22"/>
                <w:szCs w:val="20"/>
              </w:rPr>
              <w:t xml:space="preserve"> (0.0%)</w:t>
            </w:r>
          </w:p>
        </w:tc>
        <w:tc>
          <w:tcPr>
            <w:tcW w:w="1984" w:type="dxa"/>
            <w:vAlign w:val="center"/>
          </w:tcPr>
          <w:p w14:paraId="05BB3F9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2</w:t>
            </w:r>
            <w:r>
              <w:rPr>
                <w:rFonts w:eastAsia="仿宋" w:cs="Times New Roman"/>
                <w:sz w:val="22"/>
                <w:szCs w:val="20"/>
              </w:rPr>
              <w:t>0 (35.1%)</w:t>
            </w:r>
          </w:p>
        </w:tc>
        <w:tc>
          <w:tcPr>
            <w:tcW w:w="1984" w:type="dxa"/>
            <w:vAlign w:val="center"/>
          </w:tcPr>
          <w:p w14:paraId="7B82B374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 w:hint="eastAsia"/>
                <w:sz w:val="22"/>
                <w:szCs w:val="20"/>
              </w:rPr>
              <w:t>1</w:t>
            </w:r>
            <w:r>
              <w:rPr>
                <w:rFonts w:eastAsia="仿宋" w:cs="Times New Roman"/>
                <w:sz w:val="22"/>
                <w:szCs w:val="20"/>
              </w:rPr>
              <w:t>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  <w:tc>
          <w:tcPr>
            <w:tcW w:w="1984" w:type="dxa"/>
            <w:vAlign w:val="center"/>
          </w:tcPr>
          <w:p w14:paraId="602B6D2A" w14:textId="77777777" w:rsidR="007E2B53" w:rsidRDefault="000000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仿宋" w:cs="Times New Roman"/>
                <w:sz w:val="22"/>
                <w:szCs w:val="20"/>
              </w:rPr>
            </w:pPr>
            <w:r>
              <w:rPr>
                <w:rFonts w:eastAsia="仿宋" w:cs="Times New Roman"/>
                <w:sz w:val="22"/>
                <w:szCs w:val="20"/>
              </w:rPr>
              <w:t>100.0</w:t>
            </w:r>
            <w:r>
              <w:rPr>
                <w:rFonts w:eastAsia="仿宋" w:cs="Times New Roman" w:hint="eastAsia"/>
                <w:sz w:val="22"/>
                <w:szCs w:val="20"/>
              </w:rPr>
              <w:t>%</w:t>
            </w:r>
          </w:p>
        </w:tc>
      </w:tr>
    </w:tbl>
    <w:p w14:paraId="2D651322" w14:textId="77777777" w:rsidR="007E2B53" w:rsidRDefault="00000000">
      <w:pPr>
        <w:rPr>
          <w:rFonts w:eastAsia="仿宋" w:cs="Times New Roman"/>
          <w:sz w:val="22"/>
        </w:rPr>
      </w:pPr>
      <w:r>
        <w:rPr>
          <w:rFonts w:eastAsia="仿宋" w:cs="Times New Roman"/>
          <w:sz w:val="22"/>
        </w:rPr>
        <w:t xml:space="preserve">Note: </w:t>
      </w:r>
      <w:r>
        <w:rPr>
          <w:rFonts w:eastAsia="仿宋" w:cs="Times New Roman" w:hint="eastAsia"/>
          <w:sz w:val="22"/>
        </w:rPr>
        <w:t xml:space="preserve">Date </w:t>
      </w:r>
      <w:proofErr w:type="gramStart"/>
      <w:r>
        <w:rPr>
          <w:rFonts w:eastAsia="仿宋" w:cs="Times New Roman" w:hint="eastAsia"/>
          <w:sz w:val="22"/>
        </w:rPr>
        <w:t>were</w:t>
      </w:r>
      <w:proofErr w:type="gramEnd"/>
      <w:r>
        <w:rPr>
          <w:rFonts w:eastAsia="仿宋" w:cs="Times New Roman" w:hint="eastAsia"/>
          <w:sz w:val="22"/>
        </w:rPr>
        <w:t xml:space="preserve"> presented as n (%).</w:t>
      </w:r>
    </w:p>
    <w:p w14:paraId="199BD898" w14:textId="77777777" w:rsidR="007E2B53" w:rsidRDefault="00000000">
      <w:pPr>
        <w:rPr>
          <w:rFonts w:eastAsia="仿宋" w:cs="Times New Roman"/>
          <w:sz w:val="22"/>
        </w:rPr>
        <w:sectPr w:rsidR="007E2B53">
          <w:pgSz w:w="16838" w:h="11906" w:orient="landscape"/>
          <w:pgMar w:top="1276" w:right="1440" w:bottom="1797" w:left="1440" w:header="851" w:footer="992" w:gutter="0"/>
          <w:cols w:space="425"/>
          <w:docGrid w:type="lines" w:linePitch="312"/>
        </w:sectPr>
      </w:pPr>
      <w:r>
        <w:rPr>
          <w:rFonts w:eastAsia="仿宋" w:cs="Times New Roman" w:hint="eastAsia"/>
          <w:sz w:val="22"/>
        </w:rPr>
        <w:t xml:space="preserve">Abbreviation: </w:t>
      </w:r>
      <w:r>
        <w:rPr>
          <w:rFonts w:eastAsia="仿宋" w:cs="Times New Roman"/>
          <w:sz w:val="22"/>
        </w:rPr>
        <w:t>CSPH, clinically significant portal hypertension; HBV,</w:t>
      </w:r>
      <w:r>
        <w:t xml:space="preserve"> </w:t>
      </w:r>
      <w:r>
        <w:rPr>
          <w:rFonts w:eastAsia="仿宋" w:cs="Times New Roman"/>
          <w:sz w:val="22"/>
        </w:rPr>
        <w:t>hepatitis B virus; LSM, liver stiffness measurement;</w:t>
      </w:r>
      <w:r>
        <w:rPr>
          <w:rFonts w:eastAsia="仿宋" w:cs="Times New Roman" w:hint="eastAsia"/>
          <w:sz w:val="22"/>
        </w:rPr>
        <w:t xml:space="preserve"> </w:t>
      </w:r>
      <w:r>
        <w:rPr>
          <w:rFonts w:eastAsia="仿宋" w:cs="Times New Roman"/>
          <w:sz w:val="22"/>
        </w:rPr>
        <w:t>NPV, negative predictive value; PLT, platelet count; SSM, spleen stiffness measurement.</w:t>
      </w:r>
    </w:p>
    <w:bookmarkEnd w:id="0"/>
    <w:p w14:paraId="0AD0FF83" w14:textId="77777777" w:rsidR="007E2B53" w:rsidRDefault="00000000">
      <w:pPr>
        <w:spacing w:line="360" w:lineRule="auto"/>
      </w:pPr>
      <w:r>
        <w:rPr>
          <w:b/>
          <w:bCs/>
        </w:rPr>
        <w:lastRenderedPageBreak/>
        <w:t>Supplementary Figure 1. The success rate of spleen stiffness was measured by spleen-dedicated 100</w:t>
      </w:r>
      <w:r>
        <w:rPr>
          <w:rFonts w:hint="eastAsia"/>
          <w:b/>
          <w:bCs/>
        </w:rPr>
        <w:t xml:space="preserve"> </w:t>
      </w:r>
      <w:r>
        <w:rPr>
          <w:b/>
          <w:bCs/>
        </w:rPr>
        <w:t>Hz and conventional 50</w:t>
      </w:r>
      <w:r>
        <w:rPr>
          <w:rFonts w:hint="eastAsia"/>
          <w:b/>
          <w:bCs/>
        </w:rPr>
        <w:t xml:space="preserve"> </w:t>
      </w:r>
      <w:r>
        <w:rPr>
          <w:b/>
          <w:bCs/>
        </w:rPr>
        <w:t>Hz.</w:t>
      </w:r>
    </w:p>
    <w:p w14:paraId="4CE73FEF" w14:textId="5E0DCEB0" w:rsidR="007E2B53" w:rsidRDefault="00A464B9">
      <w:pPr>
        <w:spacing w:line="360" w:lineRule="auto"/>
        <w:jc w:val="center"/>
        <w:rPr>
          <w:rFonts w:eastAsia="仿宋" w:cs="Times New Roman"/>
          <w:b/>
          <w:bCs/>
          <w:sz w:val="22"/>
        </w:rPr>
      </w:pPr>
      <w:r>
        <w:rPr>
          <w:rFonts w:eastAsia="仿宋" w:cs="Times New Roman"/>
          <w:b/>
          <w:bCs/>
          <w:noProof/>
          <w:sz w:val="22"/>
        </w:rPr>
        <w:drawing>
          <wp:inline distT="0" distB="0" distL="0" distR="0" wp14:anchorId="7AAFAC93" wp14:editId="332B6401">
            <wp:extent cx="4334400" cy="3452400"/>
            <wp:effectExtent l="0" t="0" r="0" b="0"/>
            <wp:docPr id="96675135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6751359" name="图片 96675135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4400" cy="34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C9BC0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33FEC1E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6520CCB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24C1B60B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67185DC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C2915CD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0F361AE3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29B23FE5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64A0E55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2149A0F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7B6720B7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E5F0291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DF258B4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541DE0A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AEFE7A5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20967FC2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15E20825" w14:textId="68B8A539" w:rsidR="007E2B53" w:rsidRDefault="00000000">
      <w:pPr>
        <w:spacing w:line="360" w:lineRule="auto"/>
        <w:rPr>
          <w:rFonts w:eastAsia="仿宋" w:cs="Times New Roman"/>
          <w:sz w:val="22"/>
        </w:rPr>
      </w:pPr>
      <w:r>
        <w:rPr>
          <w:rFonts w:eastAsia="仿宋" w:cs="Times New Roman"/>
          <w:b/>
          <w:bCs/>
          <w:sz w:val="22"/>
        </w:rPr>
        <w:lastRenderedPageBreak/>
        <w:t xml:space="preserve">Supplementary Figure 2. Performance of different models for </w:t>
      </w:r>
      <w:proofErr w:type="spellStart"/>
      <w:r>
        <w:rPr>
          <w:rFonts w:eastAsia="仿宋" w:cs="Times New Roman"/>
          <w:b/>
          <w:bCs/>
          <w:sz w:val="22"/>
        </w:rPr>
        <w:t>minimising</w:t>
      </w:r>
      <w:proofErr w:type="spellEnd"/>
      <w:r>
        <w:rPr>
          <w:rFonts w:eastAsia="仿宋" w:cs="Times New Roman"/>
          <w:b/>
          <w:bCs/>
          <w:sz w:val="22"/>
        </w:rPr>
        <w:t xml:space="preserve"> patients in the grey zone.</w:t>
      </w:r>
      <w:r>
        <w:rPr>
          <w:rFonts w:eastAsia="仿宋" w:cs="Times New Roman" w:hint="eastAsia"/>
          <w:b/>
          <w:bCs/>
          <w:sz w:val="22"/>
        </w:rPr>
        <w:t xml:space="preserve"> (</w:t>
      </w:r>
      <w:r>
        <w:rPr>
          <w:rFonts w:eastAsia="仿宋" w:cs="Times New Roman"/>
          <w:sz w:val="22"/>
        </w:rPr>
        <w:t>A</w:t>
      </w:r>
      <w:r>
        <w:rPr>
          <w:rFonts w:eastAsia="仿宋" w:cs="Times New Roman" w:hint="eastAsia"/>
          <w:sz w:val="22"/>
        </w:rPr>
        <w:t>)</w:t>
      </w:r>
      <w:r>
        <w:rPr>
          <w:rFonts w:eastAsia="仿宋" w:cs="Times New Roman"/>
          <w:sz w:val="22"/>
        </w:rPr>
        <w:t xml:space="preserve"> HBV cohort</w:t>
      </w:r>
      <w:r>
        <w:rPr>
          <w:rFonts w:eastAsia="仿宋" w:cs="Times New Roman" w:hint="eastAsia"/>
          <w:sz w:val="22"/>
        </w:rPr>
        <w:t>, (</w:t>
      </w:r>
      <w:r>
        <w:rPr>
          <w:rFonts w:eastAsia="仿宋" w:cs="Times New Roman"/>
          <w:sz w:val="22"/>
        </w:rPr>
        <w:t>B</w:t>
      </w:r>
      <w:r>
        <w:rPr>
          <w:rFonts w:eastAsia="仿宋" w:cs="Times New Roman" w:hint="eastAsia"/>
          <w:sz w:val="22"/>
        </w:rPr>
        <w:t>)</w:t>
      </w:r>
      <w:r>
        <w:rPr>
          <w:rFonts w:eastAsia="仿宋" w:cs="Times New Roman"/>
          <w:sz w:val="22"/>
        </w:rPr>
        <w:t xml:space="preserve"> non-HBV cohort.</w:t>
      </w:r>
    </w:p>
    <w:p w14:paraId="1B5F37C7" w14:textId="0EA76669" w:rsidR="007E2B53" w:rsidRDefault="00A464B9">
      <w:pPr>
        <w:spacing w:line="360" w:lineRule="auto"/>
        <w:rPr>
          <w:rFonts w:eastAsia="仿宋" w:cs="Times New Roman"/>
          <w:b/>
          <w:bCs/>
          <w:sz w:val="22"/>
        </w:rPr>
      </w:pPr>
      <w:r>
        <w:rPr>
          <w:rFonts w:eastAsia="仿宋" w:cs="Times New Roman"/>
          <w:b/>
          <w:bCs/>
          <w:noProof/>
          <w:sz w:val="22"/>
        </w:rPr>
        <w:drawing>
          <wp:inline distT="0" distB="0" distL="0" distR="0" wp14:anchorId="5DC42F53" wp14:editId="3A7199F0">
            <wp:extent cx="5670000" cy="2826000"/>
            <wp:effectExtent l="0" t="0" r="6985" b="0"/>
            <wp:docPr id="119050255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502551" name="图片 119050255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0000" cy="282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EB99F2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1F7DABC9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333413D0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6FE8EB93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5A25E83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5110A806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070ABF42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4257E89F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4183E498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7BE563F9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2A392F9C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6EE439BA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p w14:paraId="44878E67" w14:textId="77777777" w:rsidR="007E2B53" w:rsidRDefault="007E2B53">
      <w:pPr>
        <w:spacing w:line="360" w:lineRule="auto"/>
        <w:rPr>
          <w:rFonts w:eastAsia="仿宋" w:cs="Times New Roman"/>
          <w:b/>
          <w:bCs/>
          <w:sz w:val="22"/>
        </w:rPr>
      </w:pPr>
    </w:p>
    <w:sectPr w:rsidR="007E2B53">
      <w:pgSz w:w="11906" w:h="16838"/>
      <w:pgMar w:top="1440" w:right="1276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C0FE2" w14:textId="77777777" w:rsidR="00C13ED5" w:rsidRDefault="00C13ED5">
      <w:r>
        <w:separator/>
      </w:r>
    </w:p>
  </w:endnote>
  <w:endnote w:type="continuationSeparator" w:id="0">
    <w:p w14:paraId="05D121A7" w14:textId="77777777" w:rsidR="00C13ED5" w:rsidRDefault="00C13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63931" w14:textId="77777777" w:rsidR="00C13ED5" w:rsidRDefault="00C13ED5">
      <w:r>
        <w:separator/>
      </w:r>
    </w:p>
  </w:footnote>
  <w:footnote w:type="continuationSeparator" w:id="0">
    <w:p w14:paraId="257A3CE1" w14:textId="77777777" w:rsidR="00C13ED5" w:rsidRDefault="00C13E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0FEE41"/>
    <w:multiLevelType w:val="singleLevel"/>
    <w:tmpl w:val="780FEE41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 w16cid:durableId="8299500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trackRevisions/>
  <w:defaultTabStop w:val="720"/>
  <w:hyphenationZone w:val="283"/>
  <w:drawingGridHorizontalSpacing w:val="105"/>
  <w:drawingGridVerticalSpacing w:val="15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GxMDMwtjQ1tDSxMLZU0lEKTi0uzszPAykwNKoFAN8rNBktAAAA"/>
    <w:docVar w:name="commondata" w:val="eyJoZGlkIjoiNzJkYWU3N2Q2ODE3NjllMzkyNzg1ODAzNDQxZjNiMDQifQ=="/>
  </w:docVars>
  <w:rsids>
    <w:rsidRoot w:val="00A969A9"/>
    <w:rsid w:val="0003204F"/>
    <w:rsid w:val="00047C70"/>
    <w:rsid w:val="00076E24"/>
    <w:rsid w:val="000A1E2C"/>
    <w:rsid w:val="000B2D86"/>
    <w:rsid w:val="000C5DEB"/>
    <w:rsid w:val="000D5B58"/>
    <w:rsid w:val="000D762C"/>
    <w:rsid w:val="0010118D"/>
    <w:rsid w:val="0010621F"/>
    <w:rsid w:val="001114D5"/>
    <w:rsid w:val="00120E7D"/>
    <w:rsid w:val="00136E42"/>
    <w:rsid w:val="00141061"/>
    <w:rsid w:val="00142C64"/>
    <w:rsid w:val="00151BCF"/>
    <w:rsid w:val="0022298F"/>
    <w:rsid w:val="002440C5"/>
    <w:rsid w:val="0028505F"/>
    <w:rsid w:val="002A2008"/>
    <w:rsid w:val="002F0A19"/>
    <w:rsid w:val="00302D4E"/>
    <w:rsid w:val="003033BF"/>
    <w:rsid w:val="0032041B"/>
    <w:rsid w:val="003214C0"/>
    <w:rsid w:val="003362B8"/>
    <w:rsid w:val="00345659"/>
    <w:rsid w:val="003610D9"/>
    <w:rsid w:val="00377079"/>
    <w:rsid w:val="003A2A90"/>
    <w:rsid w:val="003C5AB6"/>
    <w:rsid w:val="003E534C"/>
    <w:rsid w:val="003F568E"/>
    <w:rsid w:val="00403A83"/>
    <w:rsid w:val="00421366"/>
    <w:rsid w:val="00452B5F"/>
    <w:rsid w:val="004535D4"/>
    <w:rsid w:val="00480F3F"/>
    <w:rsid w:val="00497054"/>
    <w:rsid w:val="004C1867"/>
    <w:rsid w:val="00513551"/>
    <w:rsid w:val="0059535B"/>
    <w:rsid w:val="005C673B"/>
    <w:rsid w:val="00653298"/>
    <w:rsid w:val="00682A6F"/>
    <w:rsid w:val="006C57AD"/>
    <w:rsid w:val="006C58F9"/>
    <w:rsid w:val="006E366E"/>
    <w:rsid w:val="006E75B1"/>
    <w:rsid w:val="00765A6B"/>
    <w:rsid w:val="00767CEC"/>
    <w:rsid w:val="00795C32"/>
    <w:rsid w:val="007E2B53"/>
    <w:rsid w:val="00827975"/>
    <w:rsid w:val="008416CF"/>
    <w:rsid w:val="008735E7"/>
    <w:rsid w:val="00885287"/>
    <w:rsid w:val="008D0744"/>
    <w:rsid w:val="00910E1F"/>
    <w:rsid w:val="009523A7"/>
    <w:rsid w:val="0097364F"/>
    <w:rsid w:val="00997D5D"/>
    <w:rsid w:val="009C11E1"/>
    <w:rsid w:val="009C487F"/>
    <w:rsid w:val="00A12E86"/>
    <w:rsid w:val="00A156C0"/>
    <w:rsid w:val="00A356B1"/>
    <w:rsid w:val="00A464B9"/>
    <w:rsid w:val="00A55236"/>
    <w:rsid w:val="00A6120D"/>
    <w:rsid w:val="00A6227B"/>
    <w:rsid w:val="00A7262E"/>
    <w:rsid w:val="00A752A4"/>
    <w:rsid w:val="00A9374E"/>
    <w:rsid w:val="00A969A9"/>
    <w:rsid w:val="00AA0411"/>
    <w:rsid w:val="00AA27B1"/>
    <w:rsid w:val="00AB254C"/>
    <w:rsid w:val="00AD49A7"/>
    <w:rsid w:val="00AE5B38"/>
    <w:rsid w:val="00B178F6"/>
    <w:rsid w:val="00B44108"/>
    <w:rsid w:val="00B71F67"/>
    <w:rsid w:val="00B77A76"/>
    <w:rsid w:val="00BD3BB2"/>
    <w:rsid w:val="00BE3C5E"/>
    <w:rsid w:val="00C13ED5"/>
    <w:rsid w:val="00C80482"/>
    <w:rsid w:val="00C85B70"/>
    <w:rsid w:val="00CA46C4"/>
    <w:rsid w:val="00CF0678"/>
    <w:rsid w:val="00CF1C5E"/>
    <w:rsid w:val="00D54C7D"/>
    <w:rsid w:val="00D8258F"/>
    <w:rsid w:val="00DA10F6"/>
    <w:rsid w:val="00DA213A"/>
    <w:rsid w:val="00E07B52"/>
    <w:rsid w:val="00E4149B"/>
    <w:rsid w:val="00E72A6C"/>
    <w:rsid w:val="00ED2DAF"/>
    <w:rsid w:val="00F66402"/>
    <w:rsid w:val="00F816F4"/>
    <w:rsid w:val="00F92466"/>
    <w:rsid w:val="00FD1AD1"/>
    <w:rsid w:val="03B20AFA"/>
    <w:rsid w:val="10D76FD1"/>
    <w:rsid w:val="19616ABA"/>
    <w:rsid w:val="1E556808"/>
    <w:rsid w:val="207417C9"/>
    <w:rsid w:val="2BE07D12"/>
    <w:rsid w:val="2D334F68"/>
    <w:rsid w:val="327D7D41"/>
    <w:rsid w:val="4343256B"/>
    <w:rsid w:val="45FF60EE"/>
    <w:rsid w:val="4F9D72A0"/>
    <w:rsid w:val="61B37A8E"/>
    <w:rsid w:val="72E70E23"/>
    <w:rsid w:val="73E95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C78A64-D99E-4D41-A873-BD2DA2384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rFonts w:ascii="Times New Roman" w:hAnsi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autoRedefine/>
    <w:uiPriority w:val="99"/>
    <w:unhideWhenUsed/>
    <w:qFormat/>
    <w:rPr>
      <w:sz w:val="20"/>
      <w:szCs w:val="20"/>
    </w:rPr>
  </w:style>
  <w:style w:type="paragraph" w:styleId="a5">
    <w:name w:val="Balloon Text"/>
    <w:basedOn w:val="a"/>
    <w:link w:val="a6"/>
    <w:autoRedefine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autoRedefine/>
    <w:uiPriority w:val="99"/>
    <w:unhideWhenUsed/>
    <w:qFormat/>
    <w:pPr>
      <w:widowControl/>
      <w:spacing w:before="100" w:beforeAutospacing="1" w:after="240" w:line="273" w:lineRule="auto"/>
      <w:jc w:val="left"/>
    </w:pPr>
    <w:rPr>
      <w:rFonts w:ascii="宋体" w:hAnsi="宋体" w:cs="宋体"/>
      <w:kern w:val="0"/>
      <w:sz w:val="24"/>
      <w:szCs w:val="24"/>
    </w:rPr>
  </w:style>
  <w:style w:type="paragraph" w:styleId="ac">
    <w:name w:val="annotation subject"/>
    <w:basedOn w:val="a3"/>
    <w:next w:val="a3"/>
    <w:link w:val="ad"/>
    <w:autoRedefine/>
    <w:uiPriority w:val="99"/>
    <w:semiHidden/>
    <w:unhideWhenUsed/>
    <w:qFormat/>
    <w:rPr>
      <w:b/>
      <w:bCs/>
    </w:rPr>
  </w:style>
  <w:style w:type="character" w:styleId="ae">
    <w:name w:val="annotation reference"/>
    <w:basedOn w:val="a0"/>
    <w:autoRedefine/>
    <w:uiPriority w:val="99"/>
    <w:semiHidden/>
    <w:unhideWhenUsed/>
    <w:qFormat/>
    <w:rPr>
      <w:sz w:val="16"/>
      <w:szCs w:val="16"/>
    </w:rPr>
  </w:style>
  <w:style w:type="table" w:customStyle="1" w:styleId="4-31">
    <w:name w:val="网格表 4 - 着色 31"/>
    <w:basedOn w:val="a1"/>
    <w:autoRedefine/>
    <w:uiPriority w:val="49"/>
    <w:qFormat/>
    <w:rPr>
      <w:rFonts w:ascii="Times New Roman" w:eastAsia="宋体" w:hAnsi="Times New Roman" w:cs="Times New Roman"/>
    </w:rPr>
    <w:tblPr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customStyle="1" w:styleId="1">
    <w:name w:val="修订1"/>
    <w:autoRedefine/>
    <w:hidden/>
    <w:uiPriority w:val="99"/>
    <w:semiHidden/>
    <w:qFormat/>
    <w:rPr>
      <w:rFonts w:ascii="Times New Roman" w:hAnsi="Times New Roman"/>
      <w:kern w:val="2"/>
      <w:sz w:val="21"/>
      <w:szCs w:val="22"/>
    </w:rPr>
  </w:style>
  <w:style w:type="character" w:customStyle="1" w:styleId="a4">
    <w:name w:val="批注文字 字符"/>
    <w:basedOn w:val="a0"/>
    <w:link w:val="a3"/>
    <w:autoRedefine/>
    <w:uiPriority w:val="99"/>
    <w:qFormat/>
    <w:rPr>
      <w:rFonts w:ascii="Times New Roman" w:eastAsiaTheme="minorEastAsia" w:hAnsi="Times New Roman"/>
      <w:kern w:val="2"/>
      <w:sz w:val="20"/>
      <w:szCs w:val="20"/>
      <w:lang w:val="en-US" w:eastAsia="zh-CN"/>
    </w:rPr>
  </w:style>
  <w:style w:type="character" w:customStyle="1" w:styleId="ad">
    <w:name w:val="批注主题 字符"/>
    <w:basedOn w:val="a4"/>
    <w:link w:val="ac"/>
    <w:autoRedefine/>
    <w:uiPriority w:val="99"/>
    <w:semiHidden/>
    <w:qFormat/>
    <w:rPr>
      <w:rFonts w:ascii="Times New Roman" w:eastAsiaTheme="minorEastAsia" w:hAnsi="Times New Roman"/>
      <w:b/>
      <w:bCs/>
      <w:kern w:val="2"/>
      <w:sz w:val="20"/>
      <w:szCs w:val="20"/>
      <w:lang w:val="en-US" w:eastAsia="zh-CN"/>
    </w:rPr>
  </w:style>
  <w:style w:type="character" w:customStyle="1" w:styleId="a6">
    <w:name w:val="批注框文本 字符"/>
    <w:basedOn w:val="a0"/>
    <w:link w:val="a5"/>
    <w:autoRedefine/>
    <w:uiPriority w:val="99"/>
    <w:semiHidden/>
    <w:qFormat/>
    <w:rPr>
      <w:rFonts w:ascii="Times New Roman" w:hAnsi="Times New Roman"/>
      <w:kern w:val="2"/>
      <w:sz w:val="18"/>
      <w:szCs w:val="18"/>
      <w:lang w:val="en-US" w:eastAsia="zh-CN"/>
    </w:rPr>
  </w:style>
  <w:style w:type="character" w:customStyle="1" w:styleId="aa">
    <w:name w:val="页眉 字符"/>
    <w:basedOn w:val="a0"/>
    <w:link w:val="a9"/>
    <w:autoRedefine/>
    <w:uiPriority w:val="99"/>
    <w:qFormat/>
    <w:rPr>
      <w:rFonts w:ascii="Times New Roman" w:hAnsi="Times New Roman"/>
      <w:kern w:val="2"/>
      <w:sz w:val="18"/>
      <w:szCs w:val="18"/>
      <w:lang w:val="en-US" w:eastAsia="zh-CN"/>
    </w:rPr>
  </w:style>
  <w:style w:type="character" w:customStyle="1" w:styleId="a8">
    <w:name w:val="页脚 字符"/>
    <w:basedOn w:val="a0"/>
    <w:link w:val="a7"/>
    <w:autoRedefine/>
    <w:uiPriority w:val="99"/>
    <w:qFormat/>
    <w:rPr>
      <w:rFonts w:ascii="Times New Roman" w:hAnsi="Times New Roman"/>
      <w:kern w:val="2"/>
      <w:sz w:val="18"/>
      <w:szCs w:val="18"/>
      <w:lang w:val="en-US" w:eastAsia="zh-CN"/>
    </w:rPr>
  </w:style>
  <w:style w:type="paragraph" w:styleId="af">
    <w:name w:val="List Paragraph"/>
    <w:basedOn w:val="a"/>
    <w:autoRedefine/>
    <w:uiPriority w:val="99"/>
    <w:qFormat/>
    <w:pPr>
      <w:ind w:firstLineChars="200" w:firstLine="420"/>
    </w:pPr>
  </w:style>
  <w:style w:type="paragraph" w:styleId="af0">
    <w:name w:val="Revision"/>
    <w:hidden/>
    <w:uiPriority w:val="99"/>
    <w:unhideWhenUsed/>
    <w:rsid w:val="00B44108"/>
    <w:rPr>
      <w:rFonts w:ascii="Times New Roman" w:hAnsi="Times New Roman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F17E7-93FE-45FB-A202-0083B559D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270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Colecchia</dc:creator>
  <cp:lastModifiedBy>Ruiling He</cp:lastModifiedBy>
  <cp:revision>2</cp:revision>
  <dcterms:created xsi:type="dcterms:W3CDTF">2025-02-11T21:33:00Z</dcterms:created>
  <dcterms:modified xsi:type="dcterms:W3CDTF">2025-02-11T21:33:00Z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117099FF92B84828884DDB56CD0BBE35_13</vt:lpwstr>
  </property>
  <property fmtid="{D5CDD505-2E9C-101B-9397-08002B2CF9AE}" pid="4" name="KSOTemplateDocerSaveRecord">
    <vt:lpwstr>eyJoZGlkIjoiYTBlZGJiMGM0OTE5ZTcyNmE1MzVkNjBlZDg1ZTI3ZGIiLCJ1c2VySWQiOiIxMTQ3Mzg3NDUyIn0=</vt:lpwstr>
  </property>
</Properties>
</file>