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12381" w14:textId="6D6C3EF2" w:rsidR="00967E2E" w:rsidRDefault="00967E2E" w:rsidP="7DAB2364">
      <w:pPr>
        <w:rPr>
          <w:b/>
          <w:bCs/>
          <w:lang w:val="en-US" w:eastAsia="it-IT"/>
        </w:rPr>
      </w:pPr>
      <w:r w:rsidRPr="7DAB2364">
        <w:rPr>
          <w:b/>
          <w:bCs/>
          <w:lang w:val="en-US" w:eastAsia="it-IT"/>
        </w:rPr>
        <w:t>Appendix S3</w:t>
      </w:r>
    </w:p>
    <w:p w14:paraId="69E9BF6E" w14:textId="55B4D853" w:rsidR="1ED0500E" w:rsidRPr="006502AA" w:rsidRDefault="1ED0500E" w:rsidP="3DB0F90A">
      <w:pPr>
        <w:spacing w:line="240" w:lineRule="auto"/>
        <w:jc w:val="left"/>
        <w:rPr>
          <w:lang w:val="en-US" w:eastAsia="it-IT"/>
        </w:rPr>
      </w:pPr>
    </w:p>
    <w:p w14:paraId="0A2195A5" w14:textId="3A092D23" w:rsidR="630B464E" w:rsidRDefault="630B464E" w:rsidP="1ED0500E">
      <w:pPr>
        <w:rPr>
          <w:lang w:val="en-US" w:eastAsia="it-IT"/>
        </w:rPr>
      </w:pPr>
      <w:r>
        <w:rPr>
          <w:noProof/>
        </w:rPr>
        <w:drawing>
          <wp:inline distT="0" distB="0" distL="0" distR="0" wp14:anchorId="1D76B377" wp14:editId="42376AB5">
            <wp:extent cx="6124574" cy="5105402"/>
            <wp:effectExtent l="0" t="0" r="0" b="0"/>
            <wp:docPr id="589247444" name="Immagine 589247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5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1FEF2" w14:textId="4BF8E152" w:rsidR="630B464E" w:rsidRDefault="630B464E" w:rsidP="1ED0500E">
      <w:pPr>
        <w:rPr>
          <w:lang w:val="en-US" w:eastAsia="it-IT"/>
        </w:rPr>
      </w:pPr>
      <w:r w:rsidRPr="7DAB2364">
        <w:rPr>
          <w:lang w:val="en-US" w:eastAsia="it-IT"/>
        </w:rPr>
        <w:t>Fig. S3-</w:t>
      </w:r>
      <w:r w:rsidR="4E10C455" w:rsidRPr="7DAB2364">
        <w:rPr>
          <w:lang w:val="en-US" w:eastAsia="it-IT"/>
        </w:rPr>
        <w:t>1</w:t>
      </w:r>
      <w:r w:rsidRPr="7DAB2364">
        <w:rPr>
          <w:lang w:val="en-US" w:eastAsia="it-IT"/>
        </w:rPr>
        <w:t>. Map</w:t>
      </w:r>
      <w:r w:rsidR="00FB2CB0"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</w:t>
      </w:r>
      <w:r w:rsidR="3C5F46DF" w:rsidRPr="7DAB2364">
        <w:rPr>
          <w:lang w:val="en-US" w:eastAsia="it-IT"/>
        </w:rPr>
        <w:t xml:space="preserve">for the AOA </w:t>
      </w:r>
      <w:r w:rsidRPr="7DAB2364">
        <w:rPr>
          <w:lang w:val="en-US" w:eastAsia="it-IT"/>
        </w:rPr>
        <w:t xml:space="preserve">in the mitigation </w:t>
      </w:r>
      <w:proofErr w:type="gramStart"/>
      <w:r w:rsidRPr="7DAB2364">
        <w:rPr>
          <w:lang w:val="en-US" w:eastAsia="it-IT"/>
        </w:rPr>
        <w:t>scenario</w:t>
      </w:r>
      <w:r w:rsidR="462EA340" w:rsidRPr="7DAB2364">
        <w:rPr>
          <w:lang w:val="en-US" w:eastAsia="it-IT"/>
        </w:rPr>
        <w:t>,</w:t>
      </w:r>
      <w:proofErr w:type="gramEnd"/>
      <w:r w:rsidRPr="7DAB2364">
        <w:rPr>
          <w:lang w:val="en-US" w:eastAsia="it-IT"/>
        </w:rPr>
        <w:t xml:space="preserve"> illustrate as the areas where </w:t>
      </w:r>
      <w:r w:rsidR="0EF8FAF6" w:rsidRPr="7DAB2364">
        <w:rPr>
          <w:lang w:val="en-US" w:eastAsia="it-IT"/>
        </w:rPr>
        <w:t>the greatest</w:t>
      </w:r>
      <w:r w:rsidRPr="7DAB2364">
        <w:rPr>
          <w:lang w:val="en-US" w:eastAsia="it-IT"/>
        </w:rPr>
        <w:t xml:space="preserve"> sum of "high suitability score stability" index (scaled 0 to 1) for the species aggregated by growth form.</w:t>
      </w:r>
      <w:r w:rsidR="2D412F56" w:rsidRPr="7DAB2364">
        <w:rPr>
          <w:lang w:val="en-US" w:eastAsia="it-IT"/>
        </w:rPr>
        <w:t xml:space="preserve"> </w:t>
      </w:r>
      <w:r w:rsidR="4CC7FAED" w:rsidRPr="7DAB2364">
        <w:rPr>
          <w:lang w:val="en-US" w:eastAsia="it-IT"/>
        </w:rPr>
        <w:t>Areas outside the AOA are shown in white.</w:t>
      </w:r>
    </w:p>
    <w:p w14:paraId="1EEFD078" w14:textId="77777777" w:rsidR="630B464E" w:rsidRDefault="630B464E" w:rsidP="1ED0500E">
      <w:pPr>
        <w:spacing w:line="240" w:lineRule="auto"/>
        <w:jc w:val="left"/>
        <w:rPr>
          <w:lang w:val="en-US" w:eastAsia="it-IT"/>
        </w:rPr>
      </w:pPr>
      <w:r w:rsidRPr="1ED0500E">
        <w:rPr>
          <w:lang w:val="en-US" w:eastAsia="it-IT"/>
        </w:rPr>
        <w:br w:type="page"/>
      </w:r>
    </w:p>
    <w:p w14:paraId="4345B667" w14:textId="142592BA" w:rsidR="30B8364D" w:rsidRDefault="30B8364D" w:rsidP="1ED0500E">
      <w:r>
        <w:rPr>
          <w:noProof/>
        </w:rPr>
        <w:lastRenderedPageBreak/>
        <w:drawing>
          <wp:inline distT="0" distB="0" distL="0" distR="0" wp14:anchorId="7E6A0BC2" wp14:editId="5D84943A">
            <wp:extent cx="6124574" cy="5105402"/>
            <wp:effectExtent l="0" t="0" r="0" b="0"/>
            <wp:docPr id="297196526" name="Immagine 2971965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5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23979" w14:textId="2E0AC85C" w:rsidR="630B464E" w:rsidRDefault="630B464E" w:rsidP="1ED0500E">
      <w:pPr>
        <w:rPr>
          <w:lang w:val="en-US" w:eastAsia="it-IT"/>
        </w:rPr>
      </w:pPr>
      <w:r w:rsidRPr="7DAB2364">
        <w:rPr>
          <w:lang w:val="en-US" w:eastAsia="it-IT"/>
        </w:rPr>
        <w:t>Fig. S3-</w:t>
      </w:r>
      <w:r w:rsidR="39B2DDAD" w:rsidRPr="7DAB2364">
        <w:rPr>
          <w:lang w:val="en-US" w:eastAsia="it-IT"/>
        </w:rPr>
        <w:t>2</w:t>
      </w:r>
      <w:r w:rsidRPr="7DAB2364">
        <w:rPr>
          <w:lang w:val="en-US" w:eastAsia="it-IT"/>
        </w:rPr>
        <w:t>. Map</w:t>
      </w:r>
      <w:r w:rsidR="00FB2CB0"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</w:t>
      </w:r>
      <w:r w:rsidR="53EB3F59" w:rsidRPr="7DAB2364">
        <w:rPr>
          <w:lang w:val="en-US" w:eastAsia="it-IT"/>
        </w:rPr>
        <w:t xml:space="preserve">for the AOA </w:t>
      </w:r>
      <w:r w:rsidRPr="7DAB2364">
        <w:rPr>
          <w:lang w:val="en-US" w:eastAsia="it-IT"/>
        </w:rPr>
        <w:t xml:space="preserve">in the high-emission </w:t>
      </w:r>
      <w:proofErr w:type="gramStart"/>
      <w:r w:rsidRPr="7DAB2364">
        <w:rPr>
          <w:lang w:val="en-US" w:eastAsia="it-IT"/>
        </w:rPr>
        <w:t>scenario</w:t>
      </w:r>
      <w:r w:rsidR="60B457C5" w:rsidRPr="7DAB2364">
        <w:rPr>
          <w:lang w:val="en-US" w:eastAsia="it-IT"/>
        </w:rPr>
        <w:t>,</w:t>
      </w:r>
      <w:proofErr w:type="gramEnd"/>
      <w:r w:rsidRPr="7DAB2364">
        <w:rPr>
          <w:lang w:val="en-US" w:eastAsia="it-IT"/>
        </w:rPr>
        <w:t xml:space="preserve"> illustrate as the areas where </w:t>
      </w:r>
      <w:proofErr w:type="gramStart"/>
      <w:r w:rsidRPr="7DAB2364">
        <w:rPr>
          <w:lang w:val="en-US" w:eastAsia="it-IT"/>
        </w:rPr>
        <w:t>greatest</w:t>
      </w:r>
      <w:proofErr w:type="gramEnd"/>
      <w:r w:rsidRPr="7DAB2364">
        <w:rPr>
          <w:lang w:val="en-US" w:eastAsia="it-IT"/>
        </w:rPr>
        <w:t xml:space="preserve"> sum of "high suitability score stability" index (scaled 0 to 1) for the species aggregated by growth form.</w:t>
      </w:r>
      <w:r w:rsidR="3E531181" w:rsidRPr="7DAB2364">
        <w:rPr>
          <w:lang w:val="en-US" w:eastAsia="it-IT"/>
        </w:rPr>
        <w:t xml:space="preserve"> Areas outside the AOA are shown in white.</w:t>
      </w:r>
    </w:p>
    <w:p w14:paraId="40AEA244" w14:textId="5B098834" w:rsidR="1ED0500E" w:rsidRPr="006502AA" w:rsidRDefault="1ED0500E">
      <w:pPr>
        <w:rPr>
          <w:lang w:val="en-US"/>
        </w:rPr>
      </w:pPr>
      <w:r w:rsidRPr="006502AA">
        <w:rPr>
          <w:lang w:val="en-US"/>
        </w:rPr>
        <w:br w:type="page"/>
      </w:r>
    </w:p>
    <w:p w14:paraId="580BBD28" w14:textId="2698D606" w:rsidR="17A8771A" w:rsidRDefault="17A8771A" w:rsidP="1ED0500E">
      <w:pPr>
        <w:rPr>
          <w:lang w:val="en-US" w:eastAsia="it-IT"/>
        </w:rPr>
      </w:pPr>
      <w:r>
        <w:rPr>
          <w:noProof/>
        </w:rPr>
        <w:lastRenderedPageBreak/>
        <w:drawing>
          <wp:inline distT="0" distB="0" distL="0" distR="0" wp14:anchorId="7E16E2FB" wp14:editId="5962F2EC">
            <wp:extent cx="6124574" cy="5105402"/>
            <wp:effectExtent l="0" t="0" r="0" b="0"/>
            <wp:docPr id="806220277" name="Immagine 806220277" title="Inserting 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80622027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5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7DAB2364">
        <w:rPr>
          <w:lang w:val="en-US" w:eastAsia="it-IT"/>
        </w:rPr>
        <w:t>Fig. S3-</w:t>
      </w:r>
      <w:r w:rsidR="2016D704" w:rsidRPr="7DAB2364">
        <w:rPr>
          <w:lang w:val="en-US" w:eastAsia="it-IT"/>
        </w:rPr>
        <w:t>3</w:t>
      </w:r>
      <w:r w:rsidRPr="7DAB2364">
        <w:rPr>
          <w:lang w:val="en-US" w:eastAsia="it-IT"/>
        </w:rPr>
        <w:t>. Map</w:t>
      </w:r>
      <w:r w:rsidR="00FB2CB0"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for the AOA in the mitigation scenario</w:t>
      </w:r>
      <w:r w:rsidR="112663FC" w:rsidRPr="7DAB2364">
        <w:rPr>
          <w:lang w:val="en-US" w:eastAsia="it-IT"/>
        </w:rPr>
        <w:t>,</w:t>
      </w:r>
      <w:r w:rsidRPr="7DAB2364">
        <w:rPr>
          <w:lang w:val="en-US" w:eastAsia="it-IT"/>
        </w:rPr>
        <w:t xml:space="preserve"> illustrate as the areas where greatest sum of "high suitability score stability" index (scaled 0 to 1) for the species aggregated by temperature affinity. Areas outside the AOA are shown in white.</w:t>
      </w:r>
    </w:p>
    <w:p w14:paraId="58207F28" w14:textId="77777777" w:rsidR="004E1E4C" w:rsidRDefault="004E1E4C" w:rsidP="1ED0500E">
      <w:pPr>
        <w:rPr>
          <w:lang w:val="en-US" w:eastAsia="it-IT"/>
        </w:rPr>
      </w:pPr>
    </w:p>
    <w:p w14:paraId="2E22C3EF" w14:textId="6D893862" w:rsidR="00CC39D3" w:rsidRDefault="00504217" w:rsidP="00616486">
      <w:pPr>
        <w:rPr>
          <w:lang w:val="en-US"/>
        </w:rPr>
      </w:pPr>
      <w:r>
        <w:rPr>
          <w:lang w:val="en-US"/>
        </w:rPr>
        <w:br w:type="page"/>
      </w:r>
    </w:p>
    <w:p w14:paraId="14864E6B" w14:textId="0298830D" w:rsidR="00CC39D3" w:rsidRDefault="00026517">
      <w:pPr>
        <w:suppressAutoHyphens w:val="0"/>
        <w:spacing w:after="160" w:line="259" w:lineRule="auto"/>
        <w:jc w:val="left"/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7710125E" wp14:editId="3E9DA080">
            <wp:extent cx="6115050" cy="5105400"/>
            <wp:effectExtent l="0" t="0" r="0" b="0"/>
            <wp:docPr id="4" name="Immagine 253769211" descr="Inserting 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253769211" descr="Inserting image...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510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55B7">
        <w:rPr>
          <w:lang w:val="en-US"/>
        </w:rPr>
        <w:br/>
      </w:r>
      <w:r>
        <w:rPr>
          <w:rFonts w:eastAsia="Georgia" w:cs="Georgia"/>
          <w:color w:val="000000" w:themeColor="text1"/>
          <w:lang w:val="en-US"/>
        </w:rPr>
        <w:t xml:space="preserve">Fig. </w:t>
      </w:r>
      <w:r w:rsidR="00425944" w:rsidRPr="7DAB2364">
        <w:rPr>
          <w:lang w:val="en-US" w:eastAsia="it-IT"/>
        </w:rPr>
        <w:t>S3-</w:t>
      </w:r>
      <w:r>
        <w:rPr>
          <w:rFonts w:eastAsia="Georgia" w:cs="Georgia"/>
          <w:color w:val="000000" w:themeColor="text1"/>
          <w:lang w:val="en-US"/>
        </w:rPr>
        <w:t>4. Map</w:t>
      </w:r>
      <w:r w:rsidR="00FB2CB0">
        <w:rPr>
          <w:rFonts w:eastAsia="Georgia" w:cs="Georgia"/>
          <w:color w:val="000000" w:themeColor="text1"/>
          <w:lang w:val="en-US"/>
        </w:rPr>
        <w:t>s</w:t>
      </w:r>
      <w:r>
        <w:rPr>
          <w:rFonts w:eastAsia="Georgia" w:cs="Georgia"/>
          <w:color w:val="000000" w:themeColor="text1"/>
          <w:lang w:val="en-US"/>
        </w:rPr>
        <w:t xml:space="preserve"> of predicted climatic refugia for the AOA in the high-emission </w:t>
      </w:r>
      <w:proofErr w:type="gramStart"/>
      <w:r>
        <w:rPr>
          <w:rFonts w:eastAsia="Georgia" w:cs="Georgia"/>
          <w:color w:val="000000" w:themeColor="text1"/>
          <w:lang w:val="en-US"/>
        </w:rPr>
        <w:t>scenario,</w:t>
      </w:r>
      <w:proofErr w:type="gramEnd"/>
      <w:r>
        <w:rPr>
          <w:rFonts w:eastAsia="Georgia" w:cs="Georgia"/>
          <w:color w:val="000000" w:themeColor="text1"/>
          <w:lang w:val="en-US"/>
        </w:rPr>
        <w:t xml:space="preserve"> illustrate as the areas where greatest sum of "high suitability score stability" index (scaled 0 to 1) for the species aggregated by temperature affinity. Areas outside the AOA are shown in white.</w:t>
      </w:r>
    </w:p>
    <w:p w14:paraId="282C1DAD" w14:textId="387075B5" w:rsidR="00CC39D3" w:rsidRDefault="00CC39D3">
      <w:pPr>
        <w:suppressAutoHyphens w:val="0"/>
        <w:spacing w:after="16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43410D2B" w14:textId="77777777" w:rsidR="006C7A11" w:rsidRDefault="006C7A11" w:rsidP="006C7A11">
      <w:pPr>
        <w:rPr>
          <w:lang w:val="en-US" w:eastAsia="it-IT"/>
        </w:rPr>
      </w:pPr>
      <w:r>
        <w:rPr>
          <w:noProof/>
        </w:rPr>
        <w:lastRenderedPageBreak/>
        <w:drawing>
          <wp:inline distT="0" distB="0" distL="0" distR="0" wp14:anchorId="5550DBA7" wp14:editId="04E5D44C">
            <wp:extent cx="6124574" cy="5103812"/>
            <wp:effectExtent l="0" t="0" r="0" b="1905"/>
            <wp:docPr id="1445982097" name="Immagine 14459820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5982097" name="Immagine 1445982097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3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31D7C2" w14:textId="3510FF64" w:rsidR="00FB2CB0" w:rsidRDefault="006C7A11" w:rsidP="00CC55B7">
      <w:pPr>
        <w:rPr>
          <w:lang w:val="en-US" w:eastAsia="it-IT"/>
        </w:rPr>
      </w:pPr>
      <w:r w:rsidRPr="7DAB2364">
        <w:rPr>
          <w:lang w:val="en-US" w:eastAsia="it-IT"/>
        </w:rPr>
        <w:t>Fig. S3-</w:t>
      </w:r>
      <w:r w:rsidR="00425944">
        <w:rPr>
          <w:lang w:val="en-US" w:eastAsia="it-IT"/>
        </w:rPr>
        <w:t>5</w:t>
      </w:r>
      <w:r w:rsidRPr="7DAB2364">
        <w:rPr>
          <w:lang w:val="en-US" w:eastAsia="it-IT"/>
        </w:rPr>
        <w:t>. Map</w:t>
      </w:r>
      <w:r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for the AOA in the mitigation </w:t>
      </w:r>
      <w:proofErr w:type="gramStart"/>
      <w:r w:rsidRPr="7DAB2364">
        <w:rPr>
          <w:lang w:val="en-US" w:eastAsia="it-IT"/>
        </w:rPr>
        <w:t>scenario,</w:t>
      </w:r>
      <w:proofErr w:type="gramEnd"/>
      <w:r w:rsidRPr="7DAB2364">
        <w:rPr>
          <w:lang w:val="en-US" w:eastAsia="it-IT"/>
        </w:rPr>
        <w:t xml:space="preserve"> illustrate as the areas where the greatest sum of "high suitability score stability" index (scaled 0 to 1) for the species aggregated by growth form. Areas outside the AOA are shown in white.</w:t>
      </w:r>
      <w:r w:rsidR="006610DA">
        <w:rPr>
          <w:rFonts w:eastAsia="Georgia" w:cs="Georgia"/>
          <w:color w:val="000000" w:themeColor="text1"/>
          <w:lang w:val="en-US"/>
        </w:rPr>
        <w:t xml:space="preserve"> Semi-transparent polygons</w:t>
      </w:r>
      <w:r w:rsidR="006610DA" w:rsidRPr="00B206D0">
        <w:rPr>
          <w:rFonts w:eastAsia="Georgia" w:cs="Georgia"/>
          <w:color w:val="000000" w:themeColor="text1"/>
          <w:lang w:val="en-US"/>
        </w:rPr>
        <w:t xml:space="preserve"> represent protected areas</w:t>
      </w:r>
      <w:r w:rsidR="006610DA">
        <w:rPr>
          <w:rFonts w:eastAsia="Georgia" w:cs="Georgia"/>
          <w:color w:val="000000" w:themeColor="text1"/>
          <w:lang w:val="en-US"/>
        </w:rPr>
        <w:t xml:space="preserve"> in the study area.</w:t>
      </w:r>
    </w:p>
    <w:p w14:paraId="4251D06E" w14:textId="5A063BD2" w:rsidR="00F77E66" w:rsidRDefault="00F77E66">
      <w:pPr>
        <w:suppressAutoHyphens w:val="0"/>
        <w:spacing w:after="16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55478770" w14:textId="77777777" w:rsidR="00443787" w:rsidRDefault="00443787" w:rsidP="00443787">
      <w:r>
        <w:rPr>
          <w:noProof/>
        </w:rPr>
        <w:lastRenderedPageBreak/>
        <w:drawing>
          <wp:inline distT="0" distB="0" distL="0" distR="0" wp14:anchorId="5851BF60" wp14:editId="6FB45705">
            <wp:extent cx="6124574" cy="5103812"/>
            <wp:effectExtent l="0" t="0" r="0" b="1905"/>
            <wp:docPr id="2066385121" name="Immagine 2066385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6385121" name="Immagine 206638512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3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3B133" w14:textId="646CBF86" w:rsidR="00443787" w:rsidRDefault="00443787" w:rsidP="00443787">
      <w:pPr>
        <w:rPr>
          <w:lang w:val="en-US" w:eastAsia="it-IT"/>
        </w:rPr>
      </w:pPr>
      <w:r w:rsidRPr="7DAB2364">
        <w:rPr>
          <w:lang w:val="en-US" w:eastAsia="it-IT"/>
        </w:rPr>
        <w:t>Fig. S3-</w:t>
      </w:r>
      <w:r w:rsidR="00425944">
        <w:rPr>
          <w:lang w:val="en-US" w:eastAsia="it-IT"/>
        </w:rPr>
        <w:t>6</w:t>
      </w:r>
      <w:r w:rsidRPr="7DAB2364">
        <w:rPr>
          <w:lang w:val="en-US" w:eastAsia="it-IT"/>
        </w:rPr>
        <w:t>. Map</w:t>
      </w:r>
      <w:r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for the AOA in the high-emission </w:t>
      </w:r>
      <w:proofErr w:type="gramStart"/>
      <w:r w:rsidRPr="7DAB2364">
        <w:rPr>
          <w:lang w:val="en-US" w:eastAsia="it-IT"/>
        </w:rPr>
        <w:t>scenario,</w:t>
      </w:r>
      <w:proofErr w:type="gramEnd"/>
      <w:r w:rsidRPr="7DAB2364">
        <w:rPr>
          <w:lang w:val="en-US" w:eastAsia="it-IT"/>
        </w:rPr>
        <w:t xml:space="preserve"> illustrate as the areas where </w:t>
      </w:r>
      <w:proofErr w:type="gramStart"/>
      <w:r w:rsidRPr="7DAB2364">
        <w:rPr>
          <w:lang w:val="en-US" w:eastAsia="it-IT"/>
        </w:rPr>
        <w:t>greatest</w:t>
      </w:r>
      <w:proofErr w:type="gramEnd"/>
      <w:r w:rsidRPr="7DAB2364">
        <w:rPr>
          <w:lang w:val="en-US" w:eastAsia="it-IT"/>
        </w:rPr>
        <w:t xml:space="preserve"> sum of "high suitability score stability" index (scaled 0 to 1) for the species aggregated by growth form. Areas outside the AOA are shown in white.</w:t>
      </w:r>
      <w:r w:rsidR="00AA40A0">
        <w:rPr>
          <w:rFonts w:eastAsia="Georgia" w:cs="Georgia"/>
          <w:color w:val="000000" w:themeColor="text1"/>
          <w:lang w:val="en-US"/>
        </w:rPr>
        <w:t xml:space="preserve"> Semi-transparent polygons</w:t>
      </w:r>
      <w:r w:rsidR="00AA40A0" w:rsidRPr="00B206D0">
        <w:rPr>
          <w:rFonts w:eastAsia="Georgia" w:cs="Georgia"/>
          <w:color w:val="000000" w:themeColor="text1"/>
          <w:lang w:val="en-US"/>
        </w:rPr>
        <w:t xml:space="preserve"> represent protected areas</w:t>
      </w:r>
      <w:r w:rsidR="00AA40A0">
        <w:rPr>
          <w:rFonts w:eastAsia="Georgia" w:cs="Georgia"/>
          <w:color w:val="000000" w:themeColor="text1"/>
          <w:lang w:val="en-US"/>
        </w:rPr>
        <w:t xml:space="preserve"> in the study area.</w:t>
      </w:r>
    </w:p>
    <w:p w14:paraId="740BB081" w14:textId="3F017201" w:rsidR="00F77E66" w:rsidRDefault="00F77E66">
      <w:pPr>
        <w:suppressAutoHyphens w:val="0"/>
        <w:spacing w:after="16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486EA443" w14:textId="5D9D5617" w:rsidR="00AA40A0" w:rsidRDefault="00AA40A0" w:rsidP="00AA40A0">
      <w:pPr>
        <w:rPr>
          <w:lang w:val="en-US" w:eastAsia="it-IT"/>
        </w:rPr>
      </w:pPr>
      <w:r>
        <w:rPr>
          <w:noProof/>
        </w:rPr>
        <w:lastRenderedPageBreak/>
        <w:drawing>
          <wp:inline distT="0" distB="0" distL="0" distR="0" wp14:anchorId="57A06AD7" wp14:editId="585A3515">
            <wp:extent cx="6124574" cy="5103812"/>
            <wp:effectExtent l="0" t="0" r="0" b="1905"/>
            <wp:docPr id="602301387" name="Immagine 602301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301387" name="Immagine 602301387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5103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7DAB2364">
        <w:rPr>
          <w:lang w:val="en-US" w:eastAsia="it-IT"/>
        </w:rPr>
        <w:t>Fig. S3-</w:t>
      </w:r>
      <w:r w:rsidR="00425944">
        <w:rPr>
          <w:lang w:val="en-US" w:eastAsia="it-IT"/>
        </w:rPr>
        <w:t>7</w:t>
      </w:r>
      <w:r w:rsidRPr="7DAB2364">
        <w:rPr>
          <w:lang w:val="en-US" w:eastAsia="it-IT"/>
        </w:rPr>
        <w:t>. Map</w:t>
      </w:r>
      <w:r>
        <w:rPr>
          <w:lang w:val="en-US" w:eastAsia="it-IT"/>
        </w:rPr>
        <w:t>s</w:t>
      </w:r>
      <w:r w:rsidRPr="7DAB2364">
        <w:rPr>
          <w:lang w:val="en-US" w:eastAsia="it-IT"/>
        </w:rPr>
        <w:t xml:space="preserve"> of predicted climatic refugia for the AOA in the mitigation scenario, illustrate as the areas where greatest sum of "high suitability score stability" index (scaled 0 to 1) for the species aggregated by temperature affinity. Areas outside the AOA are shown in white.</w:t>
      </w:r>
      <w:r w:rsidR="000548E9">
        <w:rPr>
          <w:rFonts w:eastAsia="Georgia" w:cs="Georgia"/>
          <w:color w:val="000000" w:themeColor="text1"/>
          <w:lang w:val="en-US"/>
        </w:rPr>
        <w:t xml:space="preserve"> Semi-transparent polygons</w:t>
      </w:r>
      <w:r w:rsidR="000548E9" w:rsidRPr="00B206D0">
        <w:rPr>
          <w:rFonts w:eastAsia="Georgia" w:cs="Georgia"/>
          <w:color w:val="000000" w:themeColor="text1"/>
          <w:lang w:val="en-US"/>
        </w:rPr>
        <w:t xml:space="preserve"> represent protected areas</w:t>
      </w:r>
      <w:r w:rsidR="000548E9">
        <w:rPr>
          <w:rFonts w:eastAsia="Georgia" w:cs="Georgia"/>
          <w:color w:val="000000" w:themeColor="text1"/>
          <w:lang w:val="en-US"/>
        </w:rPr>
        <w:t xml:space="preserve"> in the study area.</w:t>
      </w:r>
    </w:p>
    <w:p w14:paraId="7D302165" w14:textId="34D1BCDE" w:rsidR="00F77E66" w:rsidRDefault="00F77E66">
      <w:pPr>
        <w:suppressAutoHyphens w:val="0"/>
        <w:spacing w:after="16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4D40950E" w14:textId="4444FBF7" w:rsidR="00616486" w:rsidRDefault="00CC39D3" w:rsidP="00616486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25831005" wp14:editId="066255ED">
            <wp:extent cx="6120130" cy="3671570"/>
            <wp:effectExtent l="0" t="0" r="0" b="0"/>
            <wp:docPr id="1847027029" name="Immagine 1" descr="Immagine che contiene mapp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027029" name="Immagine 1" descr="Immagine che contiene mappa&#10;&#10;Il contenuto generato dall'IA potrebbe non essere corret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7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37A19" w14:textId="73135832" w:rsidR="00616486" w:rsidRDefault="00616486" w:rsidP="00616486">
      <w:pPr>
        <w:rPr>
          <w:lang w:val="en-US"/>
        </w:rPr>
      </w:pPr>
      <w:r w:rsidRPr="7DAB2364">
        <w:rPr>
          <w:lang w:val="en-US" w:eastAsia="it-IT"/>
        </w:rPr>
        <w:t>Fig. S3-</w:t>
      </w:r>
      <w:r w:rsidR="00425944">
        <w:rPr>
          <w:lang w:val="en-US" w:eastAsia="it-IT"/>
        </w:rPr>
        <w:t>8</w:t>
      </w:r>
      <w:r w:rsidRPr="7DAB2364">
        <w:rPr>
          <w:lang w:val="en-US" w:eastAsia="it-IT"/>
        </w:rPr>
        <w:t xml:space="preserve">. </w:t>
      </w:r>
      <w:r>
        <w:rPr>
          <w:lang w:val="en-US" w:eastAsia="it-IT"/>
        </w:rPr>
        <w:t>Heatmap of all the occurrences in the calibration area.</w:t>
      </w:r>
    </w:p>
    <w:p w14:paraId="09F92B11" w14:textId="142FD57F" w:rsidR="00504217" w:rsidRDefault="00504217">
      <w:pPr>
        <w:suppressAutoHyphens w:val="0"/>
        <w:spacing w:after="160" w:line="259" w:lineRule="auto"/>
        <w:jc w:val="left"/>
        <w:rPr>
          <w:lang w:val="en-US"/>
        </w:rPr>
      </w:pPr>
    </w:p>
    <w:sectPr w:rsidR="00504217" w:rsidSect="00967E2E">
      <w:headerReference w:type="default" r:id="rId14"/>
      <w:footerReference w:type="default" r:id="rId15"/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BCEB0" w14:textId="77777777" w:rsidR="00A60422" w:rsidRDefault="00A60422">
      <w:pPr>
        <w:spacing w:line="240" w:lineRule="auto"/>
      </w:pPr>
      <w:r>
        <w:separator/>
      </w:r>
    </w:p>
  </w:endnote>
  <w:endnote w:type="continuationSeparator" w:id="0">
    <w:p w14:paraId="431D956A" w14:textId="77777777" w:rsidR="00A60422" w:rsidRDefault="00A60422">
      <w:pPr>
        <w:spacing w:line="240" w:lineRule="auto"/>
      </w:pPr>
      <w:r>
        <w:continuationSeparator/>
      </w:r>
    </w:p>
  </w:endnote>
  <w:endnote w:type="continuationNotice" w:id="1">
    <w:p w14:paraId="6AF2C4EB" w14:textId="77777777" w:rsidR="00A60422" w:rsidRDefault="00A6042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D223DC9" w14:paraId="4EE4A289" w14:textId="77777777" w:rsidTr="3D223DC9">
      <w:trPr>
        <w:trHeight w:val="300"/>
      </w:trPr>
      <w:tc>
        <w:tcPr>
          <w:tcW w:w="3210" w:type="dxa"/>
        </w:tcPr>
        <w:p w14:paraId="1E3699AB" w14:textId="29B1ADF3" w:rsidR="3D223DC9" w:rsidRDefault="3D223DC9" w:rsidP="3D223DC9">
          <w:pPr>
            <w:pStyle w:val="Intestazione"/>
            <w:ind w:left="-115"/>
            <w:jc w:val="left"/>
          </w:pPr>
        </w:p>
      </w:tc>
      <w:tc>
        <w:tcPr>
          <w:tcW w:w="3210" w:type="dxa"/>
        </w:tcPr>
        <w:p w14:paraId="686FD691" w14:textId="59988366" w:rsidR="3D223DC9" w:rsidRDefault="3D223DC9" w:rsidP="3D223DC9">
          <w:pPr>
            <w:pStyle w:val="Intestazione"/>
            <w:jc w:val="center"/>
          </w:pPr>
        </w:p>
      </w:tc>
      <w:tc>
        <w:tcPr>
          <w:tcW w:w="3210" w:type="dxa"/>
        </w:tcPr>
        <w:p w14:paraId="7FAEA1A0" w14:textId="4A7A8F87" w:rsidR="3D223DC9" w:rsidRDefault="3D223DC9" w:rsidP="3D223DC9">
          <w:pPr>
            <w:pStyle w:val="Intestazione"/>
            <w:ind w:right="-115"/>
            <w:jc w:val="right"/>
          </w:pPr>
        </w:p>
      </w:tc>
    </w:tr>
  </w:tbl>
  <w:p w14:paraId="0D526CE3" w14:textId="59FEA1C6" w:rsidR="3D223DC9" w:rsidRDefault="3D223DC9" w:rsidP="3D223D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860D2" w14:textId="77777777" w:rsidR="00A60422" w:rsidRDefault="00A60422">
      <w:pPr>
        <w:spacing w:line="240" w:lineRule="auto"/>
      </w:pPr>
      <w:r>
        <w:separator/>
      </w:r>
    </w:p>
  </w:footnote>
  <w:footnote w:type="continuationSeparator" w:id="0">
    <w:p w14:paraId="4939532A" w14:textId="77777777" w:rsidR="00A60422" w:rsidRDefault="00A60422">
      <w:pPr>
        <w:spacing w:line="240" w:lineRule="auto"/>
      </w:pPr>
      <w:r>
        <w:continuationSeparator/>
      </w:r>
    </w:p>
  </w:footnote>
  <w:footnote w:type="continuationNotice" w:id="1">
    <w:p w14:paraId="069B2372" w14:textId="77777777" w:rsidR="00A60422" w:rsidRDefault="00A6042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D223DC9" w14:paraId="22992787" w14:textId="77777777" w:rsidTr="3D223DC9">
      <w:trPr>
        <w:trHeight w:val="300"/>
      </w:trPr>
      <w:tc>
        <w:tcPr>
          <w:tcW w:w="3210" w:type="dxa"/>
        </w:tcPr>
        <w:p w14:paraId="338FDEFA" w14:textId="72F170C7" w:rsidR="3D223DC9" w:rsidRDefault="3D223DC9" w:rsidP="3D223DC9">
          <w:pPr>
            <w:pStyle w:val="Intestazione"/>
            <w:ind w:left="-115"/>
            <w:jc w:val="left"/>
          </w:pPr>
        </w:p>
      </w:tc>
      <w:tc>
        <w:tcPr>
          <w:tcW w:w="3210" w:type="dxa"/>
        </w:tcPr>
        <w:p w14:paraId="0E6872ED" w14:textId="61C8B0CA" w:rsidR="3D223DC9" w:rsidRDefault="3D223DC9" w:rsidP="3D223DC9">
          <w:pPr>
            <w:pStyle w:val="Intestazione"/>
            <w:jc w:val="center"/>
          </w:pPr>
        </w:p>
      </w:tc>
      <w:tc>
        <w:tcPr>
          <w:tcW w:w="3210" w:type="dxa"/>
        </w:tcPr>
        <w:p w14:paraId="0E82EE29" w14:textId="242DD4A4" w:rsidR="3D223DC9" w:rsidRDefault="3D223DC9" w:rsidP="3D223DC9">
          <w:pPr>
            <w:pStyle w:val="Intestazione"/>
            <w:ind w:right="-115"/>
            <w:jc w:val="right"/>
          </w:pPr>
        </w:p>
      </w:tc>
    </w:tr>
  </w:tbl>
  <w:p w14:paraId="3AFC2AAE" w14:textId="0F9F87FB" w:rsidR="3D223DC9" w:rsidRDefault="3D223DC9" w:rsidP="3D223DC9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3sTQ2NzMwNzQzsDRT0lEKTi0uzszPAykwNKoFAP67DZMtAAAA"/>
  </w:docVars>
  <w:rsids>
    <w:rsidRoot w:val="00FC2133"/>
    <w:rsid w:val="00026517"/>
    <w:rsid w:val="000472A5"/>
    <w:rsid w:val="000548E9"/>
    <w:rsid w:val="000D444A"/>
    <w:rsid w:val="001E64BE"/>
    <w:rsid w:val="00232009"/>
    <w:rsid w:val="00251FA0"/>
    <w:rsid w:val="0027132A"/>
    <w:rsid w:val="00305DB6"/>
    <w:rsid w:val="003351F8"/>
    <w:rsid w:val="003C04B9"/>
    <w:rsid w:val="00405A54"/>
    <w:rsid w:val="00425944"/>
    <w:rsid w:val="00443787"/>
    <w:rsid w:val="004E1E4C"/>
    <w:rsid w:val="00504217"/>
    <w:rsid w:val="00530BAC"/>
    <w:rsid w:val="00557567"/>
    <w:rsid w:val="00584F7E"/>
    <w:rsid w:val="005F426F"/>
    <w:rsid w:val="00616486"/>
    <w:rsid w:val="006502AA"/>
    <w:rsid w:val="006610DA"/>
    <w:rsid w:val="00671967"/>
    <w:rsid w:val="006726F3"/>
    <w:rsid w:val="006C7A11"/>
    <w:rsid w:val="00736D0E"/>
    <w:rsid w:val="00783195"/>
    <w:rsid w:val="0079662C"/>
    <w:rsid w:val="007D014D"/>
    <w:rsid w:val="0085640E"/>
    <w:rsid w:val="00876695"/>
    <w:rsid w:val="008A4FC0"/>
    <w:rsid w:val="008B07A4"/>
    <w:rsid w:val="00934C64"/>
    <w:rsid w:val="00966EB9"/>
    <w:rsid w:val="00967E2E"/>
    <w:rsid w:val="0097657B"/>
    <w:rsid w:val="00A60422"/>
    <w:rsid w:val="00AA40A0"/>
    <w:rsid w:val="00B27620"/>
    <w:rsid w:val="00B9582E"/>
    <w:rsid w:val="00C04B17"/>
    <w:rsid w:val="00C86720"/>
    <w:rsid w:val="00CC39D3"/>
    <w:rsid w:val="00CC55B7"/>
    <w:rsid w:val="00CC67A4"/>
    <w:rsid w:val="00F023B2"/>
    <w:rsid w:val="00F23703"/>
    <w:rsid w:val="00F77E66"/>
    <w:rsid w:val="00FB2CB0"/>
    <w:rsid w:val="00FC2133"/>
    <w:rsid w:val="00FC3DA9"/>
    <w:rsid w:val="01DB4CD9"/>
    <w:rsid w:val="055D596C"/>
    <w:rsid w:val="05C931DF"/>
    <w:rsid w:val="05D5EC88"/>
    <w:rsid w:val="0812E7E1"/>
    <w:rsid w:val="095E499E"/>
    <w:rsid w:val="0C9E5BFD"/>
    <w:rsid w:val="0CC30755"/>
    <w:rsid w:val="0D0EA22F"/>
    <w:rsid w:val="0EF8FAF6"/>
    <w:rsid w:val="0F1027FD"/>
    <w:rsid w:val="112663FC"/>
    <w:rsid w:val="11949310"/>
    <w:rsid w:val="126E695B"/>
    <w:rsid w:val="15E3AE80"/>
    <w:rsid w:val="17866795"/>
    <w:rsid w:val="17A246B7"/>
    <w:rsid w:val="17A8771A"/>
    <w:rsid w:val="17EDDC0A"/>
    <w:rsid w:val="18B24070"/>
    <w:rsid w:val="19C4840F"/>
    <w:rsid w:val="1BAD1504"/>
    <w:rsid w:val="1C5CEB44"/>
    <w:rsid w:val="1DB7550E"/>
    <w:rsid w:val="1ED0500E"/>
    <w:rsid w:val="2016D704"/>
    <w:rsid w:val="21495BF0"/>
    <w:rsid w:val="289E5DAA"/>
    <w:rsid w:val="291FE58A"/>
    <w:rsid w:val="2929D125"/>
    <w:rsid w:val="2D24AFFC"/>
    <w:rsid w:val="2D412F56"/>
    <w:rsid w:val="30452561"/>
    <w:rsid w:val="30B8364D"/>
    <w:rsid w:val="365C1F19"/>
    <w:rsid w:val="36F959E9"/>
    <w:rsid w:val="39B2DDAD"/>
    <w:rsid w:val="39B983C1"/>
    <w:rsid w:val="3C5F46DF"/>
    <w:rsid w:val="3D223DC9"/>
    <w:rsid w:val="3DB0F90A"/>
    <w:rsid w:val="3E531181"/>
    <w:rsid w:val="4144B460"/>
    <w:rsid w:val="462EA340"/>
    <w:rsid w:val="49DA9205"/>
    <w:rsid w:val="4B50C428"/>
    <w:rsid w:val="4BA752A9"/>
    <w:rsid w:val="4CC7FAED"/>
    <w:rsid w:val="4E10C455"/>
    <w:rsid w:val="4E5388E6"/>
    <w:rsid w:val="4F09C64A"/>
    <w:rsid w:val="50590932"/>
    <w:rsid w:val="53EB3F59"/>
    <w:rsid w:val="550FB90A"/>
    <w:rsid w:val="58B7EC57"/>
    <w:rsid w:val="5CF5E449"/>
    <w:rsid w:val="5EA4765F"/>
    <w:rsid w:val="5EF89022"/>
    <w:rsid w:val="60B457C5"/>
    <w:rsid w:val="6140D25A"/>
    <w:rsid w:val="630B464E"/>
    <w:rsid w:val="64A52BF8"/>
    <w:rsid w:val="6636241D"/>
    <w:rsid w:val="68706521"/>
    <w:rsid w:val="6C313F85"/>
    <w:rsid w:val="70DAADED"/>
    <w:rsid w:val="759F6720"/>
    <w:rsid w:val="7600D76D"/>
    <w:rsid w:val="77D4C06C"/>
    <w:rsid w:val="79AF19D9"/>
    <w:rsid w:val="7B185978"/>
    <w:rsid w:val="7B1CE9C4"/>
    <w:rsid w:val="7C5E356C"/>
    <w:rsid w:val="7DAB2364"/>
    <w:rsid w:val="7DAC8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D3E1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67E2E"/>
    <w:pPr>
      <w:suppressAutoHyphens/>
      <w:spacing w:after="0" w:line="312" w:lineRule="auto"/>
      <w:jc w:val="both"/>
    </w:pPr>
    <w:rPr>
      <w:rFonts w:ascii="Georgia" w:hAnsi="Georgi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2133"/>
    <w:pPr>
      <w:keepNext/>
      <w:keepLines/>
      <w:suppressAutoHyphens w:val="0"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C2133"/>
    <w:pPr>
      <w:keepNext/>
      <w:keepLines/>
      <w:suppressAutoHyphens w:val="0"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C2133"/>
    <w:pPr>
      <w:keepNext/>
      <w:keepLines/>
      <w:suppressAutoHyphens w:val="0"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2133"/>
    <w:pPr>
      <w:keepNext/>
      <w:keepLines/>
      <w:suppressAutoHyphens w:val="0"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2133"/>
    <w:pPr>
      <w:keepNext/>
      <w:keepLines/>
      <w:suppressAutoHyphens w:val="0"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2133"/>
    <w:pPr>
      <w:keepNext/>
      <w:keepLines/>
      <w:suppressAutoHyphens w:val="0"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2133"/>
    <w:pPr>
      <w:keepNext/>
      <w:keepLines/>
      <w:suppressAutoHyphens w:val="0"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2133"/>
    <w:pPr>
      <w:keepNext/>
      <w:keepLines/>
      <w:suppressAutoHyphens w:val="0"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2133"/>
    <w:pPr>
      <w:keepNext/>
      <w:keepLines/>
      <w:suppressAutoHyphens w:val="0"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C21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C21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C21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213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213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213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213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213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213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2133"/>
    <w:pPr>
      <w:suppressAutoHyphens w:val="0"/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C21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2133"/>
    <w:pPr>
      <w:numPr>
        <w:ilvl w:val="1"/>
      </w:numPr>
      <w:suppressAutoHyphens w:val="0"/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21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2133"/>
    <w:pPr>
      <w:suppressAutoHyphens w:val="0"/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213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C2133"/>
    <w:pPr>
      <w:suppressAutoHyphens w:val="0"/>
      <w:spacing w:after="160" w:line="259" w:lineRule="auto"/>
      <w:ind w:left="720"/>
      <w:contextualSpacing/>
      <w:jc w:val="left"/>
    </w:pPr>
    <w:rPr>
      <w:rFonts w:asciiTheme="minorHAnsi" w:hAnsiTheme="minorHAnsi"/>
    </w:rPr>
  </w:style>
  <w:style w:type="character" w:styleId="Enfasiintensa">
    <w:name w:val="Intense Emphasis"/>
    <w:basedOn w:val="Carpredefinitoparagrafo"/>
    <w:uiPriority w:val="21"/>
    <w:qFormat/>
    <w:rsid w:val="00FC213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21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213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C2133"/>
    <w:rPr>
      <w:b/>
      <w:bCs/>
      <w:smallCaps/>
      <w:color w:val="0F4761" w:themeColor="accent1" w:themeShade="BF"/>
      <w:spacing w:val="5"/>
    </w:rPr>
  </w:style>
  <w:style w:type="character" w:customStyle="1" w:styleId="cf01">
    <w:name w:val="cf01"/>
    <w:basedOn w:val="Carpredefinitoparagrafo"/>
    <w:qFormat/>
    <w:rsid w:val="00967E2E"/>
    <w:rPr>
      <w:rFonts w:ascii="Segoe UI" w:hAnsi="Segoe UI" w:cs="Segoe UI"/>
      <w:sz w:val="22"/>
      <w:szCs w:val="22"/>
    </w:rPr>
  </w:style>
  <w:style w:type="paragraph" w:customStyle="1" w:styleId="pf0">
    <w:name w:val="pf0"/>
    <w:basedOn w:val="Normale"/>
    <w:qFormat/>
    <w:rsid w:val="00967E2E"/>
    <w:pPr>
      <w:spacing w:beforeAutospacing="1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rFonts w:ascii="Georgia" w:hAnsi="Georgia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680"/>
        <w:tab w:val="right" w:pos="9360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680"/>
        <w:tab w:val="right" w:pos="9360"/>
      </w:tabs>
      <w:spacing w:line="240" w:lineRule="auto"/>
    </w:pPr>
  </w:style>
  <w:style w:type="paragraph" w:styleId="Revisione">
    <w:name w:val="Revision"/>
    <w:hidden/>
    <w:uiPriority w:val="99"/>
    <w:semiHidden/>
    <w:rsid w:val="00616486"/>
    <w:pPr>
      <w:spacing w:after="0" w:line="240" w:lineRule="auto"/>
    </w:pPr>
    <w:rPr>
      <w:rFonts w:ascii="Georgia" w:hAnsi="Georg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341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2025-04-03T08:44:00Z</dcterms:created>
  <dcterms:modified xsi:type="dcterms:W3CDTF">2025-04-07T17:24:00Z</dcterms:modified>
</cp:coreProperties>
</file>