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71C25C" w14:textId="03BDCC9C" w:rsidR="0035127B" w:rsidRPr="00B41D95" w:rsidRDefault="00397634" w:rsidP="00B41D95">
      <w:pPr>
        <w:jc w:val="both"/>
        <w:rPr>
          <w:b/>
          <w:bCs/>
          <w:sz w:val="24"/>
          <w:szCs w:val="24"/>
        </w:rPr>
      </w:pPr>
      <w:r w:rsidRPr="00B41D95">
        <w:rPr>
          <w:b/>
          <w:bCs/>
          <w:sz w:val="24"/>
          <w:szCs w:val="24"/>
        </w:rPr>
        <w:t xml:space="preserve">SUPPORTING INFORMATION </w:t>
      </w:r>
    </w:p>
    <w:p w14:paraId="4D7C89BC" w14:textId="5DC3B1CE" w:rsidR="00383E42" w:rsidRPr="00B41D95" w:rsidRDefault="00383E42" w:rsidP="00B41D95">
      <w:pPr>
        <w:jc w:val="both"/>
        <w:rPr>
          <w:b/>
          <w:bCs/>
          <w:sz w:val="24"/>
          <w:szCs w:val="24"/>
        </w:rPr>
      </w:pPr>
      <w:r w:rsidRPr="00B41D95">
        <w:rPr>
          <w:b/>
          <w:bCs/>
          <w:sz w:val="24"/>
          <w:szCs w:val="24"/>
        </w:rPr>
        <w:t>Film morphology</w:t>
      </w:r>
    </w:p>
    <w:p w14:paraId="546E49C3" w14:textId="5254B6B6" w:rsidR="00133CAE" w:rsidRPr="00B41D95" w:rsidRDefault="009B0615" w:rsidP="00B41D95">
      <w:pPr>
        <w:keepNext/>
        <w:jc w:val="both"/>
      </w:pPr>
      <w:r w:rsidRPr="00B41D95">
        <w:rPr>
          <w:noProof/>
        </w:rPr>
        <w:drawing>
          <wp:inline distT="0" distB="0" distL="0" distR="0" wp14:anchorId="16F23AD0" wp14:editId="49412B2C">
            <wp:extent cx="6109335" cy="2583034"/>
            <wp:effectExtent l="0" t="0" r="5715" b="0"/>
            <wp:docPr id="1097029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029615"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6109335" cy="2583034"/>
                    </a:xfrm>
                    <a:prstGeom prst="rect">
                      <a:avLst/>
                    </a:prstGeom>
                    <a:noFill/>
                    <a:ln>
                      <a:noFill/>
                    </a:ln>
                  </pic:spPr>
                </pic:pic>
              </a:graphicData>
            </a:graphic>
          </wp:inline>
        </w:drawing>
      </w:r>
    </w:p>
    <w:p w14:paraId="1930E4DC" w14:textId="6495288A" w:rsidR="001D5471" w:rsidRDefault="00133CAE" w:rsidP="00B41D95">
      <w:pPr>
        <w:pStyle w:val="Didascalia"/>
        <w:jc w:val="both"/>
        <w:rPr>
          <w:sz w:val="24"/>
          <w:szCs w:val="24"/>
        </w:rPr>
      </w:pPr>
      <w:r w:rsidRPr="00B41D95">
        <w:rPr>
          <w:sz w:val="24"/>
          <w:szCs w:val="24"/>
        </w:rPr>
        <w:t xml:space="preserve">Figure </w:t>
      </w:r>
      <w:r w:rsidR="00DF0C1A" w:rsidRPr="00B41D95">
        <w:rPr>
          <w:sz w:val="24"/>
          <w:szCs w:val="24"/>
        </w:rPr>
        <w:t>S</w:t>
      </w:r>
      <w:r w:rsidRPr="00B41D95">
        <w:rPr>
          <w:sz w:val="24"/>
          <w:szCs w:val="24"/>
        </w:rPr>
        <w:fldChar w:fldCharType="begin"/>
      </w:r>
      <w:r w:rsidRPr="00B41D95">
        <w:rPr>
          <w:sz w:val="24"/>
          <w:szCs w:val="24"/>
        </w:rPr>
        <w:instrText xml:space="preserve"> SEQ Figure \* ARABIC </w:instrText>
      </w:r>
      <w:r w:rsidRPr="00B41D95">
        <w:rPr>
          <w:sz w:val="24"/>
          <w:szCs w:val="24"/>
        </w:rPr>
        <w:fldChar w:fldCharType="separate"/>
      </w:r>
      <w:r w:rsidR="00A341F4" w:rsidRPr="00B41D95">
        <w:rPr>
          <w:noProof/>
          <w:sz w:val="24"/>
          <w:szCs w:val="24"/>
        </w:rPr>
        <w:t>1</w:t>
      </w:r>
      <w:r w:rsidRPr="00B41D95">
        <w:rPr>
          <w:sz w:val="24"/>
          <w:szCs w:val="24"/>
        </w:rPr>
        <w:fldChar w:fldCharType="end"/>
      </w:r>
      <w:r w:rsidRPr="00B41D95">
        <w:rPr>
          <w:sz w:val="24"/>
          <w:szCs w:val="24"/>
        </w:rPr>
        <w:t xml:space="preserve">: </w:t>
      </w:r>
      <w:r w:rsidR="00AE4A75" w:rsidRPr="00B41D95">
        <w:rPr>
          <w:sz w:val="24"/>
          <w:szCs w:val="24"/>
        </w:rPr>
        <w:t>Optical images (</w:t>
      </w:r>
      <w:r w:rsidR="00081F5E">
        <w:rPr>
          <w:sz w:val="24"/>
          <w:szCs w:val="24"/>
        </w:rPr>
        <w:t>a</w:t>
      </w:r>
      <w:r w:rsidR="00AE4A75" w:rsidRPr="00B41D95">
        <w:rPr>
          <w:sz w:val="24"/>
          <w:szCs w:val="24"/>
        </w:rPr>
        <w:t>) 0° polarization, (</w:t>
      </w:r>
      <w:r w:rsidR="00081F5E">
        <w:rPr>
          <w:sz w:val="24"/>
          <w:szCs w:val="24"/>
        </w:rPr>
        <w:t>b</w:t>
      </w:r>
      <w:r w:rsidR="00AE4A75" w:rsidRPr="00B41D95">
        <w:rPr>
          <w:sz w:val="24"/>
          <w:szCs w:val="24"/>
        </w:rPr>
        <w:t>) 90° polarizatio</w:t>
      </w:r>
      <w:r w:rsidR="0035127B" w:rsidRPr="00B41D95">
        <w:rPr>
          <w:sz w:val="24"/>
          <w:szCs w:val="24"/>
        </w:rPr>
        <w:t>n</w:t>
      </w:r>
    </w:p>
    <w:p w14:paraId="5D736A94" w14:textId="77777777" w:rsidR="00D508F9" w:rsidRDefault="00D508F9" w:rsidP="00D508F9">
      <w:pPr>
        <w:jc w:val="both"/>
      </w:pPr>
    </w:p>
    <w:p w14:paraId="759A7F09" w14:textId="3F9E9527" w:rsidR="00D508F9" w:rsidRPr="007C6548" w:rsidRDefault="00D508F9" w:rsidP="00D508F9">
      <w:pPr>
        <w:jc w:val="both"/>
        <w:rPr>
          <w:color w:val="000000" w:themeColor="text1"/>
          <w:highlight w:val="yellow"/>
        </w:rPr>
      </w:pPr>
      <w:r w:rsidRPr="007C6548">
        <w:rPr>
          <w:color w:val="000000" w:themeColor="text1"/>
          <w:highlight w:val="yellow"/>
        </w:rPr>
        <w:t xml:space="preserve">Comparison of the </w:t>
      </w:r>
      <w:r w:rsidR="00DD0AE9" w:rsidRPr="007C6548">
        <w:rPr>
          <w:color w:val="000000" w:themeColor="text1"/>
          <w:highlight w:val="yellow"/>
        </w:rPr>
        <w:t xml:space="preserve">mean grain area estimated with AFM and SEM. </w:t>
      </w:r>
      <w:r w:rsidR="007C6548" w:rsidRPr="007C6548">
        <w:rPr>
          <w:color w:val="000000" w:themeColor="text1"/>
          <w:highlight w:val="yellow"/>
        </w:rPr>
        <w:t>With both techniques</w:t>
      </w:r>
      <w:r w:rsidR="006C45C0">
        <w:rPr>
          <w:color w:val="000000" w:themeColor="text1"/>
          <w:highlight w:val="yellow"/>
        </w:rPr>
        <w:t>,</w:t>
      </w:r>
      <w:r w:rsidRPr="007C6548">
        <w:rPr>
          <w:color w:val="000000" w:themeColor="text1"/>
          <w:highlight w:val="yellow"/>
        </w:rPr>
        <w:t xml:space="preserve"> the trend is maintained. The SEM is a micrometre-scale technique and overestimates the grain dimensions of smaller crystallites, possibly </w:t>
      </w:r>
      <w:r w:rsidR="006C45C0">
        <w:rPr>
          <w:color w:val="000000" w:themeColor="text1"/>
          <w:highlight w:val="yellow"/>
        </w:rPr>
        <w:t>because</w:t>
      </w:r>
      <w:r w:rsidRPr="007C6548">
        <w:rPr>
          <w:color w:val="000000" w:themeColor="text1"/>
          <w:highlight w:val="yellow"/>
        </w:rPr>
        <w:t xml:space="preserve"> not all the grain boundaries are well resolved. The AFM map for sample C presents several grains cut at the edges of the map, which decrease</w:t>
      </w:r>
      <w:r w:rsidR="006C45C0">
        <w:rPr>
          <w:color w:val="000000" w:themeColor="text1"/>
          <w:highlight w:val="yellow"/>
        </w:rPr>
        <w:t>s</w:t>
      </w:r>
      <w:r w:rsidRPr="007C6548">
        <w:rPr>
          <w:color w:val="000000" w:themeColor="text1"/>
          <w:highlight w:val="yellow"/>
        </w:rPr>
        <w:t xml:space="preserve"> the average calculated crystallite area, while for sample D the maximum scanning area of the AFM is not sufficient to include a full crystallite.</w:t>
      </w:r>
    </w:p>
    <w:tbl>
      <w:tblPr>
        <w:tblStyle w:val="Tabellasemplice-3"/>
        <w:tblW w:w="9717" w:type="dxa"/>
        <w:tblLook w:val="06A0" w:firstRow="1" w:lastRow="0" w:firstColumn="1" w:lastColumn="0" w:noHBand="1" w:noVBand="1"/>
      </w:tblPr>
      <w:tblGrid>
        <w:gridCol w:w="1916"/>
        <w:gridCol w:w="3747"/>
        <w:gridCol w:w="4054"/>
      </w:tblGrid>
      <w:tr w:rsidR="007C6548" w:rsidRPr="007C6548" w14:paraId="12FA1D7B" w14:textId="77777777" w:rsidTr="00F824D1">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885" w:type="dxa"/>
          </w:tcPr>
          <w:p w14:paraId="43087D12" w14:textId="77777777" w:rsidR="00D508F9" w:rsidRPr="007C6548" w:rsidRDefault="00D508F9">
            <w:pPr>
              <w:jc w:val="both"/>
              <w:rPr>
                <w:rFonts w:cstheme="minorHAnsi"/>
                <w:color w:val="000000" w:themeColor="text1"/>
                <w:sz w:val="24"/>
                <w:szCs w:val="24"/>
                <w:highlight w:val="yellow"/>
                <w:lang w:val="en-US"/>
              </w:rPr>
            </w:pPr>
            <w:r w:rsidRPr="007C6548">
              <w:rPr>
                <w:rFonts w:cstheme="minorHAnsi"/>
                <w:color w:val="000000" w:themeColor="text1"/>
                <w:sz w:val="24"/>
                <w:szCs w:val="24"/>
                <w:highlight w:val="yellow"/>
                <w:lang w:val="en-US"/>
              </w:rPr>
              <w:t>Sample</w:t>
            </w:r>
          </w:p>
        </w:tc>
        <w:tc>
          <w:tcPr>
            <w:tcW w:w="2010" w:type="dxa"/>
          </w:tcPr>
          <w:p w14:paraId="37B2FEAC" w14:textId="332B6178" w:rsidR="00D508F9" w:rsidRPr="007C6548" w:rsidRDefault="00D508F9">
            <w:pPr>
              <w:jc w:val="both"/>
              <w:cnfStyle w:val="100000000000" w:firstRow="1" w:lastRow="0" w:firstColumn="0" w:lastColumn="0" w:oddVBand="0" w:evenVBand="0" w:oddHBand="0" w:evenHBand="0" w:firstRowFirstColumn="0" w:firstRowLastColumn="0" w:lastRowFirstColumn="0" w:lastRowLastColumn="0"/>
              <w:rPr>
                <w:color w:val="000000" w:themeColor="text1"/>
                <w:sz w:val="24"/>
                <w:szCs w:val="24"/>
                <w:highlight w:val="yellow"/>
                <w:lang w:val="en-US"/>
              </w:rPr>
            </w:pPr>
            <w:r w:rsidRPr="007C6548">
              <w:rPr>
                <w:color w:val="000000" w:themeColor="text1"/>
                <w:sz w:val="24"/>
                <w:szCs w:val="24"/>
                <w:highlight w:val="yellow"/>
                <w:lang w:val="en-US"/>
              </w:rPr>
              <w:t>AFM crystallites area (</w:t>
            </w:r>
            <w:r w:rsidR="00F824D1" w:rsidRPr="007C6548">
              <w:rPr>
                <w:caps w:val="0"/>
                <w:color w:val="000000" w:themeColor="text1"/>
                <w:sz w:val="24"/>
                <w:szCs w:val="24"/>
                <w:highlight w:val="yellow"/>
                <w:lang w:val="en-US"/>
              </w:rPr>
              <w:t>μm</w:t>
            </w:r>
            <w:r w:rsidRPr="007C6548">
              <w:rPr>
                <w:color w:val="000000" w:themeColor="text1"/>
                <w:sz w:val="24"/>
                <w:szCs w:val="24"/>
                <w:highlight w:val="yellow"/>
                <w:vertAlign w:val="superscript"/>
                <w:lang w:val="en-US"/>
              </w:rPr>
              <w:t>2</w:t>
            </w:r>
            <w:r w:rsidRPr="007C6548">
              <w:rPr>
                <w:color w:val="000000" w:themeColor="text1"/>
                <w:sz w:val="24"/>
                <w:szCs w:val="24"/>
                <w:highlight w:val="yellow"/>
                <w:lang w:val="en-US"/>
              </w:rPr>
              <w:t>)</w:t>
            </w:r>
          </w:p>
        </w:tc>
        <w:tc>
          <w:tcPr>
            <w:tcW w:w="2175" w:type="dxa"/>
          </w:tcPr>
          <w:p w14:paraId="68E0CBDF" w14:textId="1A870A6A" w:rsidR="00D508F9" w:rsidRPr="007C6548" w:rsidRDefault="00D508F9">
            <w:pPr>
              <w:jc w:val="both"/>
              <w:cnfStyle w:val="100000000000" w:firstRow="1" w:lastRow="0" w:firstColumn="0" w:lastColumn="0" w:oddVBand="0" w:evenVBand="0" w:oddHBand="0" w:evenHBand="0" w:firstRowFirstColumn="0" w:firstRowLastColumn="0" w:lastRowFirstColumn="0" w:lastRowLastColumn="0"/>
              <w:rPr>
                <w:color w:val="000000" w:themeColor="text1"/>
                <w:sz w:val="24"/>
                <w:szCs w:val="24"/>
                <w:highlight w:val="yellow"/>
                <w:lang w:val="en-US"/>
              </w:rPr>
            </w:pPr>
            <w:r w:rsidRPr="007C6548">
              <w:rPr>
                <w:color w:val="000000" w:themeColor="text1"/>
                <w:sz w:val="24"/>
                <w:szCs w:val="24"/>
                <w:highlight w:val="yellow"/>
                <w:lang w:val="en-US"/>
              </w:rPr>
              <w:t>SEM crystallites area (</w:t>
            </w:r>
            <w:r w:rsidR="00F824D1" w:rsidRPr="00F824D1">
              <w:rPr>
                <w:caps w:val="0"/>
                <w:color w:val="000000" w:themeColor="text1"/>
                <w:sz w:val="24"/>
                <w:szCs w:val="24"/>
                <w:highlight w:val="yellow"/>
                <w:lang w:val="en-US"/>
              </w:rPr>
              <w:t>μm</w:t>
            </w:r>
            <w:r w:rsidRPr="007C6548">
              <w:rPr>
                <w:color w:val="000000" w:themeColor="text1"/>
                <w:sz w:val="24"/>
                <w:szCs w:val="24"/>
                <w:highlight w:val="yellow"/>
                <w:vertAlign w:val="superscript"/>
                <w:lang w:val="en-US"/>
              </w:rPr>
              <w:t>2</w:t>
            </w:r>
            <w:r w:rsidRPr="007C6548">
              <w:rPr>
                <w:color w:val="000000" w:themeColor="text1"/>
                <w:sz w:val="24"/>
                <w:szCs w:val="24"/>
                <w:highlight w:val="yellow"/>
                <w:lang w:val="en-US"/>
              </w:rPr>
              <w:t xml:space="preserve">) </w:t>
            </w:r>
          </w:p>
        </w:tc>
      </w:tr>
      <w:tr w:rsidR="007C6548" w:rsidRPr="007C6548" w14:paraId="691DE1DE" w14:textId="77777777" w:rsidTr="00F824D1">
        <w:trPr>
          <w:trHeight w:val="300"/>
        </w:trPr>
        <w:tc>
          <w:tcPr>
            <w:cnfStyle w:val="001000000000" w:firstRow="0" w:lastRow="0" w:firstColumn="1" w:lastColumn="0" w:oddVBand="0" w:evenVBand="0" w:oddHBand="0" w:evenHBand="0" w:firstRowFirstColumn="0" w:firstRowLastColumn="0" w:lastRowFirstColumn="0" w:lastRowLastColumn="0"/>
            <w:tcW w:w="885" w:type="dxa"/>
          </w:tcPr>
          <w:p w14:paraId="2049A7A4" w14:textId="77777777" w:rsidR="00D508F9" w:rsidRPr="007C6548" w:rsidRDefault="00D508F9">
            <w:pPr>
              <w:jc w:val="both"/>
              <w:rPr>
                <w:i/>
                <w:iCs/>
                <w:color w:val="000000" w:themeColor="text1"/>
                <w:sz w:val="24"/>
                <w:szCs w:val="24"/>
                <w:highlight w:val="yellow"/>
                <w:lang w:val="en-US"/>
              </w:rPr>
            </w:pPr>
            <w:r w:rsidRPr="007C6548">
              <w:rPr>
                <w:i/>
                <w:iCs/>
                <w:color w:val="000000" w:themeColor="text1"/>
                <w:sz w:val="24"/>
                <w:szCs w:val="24"/>
                <w:highlight w:val="yellow"/>
                <w:lang w:val="en-US"/>
              </w:rPr>
              <w:t>A</w:t>
            </w:r>
          </w:p>
        </w:tc>
        <w:tc>
          <w:tcPr>
            <w:tcW w:w="2010" w:type="dxa"/>
          </w:tcPr>
          <w:p w14:paraId="44B0FBA5" w14:textId="77777777" w:rsidR="00D508F9" w:rsidRPr="007C6548" w:rsidRDefault="00D508F9">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highlight w:val="yellow"/>
              </w:rPr>
            </w:pPr>
            <w:r w:rsidRPr="007C6548">
              <w:rPr>
                <w:rFonts w:ascii="Calibri" w:eastAsia="Calibri" w:hAnsi="Calibri" w:cs="Calibri"/>
                <w:color w:val="000000" w:themeColor="text1"/>
                <w:highlight w:val="yellow"/>
              </w:rPr>
              <w:t xml:space="preserve">0.7 </w:t>
            </w:r>
          </w:p>
        </w:tc>
        <w:tc>
          <w:tcPr>
            <w:tcW w:w="2175" w:type="dxa"/>
          </w:tcPr>
          <w:p w14:paraId="54B2C434" w14:textId="77777777" w:rsidR="00D508F9" w:rsidRPr="007C6548" w:rsidRDefault="00D508F9">
            <w:pPr>
              <w:jc w:val="both"/>
              <w:cnfStyle w:val="000000000000" w:firstRow="0" w:lastRow="0" w:firstColumn="0" w:lastColumn="0" w:oddVBand="0" w:evenVBand="0" w:oddHBand="0" w:evenHBand="0" w:firstRowFirstColumn="0" w:firstRowLastColumn="0" w:lastRowFirstColumn="0" w:lastRowLastColumn="0"/>
              <w:rPr>
                <w:color w:val="000000" w:themeColor="text1"/>
                <w:sz w:val="24"/>
                <w:szCs w:val="24"/>
                <w:highlight w:val="yellow"/>
                <w:lang w:val="en-US"/>
              </w:rPr>
            </w:pPr>
            <w:r w:rsidRPr="007C6548">
              <w:rPr>
                <w:color w:val="000000" w:themeColor="text1"/>
                <w:sz w:val="24"/>
                <w:szCs w:val="24"/>
                <w:highlight w:val="yellow"/>
                <w:lang w:val="en-US"/>
              </w:rPr>
              <w:t>2.6</w:t>
            </w:r>
          </w:p>
        </w:tc>
      </w:tr>
      <w:tr w:rsidR="007C6548" w:rsidRPr="007C6548" w14:paraId="196C1F63" w14:textId="77777777" w:rsidTr="00F824D1">
        <w:trPr>
          <w:trHeight w:val="300"/>
        </w:trPr>
        <w:tc>
          <w:tcPr>
            <w:cnfStyle w:val="001000000000" w:firstRow="0" w:lastRow="0" w:firstColumn="1" w:lastColumn="0" w:oddVBand="0" w:evenVBand="0" w:oddHBand="0" w:evenHBand="0" w:firstRowFirstColumn="0" w:firstRowLastColumn="0" w:lastRowFirstColumn="0" w:lastRowLastColumn="0"/>
            <w:tcW w:w="885" w:type="dxa"/>
          </w:tcPr>
          <w:p w14:paraId="3A6EFFD4" w14:textId="77777777" w:rsidR="00D508F9" w:rsidRPr="007C6548" w:rsidRDefault="00D508F9">
            <w:pPr>
              <w:jc w:val="both"/>
              <w:rPr>
                <w:i/>
                <w:iCs/>
                <w:color w:val="000000" w:themeColor="text1"/>
                <w:sz w:val="24"/>
                <w:szCs w:val="24"/>
                <w:highlight w:val="yellow"/>
                <w:lang w:val="en-US"/>
              </w:rPr>
            </w:pPr>
            <w:r w:rsidRPr="007C6548">
              <w:rPr>
                <w:i/>
                <w:iCs/>
                <w:color w:val="000000" w:themeColor="text1"/>
                <w:sz w:val="24"/>
                <w:szCs w:val="24"/>
                <w:highlight w:val="yellow"/>
                <w:lang w:val="en-US"/>
              </w:rPr>
              <w:t>B</w:t>
            </w:r>
          </w:p>
        </w:tc>
        <w:tc>
          <w:tcPr>
            <w:tcW w:w="2010" w:type="dxa"/>
          </w:tcPr>
          <w:p w14:paraId="4F593D5C" w14:textId="77777777" w:rsidR="00D508F9" w:rsidRPr="007C6548" w:rsidRDefault="00D508F9">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highlight w:val="yellow"/>
              </w:rPr>
            </w:pPr>
            <w:r w:rsidRPr="007C6548">
              <w:rPr>
                <w:rFonts w:ascii="Calibri" w:eastAsia="Calibri" w:hAnsi="Calibri" w:cs="Calibri"/>
                <w:color w:val="000000" w:themeColor="text1"/>
                <w:highlight w:val="yellow"/>
              </w:rPr>
              <w:t xml:space="preserve">1.3 </w:t>
            </w:r>
          </w:p>
        </w:tc>
        <w:tc>
          <w:tcPr>
            <w:tcW w:w="2175" w:type="dxa"/>
          </w:tcPr>
          <w:p w14:paraId="2D93C7FE" w14:textId="77777777" w:rsidR="00D508F9" w:rsidRPr="007C6548" w:rsidRDefault="00D508F9">
            <w:pPr>
              <w:jc w:val="both"/>
              <w:cnfStyle w:val="000000000000" w:firstRow="0" w:lastRow="0" w:firstColumn="0" w:lastColumn="0" w:oddVBand="0" w:evenVBand="0" w:oddHBand="0" w:evenHBand="0" w:firstRowFirstColumn="0" w:firstRowLastColumn="0" w:lastRowFirstColumn="0" w:lastRowLastColumn="0"/>
              <w:rPr>
                <w:color w:val="000000" w:themeColor="text1"/>
                <w:highlight w:val="yellow"/>
              </w:rPr>
            </w:pPr>
            <w:r w:rsidRPr="007C6548">
              <w:rPr>
                <w:rFonts w:ascii="Calibri" w:eastAsia="Calibri" w:hAnsi="Calibri" w:cs="Calibri"/>
                <w:color w:val="000000" w:themeColor="text1"/>
                <w:sz w:val="24"/>
                <w:szCs w:val="24"/>
                <w:highlight w:val="yellow"/>
                <w:lang w:val="en-US"/>
              </w:rPr>
              <w:t>5.9</w:t>
            </w:r>
          </w:p>
        </w:tc>
      </w:tr>
      <w:tr w:rsidR="007C6548" w:rsidRPr="007C6548" w14:paraId="52F65D84" w14:textId="77777777" w:rsidTr="00F824D1">
        <w:trPr>
          <w:trHeight w:val="300"/>
        </w:trPr>
        <w:tc>
          <w:tcPr>
            <w:cnfStyle w:val="001000000000" w:firstRow="0" w:lastRow="0" w:firstColumn="1" w:lastColumn="0" w:oddVBand="0" w:evenVBand="0" w:oddHBand="0" w:evenHBand="0" w:firstRowFirstColumn="0" w:firstRowLastColumn="0" w:lastRowFirstColumn="0" w:lastRowLastColumn="0"/>
            <w:tcW w:w="885" w:type="dxa"/>
          </w:tcPr>
          <w:p w14:paraId="63FCD0B6" w14:textId="77777777" w:rsidR="00D508F9" w:rsidRPr="007C6548" w:rsidRDefault="00D508F9">
            <w:pPr>
              <w:jc w:val="both"/>
              <w:rPr>
                <w:i/>
                <w:iCs/>
                <w:color w:val="000000" w:themeColor="text1"/>
                <w:sz w:val="24"/>
                <w:szCs w:val="24"/>
                <w:highlight w:val="yellow"/>
                <w:lang w:val="en-US"/>
              </w:rPr>
            </w:pPr>
            <w:r w:rsidRPr="007C6548">
              <w:rPr>
                <w:i/>
                <w:iCs/>
                <w:color w:val="000000" w:themeColor="text1"/>
                <w:sz w:val="24"/>
                <w:szCs w:val="24"/>
                <w:highlight w:val="yellow"/>
                <w:lang w:val="en-US"/>
              </w:rPr>
              <w:t>C</w:t>
            </w:r>
          </w:p>
        </w:tc>
        <w:tc>
          <w:tcPr>
            <w:tcW w:w="2010" w:type="dxa"/>
          </w:tcPr>
          <w:p w14:paraId="74DFB559" w14:textId="77777777" w:rsidR="00D508F9" w:rsidRPr="007C6548" w:rsidRDefault="00D508F9">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highlight w:val="yellow"/>
              </w:rPr>
            </w:pPr>
            <w:r w:rsidRPr="007C6548">
              <w:rPr>
                <w:rFonts w:ascii="Calibri" w:eastAsia="Calibri" w:hAnsi="Calibri" w:cs="Calibri"/>
                <w:color w:val="000000" w:themeColor="text1"/>
                <w:highlight w:val="yellow"/>
              </w:rPr>
              <w:t xml:space="preserve">57 </w:t>
            </w:r>
          </w:p>
        </w:tc>
        <w:tc>
          <w:tcPr>
            <w:tcW w:w="2175" w:type="dxa"/>
          </w:tcPr>
          <w:p w14:paraId="453D125D" w14:textId="77777777" w:rsidR="00D508F9" w:rsidRPr="007C6548" w:rsidRDefault="00D508F9">
            <w:pPr>
              <w:jc w:val="both"/>
              <w:cnfStyle w:val="000000000000" w:firstRow="0" w:lastRow="0" w:firstColumn="0" w:lastColumn="0" w:oddVBand="0" w:evenVBand="0" w:oddHBand="0" w:evenHBand="0" w:firstRowFirstColumn="0" w:firstRowLastColumn="0" w:lastRowFirstColumn="0" w:lastRowLastColumn="0"/>
              <w:rPr>
                <w:color w:val="000000" w:themeColor="text1"/>
                <w:highlight w:val="yellow"/>
              </w:rPr>
            </w:pPr>
            <w:r w:rsidRPr="007C6548">
              <w:rPr>
                <w:rFonts w:ascii="Calibri" w:eastAsia="Calibri" w:hAnsi="Calibri" w:cs="Calibri"/>
                <w:color w:val="000000" w:themeColor="text1"/>
                <w:sz w:val="24"/>
                <w:szCs w:val="24"/>
                <w:highlight w:val="yellow"/>
                <w:lang w:val="en-US"/>
              </w:rPr>
              <w:t>180</w:t>
            </w:r>
          </w:p>
        </w:tc>
      </w:tr>
      <w:tr w:rsidR="007C6548" w:rsidRPr="007C6548" w14:paraId="26030108" w14:textId="77777777" w:rsidTr="00F824D1">
        <w:trPr>
          <w:trHeight w:val="300"/>
        </w:trPr>
        <w:tc>
          <w:tcPr>
            <w:cnfStyle w:val="001000000000" w:firstRow="0" w:lastRow="0" w:firstColumn="1" w:lastColumn="0" w:oddVBand="0" w:evenVBand="0" w:oddHBand="0" w:evenHBand="0" w:firstRowFirstColumn="0" w:firstRowLastColumn="0" w:lastRowFirstColumn="0" w:lastRowLastColumn="0"/>
            <w:tcW w:w="885" w:type="dxa"/>
          </w:tcPr>
          <w:p w14:paraId="506E61BA" w14:textId="77777777" w:rsidR="00D508F9" w:rsidRPr="007C6548" w:rsidRDefault="00D508F9">
            <w:pPr>
              <w:jc w:val="both"/>
              <w:rPr>
                <w:i/>
                <w:iCs/>
                <w:color w:val="000000" w:themeColor="text1"/>
                <w:sz w:val="24"/>
                <w:szCs w:val="24"/>
                <w:highlight w:val="yellow"/>
                <w:lang w:val="en-US"/>
              </w:rPr>
            </w:pPr>
            <w:r w:rsidRPr="007C6548">
              <w:rPr>
                <w:i/>
                <w:iCs/>
                <w:color w:val="000000" w:themeColor="text1"/>
                <w:sz w:val="24"/>
                <w:szCs w:val="24"/>
                <w:highlight w:val="yellow"/>
                <w:lang w:val="en-US"/>
              </w:rPr>
              <w:t>D</w:t>
            </w:r>
          </w:p>
        </w:tc>
        <w:tc>
          <w:tcPr>
            <w:tcW w:w="2010" w:type="dxa"/>
          </w:tcPr>
          <w:p w14:paraId="35A7EF11" w14:textId="77777777" w:rsidR="00D508F9" w:rsidRPr="007C6548" w:rsidRDefault="00D508F9">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color w:val="000000" w:themeColor="text1"/>
                <w:highlight w:val="yellow"/>
                <w:lang w:val="en-US"/>
              </w:rPr>
            </w:pPr>
            <w:r w:rsidRPr="007C6548">
              <w:rPr>
                <w:rFonts w:ascii="Calibri" w:eastAsia="Calibri" w:hAnsi="Calibri" w:cs="Calibri"/>
                <w:bCs/>
                <w:color w:val="000000" w:themeColor="text1"/>
                <w:highlight w:val="yellow"/>
                <w:lang w:val="en-US"/>
              </w:rPr>
              <w:t>n/a</w:t>
            </w:r>
          </w:p>
        </w:tc>
        <w:tc>
          <w:tcPr>
            <w:tcW w:w="2175" w:type="dxa"/>
          </w:tcPr>
          <w:p w14:paraId="068B387E" w14:textId="77777777" w:rsidR="00D508F9" w:rsidRPr="007C6548" w:rsidRDefault="00D508F9" w:rsidP="00F824D1">
            <w:pPr>
              <w:keepNext/>
              <w:jc w:val="both"/>
              <w:cnfStyle w:val="000000000000" w:firstRow="0" w:lastRow="0" w:firstColumn="0" w:lastColumn="0" w:oddVBand="0" w:evenVBand="0" w:oddHBand="0" w:evenHBand="0" w:firstRowFirstColumn="0" w:firstRowLastColumn="0" w:lastRowFirstColumn="0" w:lastRowLastColumn="0"/>
              <w:rPr>
                <w:color w:val="000000" w:themeColor="text1"/>
              </w:rPr>
            </w:pPr>
            <w:r w:rsidRPr="007C6548">
              <w:rPr>
                <w:rFonts w:ascii="Calibri" w:eastAsia="Calibri" w:hAnsi="Calibri" w:cs="Calibri"/>
                <w:color w:val="000000" w:themeColor="text1"/>
                <w:sz w:val="24"/>
                <w:szCs w:val="24"/>
                <w:highlight w:val="yellow"/>
                <w:lang w:val="en-US"/>
              </w:rPr>
              <w:t>4700</w:t>
            </w:r>
          </w:p>
        </w:tc>
      </w:tr>
    </w:tbl>
    <w:p w14:paraId="77D65C29" w14:textId="18393C33" w:rsidR="00D508F9" w:rsidRPr="007C6548" w:rsidRDefault="00F824D1" w:rsidP="00F824D1">
      <w:pPr>
        <w:pStyle w:val="Didascalia"/>
        <w:rPr>
          <w:color w:val="000000" w:themeColor="text1"/>
        </w:rPr>
      </w:pPr>
      <w:r>
        <w:t>Table S</w:t>
      </w:r>
      <w:r>
        <w:fldChar w:fldCharType="begin"/>
      </w:r>
      <w:r>
        <w:instrText xml:space="preserve"> SEQ Table \* ARABIC </w:instrText>
      </w:r>
      <w:r>
        <w:fldChar w:fldCharType="separate"/>
      </w:r>
      <w:r w:rsidR="003C21DB">
        <w:rPr>
          <w:noProof/>
        </w:rPr>
        <w:t>1</w:t>
      </w:r>
      <w:r>
        <w:fldChar w:fldCharType="end"/>
      </w:r>
      <w:r w:rsidR="128B80C6" w:rsidRPr="6EA01E9F">
        <w:rPr>
          <w:color w:val="000000" w:themeColor="text1"/>
        </w:rPr>
        <w:t>: crystal area extracted watershed analysis of AFM and SEM maps</w:t>
      </w:r>
    </w:p>
    <w:p w14:paraId="1A288C48" w14:textId="77777777" w:rsidR="001D5471" w:rsidRPr="00B41D95" w:rsidRDefault="001D5471" w:rsidP="00B41D95"/>
    <w:p w14:paraId="10EAD5B4" w14:textId="60E8BEC6" w:rsidR="00515BB0" w:rsidRDefault="00954A16" w:rsidP="00B41D95">
      <w:pPr>
        <w:jc w:val="both"/>
        <w:rPr>
          <w:b/>
          <w:bCs/>
          <w:sz w:val="24"/>
          <w:szCs w:val="24"/>
        </w:rPr>
      </w:pPr>
      <w:r w:rsidRPr="00B41D95">
        <w:rPr>
          <w:b/>
          <w:bCs/>
          <w:sz w:val="24"/>
          <w:szCs w:val="24"/>
        </w:rPr>
        <w:t>Dark sheet resistance</w:t>
      </w:r>
      <w:r w:rsidR="00A243D2" w:rsidRPr="00B41D95">
        <w:rPr>
          <w:b/>
          <w:bCs/>
          <w:sz w:val="24"/>
          <w:szCs w:val="24"/>
        </w:rPr>
        <w:t xml:space="preserve"> and UV photocurrent </w:t>
      </w:r>
    </w:p>
    <w:p w14:paraId="6582F9AF" w14:textId="7C977357" w:rsidR="00AF03EC" w:rsidRPr="00B41D95" w:rsidRDefault="00AF03EC" w:rsidP="00B41D95">
      <w:pPr>
        <w:jc w:val="both"/>
        <w:rPr>
          <w:b/>
          <w:bCs/>
          <w:sz w:val="24"/>
          <w:szCs w:val="24"/>
        </w:rPr>
      </w:pPr>
      <w:r>
        <w:rPr>
          <w:lang w:val="en-US"/>
        </w:rPr>
        <w:t>T</w:t>
      </w:r>
      <w:r w:rsidRPr="00291A04">
        <w:rPr>
          <w:lang w:val="en-US"/>
        </w:rPr>
        <w:t xml:space="preserve">he sheet resistance </w:t>
      </w:r>
      <w:r>
        <w:rPr>
          <w:lang w:val="en-US"/>
        </w:rPr>
        <w:t>is extracted f</w:t>
      </w:r>
      <w:r w:rsidRPr="00291A04">
        <w:rPr>
          <w:lang w:val="en-US"/>
        </w:rPr>
        <w:t>rom the linear fit of the IV curves</w:t>
      </w:r>
      <w:r w:rsidR="006C45C0">
        <w:rPr>
          <w:lang w:val="en-US"/>
        </w:rPr>
        <w:t>,</w:t>
      </w:r>
      <w:r>
        <w:rPr>
          <w:lang w:val="en-US"/>
        </w:rPr>
        <w:t xml:space="preserve"> and it is defined as</w:t>
      </w:r>
      <w:r w:rsidRPr="00291A04">
        <w:rPr>
          <w:lang w:val="en-US"/>
        </w:rPr>
        <w:t xml:space="preserve"> R</w:t>
      </w:r>
      <w:r w:rsidRPr="00291A04">
        <w:rPr>
          <w:vertAlign w:val="subscript"/>
          <w:lang w:val="en-US"/>
        </w:rPr>
        <w:t>s</w:t>
      </w:r>
      <w:r w:rsidRPr="00291A04">
        <w:rPr>
          <w:lang w:val="en-US"/>
        </w:rPr>
        <w:t>=R*W/L, with</w:t>
      </w:r>
      <w:r w:rsidRPr="00291A04">
        <w:rPr>
          <w:i/>
          <w:iCs/>
          <w:lang w:val="en-US"/>
        </w:rPr>
        <w:t xml:space="preserve"> R</w:t>
      </w:r>
      <w:r w:rsidRPr="00291A04">
        <w:rPr>
          <w:lang w:val="en-US"/>
        </w:rPr>
        <w:t xml:space="preserve"> resistance, </w:t>
      </w:r>
      <w:r w:rsidRPr="00291A04">
        <w:rPr>
          <w:i/>
          <w:iCs/>
          <w:lang w:val="en-US"/>
        </w:rPr>
        <w:t>W</w:t>
      </w:r>
      <w:r w:rsidRPr="00291A04">
        <w:rPr>
          <w:lang w:val="en-US"/>
        </w:rPr>
        <w:t xml:space="preserve"> channel width, and </w:t>
      </w:r>
      <w:r w:rsidRPr="00291A04">
        <w:rPr>
          <w:i/>
          <w:iCs/>
          <w:lang w:val="en-US"/>
        </w:rPr>
        <w:t>L</w:t>
      </w:r>
      <w:r w:rsidRPr="00291A04">
        <w:rPr>
          <w:lang w:val="en-US"/>
        </w:rPr>
        <w:t xml:space="preserve"> channel length. </w:t>
      </w:r>
    </w:p>
    <w:p w14:paraId="5B49CDB2" w14:textId="22611C53" w:rsidR="00133CAE" w:rsidRPr="00B41D95" w:rsidRDefault="00F54EBC" w:rsidP="00B41D95">
      <w:pPr>
        <w:keepNext/>
        <w:jc w:val="both"/>
      </w:pPr>
      <w:r w:rsidRPr="00B41D95">
        <w:rPr>
          <w:noProof/>
        </w:rPr>
        <w:lastRenderedPageBreak/>
        <w:drawing>
          <wp:inline distT="0" distB="0" distL="0" distR="0" wp14:anchorId="65A3B3C6" wp14:editId="000B096A">
            <wp:extent cx="2953787" cy="2258060"/>
            <wp:effectExtent l="0" t="0" r="0" b="8890"/>
            <wp:docPr id="177348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48867"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2953787" cy="2258060"/>
                    </a:xfrm>
                    <a:prstGeom prst="rect">
                      <a:avLst/>
                    </a:prstGeom>
                  </pic:spPr>
                </pic:pic>
              </a:graphicData>
            </a:graphic>
          </wp:inline>
        </w:drawing>
      </w:r>
    </w:p>
    <w:p w14:paraId="5CB020BD" w14:textId="6D90B29A" w:rsidR="00052E85" w:rsidRPr="00B41D95" w:rsidRDefault="00133CAE" w:rsidP="00B41D95">
      <w:pPr>
        <w:pStyle w:val="Didascalia"/>
        <w:jc w:val="both"/>
        <w:rPr>
          <w:sz w:val="24"/>
          <w:szCs w:val="24"/>
        </w:rPr>
      </w:pPr>
      <w:r w:rsidRPr="00B41D95">
        <w:rPr>
          <w:sz w:val="24"/>
          <w:szCs w:val="24"/>
        </w:rPr>
        <w:t xml:space="preserve">Figure </w:t>
      </w:r>
      <w:r w:rsidR="00DF0C1A" w:rsidRPr="00B41D95">
        <w:rPr>
          <w:sz w:val="24"/>
          <w:szCs w:val="24"/>
        </w:rPr>
        <w:t>S</w:t>
      </w:r>
      <w:r w:rsidRPr="00B41D95">
        <w:rPr>
          <w:sz w:val="24"/>
          <w:szCs w:val="24"/>
        </w:rPr>
        <w:fldChar w:fldCharType="begin"/>
      </w:r>
      <w:r w:rsidRPr="00B41D95">
        <w:rPr>
          <w:sz w:val="24"/>
          <w:szCs w:val="24"/>
        </w:rPr>
        <w:instrText xml:space="preserve"> SEQ Figure \* ARABIC </w:instrText>
      </w:r>
      <w:r w:rsidRPr="00B41D95">
        <w:rPr>
          <w:sz w:val="24"/>
          <w:szCs w:val="24"/>
        </w:rPr>
        <w:fldChar w:fldCharType="separate"/>
      </w:r>
      <w:r w:rsidR="00A341F4" w:rsidRPr="00B41D95">
        <w:rPr>
          <w:noProof/>
          <w:sz w:val="24"/>
          <w:szCs w:val="24"/>
        </w:rPr>
        <w:t>2</w:t>
      </w:r>
      <w:r w:rsidRPr="00B41D95">
        <w:rPr>
          <w:sz w:val="24"/>
          <w:szCs w:val="24"/>
        </w:rPr>
        <w:fldChar w:fldCharType="end"/>
      </w:r>
      <w:r w:rsidRPr="00B41D95">
        <w:rPr>
          <w:sz w:val="24"/>
          <w:szCs w:val="24"/>
        </w:rPr>
        <w:t>:</w:t>
      </w:r>
      <w:r w:rsidR="00A26B13" w:rsidRPr="00B41D95">
        <w:rPr>
          <w:sz w:val="24"/>
          <w:szCs w:val="24"/>
        </w:rPr>
        <w:t xml:space="preserve"> </w:t>
      </w:r>
      <w:r w:rsidR="00F54EBC" w:rsidRPr="00B41D95">
        <w:rPr>
          <w:sz w:val="24"/>
          <w:szCs w:val="24"/>
        </w:rPr>
        <w:t xml:space="preserve">Sheet resistance </w:t>
      </w:r>
      <w:r w:rsidR="0098613E" w:rsidRPr="00B41D95">
        <w:rPr>
          <w:sz w:val="24"/>
          <w:szCs w:val="24"/>
        </w:rPr>
        <w:t>of the films</w:t>
      </w:r>
      <w:r w:rsidR="00276E5E">
        <w:rPr>
          <w:sz w:val="24"/>
          <w:szCs w:val="24"/>
        </w:rPr>
        <w:t>.</w:t>
      </w:r>
      <w:r w:rsidR="00001B84" w:rsidRPr="00B41D95">
        <w:rPr>
          <w:sz w:val="24"/>
          <w:szCs w:val="24"/>
        </w:rPr>
        <w:t xml:space="preserve"> The devices are biased at 5 V.</w:t>
      </w:r>
    </w:p>
    <w:p w14:paraId="4E07AF7D" w14:textId="77777777" w:rsidR="004D48DA" w:rsidRDefault="004D48DA" w:rsidP="00B41D95">
      <w:pPr>
        <w:jc w:val="both"/>
        <w:rPr>
          <w:b/>
          <w:bCs/>
          <w:sz w:val="24"/>
          <w:szCs w:val="24"/>
        </w:rPr>
      </w:pPr>
    </w:p>
    <w:p w14:paraId="714AE4AA" w14:textId="77777777" w:rsidR="00473FA9" w:rsidRPr="00B41D95" w:rsidRDefault="00473FA9" w:rsidP="00B41D95">
      <w:pPr>
        <w:jc w:val="both"/>
        <w:rPr>
          <w:b/>
          <w:bCs/>
          <w:sz w:val="24"/>
          <w:szCs w:val="24"/>
        </w:rPr>
      </w:pPr>
    </w:p>
    <w:p w14:paraId="3DAA6FEF" w14:textId="77777777" w:rsidR="0035127B" w:rsidRPr="00B41D95" w:rsidRDefault="00ED0B24" w:rsidP="00B41D95">
      <w:pPr>
        <w:jc w:val="both"/>
        <w:rPr>
          <w:b/>
          <w:bCs/>
          <w:sz w:val="24"/>
          <w:szCs w:val="24"/>
        </w:rPr>
      </w:pPr>
      <w:r w:rsidRPr="00B41D95">
        <w:rPr>
          <w:b/>
          <w:bCs/>
          <w:sz w:val="24"/>
          <w:szCs w:val="24"/>
        </w:rPr>
        <w:t>P</w:t>
      </w:r>
      <w:r w:rsidR="00D6604E" w:rsidRPr="00B41D95">
        <w:rPr>
          <w:b/>
          <w:bCs/>
          <w:sz w:val="24"/>
          <w:szCs w:val="24"/>
        </w:rPr>
        <w:t xml:space="preserve">hotocurrent transient times </w:t>
      </w:r>
    </w:p>
    <w:p w14:paraId="3CCABA48" w14:textId="103E89E1" w:rsidR="008F3BD4" w:rsidRPr="00B41D95" w:rsidRDefault="008F3BD4" w:rsidP="00B41D95">
      <w:pPr>
        <w:jc w:val="both"/>
        <w:rPr>
          <w:b/>
          <w:bCs/>
          <w:sz w:val="24"/>
          <w:szCs w:val="24"/>
        </w:rPr>
      </w:pPr>
      <w:r w:rsidRPr="00B41D95">
        <w:rPr>
          <w:sz w:val="24"/>
          <w:szCs w:val="24"/>
        </w:rPr>
        <w:t>Tabl</w:t>
      </w:r>
      <w:r w:rsidR="00EE6485" w:rsidRPr="00B41D95">
        <w:rPr>
          <w:sz w:val="24"/>
          <w:szCs w:val="24"/>
        </w:rPr>
        <w:t>e</w:t>
      </w:r>
      <w:r w:rsidRPr="00B41D95">
        <w:rPr>
          <w:sz w:val="24"/>
          <w:szCs w:val="24"/>
        </w:rPr>
        <w:t xml:space="preserve"> of the rise and fall times of the UV</w:t>
      </w:r>
      <w:r w:rsidR="00E74885" w:rsidRPr="00B41D95">
        <w:rPr>
          <w:sz w:val="24"/>
          <w:szCs w:val="24"/>
        </w:rPr>
        <w:t>-</w:t>
      </w:r>
      <w:r w:rsidRPr="00B41D95">
        <w:rPr>
          <w:sz w:val="24"/>
          <w:szCs w:val="24"/>
        </w:rPr>
        <w:t xml:space="preserve">induced photocurrent. We define </w:t>
      </w:r>
      <w:proofErr w:type="spellStart"/>
      <w:r w:rsidRPr="00B41D95">
        <w:rPr>
          <w:sz w:val="24"/>
          <w:szCs w:val="24"/>
        </w:rPr>
        <w:t>τ</w:t>
      </w:r>
      <w:r w:rsidRPr="00B41D95">
        <w:rPr>
          <w:sz w:val="24"/>
          <w:szCs w:val="24"/>
          <w:vertAlign w:val="subscript"/>
        </w:rPr>
        <w:t>rise</w:t>
      </w:r>
      <w:proofErr w:type="spellEnd"/>
      <w:r w:rsidRPr="00B41D95">
        <w:rPr>
          <w:sz w:val="24"/>
          <w:szCs w:val="24"/>
          <w:vertAlign w:val="subscript"/>
        </w:rPr>
        <w:t xml:space="preserve"> </w:t>
      </w:r>
      <w:r w:rsidRPr="00B41D95">
        <w:rPr>
          <w:sz w:val="24"/>
          <w:szCs w:val="24"/>
        </w:rPr>
        <w:t xml:space="preserve">as the time interval needed to increase the current from 10% to 90% of its maximum value, and </w:t>
      </w:r>
      <w:proofErr w:type="spellStart"/>
      <w:r w:rsidRPr="00B41D95">
        <w:rPr>
          <w:sz w:val="24"/>
          <w:szCs w:val="24"/>
        </w:rPr>
        <w:t>τ</w:t>
      </w:r>
      <w:r w:rsidRPr="00B41D95">
        <w:rPr>
          <w:sz w:val="24"/>
          <w:szCs w:val="24"/>
          <w:vertAlign w:val="subscript"/>
        </w:rPr>
        <w:t>fall</w:t>
      </w:r>
      <w:proofErr w:type="spellEnd"/>
      <w:r w:rsidRPr="00B41D95">
        <w:rPr>
          <w:sz w:val="24"/>
          <w:szCs w:val="24"/>
        </w:rPr>
        <w:t xml:space="preserve"> as the time interval needed to decrease from 90% to 10%.</w:t>
      </w:r>
    </w:p>
    <w:tbl>
      <w:tblPr>
        <w:tblStyle w:val="Tabellasemplice5"/>
        <w:tblW w:w="0" w:type="auto"/>
        <w:tblLook w:val="06A0" w:firstRow="1" w:lastRow="0" w:firstColumn="1" w:lastColumn="0" w:noHBand="1" w:noVBand="1"/>
      </w:tblPr>
      <w:tblGrid>
        <w:gridCol w:w="1418"/>
        <w:gridCol w:w="1984"/>
        <w:gridCol w:w="1985"/>
      </w:tblGrid>
      <w:tr w:rsidR="00B42C4D" w:rsidRPr="00B41D95" w14:paraId="1ED6E782" w14:textId="77777777" w:rsidTr="1882A37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18" w:type="dxa"/>
          </w:tcPr>
          <w:p w14:paraId="09ADAD22" w14:textId="1722B66B" w:rsidR="00B42C4D" w:rsidRPr="00B41D95" w:rsidRDefault="00B42C4D" w:rsidP="00B41D95">
            <w:pPr>
              <w:jc w:val="both"/>
              <w:rPr>
                <w:rFonts w:asciiTheme="minorHAnsi" w:hAnsiTheme="minorHAnsi" w:cstheme="minorHAnsi"/>
                <w:sz w:val="24"/>
                <w:szCs w:val="24"/>
              </w:rPr>
            </w:pPr>
            <w:r w:rsidRPr="00B41D95">
              <w:rPr>
                <w:rFonts w:asciiTheme="minorHAnsi" w:hAnsiTheme="minorHAnsi" w:cstheme="minorHAnsi"/>
                <w:sz w:val="24"/>
                <w:szCs w:val="24"/>
              </w:rPr>
              <w:t>Sample</w:t>
            </w:r>
          </w:p>
        </w:tc>
        <w:tc>
          <w:tcPr>
            <w:tcW w:w="1984" w:type="dxa"/>
          </w:tcPr>
          <w:p w14:paraId="66D7B10A" w14:textId="31695C45" w:rsidR="00B42C4D" w:rsidRPr="00B41D95" w:rsidRDefault="008F3BD4" w:rsidP="00B41D9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roofErr w:type="spellStart"/>
            <w:r w:rsidRPr="00B41D95">
              <w:rPr>
                <w:rFonts w:asciiTheme="minorHAnsi" w:hAnsiTheme="minorHAnsi" w:cstheme="minorHAnsi"/>
                <w:sz w:val="24"/>
                <w:szCs w:val="24"/>
              </w:rPr>
              <w:t>τ</w:t>
            </w:r>
            <w:r w:rsidRPr="00B41D95">
              <w:rPr>
                <w:rFonts w:asciiTheme="minorHAnsi" w:hAnsiTheme="minorHAnsi" w:cstheme="minorHAnsi"/>
                <w:sz w:val="24"/>
                <w:szCs w:val="24"/>
                <w:vertAlign w:val="subscript"/>
              </w:rPr>
              <w:t>rise</w:t>
            </w:r>
            <w:proofErr w:type="spellEnd"/>
            <w:r w:rsidRPr="00B41D95">
              <w:rPr>
                <w:rFonts w:asciiTheme="minorHAnsi" w:hAnsiTheme="minorHAnsi" w:cstheme="minorHAnsi"/>
                <w:sz w:val="24"/>
                <w:szCs w:val="24"/>
              </w:rPr>
              <w:t xml:space="preserve"> </w:t>
            </w:r>
            <w:r w:rsidR="001B14FD" w:rsidRPr="00B41D95">
              <w:rPr>
                <w:rFonts w:asciiTheme="minorHAnsi" w:hAnsiTheme="minorHAnsi" w:cstheme="minorHAnsi"/>
                <w:sz w:val="24"/>
                <w:szCs w:val="24"/>
              </w:rPr>
              <w:t>(</w:t>
            </w:r>
            <w:proofErr w:type="spellStart"/>
            <w:r w:rsidR="001B14FD" w:rsidRPr="00B41D95">
              <w:rPr>
                <w:rFonts w:asciiTheme="minorHAnsi" w:hAnsiTheme="minorHAnsi" w:cstheme="minorHAnsi"/>
                <w:sz w:val="24"/>
                <w:szCs w:val="24"/>
              </w:rPr>
              <w:t>ms</w:t>
            </w:r>
            <w:proofErr w:type="spellEnd"/>
            <w:r w:rsidR="001B14FD" w:rsidRPr="00B41D95">
              <w:rPr>
                <w:rFonts w:asciiTheme="minorHAnsi" w:hAnsiTheme="minorHAnsi" w:cstheme="minorHAnsi"/>
                <w:sz w:val="24"/>
                <w:szCs w:val="24"/>
              </w:rPr>
              <w:t>)</w:t>
            </w:r>
          </w:p>
        </w:tc>
        <w:tc>
          <w:tcPr>
            <w:tcW w:w="1985" w:type="dxa"/>
          </w:tcPr>
          <w:p w14:paraId="7BAFB59B" w14:textId="32058C59" w:rsidR="00B42C4D" w:rsidRPr="00B41D95" w:rsidRDefault="008F3BD4" w:rsidP="00B41D95">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szCs w:val="24"/>
              </w:rPr>
            </w:pPr>
            <w:proofErr w:type="spellStart"/>
            <w:r w:rsidRPr="00B41D95">
              <w:rPr>
                <w:rFonts w:asciiTheme="minorHAnsi" w:hAnsiTheme="minorHAnsi" w:cstheme="minorHAnsi"/>
                <w:sz w:val="24"/>
                <w:szCs w:val="24"/>
              </w:rPr>
              <w:t>τ</w:t>
            </w:r>
            <w:r w:rsidRPr="00B41D95">
              <w:rPr>
                <w:rFonts w:asciiTheme="minorHAnsi" w:hAnsiTheme="minorHAnsi" w:cstheme="minorHAnsi"/>
                <w:sz w:val="24"/>
                <w:szCs w:val="24"/>
                <w:vertAlign w:val="subscript"/>
              </w:rPr>
              <w:t>fall</w:t>
            </w:r>
            <w:proofErr w:type="spellEnd"/>
            <w:r w:rsidRPr="00B41D95">
              <w:rPr>
                <w:rFonts w:asciiTheme="minorHAnsi" w:hAnsiTheme="minorHAnsi" w:cstheme="minorHAnsi"/>
                <w:sz w:val="24"/>
                <w:szCs w:val="24"/>
              </w:rPr>
              <w:t xml:space="preserve"> </w:t>
            </w:r>
            <w:r w:rsidR="001B14FD" w:rsidRPr="00B41D95">
              <w:rPr>
                <w:rFonts w:asciiTheme="minorHAnsi" w:hAnsiTheme="minorHAnsi" w:cstheme="minorHAnsi"/>
                <w:sz w:val="24"/>
                <w:szCs w:val="24"/>
              </w:rPr>
              <w:t>(</w:t>
            </w:r>
            <w:proofErr w:type="spellStart"/>
            <w:r w:rsidR="001B14FD" w:rsidRPr="00B41D95">
              <w:rPr>
                <w:rFonts w:asciiTheme="minorHAnsi" w:hAnsiTheme="minorHAnsi" w:cstheme="minorHAnsi"/>
                <w:sz w:val="24"/>
                <w:szCs w:val="24"/>
              </w:rPr>
              <w:t>ms</w:t>
            </w:r>
            <w:proofErr w:type="spellEnd"/>
            <w:r w:rsidR="001B14FD" w:rsidRPr="00B41D95">
              <w:rPr>
                <w:rFonts w:asciiTheme="minorHAnsi" w:hAnsiTheme="minorHAnsi" w:cstheme="minorHAnsi"/>
                <w:sz w:val="24"/>
                <w:szCs w:val="24"/>
              </w:rPr>
              <w:t>)</w:t>
            </w:r>
          </w:p>
        </w:tc>
      </w:tr>
      <w:tr w:rsidR="00B42C4D" w:rsidRPr="00B41D95" w14:paraId="5D28BA33" w14:textId="77777777" w:rsidTr="1882A37A">
        <w:tc>
          <w:tcPr>
            <w:cnfStyle w:val="001000000000" w:firstRow="0" w:lastRow="0" w:firstColumn="1" w:lastColumn="0" w:oddVBand="0" w:evenVBand="0" w:oddHBand="0" w:evenHBand="0" w:firstRowFirstColumn="0" w:firstRowLastColumn="0" w:lastRowFirstColumn="0" w:lastRowLastColumn="0"/>
            <w:tcW w:w="1418" w:type="dxa"/>
          </w:tcPr>
          <w:p w14:paraId="357C24CB" w14:textId="29BCF253" w:rsidR="00B42C4D" w:rsidRPr="00B41D95" w:rsidRDefault="00B42C4D" w:rsidP="00B41D95">
            <w:pPr>
              <w:jc w:val="both"/>
              <w:rPr>
                <w:rFonts w:asciiTheme="minorHAnsi" w:hAnsiTheme="minorHAnsi" w:cstheme="minorBidi"/>
                <w:sz w:val="24"/>
                <w:szCs w:val="24"/>
              </w:rPr>
            </w:pPr>
            <w:r w:rsidRPr="00B41D95">
              <w:rPr>
                <w:rFonts w:asciiTheme="minorHAnsi" w:hAnsiTheme="minorHAnsi" w:cstheme="minorBidi"/>
                <w:sz w:val="24"/>
                <w:szCs w:val="24"/>
              </w:rPr>
              <w:t>A</w:t>
            </w:r>
          </w:p>
        </w:tc>
        <w:tc>
          <w:tcPr>
            <w:tcW w:w="1984" w:type="dxa"/>
          </w:tcPr>
          <w:p w14:paraId="769C4CEB" w14:textId="34400124" w:rsidR="00B42C4D" w:rsidRPr="00B41D95" w:rsidRDefault="001B14FD" w:rsidP="00B41D95">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B41D95">
              <w:rPr>
                <w:rFonts w:cstheme="minorHAnsi"/>
                <w:sz w:val="24"/>
                <w:szCs w:val="24"/>
              </w:rPr>
              <w:t>1.04</w:t>
            </w:r>
            <w:r w:rsidR="001270E7" w:rsidRPr="00B41D95">
              <w:rPr>
                <w:rFonts w:cstheme="minorHAnsi"/>
                <w:sz w:val="24"/>
                <w:szCs w:val="24"/>
              </w:rPr>
              <w:t xml:space="preserve"> ± 0.</w:t>
            </w:r>
            <w:r w:rsidR="008B25C5" w:rsidRPr="00B41D95">
              <w:rPr>
                <w:rFonts w:cstheme="minorHAnsi"/>
                <w:sz w:val="24"/>
                <w:szCs w:val="24"/>
              </w:rPr>
              <w:t>0</w:t>
            </w:r>
            <w:r w:rsidR="00C604B8" w:rsidRPr="00B41D95">
              <w:rPr>
                <w:rFonts w:cstheme="minorHAnsi"/>
                <w:sz w:val="24"/>
                <w:szCs w:val="24"/>
              </w:rPr>
              <w:t>4</w:t>
            </w:r>
          </w:p>
        </w:tc>
        <w:tc>
          <w:tcPr>
            <w:tcW w:w="1985" w:type="dxa"/>
          </w:tcPr>
          <w:p w14:paraId="653FD705" w14:textId="2E227553" w:rsidR="00B42C4D" w:rsidRPr="00B41D95" w:rsidRDefault="00983BEF" w:rsidP="00B41D95">
            <w:pPr>
              <w:jc w:val="both"/>
              <w:cnfStyle w:val="000000000000" w:firstRow="0" w:lastRow="0" w:firstColumn="0" w:lastColumn="0" w:oddVBand="0" w:evenVBand="0" w:oddHBand="0" w:evenHBand="0" w:firstRowFirstColumn="0" w:firstRowLastColumn="0" w:lastRowFirstColumn="0" w:lastRowLastColumn="0"/>
              <w:rPr>
                <w:sz w:val="24"/>
                <w:szCs w:val="24"/>
              </w:rPr>
            </w:pPr>
            <w:r w:rsidRPr="00B41D95">
              <w:rPr>
                <w:sz w:val="24"/>
                <w:szCs w:val="24"/>
              </w:rPr>
              <w:t>5.72</w:t>
            </w:r>
            <w:r w:rsidR="00C604B8" w:rsidRPr="00B41D95">
              <w:rPr>
                <w:rFonts w:cstheme="minorHAnsi"/>
                <w:sz w:val="24"/>
                <w:szCs w:val="24"/>
              </w:rPr>
              <w:t xml:space="preserve"> ± 0.05</w:t>
            </w:r>
          </w:p>
        </w:tc>
      </w:tr>
      <w:tr w:rsidR="00B42C4D" w:rsidRPr="00B41D95" w14:paraId="22C0851C" w14:textId="77777777" w:rsidTr="1882A37A">
        <w:tc>
          <w:tcPr>
            <w:cnfStyle w:val="001000000000" w:firstRow="0" w:lastRow="0" w:firstColumn="1" w:lastColumn="0" w:oddVBand="0" w:evenVBand="0" w:oddHBand="0" w:evenHBand="0" w:firstRowFirstColumn="0" w:firstRowLastColumn="0" w:lastRowFirstColumn="0" w:lastRowLastColumn="0"/>
            <w:tcW w:w="1418" w:type="dxa"/>
          </w:tcPr>
          <w:p w14:paraId="7E7C1921" w14:textId="50A9309E" w:rsidR="00B42C4D" w:rsidRPr="00B41D95" w:rsidRDefault="00B42C4D" w:rsidP="00B41D95">
            <w:pPr>
              <w:jc w:val="both"/>
              <w:rPr>
                <w:rFonts w:asciiTheme="minorHAnsi" w:hAnsiTheme="minorHAnsi" w:cstheme="minorHAnsi"/>
                <w:sz w:val="24"/>
                <w:szCs w:val="24"/>
              </w:rPr>
            </w:pPr>
            <w:r w:rsidRPr="00B41D95">
              <w:rPr>
                <w:rFonts w:asciiTheme="minorHAnsi" w:hAnsiTheme="minorHAnsi" w:cstheme="minorHAnsi"/>
                <w:sz w:val="24"/>
                <w:szCs w:val="24"/>
              </w:rPr>
              <w:t>B</w:t>
            </w:r>
          </w:p>
        </w:tc>
        <w:tc>
          <w:tcPr>
            <w:tcW w:w="1984" w:type="dxa"/>
          </w:tcPr>
          <w:p w14:paraId="79DD08B0" w14:textId="54F8FF48" w:rsidR="00B42C4D" w:rsidRPr="00B41D95" w:rsidRDefault="00C62C45" w:rsidP="00B41D95">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B41D95">
              <w:rPr>
                <w:rFonts w:cstheme="minorHAnsi"/>
                <w:sz w:val="24"/>
                <w:szCs w:val="24"/>
              </w:rPr>
              <w:t>0.66</w:t>
            </w:r>
            <w:r w:rsidR="008B25C5" w:rsidRPr="00B41D95">
              <w:rPr>
                <w:rFonts w:cstheme="minorHAnsi"/>
                <w:sz w:val="24"/>
                <w:szCs w:val="24"/>
              </w:rPr>
              <w:t xml:space="preserve"> ± 0.04</w:t>
            </w:r>
          </w:p>
        </w:tc>
        <w:tc>
          <w:tcPr>
            <w:tcW w:w="1985" w:type="dxa"/>
          </w:tcPr>
          <w:p w14:paraId="2FA331F6" w14:textId="786CF39D" w:rsidR="00B42C4D" w:rsidRPr="00B41D95" w:rsidRDefault="00870A49" w:rsidP="00B41D95">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B41D95">
              <w:rPr>
                <w:rFonts w:cstheme="minorHAnsi"/>
                <w:sz w:val="24"/>
                <w:szCs w:val="24"/>
              </w:rPr>
              <w:t>4.40</w:t>
            </w:r>
            <w:r w:rsidR="00C604B8" w:rsidRPr="00B41D95">
              <w:rPr>
                <w:rFonts w:cstheme="minorHAnsi"/>
                <w:sz w:val="24"/>
                <w:szCs w:val="24"/>
              </w:rPr>
              <w:t xml:space="preserve"> ± 0.05</w:t>
            </w:r>
          </w:p>
        </w:tc>
      </w:tr>
      <w:tr w:rsidR="00B42C4D" w:rsidRPr="00B41D95" w14:paraId="5D5BA965" w14:textId="77777777" w:rsidTr="1882A37A">
        <w:tc>
          <w:tcPr>
            <w:cnfStyle w:val="001000000000" w:firstRow="0" w:lastRow="0" w:firstColumn="1" w:lastColumn="0" w:oddVBand="0" w:evenVBand="0" w:oddHBand="0" w:evenHBand="0" w:firstRowFirstColumn="0" w:firstRowLastColumn="0" w:lastRowFirstColumn="0" w:lastRowLastColumn="0"/>
            <w:tcW w:w="1418" w:type="dxa"/>
          </w:tcPr>
          <w:p w14:paraId="4EBF3560" w14:textId="05BB0EC5" w:rsidR="00B42C4D" w:rsidRPr="00B41D95" w:rsidRDefault="00B42C4D" w:rsidP="00B41D95">
            <w:pPr>
              <w:jc w:val="both"/>
              <w:rPr>
                <w:rFonts w:asciiTheme="minorHAnsi" w:hAnsiTheme="minorHAnsi" w:cstheme="minorHAnsi"/>
                <w:sz w:val="24"/>
                <w:szCs w:val="24"/>
              </w:rPr>
            </w:pPr>
            <w:r w:rsidRPr="00B41D95">
              <w:rPr>
                <w:rFonts w:asciiTheme="minorHAnsi" w:hAnsiTheme="minorHAnsi" w:cstheme="minorHAnsi"/>
                <w:sz w:val="24"/>
                <w:szCs w:val="24"/>
              </w:rPr>
              <w:t>C</w:t>
            </w:r>
          </w:p>
        </w:tc>
        <w:tc>
          <w:tcPr>
            <w:tcW w:w="1984" w:type="dxa"/>
          </w:tcPr>
          <w:p w14:paraId="186F722E" w14:textId="7114E20A" w:rsidR="00B42C4D" w:rsidRPr="00B41D95" w:rsidRDefault="00870A49" w:rsidP="00B41D95">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B41D95">
              <w:rPr>
                <w:rFonts w:cstheme="minorHAnsi"/>
                <w:sz w:val="24"/>
                <w:szCs w:val="24"/>
              </w:rPr>
              <w:t>0.52</w:t>
            </w:r>
            <w:r w:rsidR="008B25C5" w:rsidRPr="00B41D95">
              <w:rPr>
                <w:rFonts w:cstheme="minorHAnsi"/>
                <w:sz w:val="24"/>
                <w:szCs w:val="24"/>
              </w:rPr>
              <w:t xml:space="preserve"> ± 0.04</w:t>
            </w:r>
          </w:p>
        </w:tc>
        <w:tc>
          <w:tcPr>
            <w:tcW w:w="1985" w:type="dxa"/>
          </w:tcPr>
          <w:p w14:paraId="067BFB13" w14:textId="03A1519C" w:rsidR="00B42C4D" w:rsidRPr="00B41D95" w:rsidRDefault="00751C6C" w:rsidP="00B41D95">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B41D95">
              <w:rPr>
                <w:rFonts w:cstheme="minorHAnsi"/>
                <w:sz w:val="24"/>
                <w:szCs w:val="24"/>
              </w:rPr>
              <w:t>0.92</w:t>
            </w:r>
            <w:r w:rsidR="00C604B8" w:rsidRPr="00B41D95">
              <w:rPr>
                <w:rFonts w:cstheme="minorHAnsi"/>
                <w:sz w:val="24"/>
                <w:szCs w:val="24"/>
              </w:rPr>
              <w:t xml:space="preserve"> ±</w:t>
            </w:r>
            <w:r w:rsidR="00F10257" w:rsidRPr="00B41D95">
              <w:rPr>
                <w:rFonts w:cstheme="minorHAnsi"/>
                <w:sz w:val="24"/>
                <w:szCs w:val="24"/>
              </w:rPr>
              <w:t xml:space="preserve"> 0.04</w:t>
            </w:r>
          </w:p>
        </w:tc>
      </w:tr>
      <w:tr w:rsidR="00B42C4D" w:rsidRPr="00B41D95" w14:paraId="3E726755" w14:textId="77777777" w:rsidTr="1882A37A">
        <w:tc>
          <w:tcPr>
            <w:cnfStyle w:val="001000000000" w:firstRow="0" w:lastRow="0" w:firstColumn="1" w:lastColumn="0" w:oddVBand="0" w:evenVBand="0" w:oddHBand="0" w:evenHBand="0" w:firstRowFirstColumn="0" w:firstRowLastColumn="0" w:lastRowFirstColumn="0" w:lastRowLastColumn="0"/>
            <w:tcW w:w="1418" w:type="dxa"/>
          </w:tcPr>
          <w:p w14:paraId="207E68F3" w14:textId="74324839" w:rsidR="00B42C4D" w:rsidRPr="00B41D95" w:rsidRDefault="00B42C4D" w:rsidP="00B41D95">
            <w:pPr>
              <w:jc w:val="both"/>
              <w:rPr>
                <w:rFonts w:asciiTheme="minorHAnsi" w:hAnsiTheme="minorHAnsi" w:cstheme="minorHAnsi"/>
                <w:sz w:val="24"/>
                <w:szCs w:val="24"/>
              </w:rPr>
            </w:pPr>
            <w:r w:rsidRPr="00B41D95">
              <w:rPr>
                <w:rFonts w:asciiTheme="minorHAnsi" w:hAnsiTheme="minorHAnsi" w:cstheme="minorHAnsi"/>
                <w:sz w:val="24"/>
                <w:szCs w:val="24"/>
              </w:rPr>
              <w:t>D</w:t>
            </w:r>
          </w:p>
        </w:tc>
        <w:tc>
          <w:tcPr>
            <w:tcW w:w="1984" w:type="dxa"/>
          </w:tcPr>
          <w:p w14:paraId="2C8D0347" w14:textId="3C9974B0" w:rsidR="00B42C4D" w:rsidRPr="00B41D95" w:rsidRDefault="00EE5551" w:rsidP="00B41D95">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B41D95">
              <w:rPr>
                <w:rFonts w:cstheme="minorHAnsi"/>
                <w:sz w:val="24"/>
                <w:szCs w:val="24"/>
              </w:rPr>
              <w:t>1.16</w:t>
            </w:r>
            <w:r w:rsidR="008B25C5" w:rsidRPr="00B41D95">
              <w:rPr>
                <w:rFonts w:cstheme="minorHAnsi"/>
                <w:sz w:val="24"/>
                <w:szCs w:val="24"/>
              </w:rPr>
              <w:t xml:space="preserve"> ± 0.0</w:t>
            </w:r>
            <w:r w:rsidR="00C604B8" w:rsidRPr="00B41D95">
              <w:rPr>
                <w:rFonts w:cstheme="minorHAnsi"/>
                <w:sz w:val="24"/>
                <w:szCs w:val="24"/>
              </w:rPr>
              <w:t>6</w:t>
            </w:r>
          </w:p>
        </w:tc>
        <w:tc>
          <w:tcPr>
            <w:tcW w:w="1985" w:type="dxa"/>
          </w:tcPr>
          <w:p w14:paraId="38C37BD5" w14:textId="18B116FA" w:rsidR="00B42C4D" w:rsidRPr="00B41D95" w:rsidRDefault="00EE5551" w:rsidP="003C21DB">
            <w:pPr>
              <w:keepNext/>
              <w:jc w:val="both"/>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B41D95">
              <w:rPr>
                <w:rFonts w:cstheme="minorHAnsi"/>
                <w:sz w:val="24"/>
                <w:szCs w:val="24"/>
              </w:rPr>
              <w:t>4.94</w:t>
            </w:r>
            <w:r w:rsidR="00F10257" w:rsidRPr="00B41D95">
              <w:rPr>
                <w:rFonts w:cstheme="minorHAnsi"/>
                <w:sz w:val="24"/>
                <w:szCs w:val="24"/>
              </w:rPr>
              <w:t xml:space="preserve"> ± 0.0</w:t>
            </w:r>
            <w:r w:rsidR="00A243D2" w:rsidRPr="00B41D95">
              <w:rPr>
                <w:rFonts w:cstheme="minorHAnsi"/>
                <w:sz w:val="24"/>
                <w:szCs w:val="24"/>
              </w:rPr>
              <w:t>5</w:t>
            </w:r>
          </w:p>
        </w:tc>
      </w:tr>
    </w:tbl>
    <w:p w14:paraId="00E59BDD" w14:textId="2260FB7C" w:rsidR="00D6604E" w:rsidRPr="003C21DB" w:rsidRDefault="003C21DB" w:rsidP="003C21DB">
      <w:pPr>
        <w:pStyle w:val="Didascalia"/>
        <w:rPr>
          <w:sz w:val="24"/>
          <w:szCs w:val="24"/>
        </w:rPr>
      </w:pPr>
      <w:r w:rsidRPr="003C21DB">
        <w:rPr>
          <w:sz w:val="24"/>
          <w:szCs w:val="24"/>
        </w:rPr>
        <w:t>Table S</w:t>
      </w:r>
      <w:r w:rsidRPr="003C21DB">
        <w:rPr>
          <w:sz w:val="24"/>
          <w:szCs w:val="24"/>
        </w:rPr>
        <w:fldChar w:fldCharType="begin"/>
      </w:r>
      <w:r w:rsidRPr="003C21DB">
        <w:rPr>
          <w:sz w:val="24"/>
          <w:szCs w:val="24"/>
        </w:rPr>
        <w:instrText xml:space="preserve"> SEQ Table \* ARABIC </w:instrText>
      </w:r>
      <w:r w:rsidRPr="003C21DB">
        <w:rPr>
          <w:sz w:val="24"/>
          <w:szCs w:val="24"/>
        </w:rPr>
        <w:fldChar w:fldCharType="separate"/>
      </w:r>
      <w:r>
        <w:rPr>
          <w:noProof/>
          <w:sz w:val="24"/>
          <w:szCs w:val="24"/>
        </w:rPr>
        <w:t>2</w:t>
      </w:r>
      <w:r w:rsidRPr="003C21DB">
        <w:rPr>
          <w:sz w:val="24"/>
          <w:szCs w:val="24"/>
        </w:rPr>
        <w:fldChar w:fldCharType="end"/>
      </w:r>
      <w:r w:rsidRPr="003C21DB">
        <w:rPr>
          <w:sz w:val="24"/>
          <w:szCs w:val="24"/>
        </w:rPr>
        <w:t xml:space="preserve">: </w:t>
      </w:r>
      <w:r w:rsidR="00B90C32" w:rsidRPr="003C21DB">
        <w:rPr>
          <w:sz w:val="24"/>
          <w:szCs w:val="24"/>
        </w:rPr>
        <w:t xml:space="preserve">rise and fall times </w:t>
      </w:r>
    </w:p>
    <w:p w14:paraId="773A801B" w14:textId="77777777" w:rsidR="001809BB" w:rsidRPr="00B41D95" w:rsidRDefault="001809BB" w:rsidP="00B41D95">
      <w:pPr>
        <w:jc w:val="both"/>
        <w:rPr>
          <w:i/>
          <w:iCs/>
          <w:sz w:val="24"/>
          <w:szCs w:val="24"/>
        </w:rPr>
      </w:pPr>
    </w:p>
    <w:p w14:paraId="4EB7E576" w14:textId="48B7A0A4" w:rsidR="00FB7562" w:rsidRPr="00B41D95" w:rsidRDefault="00FB7562" w:rsidP="00B41D95">
      <w:pPr>
        <w:pStyle w:val="Didascalia"/>
        <w:rPr>
          <w:color w:val="auto"/>
          <w:sz w:val="22"/>
          <w:szCs w:val="22"/>
        </w:rPr>
      </w:pPr>
      <w:r w:rsidRPr="00B41D95">
        <w:rPr>
          <w:b/>
          <w:bCs/>
          <w:i w:val="0"/>
          <w:iCs w:val="0"/>
          <w:color w:val="auto"/>
          <w:sz w:val="24"/>
          <w:szCs w:val="24"/>
        </w:rPr>
        <w:t xml:space="preserve">Energy gap and excitonic binding energy of the studied films extracted by </w:t>
      </w:r>
      <w:r w:rsidR="006C45C0" w:rsidRPr="006C45C0">
        <w:rPr>
          <w:b/>
          <w:bCs/>
          <w:i w:val="0"/>
          <w:iCs w:val="0"/>
          <w:color w:val="auto"/>
          <w:sz w:val="24"/>
          <w:szCs w:val="24"/>
          <w:highlight w:val="yellow"/>
        </w:rPr>
        <w:t>the</w:t>
      </w:r>
      <w:r w:rsidR="006C45C0">
        <w:rPr>
          <w:b/>
          <w:bCs/>
          <w:i w:val="0"/>
          <w:iCs w:val="0"/>
          <w:color w:val="auto"/>
          <w:sz w:val="24"/>
          <w:szCs w:val="24"/>
        </w:rPr>
        <w:t xml:space="preserve"> </w:t>
      </w:r>
      <w:r w:rsidRPr="00B41D95">
        <w:rPr>
          <w:b/>
          <w:bCs/>
          <w:i w:val="0"/>
          <w:iCs w:val="0"/>
          <w:color w:val="auto"/>
          <w:sz w:val="24"/>
          <w:szCs w:val="24"/>
        </w:rPr>
        <w:t>Elliot fit of the photocurrent spectra</w:t>
      </w:r>
    </w:p>
    <w:tbl>
      <w:tblPr>
        <w:tblStyle w:val="Tabellasemplice5"/>
        <w:tblW w:w="5384" w:type="dxa"/>
        <w:tblLook w:val="06A0" w:firstRow="1" w:lastRow="0" w:firstColumn="1" w:lastColumn="0" w:noHBand="1" w:noVBand="1"/>
      </w:tblPr>
      <w:tblGrid>
        <w:gridCol w:w="1482"/>
        <w:gridCol w:w="1732"/>
        <w:gridCol w:w="2170"/>
      </w:tblGrid>
      <w:tr w:rsidR="00FB7562" w:rsidRPr="00B41D95" w14:paraId="7635664F" w14:textId="77777777" w:rsidTr="00FB7562">
        <w:trPr>
          <w:cnfStyle w:val="100000000000" w:firstRow="1" w:lastRow="0" w:firstColumn="0" w:lastColumn="0" w:oddVBand="0" w:evenVBand="0" w:oddHBand="0" w:evenHBand="0" w:firstRowFirstColumn="0" w:firstRowLastColumn="0" w:lastRowFirstColumn="0" w:lastRowLastColumn="0"/>
          <w:trHeight w:val="381"/>
        </w:trPr>
        <w:tc>
          <w:tcPr>
            <w:cnfStyle w:val="001000000100" w:firstRow="0" w:lastRow="0" w:firstColumn="1" w:lastColumn="0" w:oddVBand="0" w:evenVBand="0" w:oddHBand="0" w:evenHBand="0" w:firstRowFirstColumn="1" w:firstRowLastColumn="0" w:lastRowFirstColumn="0" w:lastRowLastColumn="0"/>
            <w:tcW w:w="1482" w:type="dxa"/>
            <w:hideMark/>
          </w:tcPr>
          <w:p w14:paraId="7FEAD221" w14:textId="77777777" w:rsidR="00FB7562" w:rsidRPr="00B41D95" w:rsidRDefault="00FB7562" w:rsidP="00B41D95">
            <w:pPr>
              <w:jc w:val="both"/>
              <w:rPr>
                <w:sz w:val="24"/>
                <w:szCs w:val="24"/>
                <w:lang w:val="it-IT"/>
              </w:rPr>
            </w:pPr>
            <w:r w:rsidRPr="00B41D95">
              <w:rPr>
                <w:b/>
                <w:sz w:val="24"/>
                <w:szCs w:val="24"/>
                <w:lang w:val="it-IT"/>
              </w:rPr>
              <w:t>Sample</w:t>
            </w:r>
          </w:p>
        </w:tc>
        <w:tc>
          <w:tcPr>
            <w:tcW w:w="1732" w:type="dxa"/>
            <w:hideMark/>
          </w:tcPr>
          <w:p w14:paraId="6E8C3C43" w14:textId="77777777" w:rsidR="00FB7562" w:rsidRPr="00B41D95" w:rsidRDefault="00FB7562" w:rsidP="00B41D95">
            <w:pPr>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it-IT"/>
              </w:rPr>
            </w:pPr>
            <w:proofErr w:type="spellStart"/>
            <w:r w:rsidRPr="00B41D95">
              <w:rPr>
                <w:rFonts w:cstheme="minorHAnsi"/>
                <w:b/>
                <w:bCs/>
                <w:sz w:val="24"/>
                <w:szCs w:val="24"/>
                <w:lang w:val="it-IT"/>
              </w:rPr>
              <w:t>E</w:t>
            </w:r>
            <w:r w:rsidRPr="00B41D95">
              <w:rPr>
                <w:rFonts w:cstheme="minorHAnsi"/>
                <w:b/>
                <w:bCs/>
                <w:sz w:val="24"/>
                <w:szCs w:val="24"/>
                <w:vertAlign w:val="subscript"/>
                <w:lang w:val="it-IT"/>
              </w:rPr>
              <w:t>g</w:t>
            </w:r>
            <w:proofErr w:type="spellEnd"/>
            <w:r w:rsidRPr="00B41D95">
              <w:rPr>
                <w:rFonts w:cstheme="minorHAnsi"/>
                <w:b/>
                <w:bCs/>
                <w:sz w:val="24"/>
                <w:szCs w:val="24"/>
                <w:lang w:val="it-IT"/>
              </w:rPr>
              <w:t xml:space="preserve"> (</w:t>
            </w:r>
            <w:proofErr w:type="spellStart"/>
            <w:r w:rsidRPr="00B41D95">
              <w:rPr>
                <w:rFonts w:cstheme="minorHAnsi"/>
                <w:b/>
                <w:bCs/>
                <w:sz w:val="24"/>
                <w:szCs w:val="24"/>
                <w:lang w:val="it-IT"/>
              </w:rPr>
              <w:t>eV</w:t>
            </w:r>
            <w:proofErr w:type="spellEnd"/>
            <w:r w:rsidRPr="00B41D95">
              <w:rPr>
                <w:rFonts w:cstheme="minorHAnsi"/>
                <w:b/>
                <w:bCs/>
                <w:sz w:val="24"/>
                <w:szCs w:val="24"/>
                <w:lang w:val="it-IT"/>
              </w:rPr>
              <w:t>)</w:t>
            </w:r>
          </w:p>
        </w:tc>
        <w:tc>
          <w:tcPr>
            <w:tcW w:w="2170" w:type="dxa"/>
            <w:hideMark/>
          </w:tcPr>
          <w:p w14:paraId="14F0D559" w14:textId="77777777" w:rsidR="00FB7562" w:rsidRPr="00B41D95" w:rsidRDefault="00FB7562" w:rsidP="00B41D95">
            <w:pPr>
              <w:jc w:val="both"/>
              <w:cnfStyle w:val="100000000000" w:firstRow="1" w:lastRow="0" w:firstColumn="0" w:lastColumn="0" w:oddVBand="0" w:evenVBand="0" w:oddHBand="0" w:evenHBand="0" w:firstRowFirstColumn="0" w:firstRowLastColumn="0" w:lastRowFirstColumn="0" w:lastRowLastColumn="0"/>
              <w:rPr>
                <w:rFonts w:cstheme="minorHAnsi"/>
                <w:sz w:val="24"/>
                <w:szCs w:val="24"/>
                <w:lang w:val="it-IT"/>
              </w:rPr>
            </w:pPr>
            <w:proofErr w:type="spellStart"/>
            <w:r w:rsidRPr="00B41D95">
              <w:rPr>
                <w:rFonts w:cstheme="minorHAnsi"/>
                <w:b/>
                <w:bCs/>
                <w:sz w:val="24"/>
                <w:szCs w:val="24"/>
                <w:lang w:val="it-IT"/>
              </w:rPr>
              <w:t>E</w:t>
            </w:r>
            <w:r w:rsidRPr="00B41D95">
              <w:rPr>
                <w:rFonts w:cstheme="minorHAnsi"/>
                <w:b/>
                <w:bCs/>
                <w:sz w:val="24"/>
                <w:szCs w:val="24"/>
                <w:vertAlign w:val="subscript"/>
                <w:lang w:val="it-IT"/>
              </w:rPr>
              <w:t>b</w:t>
            </w:r>
            <w:proofErr w:type="spellEnd"/>
            <w:r w:rsidRPr="00B41D95">
              <w:rPr>
                <w:rFonts w:cstheme="minorHAnsi"/>
                <w:b/>
                <w:bCs/>
                <w:sz w:val="24"/>
                <w:szCs w:val="24"/>
                <w:lang w:val="it-IT"/>
              </w:rPr>
              <w:t xml:space="preserve"> (</w:t>
            </w:r>
            <w:proofErr w:type="spellStart"/>
            <w:r w:rsidRPr="00B41D95">
              <w:rPr>
                <w:rFonts w:cstheme="minorHAnsi"/>
                <w:b/>
                <w:bCs/>
                <w:sz w:val="24"/>
                <w:szCs w:val="24"/>
                <w:lang w:val="it-IT"/>
              </w:rPr>
              <w:t>eV</w:t>
            </w:r>
            <w:proofErr w:type="spellEnd"/>
            <w:r w:rsidRPr="00B41D95">
              <w:rPr>
                <w:rFonts w:cstheme="minorHAnsi"/>
                <w:b/>
                <w:bCs/>
                <w:sz w:val="24"/>
                <w:szCs w:val="24"/>
                <w:lang w:val="it-IT"/>
              </w:rPr>
              <w:t>)</w:t>
            </w:r>
          </w:p>
        </w:tc>
      </w:tr>
      <w:tr w:rsidR="00FB7562" w:rsidRPr="00B41D95" w14:paraId="18270449" w14:textId="77777777" w:rsidTr="00FB7562">
        <w:trPr>
          <w:trHeight w:val="327"/>
        </w:trPr>
        <w:tc>
          <w:tcPr>
            <w:cnfStyle w:val="001000000000" w:firstRow="0" w:lastRow="0" w:firstColumn="1" w:lastColumn="0" w:oddVBand="0" w:evenVBand="0" w:oddHBand="0" w:evenHBand="0" w:firstRowFirstColumn="0" w:firstRowLastColumn="0" w:lastRowFirstColumn="0" w:lastRowLastColumn="0"/>
            <w:tcW w:w="1482" w:type="dxa"/>
            <w:hideMark/>
          </w:tcPr>
          <w:p w14:paraId="79A2E0A1" w14:textId="77777777" w:rsidR="00FB7562" w:rsidRPr="00B41D95" w:rsidRDefault="00FB7562" w:rsidP="00B41D95">
            <w:pPr>
              <w:jc w:val="both"/>
              <w:rPr>
                <w:sz w:val="24"/>
                <w:szCs w:val="24"/>
                <w:lang w:val="it-IT"/>
              </w:rPr>
            </w:pPr>
            <w:r w:rsidRPr="00B41D95">
              <w:rPr>
                <w:sz w:val="24"/>
                <w:szCs w:val="24"/>
                <w:lang w:val="it-IT"/>
              </w:rPr>
              <w:t>A</w:t>
            </w:r>
          </w:p>
        </w:tc>
        <w:tc>
          <w:tcPr>
            <w:tcW w:w="1732" w:type="dxa"/>
            <w:hideMark/>
          </w:tcPr>
          <w:p w14:paraId="78906B1C" w14:textId="77777777" w:rsidR="00FB7562" w:rsidRPr="00B41D95" w:rsidRDefault="00FB7562" w:rsidP="00B41D95">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val="it-IT"/>
              </w:rPr>
            </w:pPr>
            <w:r w:rsidRPr="00B41D95">
              <w:rPr>
                <w:rFonts w:cstheme="minorHAnsi"/>
                <w:sz w:val="24"/>
                <w:szCs w:val="24"/>
              </w:rPr>
              <w:t xml:space="preserve">2.74 </w:t>
            </w:r>
            <m:oMath>
              <m:r>
                <m:rPr>
                  <m:sty m:val="p"/>
                </m:rPr>
                <w:rPr>
                  <w:rFonts w:ascii="Cambria Math" w:hAnsi="Cambria Math" w:cstheme="minorHAnsi"/>
                  <w:sz w:val="24"/>
                  <w:szCs w:val="24"/>
                </w:rPr>
                <m:t>±</m:t>
              </m:r>
            </m:oMath>
            <w:r w:rsidRPr="00B41D95">
              <w:rPr>
                <w:rFonts w:cstheme="minorHAnsi"/>
                <w:sz w:val="24"/>
                <w:szCs w:val="24"/>
              </w:rPr>
              <w:t xml:space="preserve"> 0.07</w:t>
            </w:r>
          </w:p>
        </w:tc>
        <w:tc>
          <w:tcPr>
            <w:tcW w:w="2170" w:type="dxa"/>
            <w:hideMark/>
          </w:tcPr>
          <w:p w14:paraId="5769FD4B" w14:textId="77777777" w:rsidR="00FB7562" w:rsidRPr="00B41D95" w:rsidRDefault="00FB7562" w:rsidP="00B41D95">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val="it-IT"/>
              </w:rPr>
            </w:pPr>
            <w:r w:rsidRPr="00B41D95">
              <w:rPr>
                <w:rFonts w:cstheme="minorHAnsi"/>
                <w:sz w:val="24"/>
                <w:szCs w:val="24"/>
              </w:rPr>
              <w:t xml:space="preserve">0.06 </w:t>
            </w:r>
            <m:oMath>
              <m:r>
                <w:rPr>
                  <w:rFonts w:ascii="Cambria Math" w:hAnsi="Cambria Math" w:cstheme="minorHAnsi"/>
                  <w:sz w:val="24"/>
                  <w:szCs w:val="24"/>
                </w:rPr>
                <m:t>±</m:t>
              </m:r>
            </m:oMath>
            <w:r w:rsidRPr="00B41D95">
              <w:rPr>
                <w:rFonts w:cstheme="minorHAnsi"/>
                <w:sz w:val="24"/>
                <w:szCs w:val="24"/>
              </w:rPr>
              <w:t xml:space="preserve"> 0.01</w:t>
            </w:r>
          </w:p>
        </w:tc>
      </w:tr>
      <w:tr w:rsidR="00FB7562" w:rsidRPr="00B41D95" w14:paraId="1A235753" w14:textId="77777777" w:rsidTr="00FB7562">
        <w:trPr>
          <w:trHeight w:val="381"/>
        </w:trPr>
        <w:tc>
          <w:tcPr>
            <w:cnfStyle w:val="001000000000" w:firstRow="0" w:lastRow="0" w:firstColumn="1" w:lastColumn="0" w:oddVBand="0" w:evenVBand="0" w:oddHBand="0" w:evenHBand="0" w:firstRowFirstColumn="0" w:firstRowLastColumn="0" w:lastRowFirstColumn="0" w:lastRowLastColumn="0"/>
            <w:tcW w:w="1482" w:type="dxa"/>
            <w:hideMark/>
          </w:tcPr>
          <w:p w14:paraId="2BDC166C" w14:textId="77777777" w:rsidR="00FB7562" w:rsidRPr="00B41D95" w:rsidRDefault="00FB7562" w:rsidP="00B41D95">
            <w:pPr>
              <w:jc w:val="both"/>
              <w:rPr>
                <w:sz w:val="24"/>
                <w:szCs w:val="24"/>
                <w:lang w:val="it-IT"/>
              </w:rPr>
            </w:pPr>
            <w:r w:rsidRPr="00B41D95">
              <w:rPr>
                <w:sz w:val="24"/>
                <w:szCs w:val="24"/>
                <w:lang w:val="it-IT"/>
              </w:rPr>
              <w:t>B</w:t>
            </w:r>
          </w:p>
        </w:tc>
        <w:tc>
          <w:tcPr>
            <w:tcW w:w="1732" w:type="dxa"/>
            <w:hideMark/>
          </w:tcPr>
          <w:p w14:paraId="35550606" w14:textId="77777777" w:rsidR="00FB7562" w:rsidRPr="00B41D95" w:rsidRDefault="00FB7562" w:rsidP="00B41D95">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val="it-IT"/>
              </w:rPr>
            </w:pPr>
            <w:r w:rsidRPr="00B41D95">
              <w:rPr>
                <w:rFonts w:cstheme="minorHAnsi"/>
                <w:sz w:val="24"/>
                <w:szCs w:val="24"/>
              </w:rPr>
              <w:t xml:space="preserve">2.85 </w:t>
            </w:r>
            <m:oMath>
              <m:r>
                <m:rPr>
                  <m:sty m:val="p"/>
                </m:rPr>
                <w:rPr>
                  <w:rFonts w:ascii="Cambria Math" w:hAnsi="Cambria Math" w:cstheme="minorHAnsi"/>
                  <w:sz w:val="24"/>
                  <w:szCs w:val="24"/>
                </w:rPr>
                <m:t>±</m:t>
              </m:r>
            </m:oMath>
            <w:r w:rsidRPr="00B41D95">
              <w:rPr>
                <w:rFonts w:cstheme="minorHAnsi"/>
                <w:sz w:val="24"/>
                <w:szCs w:val="24"/>
              </w:rPr>
              <w:t xml:space="preserve"> 0.07</w:t>
            </w:r>
          </w:p>
        </w:tc>
        <w:tc>
          <w:tcPr>
            <w:tcW w:w="2170" w:type="dxa"/>
            <w:hideMark/>
          </w:tcPr>
          <w:p w14:paraId="19D4F763" w14:textId="77777777" w:rsidR="00FB7562" w:rsidRPr="00B41D95" w:rsidRDefault="00FB7562" w:rsidP="00B41D95">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val="it-IT"/>
              </w:rPr>
            </w:pPr>
            <w:r w:rsidRPr="00B41D95">
              <w:rPr>
                <w:rFonts w:cstheme="minorHAnsi"/>
                <w:sz w:val="24"/>
                <w:szCs w:val="24"/>
              </w:rPr>
              <w:t xml:space="preserve">0.06 </w:t>
            </w:r>
            <m:oMath>
              <m:r>
                <w:rPr>
                  <w:rFonts w:ascii="Cambria Math" w:hAnsi="Cambria Math" w:cstheme="minorHAnsi"/>
                  <w:sz w:val="24"/>
                  <w:szCs w:val="24"/>
                </w:rPr>
                <m:t>±</m:t>
              </m:r>
            </m:oMath>
            <w:r w:rsidRPr="00B41D95">
              <w:rPr>
                <w:rFonts w:cstheme="minorHAnsi"/>
                <w:sz w:val="24"/>
                <w:szCs w:val="24"/>
              </w:rPr>
              <w:t xml:space="preserve"> 0.01</w:t>
            </w:r>
          </w:p>
        </w:tc>
      </w:tr>
      <w:tr w:rsidR="00FB7562" w:rsidRPr="00B41D95" w14:paraId="0C9CA6F1" w14:textId="77777777" w:rsidTr="00FB7562">
        <w:trPr>
          <w:trHeight w:val="381"/>
        </w:trPr>
        <w:tc>
          <w:tcPr>
            <w:cnfStyle w:val="001000000000" w:firstRow="0" w:lastRow="0" w:firstColumn="1" w:lastColumn="0" w:oddVBand="0" w:evenVBand="0" w:oddHBand="0" w:evenHBand="0" w:firstRowFirstColumn="0" w:firstRowLastColumn="0" w:lastRowFirstColumn="0" w:lastRowLastColumn="0"/>
            <w:tcW w:w="1482" w:type="dxa"/>
            <w:hideMark/>
          </w:tcPr>
          <w:p w14:paraId="58D9D422" w14:textId="77777777" w:rsidR="00FB7562" w:rsidRPr="00B41D95" w:rsidRDefault="00FB7562" w:rsidP="00B41D95">
            <w:pPr>
              <w:jc w:val="both"/>
              <w:rPr>
                <w:sz w:val="24"/>
                <w:szCs w:val="24"/>
                <w:lang w:val="it-IT"/>
              </w:rPr>
            </w:pPr>
            <w:r w:rsidRPr="00B41D95">
              <w:rPr>
                <w:sz w:val="24"/>
                <w:szCs w:val="24"/>
                <w:lang w:val="it-IT"/>
              </w:rPr>
              <w:t>C</w:t>
            </w:r>
          </w:p>
        </w:tc>
        <w:tc>
          <w:tcPr>
            <w:tcW w:w="1732" w:type="dxa"/>
            <w:hideMark/>
          </w:tcPr>
          <w:p w14:paraId="37ABF30B" w14:textId="77777777" w:rsidR="00FB7562" w:rsidRPr="00B41D95" w:rsidRDefault="00FB7562" w:rsidP="00B41D95">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val="it-IT"/>
              </w:rPr>
            </w:pPr>
            <w:r w:rsidRPr="00B41D95">
              <w:rPr>
                <w:rFonts w:cstheme="minorHAnsi"/>
                <w:sz w:val="24"/>
                <w:szCs w:val="24"/>
              </w:rPr>
              <w:t xml:space="preserve">2.84 </w:t>
            </w:r>
            <m:oMath>
              <m:r>
                <m:rPr>
                  <m:sty m:val="p"/>
                </m:rPr>
                <w:rPr>
                  <w:rFonts w:ascii="Cambria Math" w:hAnsi="Cambria Math" w:cstheme="minorHAnsi"/>
                  <w:sz w:val="24"/>
                  <w:szCs w:val="24"/>
                </w:rPr>
                <m:t>±</m:t>
              </m:r>
            </m:oMath>
            <w:r w:rsidRPr="00B41D95">
              <w:rPr>
                <w:rFonts w:cstheme="minorHAnsi"/>
                <w:sz w:val="24"/>
                <w:szCs w:val="24"/>
              </w:rPr>
              <w:t xml:space="preserve"> 0.07</w:t>
            </w:r>
          </w:p>
        </w:tc>
        <w:tc>
          <w:tcPr>
            <w:tcW w:w="2170" w:type="dxa"/>
            <w:hideMark/>
          </w:tcPr>
          <w:p w14:paraId="5A97CCE7" w14:textId="77777777" w:rsidR="00FB7562" w:rsidRPr="00B41D95" w:rsidRDefault="00FB7562" w:rsidP="00B41D95">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val="it-IT"/>
              </w:rPr>
            </w:pPr>
            <w:r w:rsidRPr="00B41D95">
              <w:rPr>
                <w:rFonts w:cstheme="minorHAnsi"/>
                <w:sz w:val="24"/>
                <w:szCs w:val="24"/>
              </w:rPr>
              <w:t xml:space="preserve">0.05 </w:t>
            </w:r>
            <m:oMath>
              <m:r>
                <w:rPr>
                  <w:rFonts w:ascii="Cambria Math" w:hAnsi="Cambria Math" w:cstheme="minorHAnsi"/>
                  <w:sz w:val="24"/>
                  <w:szCs w:val="24"/>
                </w:rPr>
                <m:t>±</m:t>
              </m:r>
            </m:oMath>
            <w:r w:rsidRPr="00B41D95">
              <w:rPr>
                <w:rFonts w:cstheme="minorHAnsi"/>
                <w:sz w:val="24"/>
                <w:szCs w:val="24"/>
              </w:rPr>
              <w:t xml:space="preserve"> 0.01</w:t>
            </w:r>
          </w:p>
        </w:tc>
      </w:tr>
      <w:tr w:rsidR="00FB7562" w:rsidRPr="00B41D95" w14:paraId="15B63C6B" w14:textId="77777777" w:rsidTr="00FB7562">
        <w:trPr>
          <w:trHeight w:val="133"/>
        </w:trPr>
        <w:tc>
          <w:tcPr>
            <w:cnfStyle w:val="001000000000" w:firstRow="0" w:lastRow="0" w:firstColumn="1" w:lastColumn="0" w:oddVBand="0" w:evenVBand="0" w:oddHBand="0" w:evenHBand="0" w:firstRowFirstColumn="0" w:firstRowLastColumn="0" w:lastRowFirstColumn="0" w:lastRowLastColumn="0"/>
            <w:tcW w:w="1482" w:type="dxa"/>
            <w:hideMark/>
          </w:tcPr>
          <w:p w14:paraId="70BD2A0A" w14:textId="77777777" w:rsidR="00FB7562" w:rsidRPr="00B41D95" w:rsidRDefault="00FB7562" w:rsidP="00B41D95">
            <w:pPr>
              <w:jc w:val="both"/>
              <w:rPr>
                <w:sz w:val="24"/>
                <w:szCs w:val="24"/>
                <w:lang w:val="it-IT"/>
              </w:rPr>
            </w:pPr>
            <w:r w:rsidRPr="00B41D95">
              <w:rPr>
                <w:sz w:val="24"/>
                <w:szCs w:val="24"/>
                <w:lang w:val="it-IT"/>
              </w:rPr>
              <w:t>D</w:t>
            </w:r>
          </w:p>
        </w:tc>
        <w:tc>
          <w:tcPr>
            <w:tcW w:w="1732" w:type="dxa"/>
            <w:hideMark/>
          </w:tcPr>
          <w:p w14:paraId="2402AE35" w14:textId="77777777" w:rsidR="00FB7562" w:rsidRPr="00B41D95" w:rsidRDefault="00FB7562" w:rsidP="00B41D95">
            <w:pPr>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val="it-IT"/>
              </w:rPr>
            </w:pPr>
            <w:r w:rsidRPr="00B41D95">
              <w:rPr>
                <w:rFonts w:cstheme="minorHAnsi"/>
                <w:sz w:val="24"/>
                <w:szCs w:val="24"/>
              </w:rPr>
              <w:t xml:space="preserve">2.83 </w:t>
            </w:r>
            <m:oMath>
              <m:r>
                <m:rPr>
                  <m:sty m:val="p"/>
                </m:rPr>
                <w:rPr>
                  <w:rFonts w:ascii="Cambria Math" w:hAnsi="Cambria Math" w:cstheme="minorHAnsi"/>
                  <w:sz w:val="24"/>
                  <w:szCs w:val="24"/>
                </w:rPr>
                <m:t>±</m:t>
              </m:r>
            </m:oMath>
            <w:r w:rsidRPr="00B41D95">
              <w:rPr>
                <w:rFonts w:cstheme="minorHAnsi"/>
                <w:sz w:val="24"/>
                <w:szCs w:val="24"/>
              </w:rPr>
              <w:t xml:space="preserve"> 0.07</w:t>
            </w:r>
          </w:p>
        </w:tc>
        <w:tc>
          <w:tcPr>
            <w:tcW w:w="2170" w:type="dxa"/>
            <w:hideMark/>
          </w:tcPr>
          <w:p w14:paraId="15E1E260" w14:textId="77777777" w:rsidR="00FB7562" w:rsidRPr="00B41D95" w:rsidRDefault="00FB7562" w:rsidP="003C21DB">
            <w:pPr>
              <w:keepNext/>
              <w:jc w:val="both"/>
              <w:cnfStyle w:val="000000000000" w:firstRow="0" w:lastRow="0" w:firstColumn="0" w:lastColumn="0" w:oddVBand="0" w:evenVBand="0" w:oddHBand="0" w:evenHBand="0" w:firstRowFirstColumn="0" w:firstRowLastColumn="0" w:lastRowFirstColumn="0" w:lastRowLastColumn="0"/>
              <w:rPr>
                <w:rFonts w:cstheme="minorHAnsi"/>
                <w:sz w:val="24"/>
                <w:szCs w:val="24"/>
                <w:lang w:val="it-IT"/>
              </w:rPr>
            </w:pPr>
            <w:r w:rsidRPr="00B41D95">
              <w:rPr>
                <w:rFonts w:cstheme="minorHAnsi"/>
                <w:sz w:val="24"/>
                <w:szCs w:val="24"/>
              </w:rPr>
              <w:t xml:space="preserve">0.08 </w:t>
            </w:r>
            <m:oMath>
              <m:r>
                <w:rPr>
                  <w:rFonts w:ascii="Cambria Math" w:hAnsi="Cambria Math" w:cstheme="minorHAnsi"/>
                  <w:sz w:val="24"/>
                  <w:szCs w:val="24"/>
                </w:rPr>
                <m:t>±</m:t>
              </m:r>
            </m:oMath>
            <w:r w:rsidRPr="00B41D95">
              <w:rPr>
                <w:rFonts w:cstheme="minorHAnsi"/>
                <w:sz w:val="24"/>
                <w:szCs w:val="24"/>
              </w:rPr>
              <w:t xml:space="preserve"> 0.01</w:t>
            </w:r>
          </w:p>
        </w:tc>
      </w:tr>
    </w:tbl>
    <w:p w14:paraId="7C93D74F" w14:textId="470892A0" w:rsidR="00FB7562" w:rsidRPr="003C21DB" w:rsidRDefault="003C21DB" w:rsidP="003C21DB">
      <w:pPr>
        <w:pStyle w:val="Didascalia"/>
        <w:rPr>
          <w:sz w:val="24"/>
          <w:szCs w:val="24"/>
        </w:rPr>
      </w:pPr>
      <w:r w:rsidRPr="003C21DB">
        <w:rPr>
          <w:sz w:val="24"/>
          <w:szCs w:val="24"/>
        </w:rPr>
        <w:t>Table S</w:t>
      </w:r>
      <w:r w:rsidRPr="003C21DB">
        <w:rPr>
          <w:sz w:val="24"/>
          <w:szCs w:val="24"/>
        </w:rPr>
        <w:fldChar w:fldCharType="begin"/>
      </w:r>
      <w:r w:rsidRPr="003C21DB">
        <w:rPr>
          <w:sz w:val="24"/>
          <w:szCs w:val="24"/>
        </w:rPr>
        <w:instrText xml:space="preserve"> SEQ Table \* ARABIC </w:instrText>
      </w:r>
      <w:r w:rsidRPr="003C21DB">
        <w:rPr>
          <w:sz w:val="24"/>
          <w:szCs w:val="24"/>
        </w:rPr>
        <w:fldChar w:fldCharType="separate"/>
      </w:r>
      <w:r w:rsidRPr="003C21DB">
        <w:rPr>
          <w:noProof/>
          <w:sz w:val="24"/>
          <w:szCs w:val="24"/>
        </w:rPr>
        <w:t>3</w:t>
      </w:r>
      <w:r w:rsidRPr="003C21DB">
        <w:rPr>
          <w:sz w:val="24"/>
          <w:szCs w:val="24"/>
        </w:rPr>
        <w:fldChar w:fldCharType="end"/>
      </w:r>
      <w:r w:rsidR="00B90C32" w:rsidRPr="003C21DB">
        <w:rPr>
          <w:sz w:val="24"/>
          <w:szCs w:val="24"/>
        </w:rPr>
        <w:t xml:space="preserve">: </w:t>
      </w:r>
      <w:r w:rsidR="0053227B" w:rsidRPr="003C21DB">
        <w:rPr>
          <w:sz w:val="24"/>
          <w:szCs w:val="24"/>
        </w:rPr>
        <w:t>energy gap and excitonic binding energy</w:t>
      </w:r>
    </w:p>
    <w:p w14:paraId="0220D951" w14:textId="77777777" w:rsidR="001809BB" w:rsidRPr="00B41D95" w:rsidRDefault="001809BB" w:rsidP="00B41D95">
      <w:pPr>
        <w:ind w:left="708" w:hanging="708"/>
        <w:jc w:val="both"/>
        <w:rPr>
          <w:i/>
          <w:iCs/>
          <w:sz w:val="24"/>
          <w:szCs w:val="24"/>
        </w:rPr>
      </w:pPr>
    </w:p>
    <w:p w14:paraId="0F049BA7" w14:textId="02C5EB97" w:rsidR="003E7EDB" w:rsidRPr="00B41D95" w:rsidRDefault="003E7EDB" w:rsidP="00B41D95">
      <w:pPr>
        <w:jc w:val="both"/>
        <w:rPr>
          <w:b/>
          <w:bCs/>
          <w:sz w:val="24"/>
          <w:szCs w:val="24"/>
        </w:rPr>
      </w:pPr>
      <w:r w:rsidRPr="00B41D95">
        <w:rPr>
          <w:b/>
          <w:bCs/>
          <w:sz w:val="24"/>
          <w:szCs w:val="24"/>
        </w:rPr>
        <w:t>XRF spectra analysis</w:t>
      </w:r>
    </w:p>
    <w:p w14:paraId="6A8BDE4A" w14:textId="7D154C68" w:rsidR="003E7EDB" w:rsidRPr="00B41D95" w:rsidRDefault="003E7EDB" w:rsidP="00B41D95">
      <w:pPr>
        <w:jc w:val="both"/>
        <w:rPr>
          <w:sz w:val="24"/>
          <w:szCs w:val="24"/>
        </w:rPr>
      </w:pPr>
      <w:r w:rsidRPr="00B41D95">
        <w:rPr>
          <w:sz w:val="24"/>
          <w:szCs w:val="24"/>
        </w:rPr>
        <w:t xml:space="preserve">The fit was performed using </w:t>
      </w:r>
      <w:proofErr w:type="spellStart"/>
      <w:r w:rsidRPr="00B41D95">
        <w:rPr>
          <w:sz w:val="24"/>
          <w:szCs w:val="24"/>
        </w:rPr>
        <w:t>PyMCA</w:t>
      </w:r>
      <w:proofErr w:type="spellEnd"/>
      <w:r w:rsidRPr="00B41D95">
        <w:rPr>
          <w:sz w:val="24"/>
          <w:szCs w:val="24"/>
        </w:rPr>
        <w:t xml:space="preserve"> program</w:t>
      </w:r>
      <w:r w:rsidRPr="00B41D95">
        <w:rPr>
          <w:sz w:val="24"/>
          <w:szCs w:val="24"/>
        </w:rPr>
        <w:fldChar w:fldCharType="begin"/>
      </w:r>
      <w:r w:rsidRPr="00B41D95">
        <w:rPr>
          <w:sz w:val="24"/>
          <w:szCs w:val="24"/>
        </w:rPr>
        <w:instrText xml:space="preserve"> ADDIN ZOTERO_ITEM CSL_CITATION {"citationID":"sOkfnBtk","properties":{"formattedCitation":"\\super 1\\nosupersub{}","plainCitation":"1","noteIndex":0},"citationItems":[{"id":623,"uris":["http://zotero.org/users/local/YGmjVQgx/items/U2DA9QAG"],"itemData":{"id":623,"type":"article-journal","abstract":"A user friendly program for X-ray fluorescence analysis has been developed at the European Synchrotron Radiation Facility. The program allows interactive as well as batch processing of large data sets and it is particularly well suited for X-ray imaging. Its implementation of a complete description of the M shell is particularly helpful for analysis of data collected at low energies. The code is platform independent (Linux, Windows, MacOS X, Solaris …) and it is freely available for non-commercial use. Description of the algorithms used and practical examples are presented.","container-title":"Spectrochimica Acta Part B: Atomic Spectroscopy","DOI":"10.1016/j.sab.2006.12.002","ISSN":"0584-8547","issue":"1","journalAbbreviation":"Spectrochimica Acta Part B: Atomic Spectroscopy","page":"63-68","source":"ScienceDirect","title":"A multiplatform code for the analysis of energy-dispersive X-ray fluorescence spectra","volume":"62","author":[{"family":"Solé","given":"V. A."},{"family":"Papillon","given":"E."},{"family":"Cotte","given":"M."},{"family":"Walter","given":"Ph."},{"family":"Susini","given":"J."}],"issued":{"date-parts":[["2007",1,1]]}}}],"schema":"https://github.com/citation-style-language/schema/raw/master/csl-citation.json"} </w:instrText>
      </w:r>
      <w:r w:rsidRPr="00B41D95">
        <w:rPr>
          <w:sz w:val="24"/>
          <w:szCs w:val="24"/>
        </w:rPr>
        <w:fldChar w:fldCharType="separate"/>
      </w:r>
      <w:r w:rsidRPr="00B41D95">
        <w:rPr>
          <w:rFonts w:ascii="Calibri" w:hAnsi="Calibri" w:cs="Calibri"/>
          <w:kern w:val="0"/>
          <w:sz w:val="24"/>
          <w:vertAlign w:val="superscript"/>
        </w:rPr>
        <w:t>1</w:t>
      </w:r>
      <w:r w:rsidRPr="00B41D95">
        <w:rPr>
          <w:sz w:val="24"/>
          <w:szCs w:val="24"/>
        </w:rPr>
        <w:fldChar w:fldCharType="end"/>
      </w:r>
      <w:r w:rsidRPr="00B41D95">
        <w:rPr>
          <w:sz w:val="24"/>
          <w:szCs w:val="24"/>
        </w:rPr>
        <w:t xml:space="preserve">. </w:t>
      </w:r>
      <w:r w:rsidR="009D4B33" w:rsidRPr="00B41D95">
        <w:rPr>
          <w:sz w:val="24"/>
          <w:szCs w:val="24"/>
        </w:rPr>
        <w:t>The spectrum was fitted using the</w:t>
      </w:r>
      <w:r w:rsidR="00CC4FF3" w:rsidRPr="00B41D95">
        <w:rPr>
          <w:sz w:val="24"/>
          <w:szCs w:val="24"/>
        </w:rPr>
        <w:t xml:space="preserve"> MCA </w:t>
      </w:r>
      <w:proofErr w:type="spellStart"/>
      <w:r w:rsidR="00CC4FF3" w:rsidRPr="00B41D95">
        <w:rPr>
          <w:sz w:val="24"/>
          <w:szCs w:val="24"/>
        </w:rPr>
        <w:t>Hypermet</w:t>
      </w:r>
      <w:proofErr w:type="spellEnd"/>
      <w:r w:rsidR="00CC4FF3" w:rsidRPr="00B41D95">
        <w:rPr>
          <w:sz w:val="24"/>
          <w:szCs w:val="24"/>
        </w:rPr>
        <w:t xml:space="preserve"> function</w:t>
      </w:r>
      <w:r w:rsidR="009869D9" w:rsidRPr="00B41D95">
        <w:rPr>
          <w:sz w:val="24"/>
          <w:szCs w:val="24"/>
        </w:rPr>
        <w:t xml:space="preserve">. As a preliminary operation, we </w:t>
      </w:r>
      <w:r w:rsidR="009909FC" w:rsidRPr="00B41D95">
        <w:rPr>
          <w:sz w:val="24"/>
          <w:szCs w:val="24"/>
        </w:rPr>
        <w:t>identified the peaks as belonging to the following elements</w:t>
      </w:r>
      <w:r w:rsidR="007A277D" w:rsidRPr="00B41D95">
        <w:rPr>
          <w:sz w:val="24"/>
          <w:szCs w:val="24"/>
        </w:rPr>
        <w:t xml:space="preserve">: </w:t>
      </w:r>
      <w:proofErr w:type="spellStart"/>
      <w:r w:rsidR="00CC4FF3" w:rsidRPr="00B41D95">
        <w:rPr>
          <w:sz w:val="24"/>
          <w:szCs w:val="24"/>
        </w:rPr>
        <w:t>Ar</w:t>
      </w:r>
      <w:proofErr w:type="spellEnd"/>
      <w:r w:rsidR="00CC4FF3" w:rsidRPr="00B41D95">
        <w:rPr>
          <w:sz w:val="24"/>
          <w:szCs w:val="24"/>
        </w:rPr>
        <w:t>, Ca, Cr, Ni, Cu, Br, Sr, Zr, Mo, Ag, Au, Pb</w:t>
      </w:r>
      <w:r w:rsidR="009B3BA2" w:rsidRPr="00B41D95">
        <w:rPr>
          <w:sz w:val="24"/>
          <w:szCs w:val="24"/>
        </w:rPr>
        <w:t xml:space="preserve">. The reason </w:t>
      </w:r>
      <w:r w:rsidR="006C45C0">
        <w:rPr>
          <w:sz w:val="24"/>
          <w:szCs w:val="24"/>
        </w:rPr>
        <w:t>for</w:t>
      </w:r>
      <w:r w:rsidR="009B3BA2" w:rsidRPr="00B41D95">
        <w:rPr>
          <w:sz w:val="24"/>
          <w:szCs w:val="24"/>
        </w:rPr>
        <w:t xml:space="preserve"> multiple unexpected elements is the fact </w:t>
      </w:r>
      <w:r w:rsidR="009B3BA2" w:rsidRPr="00B41D95">
        <w:rPr>
          <w:sz w:val="24"/>
          <w:szCs w:val="24"/>
        </w:rPr>
        <w:lastRenderedPageBreak/>
        <w:t xml:space="preserve">that the x-ray beam penetrates </w:t>
      </w:r>
      <w:r w:rsidR="009B3BA2" w:rsidRPr="00006BF2">
        <w:rPr>
          <w:sz w:val="24"/>
          <w:szCs w:val="24"/>
        </w:rPr>
        <w:t>t</w:t>
      </w:r>
      <w:r w:rsidR="00EE25BA" w:rsidRPr="00006BF2">
        <w:rPr>
          <w:sz w:val="24"/>
          <w:szCs w:val="24"/>
        </w:rPr>
        <w:t>h</w:t>
      </w:r>
      <w:r w:rsidR="009B3BA2" w:rsidRPr="00006BF2">
        <w:rPr>
          <w:sz w:val="24"/>
          <w:szCs w:val="24"/>
        </w:rPr>
        <w:t>rough</w:t>
      </w:r>
      <w:r w:rsidR="009B3BA2" w:rsidRPr="00B41D95">
        <w:rPr>
          <w:sz w:val="24"/>
          <w:szCs w:val="24"/>
        </w:rPr>
        <w:t xml:space="preserve"> the sample </w:t>
      </w:r>
      <w:r w:rsidR="00BF5373" w:rsidRPr="00B41D95">
        <w:rPr>
          <w:sz w:val="24"/>
          <w:szCs w:val="24"/>
        </w:rPr>
        <w:t xml:space="preserve">and therefore the substrate and the apparatus behind will contribute to the </w:t>
      </w:r>
      <w:r w:rsidR="00EB09AD" w:rsidRPr="00B41D95">
        <w:rPr>
          <w:sz w:val="24"/>
          <w:szCs w:val="24"/>
        </w:rPr>
        <w:t>XRF signal as well.</w:t>
      </w:r>
      <w:r w:rsidR="00CC4FF3" w:rsidRPr="00B41D95">
        <w:rPr>
          <w:sz w:val="24"/>
          <w:szCs w:val="24"/>
        </w:rPr>
        <w:t xml:space="preserve"> </w:t>
      </w:r>
      <w:r w:rsidRPr="00B41D95">
        <w:rPr>
          <w:sz w:val="24"/>
          <w:szCs w:val="24"/>
        </w:rPr>
        <w:t xml:space="preserve">To account for self-absorption losses, the sample was modelled as a multilayer matrix (1.3 </w:t>
      </w:r>
      <w:r w:rsidRPr="00B41D95">
        <w:rPr>
          <w:rFonts w:cstheme="minorHAnsi"/>
          <w:sz w:val="24"/>
          <w:szCs w:val="24"/>
        </w:rPr>
        <w:t>µ</w:t>
      </w:r>
      <w:r w:rsidRPr="00B41D95">
        <w:rPr>
          <w:sz w:val="24"/>
          <w:szCs w:val="24"/>
        </w:rPr>
        <w:t>m perovskite/26 nm Au/ 7 nm Cr/ 1 mm glass).   To obtain an exact quantification of the concentrations of the components, the Au contacts were used as a reference. This was possible in the regions of the maps w</w:t>
      </w:r>
      <w:r w:rsidR="00E74885" w:rsidRPr="00B41D95">
        <w:rPr>
          <w:sz w:val="24"/>
          <w:szCs w:val="24"/>
        </w:rPr>
        <w:t>h</w:t>
      </w:r>
      <w:r w:rsidRPr="00B41D95">
        <w:rPr>
          <w:sz w:val="24"/>
          <w:szCs w:val="24"/>
        </w:rPr>
        <w:t>ere there were visible contacts. For the map regions without contacts, the extrapolation was performed from the fundamental beam parameters, where the photon flux was adjusted to match the data obtained with the Au-reference calibrated fit. However, it is important to note that even when the photon flux is not calibrated, the relative concentration of components can be compared</w:t>
      </w:r>
      <w:r w:rsidR="00AA6C3E" w:rsidRPr="00B41D95">
        <w:rPr>
          <w:sz w:val="24"/>
          <w:szCs w:val="24"/>
        </w:rPr>
        <w:t xml:space="preserve"> anyway</w:t>
      </w:r>
      <w:r w:rsidRPr="00B41D95">
        <w:rPr>
          <w:sz w:val="24"/>
          <w:szCs w:val="24"/>
        </w:rPr>
        <w:t xml:space="preserve">. </w:t>
      </w:r>
    </w:p>
    <w:p w14:paraId="0F2CBBE4" w14:textId="0EAE0C4C" w:rsidR="00133CAE" w:rsidRPr="00B41D95" w:rsidRDefault="003E7EDB" w:rsidP="00B41D95">
      <w:pPr>
        <w:keepNext/>
        <w:jc w:val="both"/>
      </w:pPr>
      <w:r w:rsidRPr="00B41D95">
        <w:rPr>
          <w:rFonts w:hAnsi="Calibri"/>
          <w:b/>
          <w:bCs/>
          <w:noProof/>
          <w:color w:val="000000" w:themeColor="text1"/>
          <w:kern w:val="24"/>
          <w:sz w:val="56"/>
          <w:szCs w:val="56"/>
        </w:rPr>
        <w:drawing>
          <wp:inline distT="0" distB="0" distL="0" distR="0" wp14:anchorId="1646B21F" wp14:editId="6E0B1297">
            <wp:extent cx="6242400" cy="1844823"/>
            <wp:effectExtent l="0" t="0" r="6350" b="3175"/>
            <wp:docPr id="12386302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630275"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t="1953" b="1953"/>
                    <a:stretch>
                      <a:fillRect/>
                    </a:stretch>
                  </pic:blipFill>
                  <pic:spPr bwMode="auto">
                    <a:xfrm>
                      <a:off x="0" y="0"/>
                      <a:ext cx="6250542" cy="1847229"/>
                    </a:xfrm>
                    <a:prstGeom prst="rect">
                      <a:avLst/>
                    </a:prstGeom>
                    <a:noFill/>
                    <a:ln>
                      <a:noFill/>
                    </a:ln>
                    <a:extLst>
                      <a:ext uri="{53640926-AAD7-44D8-BBD7-CCE9431645EC}">
                        <a14:shadowObscured xmlns:a14="http://schemas.microsoft.com/office/drawing/2010/main"/>
                      </a:ext>
                    </a:extLst>
                  </pic:spPr>
                </pic:pic>
              </a:graphicData>
            </a:graphic>
          </wp:inline>
        </w:drawing>
      </w:r>
    </w:p>
    <w:p w14:paraId="50CA5F59" w14:textId="4B7AAB76" w:rsidR="001D5471" w:rsidRPr="00B41D95" w:rsidRDefault="00133CAE" w:rsidP="00B41D95">
      <w:pPr>
        <w:pStyle w:val="Didascalia"/>
        <w:jc w:val="both"/>
        <w:rPr>
          <w:sz w:val="24"/>
          <w:szCs w:val="24"/>
        </w:rPr>
      </w:pPr>
      <w:r w:rsidRPr="00B41D95">
        <w:rPr>
          <w:sz w:val="24"/>
          <w:szCs w:val="24"/>
        </w:rPr>
        <w:t xml:space="preserve">Figure </w:t>
      </w:r>
      <w:r w:rsidR="00DF0C1A" w:rsidRPr="00B41D95">
        <w:rPr>
          <w:sz w:val="24"/>
          <w:szCs w:val="24"/>
        </w:rPr>
        <w:t>S</w:t>
      </w:r>
      <w:r w:rsidRPr="00B41D95">
        <w:rPr>
          <w:sz w:val="24"/>
          <w:szCs w:val="24"/>
        </w:rPr>
        <w:fldChar w:fldCharType="begin"/>
      </w:r>
      <w:r w:rsidRPr="00B41D95">
        <w:rPr>
          <w:sz w:val="24"/>
          <w:szCs w:val="24"/>
        </w:rPr>
        <w:instrText xml:space="preserve"> SEQ Figure \* ARABIC </w:instrText>
      </w:r>
      <w:r w:rsidRPr="00B41D95">
        <w:rPr>
          <w:sz w:val="24"/>
          <w:szCs w:val="24"/>
        </w:rPr>
        <w:fldChar w:fldCharType="separate"/>
      </w:r>
      <w:r w:rsidR="00A341F4" w:rsidRPr="00B41D95">
        <w:rPr>
          <w:noProof/>
          <w:sz w:val="24"/>
          <w:szCs w:val="24"/>
        </w:rPr>
        <w:t>3</w:t>
      </w:r>
      <w:r w:rsidRPr="00B41D95">
        <w:rPr>
          <w:sz w:val="24"/>
          <w:szCs w:val="24"/>
        </w:rPr>
        <w:fldChar w:fldCharType="end"/>
      </w:r>
      <w:r w:rsidRPr="00B41D95">
        <w:rPr>
          <w:sz w:val="24"/>
          <w:szCs w:val="24"/>
        </w:rPr>
        <w:t xml:space="preserve">: (a) Fit of the XRF spectrum. (b) </w:t>
      </w:r>
      <w:r w:rsidR="00263F73" w:rsidRPr="00B41D95">
        <w:rPr>
          <w:sz w:val="24"/>
          <w:szCs w:val="24"/>
        </w:rPr>
        <w:t>P</w:t>
      </w:r>
      <w:r w:rsidRPr="00B41D95">
        <w:rPr>
          <w:sz w:val="24"/>
          <w:szCs w:val="24"/>
        </w:rPr>
        <w:t>eaks of the relevant materials in the sample.</w:t>
      </w:r>
    </w:p>
    <w:p w14:paraId="03C4F33E" w14:textId="59CFD608" w:rsidR="000909F2" w:rsidRDefault="000909F2" w:rsidP="00B41D95">
      <w:pPr>
        <w:jc w:val="both"/>
        <w:rPr>
          <w:b/>
          <w:bCs/>
          <w:sz w:val="24"/>
          <w:szCs w:val="24"/>
        </w:rPr>
      </w:pPr>
    </w:p>
    <w:p w14:paraId="2398C5C5" w14:textId="77777777" w:rsidR="00E424B0" w:rsidRDefault="00E424B0" w:rsidP="00B41D95">
      <w:pPr>
        <w:jc w:val="both"/>
        <w:rPr>
          <w:b/>
          <w:bCs/>
          <w:sz w:val="24"/>
          <w:szCs w:val="24"/>
        </w:rPr>
      </w:pPr>
    </w:p>
    <w:p w14:paraId="30B4B71D" w14:textId="77777777" w:rsidR="00E424B0" w:rsidRDefault="00E424B0" w:rsidP="00B41D95">
      <w:pPr>
        <w:jc w:val="both"/>
        <w:rPr>
          <w:b/>
          <w:bCs/>
          <w:sz w:val="24"/>
          <w:szCs w:val="24"/>
        </w:rPr>
      </w:pPr>
    </w:p>
    <w:p w14:paraId="728ECC9B" w14:textId="77777777" w:rsidR="00E424B0" w:rsidRDefault="00E424B0" w:rsidP="00B41D95">
      <w:pPr>
        <w:jc w:val="both"/>
        <w:rPr>
          <w:b/>
          <w:bCs/>
          <w:sz w:val="24"/>
          <w:szCs w:val="24"/>
        </w:rPr>
      </w:pPr>
    </w:p>
    <w:p w14:paraId="4C913EDE" w14:textId="77777777" w:rsidR="00E424B0" w:rsidRDefault="00E424B0" w:rsidP="00B41D95">
      <w:pPr>
        <w:jc w:val="both"/>
        <w:rPr>
          <w:b/>
          <w:bCs/>
          <w:sz w:val="24"/>
          <w:szCs w:val="24"/>
        </w:rPr>
      </w:pPr>
    </w:p>
    <w:p w14:paraId="53817460" w14:textId="77777777" w:rsidR="00E424B0" w:rsidRDefault="00E424B0" w:rsidP="00B41D95">
      <w:pPr>
        <w:jc w:val="both"/>
        <w:rPr>
          <w:b/>
          <w:bCs/>
          <w:sz w:val="24"/>
          <w:szCs w:val="24"/>
        </w:rPr>
      </w:pPr>
    </w:p>
    <w:p w14:paraId="46844902" w14:textId="77777777" w:rsidR="00E424B0" w:rsidRDefault="00E424B0" w:rsidP="00B41D95">
      <w:pPr>
        <w:jc w:val="both"/>
        <w:rPr>
          <w:b/>
          <w:bCs/>
          <w:sz w:val="24"/>
          <w:szCs w:val="24"/>
        </w:rPr>
      </w:pPr>
    </w:p>
    <w:p w14:paraId="7C1AC864" w14:textId="77777777" w:rsidR="00E424B0" w:rsidRDefault="00E424B0" w:rsidP="00B41D95">
      <w:pPr>
        <w:jc w:val="both"/>
        <w:rPr>
          <w:b/>
          <w:bCs/>
          <w:sz w:val="24"/>
          <w:szCs w:val="24"/>
        </w:rPr>
      </w:pPr>
    </w:p>
    <w:p w14:paraId="409C740D" w14:textId="77777777" w:rsidR="00E424B0" w:rsidRDefault="00E424B0" w:rsidP="00B41D95">
      <w:pPr>
        <w:jc w:val="both"/>
        <w:rPr>
          <w:b/>
          <w:bCs/>
          <w:sz w:val="24"/>
          <w:szCs w:val="24"/>
        </w:rPr>
      </w:pPr>
    </w:p>
    <w:p w14:paraId="75C16AAA" w14:textId="77777777" w:rsidR="00E424B0" w:rsidRDefault="00E424B0" w:rsidP="00B41D95">
      <w:pPr>
        <w:jc w:val="both"/>
        <w:rPr>
          <w:b/>
          <w:bCs/>
          <w:sz w:val="24"/>
          <w:szCs w:val="24"/>
        </w:rPr>
      </w:pPr>
    </w:p>
    <w:p w14:paraId="075A5426" w14:textId="77777777" w:rsidR="00E424B0" w:rsidRDefault="00E424B0" w:rsidP="00B41D95">
      <w:pPr>
        <w:jc w:val="both"/>
        <w:rPr>
          <w:b/>
          <w:bCs/>
          <w:sz w:val="24"/>
          <w:szCs w:val="24"/>
        </w:rPr>
      </w:pPr>
    </w:p>
    <w:p w14:paraId="62C94702" w14:textId="77777777" w:rsidR="00E424B0" w:rsidRDefault="00E424B0" w:rsidP="00B41D95">
      <w:pPr>
        <w:jc w:val="both"/>
        <w:rPr>
          <w:b/>
          <w:bCs/>
          <w:sz w:val="24"/>
          <w:szCs w:val="24"/>
        </w:rPr>
      </w:pPr>
    </w:p>
    <w:p w14:paraId="5BD04F11" w14:textId="77777777" w:rsidR="00E424B0" w:rsidRDefault="00E424B0" w:rsidP="00B41D95">
      <w:pPr>
        <w:jc w:val="both"/>
        <w:rPr>
          <w:b/>
          <w:bCs/>
          <w:sz w:val="24"/>
          <w:szCs w:val="24"/>
        </w:rPr>
      </w:pPr>
    </w:p>
    <w:p w14:paraId="4524EEDD" w14:textId="77777777" w:rsidR="00E424B0" w:rsidRDefault="00E424B0" w:rsidP="00B41D95">
      <w:pPr>
        <w:jc w:val="both"/>
        <w:rPr>
          <w:b/>
          <w:bCs/>
          <w:sz w:val="24"/>
          <w:szCs w:val="24"/>
        </w:rPr>
      </w:pPr>
    </w:p>
    <w:p w14:paraId="71561B21" w14:textId="77777777" w:rsidR="00E424B0" w:rsidRDefault="00E424B0" w:rsidP="00B41D95">
      <w:pPr>
        <w:jc w:val="both"/>
        <w:rPr>
          <w:b/>
          <w:bCs/>
          <w:sz w:val="24"/>
          <w:szCs w:val="24"/>
        </w:rPr>
      </w:pPr>
    </w:p>
    <w:p w14:paraId="15206902" w14:textId="77777777" w:rsidR="00E424B0" w:rsidRDefault="00E424B0" w:rsidP="00B41D95">
      <w:pPr>
        <w:jc w:val="both"/>
        <w:rPr>
          <w:b/>
          <w:bCs/>
          <w:sz w:val="24"/>
          <w:szCs w:val="24"/>
        </w:rPr>
      </w:pPr>
    </w:p>
    <w:p w14:paraId="311879D5" w14:textId="49E5F95A" w:rsidR="00080602" w:rsidRPr="00B41D95" w:rsidRDefault="00080602" w:rsidP="00B41D95">
      <w:pPr>
        <w:jc w:val="both"/>
        <w:rPr>
          <w:b/>
          <w:bCs/>
          <w:sz w:val="24"/>
          <w:szCs w:val="24"/>
        </w:rPr>
      </w:pPr>
      <w:r w:rsidRPr="00B41D95">
        <w:rPr>
          <w:b/>
          <w:bCs/>
          <w:sz w:val="24"/>
          <w:szCs w:val="24"/>
        </w:rPr>
        <w:lastRenderedPageBreak/>
        <w:t xml:space="preserve">Chemical compositional analysis </w:t>
      </w:r>
    </w:p>
    <w:p w14:paraId="3907484D" w14:textId="60E626C4" w:rsidR="000909F2" w:rsidRPr="00B41D95" w:rsidRDefault="00380D35" w:rsidP="00B41D95">
      <w:pPr>
        <w:pStyle w:val="Didascalia"/>
        <w:rPr>
          <w:noProof/>
          <w:sz w:val="24"/>
          <w:szCs w:val="24"/>
        </w:rPr>
      </w:pPr>
      <w:r w:rsidRPr="00B41D95">
        <w:rPr>
          <w:noProof/>
          <w:sz w:val="24"/>
          <w:szCs w:val="24"/>
        </w:rPr>
        <w:drawing>
          <wp:anchor distT="0" distB="0" distL="114300" distR="114300" simplePos="0" relativeHeight="251658240" behindDoc="0" locked="0" layoutInCell="1" allowOverlap="1" wp14:anchorId="622B29B1" wp14:editId="2319A51C">
            <wp:simplePos x="0" y="0"/>
            <wp:positionH relativeFrom="column">
              <wp:posOffset>-117475</wp:posOffset>
            </wp:positionH>
            <wp:positionV relativeFrom="paragraph">
              <wp:posOffset>120623</wp:posOffset>
            </wp:positionV>
            <wp:extent cx="6320790" cy="4869815"/>
            <wp:effectExtent l="0" t="0" r="0" b="6985"/>
            <wp:wrapTopAndBottom/>
            <wp:docPr id="1395932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93295" name="Picture 5"/>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7184" b="778"/>
                    <a:stretch>
                      <a:fillRect/>
                    </a:stretch>
                  </pic:blipFill>
                  <pic:spPr bwMode="auto">
                    <a:xfrm>
                      <a:off x="0" y="0"/>
                      <a:ext cx="6320790" cy="48698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909F2" w:rsidRPr="00B41D95">
        <w:rPr>
          <w:sz w:val="24"/>
          <w:szCs w:val="24"/>
        </w:rPr>
        <w:t xml:space="preserve">Figure S4: </w:t>
      </w:r>
      <w:r w:rsidR="000909F2" w:rsidRPr="00B41D95">
        <w:rPr>
          <w:rFonts w:cstheme="minorHAnsi"/>
          <w:color w:val="525252" w:themeColor="accent3" w:themeShade="80"/>
          <w:sz w:val="22"/>
          <w:szCs w:val="22"/>
          <w:lang w:val="en-US"/>
        </w:rPr>
        <w:t xml:space="preserve">Stoichiometry </w:t>
      </w:r>
      <w:r w:rsidR="00366FAD" w:rsidRPr="00B41D95">
        <w:rPr>
          <w:rFonts w:cstheme="minorHAnsi"/>
          <w:color w:val="525252" w:themeColor="accent3" w:themeShade="80"/>
          <w:sz w:val="22"/>
          <w:szCs w:val="22"/>
          <w:lang w:val="en-US"/>
        </w:rPr>
        <w:t>samples (a) C and (b) D</w:t>
      </w:r>
      <w:r w:rsidR="000909F2" w:rsidRPr="00B41D95">
        <w:rPr>
          <w:rFonts w:cstheme="minorHAnsi"/>
          <w:color w:val="525252" w:themeColor="accent3" w:themeShade="80"/>
          <w:sz w:val="22"/>
          <w:szCs w:val="22"/>
          <w:lang w:val="en-US"/>
        </w:rPr>
        <w:t>.</w:t>
      </w:r>
      <w:r>
        <w:rPr>
          <w:rFonts w:cstheme="minorHAnsi"/>
          <w:color w:val="525252" w:themeColor="accent3" w:themeShade="80"/>
          <w:sz w:val="22"/>
          <w:szCs w:val="22"/>
          <w:lang w:val="en-US"/>
        </w:rPr>
        <w:t xml:space="preserve"> Histogram of the pixel count in the stoichiometry maps </w:t>
      </w:r>
      <w:r w:rsidR="00264E43">
        <w:rPr>
          <w:rFonts w:cstheme="minorHAnsi"/>
          <w:color w:val="525252" w:themeColor="accent3" w:themeShade="80"/>
          <w:sz w:val="22"/>
          <w:szCs w:val="22"/>
          <w:lang w:val="en-US"/>
        </w:rPr>
        <w:t>o</w:t>
      </w:r>
      <w:r>
        <w:rPr>
          <w:rFonts w:cstheme="minorHAnsi"/>
          <w:color w:val="525252" w:themeColor="accent3" w:themeShade="80"/>
          <w:sz w:val="22"/>
          <w:szCs w:val="22"/>
          <w:lang w:val="en-US"/>
        </w:rPr>
        <w:t>f samples (c) C, (d) D</w:t>
      </w:r>
      <w:r w:rsidR="00264E43">
        <w:rPr>
          <w:rFonts w:cstheme="minorHAnsi"/>
          <w:color w:val="525252" w:themeColor="accent3" w:themeShade="80"/>
          <w:sz w:val="22"/>
          <w:szCs w:val="22"/>
          <w:lang w:val="en-US"/>
        </w:rPr>
        <w:t xml:space="preserve"> and (e) A. </w:t>
      </w:r>
    </w:p>
    <w:p w14:paraId="31B61273" w14:textId="4F355161" w:rsidR="00531055" w:rsidRPr="003C13D8" w:rsidRDefault="00366FAD" w:rsidP="00531055">
      <w:pPr>
        <w:jc w:val="both"/>
        <w:rPr>
          <w:color w:val="4472C4" w:themeColor="accent1"/>
        </w:rPr>
      </w:pPr>
      <w:r w:rsidRPr="00B41D95">
        <w:rPr>
          <w:sz w:val="24"/>
          <w:szCs w:val="24"/>
        </w:rPr>
        <w:t xml:space="preserve">A uniform stoichiometry is observed for both samples. Sample C shows no relevant variations between grains and grain boundaries, while sample D shows a uniform stoichiometry in all the </w:t>
      </w:r>
      <w:r w:rsidR="00F807AB" w:rsidRPr="00B41D95">
        <w:rPr>
          <w:sz w:val="24"/>
          <w:szCs w:val="24"/>
        </w:rPr>
        <w:t>crystallite</w:t>
      </w:r>
      <w:r w:rsidR="00E74885" w:rsidRPr="00B41D95">
        <w:rPr>
          <w:sz w:val="24"/>
          <w:szCs w:val="24"/>
        </w:rPr>
        <w:t>s</w:t>
      </w:r>
      <w:r w:rsidRPr="00B41D95">
        <w:rPr>
          <w:sz w:val="24"/>
          <w:szCs w:val="24"/>
        </w:rPr>
        <w:t>. In Figure S4a</w:t>
      </w:r>
      <w:r w:rsidR="00E74885" w:rsidRPr="00B41D95">
        <w:rPr>
          <w:sz w:val="24"/>
          <w:szCs w:val="24"/>
        </w:rPr>
        <w:t>,</w:t>
      </w:r>
      <w:r w:rsidRPr="00B41D95">
        <w:rPr>
          <w:sz w:val="24"/>
          <w:szCs w:val="24"/>
        </w:rPr>
        <w:t xml:space="preserve"> some aggregates with higher </w:t>
      </w:r>
      <w:r w:rsidR="00F807AB" w:rsidRPr="00B41D95">
        <w:rPr>
          <w:sz w:val="24"/>
          <w:szCs w:val="24"/>
        </w:rPr>
        <w:t xml:space="preserve">stoichiometry located on the electrode are attributed to </w:t>
      </w:r>
      <w:r w:rsidR="00E74885" w:rsidRPr="00B41D95">
        <w:rPr>
          <w:sz w:val="24"/>
          <w:szCs w:val="24"/>
        </w:rPr>
        <w:t xml:space="preserve">the </w:t>
      </w:r>
      <w:r w:rsidR="00F807AB" w:rsidRPr="00B41D95">
        <w:rPr>
          <w:sz w:val="24"/>
          <w:szCs w:val="24"/>
        </w:rPr>
        <w:t xml:space="preserve">perovskite-gold chemical reaction taking place </w:t>
      </w:r>
      <w:r w:rsidR="00C656F9" w:rsidRPr="00B41D95">
        <w:rPr>
          <w:sz w:val="24"/>
          <w:szCs w:val="24"/>
        </w:rPr>
        <w:t>under</w:t>
      </w:r>
      <w:r w:rsidR="00F807AB" w:rsidRPr="00B41D95">
        <w:rPr>
          <w:sz w:val="24"/>
          <w:szCs w:val="24"/>
        </w:rPr>
        <w:t xml:space="preserve"> high radiation fluxes.</w:t>
      </w:r>
      <w:r w:rsidRPr="00A874B4">
        <w:rPr>
          <w:sz w:val="24"/>
          <w:szCs w:val="24"/>
        </w:rPr>
        <w:t xml:space="preserve"> </w:t>
      </w:r>
      <w:r w:rsidR="00A874B4" w:rsidRPr="00A874B4">
        <w:rPr>
          <w:highlight w:val="yellow"/>
        </w:rPr>
        <w:t>Indeed, t</w:t>
      </w:r>
      <w:r w:rsidR="00285ECE" w:rsidRPr="00A874B4">
        <w:rPr>
          <w:highlight w:val="yellow"/>
        </w:rPr>
        <w:t>he extremely high photon fluxes involved at the ESRF ID16b beamline (~10</w:t>
      </w:r>
      <w:r w:rsidR="00285ECE" w:rsidRPr="00A874B4">
        <w:rPr>
          <w:highlight w:val="yellow"/>
          <w:vertAlign w:val="superscript"/>
        </w:rPr>
        <w:t>18</w:t>
      </w:r>
      <w:r w:rsidR="00285ECE" w:rsidRPr="00A874B4">
        <w:rPr>
          <w:highlight w:val="yellow"/>
        </w:rPr>
        <w:t xml:space="preserve"> </w:t>
      </w:r>
      <w:proofErr w:type="spellStart"/>
      <w:r w:rsidR="00285ECE" w:rsidRPr="00A874B4">
        <w:rPr>
          <w:highlight w:val="yellow"/>
        </w:rPr>
        <w:t>ph</w:t>
      </w:r>
      <w:proofErr w:type="spellEnd"/>
      <w:r w:rsidR="00285ECE" w:rsidRPr="00A874B4">
        <w:rPr>
          <w:highlight w:val="yellow"/>
        </w:rPr>
        <w:t xml:space="preserve"> s</w:t>
      </w:r>
      <w:r w:rsidR="00285ECE" w:rsidRPr="00A874B4">
        <w:rPr>
          <w:highlight w:val="yellow"/>
          <w:vertAlign w:val="superscript"/>
        </w:rPr>
        <w:t>-1</w:t>
      </w:r>
      <w:r w:rsidR="00285ECE" w:rsidRPr="00A874B4">
        <w:rPr>
          <w:highlight w:val="yellow"/>
        </w:rPr>
        <w:t xml:space="preserve"> mm</w:t>
      </w:r>
      <w:r w:rsidR="00285ECE" w:rsidRPr="00A874B4">
        <w:rPr>
          <w:highlight w:val="yellow"/>
          <w:vertAlign w:val="superscript"/>
        </w:rPr>
        <w:t>-2</w:t>
      </w:r>
      <w:r w:rsidR="00285ECE" w:rsidRPr="00A874B4">
        <w:rPr>
          <w:highlight w:val="yellow"/>
        </w:rPr>
        <w:t>) are several order</w:t>
      </w:r>
      <w:r w:rsidR="006C45C0">
        <w:rPr>
          <w:highlight w:val="yellow"/>
        </w:rPr>
        <w:t>s</w:t>
      </w:r>
      <w:r w:rsidR="00285ECE" w:rsidRPr="00A874B4">
        <w:rPr>
          <w:highlight w:val="yellow"/>
        </w:rPr>
        <w:t xml:space="preserve"> of magnitude higher than the ones usually involved in the medical field (10</w:t>
      </w:r>
      <w:r w:rsidR="00285ECE" w:rsidRPr="00A874B4">
        <w:rPr>
          <w:highlight w:val="yellow"/>
          <w:vertAlign w:val="superscript"/>
        </w:rPr>
        <w:t>6</w:t>
      </w:r>
      <w:r w:rsidR="00285ECE" w:rsidRPr="00A874B4">
        <w:rPr>
          <w:highlight w:val="yellow"/>
        </w:rPr>
        <w:t xml:space="preserve"> to 10</w:t>
      </w:r>
      <w:r w:rsidR="00285ECE" w:rsidRPr="00A874B4">
        <w:rPr>
          <w:highlight w:val="yellow"/>
          <w:vertAlign w:val="superscript"/>
        </w:rPr>
        <w:t>9</w:t>
      </w:r>
      <w:r w:rsidR="00285ECE" w:rsidRPr="00A874B4">
        <w:rPr>
          <w:highlight w:val="yellow"/>
        </w:rPr>
        <w:t xml:space="preserve"> </w:t>
      </w:r>
      <w:proofErr w:type="spellStart"/>
      <w:r w:rsidR="00285ECE" w:rsidRPr="00A874B4">
        <w:rPr>
          <w:highlight w:val="yellow"/>
        </w:rPr>
        <w:t>ph</w:t>
      </w:r>
      <w:proofErr w:type="spellEnd"/>
      <w:r w:rsidR="00285ECE" w:rsidRPr="00A874B4">
        <w:rPr>
          <w:highlight w:val="yellow"/>
        </w:rPr>
        <w:t xml:space="preserve"> s</w:t>
      </w:r>
      <w:r w:rsidR="00285ECE" w:rsidRPr="00A874B4">
        <w:rPr>
          <w:highlight w:val="yellow"/>
          <w:vertAlign w:val="superscript"/>
        </w:rPr>
        <w:t>-1</w:t>
      </w:r>
      <w:r w:rsidR="00285ECE" w:rsidRPr="00A874B4">
        <w:rPr>
          <w:highlight w:val="yellow"/>
        </w:rPr>
        <w:t xml:space="preserve"> mm</w:t>
      </w:r>
      <w:r w:rsidR="00285ECE" w:rsidRPr="00A874B4">
        <w:rPr>
          <w:highlight w:val="yellow"/>
          <w:vertAlign w:val="superscript"/>
        </w:rPr>
        <w:t>-2</w:t>
      </w:r>
      <w:r w:rsidR="00285ECE" w:rsidRPr="00531386">
        <w:rPr>
          <w:highlight w:val="yellow"/>
        </w:rPr>
        <w:t>).</w:t>
      </w:r>
      <w:r w:rsidR="00285ECE" w:rsidRPr="00531386">
        <w:rPr>
          <w:highlight w:val="yellow"/>
        </w:rPr>
        <w:fldChar w:fldCharType="begin"/>
      </w:r>
      <w:r w:rsidR="00531386" w:rsidRPr="00531386">
        <w:rPr>
          <w:highlight w:val="yellow"/>
        </w:rPr>
        <w:instrText xml:space="preserve"> ADDIN ZOTERO_ITEM CSL_CITATION {"citationID":"nc9b7Vzv","properties":{"formattedCitation":"\\super 2\\nosupersub{}","plainCitation":"2","noteIndex":0},"citationItems":[{"id":1409,"uris":["http://zotero.org/users/local/YGmjVQgx/items/ATUY8VCL"],"itemData":{"id":1409,"type":"article-journal","abstract":"X-ray photon-counting detectors capable of resolving the energies of single X-ray photons are critical in medical imaging, and a high count rate is essential for photon-counting detectors. Here, we report the performance of the perovskite CsPbBr3 single-crystal semiconductor detector for X-ray photon counting. The CsPbBr3 detector noise floor, energy response linearity, energy resolution, count rate, and polarization were evaluated. By fine-tuning the detector working conditions, our CsPbBr3 detector with a planar electrode can count an incident X-ray photon rate of 0.099 and 0.336 Mcps/pixel at 10% and 30% deadtime loss, respectively, with corresponding energy resolutions of 18% at 59.5 keV and 12% at 122 keV at same pulse processing conditions. We also demonstrated that our CsPbBr3 detectors show negligible polarization under an X-ray flux of 0.45 M photons/s/mm2 for the typical timescale of multiple clinical X-ray scans, such as 1 s– 100 s. Our evaluation demonstrates the high potential of CsPbBr3 detectors for X-ray photon-counting applications in medical and industrial diagnostics with a lower cost than the current state-of-the-art.","container-title":"IEEE Transactions on Medical Imaging","DOI":"10.1109/TMI.2022.3176801","ISSN":"1558-254X","issue":"11","page":"3053-3061","source":"IEEE Xplore","title":"Perovskite CsPbBr3 Single Crystal Detector for High Flux X-Ray Photon Counting","volume":"41","author":[{"family":"Pan","given":"Lei"},{"family":"He","given":"Yihui"},{"family":"Klepov","given":"Vladislav V."},{"family":"De Siena","given":"Michael C."},{"family":"Kanatzidis","given":"Mercouri G."}],"issued":{"date-parts":[["2022",11]]}}}],"schema":"https://github.com/citation-style-language/schema/raw/master/csl-citation.json"} </w:instrText>
      </w:r>
      <w:r w:rsidR="00285ECE" w:rsidRPr="00531386">
        <w:rPr>
          <w:highlight w:val="yellow"/>
        </w:rPr>
        <w:fldChar w:fldCharType="separate"/>
      </w:r>
      <w:r w:rsidR="00531386" w:rsidRPr="00531386">
        <w:rPr>
          <w:rFonts w:ascii="Aptos" w:hAnsi="Aptos" w:cs="Times New Roman"/>
          <w:kern w:val="0"/>
          <w:highlight w:val="yellow"/>
          <w:vertAlign w:val="superscript"/>
        </w:rPr>
        <w:t>2</w:t>
      </w:r>
      <w:r w:rsidR="00285ECE" w:rsidRPr="00531386">
        <w:rPr>
          <w:highlight w:val="yellow"/>
        </w:rPr>
        <w:fldChar w:fldCharType="end"/>
      </w:r>
      <w:r w:rsidR="00A874B4" w:rsidRPr="00531386">
        <w:rPr>
          <w:highlight w:val="yellow"/>
        </w:rPr>
        <w:t xml:space="preserve"> (PEA)</w:t>
      </w:r>
      <w:r w:rsidR="00A874B4" w:rsidRPr="00531386">
        <w:rPr>
          <w:highlight w:val="yellow"/>
          <w:vertAlign w:val="subscript"/>
        </w:rPr>
        <w:t>2</w:t>
      </w:r>
      <w:r w:rsidR="00A874B4" w:rsidRPr="00531386">
        <w:rPr>
          <w:highlight w:val="yellow"/>
        </w:rPr>
        <w:t>PbBr</w:t>
      </w:r>
      <w:r w:rsidR="00A874B4" w:rsidRPr="00531386">
        <w:rPr>
          <w:highlight w:val="yellow"/>
          <w:vertAlign w:val="subscript"/>
        </w:rPr>
        <w:t>4</w:t>
      </w:r>
      <w:r w:rsidR="00A874B4" w:rsidRPr="00531386">
        <w:rPr>
          <w:highlight w:val="yellow"/>
        </w:rPr>
        <w:t xml:space="preserve"> </w:t>
      </w:r>
      <w:r w:rsidR="004D0875" w:rsidRPr="00531386">
        <w:rPr>
          <w:highlight w:val="yellow"/>
        </w:rPr>
        <w:t xml:space="preserve">has </w:t>
      </w:r>
      <w:r w:rsidR="006C45C0">
        <w:rPr>
          <w:highlight w:val="yellow"/>
        </w:rPr>
        <w:t xml:space="preserve">been </w:t>
      </w:r>
      <w:r w:rsidR="004D0875" w:rsidRPr="00531386">
        <w:rPr>
          <w:highlight w:val="yellow"/>
        </w:rPr>
        <w:t xml:space="preserve">demonstrated to be stable under X-ray fluxes compatible with </w:t>
      </w:r>
      <w:r w:rsidR="00531386" w:rsidRPr="00531386">
        <w:rPr>
          <w:highlight w:val="yellow"/>
        </w:rPr>
        <w:t>clinical purposes</w:t>
      </w:r>
      <w:r w:rsidR="00531386" w:rsidRPr="00531386">
        <w:rPr>
          <w:highlight w:val="yellow"/>
        </w:rPr>
        <w:fldChar w:fldCharType="begin"/>
      </w:r>
      <w:r w:rsidR="00531386" w:rsidRPr="00531386">
        <w:rPr>
          <w:highlight w:val="yellow"/>
        </w:rPr>
        <w:instrText xml:space="preserve"> ADDIN ZOTERO_ITEM CSL_CITATION {"citationID":"a82RRLUt","properties":{"formattedCitation":"\\super 3\\nosupersub{}","plainCitation":"3","noteIndex":0},"citationItems":[{"id":295,"uris":["http://zotero.org/users/local/YGmjVQgx/items/K9VABFEM"],"itemData":{"id":295,"type":"article-journal","abstract":"2D layered hybrid perovskites have recently attracted an increasing interest as active layers in LEDs and UV–Vis photodetectors. 2D perovskites crystallize in a natural self-assembled quantum well-like structure and possess several interesting features among which low-temperature (&lt;100 °C) synthesis and low defect density. Here are presented solid-state ionizing radiation direct detectors based on the 2D layered hybrid perovskite PEA2PbBr4 (PEA = C6H5C2H4NH3+) deposited from solution using scalable techniques and directly integrated onto a pre-patterned flexible substrate in the form of micro-crystalline films displaying crystal-like behavior, as evidenced by the ultra-fast (sub-microsecond) and good detection performances under UV light. The effective detection of X-rays (up to 150 kVp) is demonstrated with sensitivity values up to 806 µC Gy−1 cm−2 and Limit of Detection of 42 nGy s−1, thus combining the excellent performance for two relevant figures of merit for solid-state detectors. Additionally, the tested devices exhibit exceptionally stable response under constant irradiation and bias, assessing the material robustness and the intimate electrical contact with the electrodes. PEA2PbBr4 micro-crystalline films directly grown on flexible pre-patterned substrate open the way for large-area solid-state detectors working at low radiation flux for ultra-fast X-ray imaging and dosimetry.","container-title":"Advanced Optical Materials","DOI":"10.1002/adom.202101145","ISSN":"2195-1071","issue":"1","language":"en","note":"_eprint: https://onlinelibrary.wiley.com/doi/pdf/10.1002/adom.202101145","page":"2101145","source":"Wiley Online Library","title":"Ultra-Stable and Robust Response to X-Rays in 2D Layered Perovskite Micro-Crystalline Films Directly Deposited on Flexible Substrate","volume":"10","author":[{"family":"Lédée","given":"Ferdinand"},{"family":"Ciavatti","given":"Andrea"},{"family":"Verdi","given":"Matteo"},{"family":"Basiricò","given":"Laura"},{"family":"Fraboni","given":"Beatrice"}],"issued":{"date-parts":[["2022"]]}}}],"schema":"https://github.com/citation-style-language/schema/raw/master/csl-citation.json"} </w:instrText>
      </w:r>
      <w:r w:rsidR="00531386" w:rsidRPr="00531386">
        <w:rPr>
          <w:highlight w:val="yellow"/>
        </w:rPr>
        <w:fldChar w:fldCharType="separate"/>
      </w:r>
      <w:r w:rsidR="00531386" w:rsidRPr="00531386">
        <w:rPr>
          <w:rFonts w:ascii="Calibri" w:hAnsi="Calibri" w:cs="Calibri"/>
          <w:kern w:val="0"/>
          <w:highlight w:val="yellow"/>
          <w:vertAlign w:val="superscript"/>
        </w:rPr>
        <w:t>3</w:t>
      </w:r>
      <w:r w:rsidR="00531386" w:rsidRPr="00531386">
        <w:rPr>
          <w:highlight w:val="yellow"/>
        </w:rPr>
        <w:fldChar w:fldCharType="end"/>
      </w:r>
      <w:r w:rsidR="00531386" w:rsidRPr="00531386">
        <w:rPr>
          <w:highlight w:val="yellow"/>
        </w:rPr>
        <w:t xml:space="preserve"> and under 5MeV proton beams</w:t>
      </w:r>
      <w:r w:rsidR="00531386" w:rsidRPr="00531386">
        <w:rPr>
          <w:highlight w:val="yellow"/>
        </w:rPr>
        <w:fldChar w:fldCharType="begin"/>
      </w:r>
      <w:r w:rsidR="00531386" w:rsidRPr="00531386">
        <w:rPr>
          <w:highlight w:val="yellow"/>
        </w:rPr>
        <w:instrText xml:space="preserve"> ADDIN ZOTERO_ITEM CSL_CITATION {"citationID":"XI3fbwix","properties":{"formattedCitation":"\\super 4\\nosupersub{}","plainCitation":"4","noteIndex":0},"citationItems":[{"id":1360,"uris":["http://zotero.org/users/local/YGmjVQgx/items/Y36BND99"],"itemData":{"id":1360,"type":"article-journal","abstract":"Hybrid organic–inorganic perovskites have emerged as promising materials for ionizing radiation detection due to their excellent optoelectronic properties, ease of performance tunability, and fabrication onto flexible substrates. In this study, we compare two device architectures, planar and stacked, for the direct detection of 5 MeV protons using thin films of 2D perovskite PEA2PbBr4 (PEA = C6H5C2H4NH3+). We demonstrate that the stacked configuration, with a vertical electric field across the perovskite layer, enables superior charge collection and significantly enhances detection performance compared to the lateral planar geometry. Proton irradiation experiments conducted over a wide range of fluxes (108–1010 H+ cm−2 s−1) confirm the improved sensitivity, reproducibility, and long-term operational stability of the stacked devices, particularly for thinner active films where morphological uniformity is higher. Additionally, stacked detectors exhibit a stable and energy-independent response across the tested energy range (3, 4, and 5 MeV), indicating efficient charge transport and collection mechanisms, irrespective of the proton linear energy transfer. These results emphasize the key role of device geometry and highlight how the stacked configuration is a robust and scalable solution for next-generation proton dosimeters.","container-title":"Small","DOI":"10.1002/smll.202512236","ISSN":"1613-6829","issue":"n/a","language":"en","license":"© 2026 The Author(s). Small published by Wiley-VCH GmbH","note":"_eprint: https://onlinelibrary.wiley.com/doi/pdf/10.1002/smll.202512236","page":"e12236","source":"Wiley Online Library","title":"Impact of Device Architecture on Proton Detection Efficiency in 2D Perovskite Thick Film Detectors","volume":"n/a","author":[{"family":"Napolitano","given":"Giulia"},{"family":"Cepić","given":"Sara"},{"family":"Fratelli","given":"Ilaria"},{"family":"Chiari","given":"Massimo"},{"family":"Fraboni","given":"Beatrice"},{"family":"Basiricò","given":"Laura"}]}}],"schema":"https://github.com/citation-style-language/schema/raw/master/csl-citation.json"} </w:instrText>
      </w:r>
      <w:r w:rsidR="00531386" w:rsidRPr="00531386">
        <w:rPr>
          <w:highlight w:val="yellow"/>
        </w:rPr>
        <w:fldChar w:fldCharType="separate"/>
      </w:r>
      <w:r w:rsidR="00531386" w:rsidRPr="00531386">
        <w:rPr>
          <w:rFonts w:ascii="Calibri" w:hAnsi="Calibri" w:cs="Calibri"/>
          <w:kern w:val="0"/>
          <w:highlight w:val="yellow"/>
          <w:vertAlign w:val="superscript"/>
        </w:rPr>
        <w:t>4</w:t>
      </w:r>
      <w:r w:rsidR="00531386" w:rsidRPr="00531386">
        <w:rPr>
          <w:highlight w:val="yellow"/>
        </w:rPr>
        <w:fldChar w:fldCharType="end"/>
      </w:r>
      <w:r w:rsidR="00531386" w:rsidRPr="00531386">
        <w:rPr>
          <w:highlight w:val="yellow"/>
        </w:rPr>
        <w:t>.</w:t>
      </w:r>
      <w:r w:rsidR="00531386">
        <w:t xml:space="preserve"> </w:t>
      </w:r>
      <w:r w:rsidR="00531055">
        <w:t xml:space="preserve"> </w:t>
      </w:r>
      <w:r w:rsidR="006C61A8" w:rsidRPr="00ED7D42">
        <w:rPr>
          <w:highlight w:val="yellow"/>
        </w:rPr>
        <w:t>In general, g</w:t>
      </w:r>
      <w:r w:rsidR="00531055" w:rsidRPr="00ED7D42">
        <w:rPr>
          <w:highlight w:val="yellow"/>
        </w:rPr>
        <w:t>old is considered a good electrical contact for perovskites</w:t>
      </w:r>
      <w:r w:rsidR="006C45C0">
        <w:rPr>
          <w:highlight w:val="yellow"/>
        </w:rPr>
        <w:t>;</w:t>
      </w:r>
      <w:r w:rsidR="00531055" w:rsidRPr="00ED7D42">
        <w:rPr>
          <w:highlight w:val="yellow"/>
        </w:rPr>
        <w:t xml:space="preserve"> however</w:t>
      </w:r>
      <w:r w:rsidR="006C45C0">
        <w:rPr>
          <w:highlight w:val="yellow"/>
        </w:rPr>
        <w:t>,</w:t>
      </w:r>
      <w:r w:rsidR="00531055" w:rsidRPr="00ED7D42">
        <w:rPr>
          <w:highlight w:val="yellow"/>
        </w:rPr>
        <w:t xml:space="preserve"> it is known to diffuse in</w:t>
      </w:r>
      <w:r w:rsidR="006C45C0">
        <w:rPr>
          <w:highlight w:val="yellow"/>
        </w:rPr>
        <w:t>to</w:t>
      </w:r>
      <w:r w:rsidR="00531055" w:rsidRPr="00ED7D42">
        <w:rPr>
          <w:highlight w:val="yellow"/>
        </w:rPr>
        <w:t xml:space="preserve"> </w:t>
      </w:r>
      <w:r w:rsidR="00ED7D42" w:rsidRPr="00ED7D42">
        <w:rPr>
          <w:highlight w:val="yellow"/>
        </w:rPr>
        <w:t>it</w:t>
      </w:r>
      <w:r w:rsidR="006C45C0">
        <w:rPr>
          <w:highlight w:val="yellow"/>
        </w:rPr>
        <w:t>.</w:t>
      </w:r>
      <w:r w:rsidR="00531055" w:rsidRPr="00ED7D42">
        <w:rPr>
          <w:highlight w:val="yellow"/>
        </w:rPr>
        <w:fldChar w:fldCharType="begin"/>
      </w:r>
      <w:r w:rsidR="00531055" w:rsidRPr="00ED7D42">
        <w:rPr>
          <w:highlight w:val="yellow"/>
        </w:rPr>
        <w:instrText xml:space="preserve"> ADDIN ZOTERO_ITEM CSL_CITATION {"citationID":"AjVnBVUp","properties":{"formattedCitation":"\\super 12\\uc0\\u8211{}14\\nosupersub{}","plainCitation":"12–14","noteIndex":0},"citationItems":[{"id":1411,"uris":["http://zotero.org/users/local/YGmjVQgx/items/FAKDTICS"],"itemData":{"id":1411,"type":"article-journal","abstract":"The constituent ions of halide perovskite materials are mobile in the solid state and known to participate in reduction/oxidation reactions. Yet few parameters related to electrochemical processes occurring within devices have been carefully determined. Here, we characterize such reactions in model MAPbI3 perovskite devices, and we quantify threshold voltages for key reactions. Gold is oxidized and mobilized under nitrogen, in the dark, at the MAPbI3/Au interface at 0.8 V. When this interface is buffered with the organic hole transport material (HTM), 2,2′,7,7′-tetrakis(N,N-di-p-methoxyphenylamino)-9,9′-spirobifluorene, MAPbI3 begins to degrade at 1.2 V; degradation liberates ions that subsequently enable Au migration. Thresholds are insensitive to MAPbI3 thickness or choice of organic HTM or oxide cathode, which suggests that these reactions are driven electrochemically; the electric field across the device is less important. These results have profound implications for understanding in operando degradation pathways of optoelectronic perovskite devices that are varied in terms of interface structures, active material compositions, and ranges of external stressors.","container-title":"ACS Energy Letters","DOI":"10.1021/acsenergylett.0c01805","issue":"11","journalAbbreviation":"ACS Energy Lett.","page":"3352-3356","publisher":"American Chemical Society","source":"ACS Publications","title":"Low Threshold Voltages Electrochemically Drive Gold Migration in Halide Perovskite Devices","volume":"5","author":[{"family":"Kerner","given":"Ross A."},{"family":"Zhao","given":"Lianfeng"},{"family":"Harvey","given":"Steven P."},{"family":"Berry","given":"Joseph J."},{"family":"Schwartz","given":"Jeffrey"},{"family":"Rand","given":"Barry P."}],"issued":{"date-parts":[["2020",11,13]]}}},{"id":1415,"uris":["http://zotero.org/users/local/YGmjVQgx/items/4QBUPPNP"],"itemData":{"id":1415,"type":"article-journal","abstract":"Perovskite solar cells (PSCs) have now achieved efficiencies in excess of 22%, but very little is known about their long-term stability under thermal stress. So far, stability reports have hinted at the importance of substituting the organic components, but little attention has been given to the metal contact. We investigated the stability of state-of-the-art PSCs with efficiencies exceeding 20%. Remarkably, we found that exposing PSCs to a temperature of 70 °C is enough to induce gold migration through the hole-transporting layer (HTL), spiro-MeOTAD, and into the perovskite material, which in turn severely affects the device performance metrics under working conditions. Importantly, we found that the main cause of irreversible degradation is not due to decomposition of the organic and hybrid perovskite layers. By introducing a Cr metal interlayer between the HTL and gold electrode, high-temperature-induced irreversible long-term losses are avoided. This key finding is essential in the quest for achieving high efficiency, long-term stable PSCs which, in order to be commercially viable, need to withstand hard thermal stress tests.","container-title":"ACS Nano","DOI":"10.1021/acsnano.6b02613","ISSN":"1936-0851","issue":"6","journalAbbreviation":"ACS Nano","page":"6306-6314","publisher":"American Chemical Society","source":"ACS Publications","title":"Not All That Glitters Is Gold: Metal-Migration-Induced Degradation in Perovskite Solar Cells","title-short":"Not All That Glitters Is Gold","volume":"10","author":[{"family":"Domanski","given":"Konrad"},{"family":"Correa-Baena","given":"Juan-Pablo"},{"family":"Mine","given":"Nicolas"},{"family":"Nazeeruddin","given":"Mohammad Khaja"},{"family":"Abate","given":"Antonio"},{"family":"Saliba","given":"Michael"},{"family":"Tress","given":"Wolfgang"},{"family":"Hagfeldt","given":"Anders"},{"family":"Grätzel","given":"Michael"}],"issued":{"date-parts":[["2016",6,28]]}}},{"id":1417,"uris":["http://zotero.org/users/local/YGmjVQgx/items/ZL9VQQUL"],"itemData":{"id":1417,"type":"article-journal","abstract":"Impressive progress in halide perovskite solar cells motivates further work to improve operating stability. It is known that ion-migration-driven decomposition represents a degradation pathway in perovskite solar cells and that it can occur within the perovskite material even in well-encapsulated devices. Here we find that quasi-two-dimensional (2.5D) perovskites suppress this ion-migration-induced degradation. Using TOF-SIMS, we confirm that iodide migration occurs in bulk perovskite photovoltaic devices operating at their maximum power point (MPP). We observe that iodine ions migrate across the spiro-OMeTAD layer to the spiro/gold contact interface, oxidizing and deteriorating the gold at the interface. In contrast, we find that large ⟨n⟩ 2.5D perovskites exhibit a significantly reduced rate of ion migration compared to 3D devices and exhibit less than 1% relative PCE loss in over 80 h of continuous operation at MPP, whereas the PCE of 3D devices diminishes by more than 50% within the first 24 h.","container-title":"ACS Energy Letters","DOI":"10.1021/acsenergylett.9b00892","issue":"7","journalAbbreviation":"ACS Energy Lett.","page":"1521-1527","publisher":"American Chemical Society","source":"ACS Publications","title":"Suppressed Ion Migration in Reduced-Dimensional Perovskites Improves Operating Stability","volume":"4","author":[{"family":"Huang","given":"Ziru"},{"family":"Proppe","given":"Andrew H."},{"family":"Tan","given":"Hairen"},{"family":"Saidaminov","given":"Makhsud I."},{"family":"Tan","given":"Furui"},{"family":"Mei","given":"Anyi"},{"family":"Tan","given":"Chih-Shan"},{"family":"Wei","given":"Mingyang"},{"family":"Hou","given":"Yi"},{"family":"Han","given":"Hongwei"},{"family":"Kelley","given":"Shana O."},{"family":"Sargent","given":"Edward H."}],"issued":{"date-parts":[["2019",7,12]]}}}],"schema":"https://github.com/citation-style-language/schema/raw/master/csl-citation.json"} </w:instrText>
      </w:r>
      <w:r w:rsidR="00531055" w:rsidRPr="00ED7D42">
        <w:rPr>
          <w:highlight w:val="yellow"/>
        </w:rPr>
        <w:fldChar w:fldCharType="separate"/>
      </w:r>
      <w:r w:rsidR="00531055" w:rsidRPr="00ED7D42">
        <w:rPr>
          <w:rFonts w:ascii="Aptos" w:hAnsi="Aptos" w:cs="Times New Roman"/>
          <w:kern w:val="0"/>
          <w:highlight w:val="yellow"/>
          <w:vertAlign w:val="superscript"/>
        </w:rPr>
        <w:t>12–14</w:t>
      </w:r>
      <w:r w:rsidR="00531055" w:rsidRPr="00ED7D42">
        <w:rPr>
          <w:highlight w:val="yellow"/>
        </w:rPr>
        <w:fldChar w:fldCharType="end"/>
      </w:r>
      <w:r w:rsidR="00531055" w:rsidRPr="00ED7D42">
        <w:rPr>
          <w:highlight w:val="yellow"/>
        </w:rPr>
        <w:t xml:space="preserve"> </w:t>
      </w:r>
      <w:r w:rsidR="006C45C0">
        <w:rPr>
          <w:highlight w:val="yellow"/>
        </w:rPr>
        <w:t>T</w:t>
      </w:r>
      <w:r w:rsidR="00531055" w:rsidRPr="00ED7D42">
        <w:rPr>
          <w:highlight w:val="yellow"/>
        </w:rPr>
        <w:t xml:space="preserve">herefore, </w:t>
      </w:r>
      <w:r w:rsidR="006C61A8" w:rsidRPr="00ED7D42">
        <w:rPr>
          <w:highlight w:val="yellow"/>
        </w:rPr>
        <w:t xml:space="preserve">the authors suggest </w:t>
      </w:r>
      <w:r w:rsidR="006C45C0">
        <w:rPr>
          <w:highlight w:val="yellow"/>
        </w:rPr>
        <w:t>preferring</w:t>
      </w:r>
      <w:r w:rsidR="006C61A8" w:rsidRPr="00ED7D42">
        <w:rPr>
          <w:highlight w:val="yellow"/>
        </w:rPr>
        <w:t xml:space="preserve"> other electrode materials when </w:t>
      </w:r>
      <w:r w:rsidR="00ED7D42" w:rsidRPr="00ED7D42">
        <w:rPr>
          <w:highlight w:val="yellow"/>
        </w:rPr>
        <w:t>dealing with operative devices.</w:t>
      </w:r>
      <w:r w:rsidR="00531055" w:rsidRPr="00ED7D42">
        <w:t xml:space="preserve"> </w:t>
      </w:r>
    </w:p>
    <w:p w14:paraId="63B8D2E3" w14:textId="56D2E6CA" w:rsidR="00666F72" w:rsidRPr="00B41D95" w:rsidRDefault="00366FAD" w:rsidP="00B41D95">
      <w:pPr>
        <w:jc w:val="both"/>
        <w:rPr>
          <w:b/>
          <w:bCs/>
          <w:lang w:val="en-US"/>
        </w:rPr>
      </w:pPr>
      <w:r w:rsidRPr="00B41D95">
        <w:rPr>
          <w:sz w:val="24"/>
          <w:szCs w:val="24"/>
        </w:rPr>
        <w:t xml:space="preserve">The average stoichiometry of samples is </w:t>
      </w:r>
      <w:r w:rsidR="00666F72" w:rsidRPr="00B41D95">
        <w:rPr>
          <w:sz w:val="24"/>
          <w:szCs w:val="24"/>
          <w:lang w:val="en-US"/>
        </w:rPr>
        <w:t>0.</w:t>
      </w:r>
      <w:r w:rsidRPr="00B41D95">
        <w:rPr>
          <w:sz w:val="24"/>
          <w:szCs w:val="24"/>
          <w:lang w:val="en-US"/>
        </w:rPr>
        <w:t>69</w:t>
      </w:r>
      <w:r w:rsidR="006C45C0">
        <w:rPr>
          <w:sz w:val="24"/>
          <w:szCs w:val="24"/>
          <w:lang w:val="en-US"/>
        </w:rPr>
        <w:t xml:space="preserve"> </w:t>
      </w:r>
      <w:r w:rsidR="00625B40" w:rsidRPr="00625B40">
        <w:rPr>
          <w:rFonts w:cstheme="minorHAnsi"/>
          <w:sz w:val="24"/>
          <w:szCs w:val="24"/>
          <w:highlight w:val="yellow"/>
          <w:lang w:val="en-US"/>
        </w:rPr>
        <w:t>±</w:t>
      </w:r>
      <w:r w:rsidR="006C45C0">
        <w:rPr>
          <w:rFonts w:cstheme="minorHAnsi"/>
          <w:sz w:val="24"/>
          <w:szCs w:val="24"/>
          <w:highlight w:val="yellow"/>
          <w:lang w:val="en-US"/>
        </w:rPr>
        <w:t xml:space="preserve"> </w:t>
      </w:r>
      <w:r w:rsidR="00625B40" w:rsidRPr="00625B40">
        <w:rPr>
          <w:sz w:val="24"/>
          <w:szCs w:val="24"/>
          <w:highlight w:val="yellow"/>
          <w:lang w:val="en-US"/>
        </w:rPr>
        <w:t>0.02</w:t>
      </w:r>
      <w:r w:rsidRPr="00B41D95">
        <w:rPr>
          <w:sz w:val="24"/>
          <w:szCs w:val="24"/>
          <w:lang w:val="en-US"/>
        </w:rPr>
        <w:t xml:space="preserve"> for sample C and </w:t>
      </w:r>
      <w:r w:rsidR="00666F72" w:rsidRPr="00B41D95">
        <w:rPr>
          <w:sz w:val="24"/>
          <w:szCs w:val="24"/>
          <w:lang w:val="en-US"/>
        </w:rPr>
        <w:t>0.66</w:t>
      </w:r>
      <w:r w:rsidR="006C45C0">
        <w:rPr>
          <w:sz w:val="24"/>
          <w:szCs w:val="24"/>
          <w:lang w:val="en-US"/>
        </w:rPr>
        <w:t xml:space="preserve"> </w:t>
      </w:r>
      <w:r w:rsidR="00625B40" w:rsidRPr="00625B40">
        <w:rPr>
          <w:rFonts w:cstheme="minorHAnsi"/>
          <w:sz w:val="24"/>
          <w:szCs w:val="24"/>
          <w:highlight w:val="yellow"/>
          <w:lang w:val="en-US"/>
        </w:rPr>
        <w:t>±</w:t>
      </w:r>
      <w:r w:rsidR="006C45C0">
        <w:rPr>
          <w:rFonts w:cstheme="minorHAnsi"/>
          <w:sz w:val="24"/>
          <w:szCs w:val="24"/>
          <w:highlight w:val="yellow"/>
          <w:lang w:val="en-US"/>
        </w:rPr>
        <w:t xml:space="preserve"> </w:t>
      </w:r>
      <w:r w:rsidR="00625B40" w:rsidRPr="00625B40">
        <w:rPr>
          <w:sz w:val="24"/>
          <w:szCs w:val="24"/>
          <w:highlight w:val="yellow"/>
          <w:lang w:val="en-US"/>
        </w:rPr>
        <w:t>0.02</w:t>
      </w:r>
      <w:bookmarkStart w:id="0" w:name="_GoBack"/>
      <w:bookmarkEnd w:id="0"/>
      <w:r w:rsidRPr="00B41D95">
        <w:rPr>
          <w:sz w:val="24"/>
          <w:szCs w:val="24"/>
          <w:lang w:val="en-US"/>
        </w:rPr>
        <w:t xml:space="preserve"> for sample D</w:t>
      </w:r>
      <w:r w:rsidRPr="00B41D95">
        <w:rPr>
          <w:b/>
          <w:bCs/>
          <w:sz w:val="24"/>
          <w:szCs w:val="24"/>
          <w:lang w:val="en-US"/>
        </w:rPr>
        <w:t xml:space="preserve">, </w:t>
      </w:r>
      <w:r w:rsidRPr="00B41D95">
        <w:rPr>
          <w:sz w:val="24"/>
          <w:szCs w:val="24"/>
          <w:lang w:val="en-US"/>
        </w:rPr>
        <w:t>in accordance with the theoretical value of 0.65 for the expected triclinic structure.</w:t>
      </w:r>
    </w:p>
    <w:p w14:paraId="5FBE0AC1" w14:textId="77777777" w:rsidR="00D166C5" w:rsidRPr="00B41D95" w:rsidRDefault="00D166C5" w:rsidP="00B41D95">
      <w:pPr>
        <w:jc w:val="both"/>
        <w:rPr>
          <w:b/>
          <w:bCs/>
          <w:lang w:val="en-US"/>
        </w:rPr>
      </w:pPr>
    </w:p>
    <w:p w14:paraId="1D39618C" w14:textId="77777777" w:rsidR="00D166C5" w:rsidRDefault="00D166C5" w:rsidP="00B41D95">
      <w:pPr>
        <w:jc w:val="both"/>
        <w:rPr>
          <w:b/>
          <w:bCs/>
          <w:lang w:val="en-US"/>
        </w:rPr>
      </w:pPr>
    </w:p>
    <w:p w14:paraId="52EB8797" w14:textId="77777777" w:rsidR="003C21DB" w:rsidRPr="00B41D95" w:rsidRDefault="003C21DB" w:rsidP="00B41D95">
      <w:pPr>
        <w:jc w:val="both"/>
        <w:rPr>
          <w:b/>
          <w:bCs/>
          <w:lang w:val="en-US"/>
        </w:rPr>
      </w:pPr>
    </w:p>
    <w:p w14:paraId="3001DBB8" w14:textId="5BBEECA4" w:rsidR="00817130" w:rsidRPr="00B41D95" w:rsidRDefault="00480742" w:rsidP="00B41D95">
      <w:pPr>
        <w:jc w:val="both"/>
        <w:rPr>
          <w:b/>
          <w:bCs/>
          <w:lang w:val="en-US"/>
        </w:rPr>
      </w:pPr>
      <w:r w:rsidRPr="00B41D95">
        <w:rPr>
          <w:b/>
          <w:bCs/>
          <w:lang w:val="en-US"/>
        </w:rPr>
        <w:lastRenderedPageBreak/>
        <w:t>GIWAXS</w:t>
      </w:r>
    </w:p>
    <w:p w14:paraId="16C4AC7E" w14:textId="10473ABA" w:rsidR="00133CAE" w:rsidRPr="00B41D95" w:rsidRDefault="00133CAE" w:rsidP="00B41D95">
      <w:pPr>
        <w:keepNext/>
        <w:jc w:val="both"/>
      </w:pPr>
      <w:r w:rsidRPr="00B41D95">
        <w:rPr>
          <w:noProof/>
          <w:lang w:val="en-US"/>
        </w:rPr>
        <w:drawing>
          <wp:inline distT="0" distB="0" distL="0" distR="0" wp14:anchorId="637E58A2" wp14:editId="6FFC7C01">
            <wp:extent cx="6120130" cy="3550285"/>
            <wp:effectExtent l="0" t="0" r="0" b="0"/>
            <wp:docPr id="1585600404"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600404" name="Picture 1" descr="A screenshot of a graph&#10;&#10;AI-generated content may be incorrect."/>
                    <pic:cNvPicPr/>
                  </pic:nvPicPr>
                  <pic:blipFill>
                    <a:blip r:embed="rId8"/>
                    <a:stretch>
                      <a:fillRect/>
                    </a:stretch>
                  </pic:blipFill>
                  <pic:spPr>
                    <a:xfrm>
                      <a:off x="0" y="0"/>
                      <a:ext cx="6120130" cy="3550285"/>
                    </a:xfrm>
                    <a:prstGeom prst="rect">
                      <a:avLst/>
                    </a:prstGeom>
                  </pic:spPr>
                </pic:pic>
              </a:graphicData>
            </a:graphic>
          </wp:inline>
        </w:drawing>
      </w:r>
    </w:p>
    <w:p w14:paraId="79B18397" w14:textId="00322A4F" w:rsidR="009210EF" w:rsidRPr="00B41D95" w:rsidRDefault="00133CAE" w:rsidP="00B41D95">
      <w:pPr>
        <w:pStyle w:val="Didascalia"/>
        <w:jc w:val="both"/>
        <w:rPr>
          <w:sz w:val="24"/>
          <w:szCs w:val="24"/>
        </w:rPr>
      </w:pPr>
      <w:r w:rsidRPr="00B41D95">
        <w:rPr>
          <w:sz w:val="24"/>
          <w:szCs w:val="24"/>
        </w:rPr>
        <w:t xml:space="preserve">Figure </w:t>
      </w:r>
      <w:r w:rsidR="00DF0C1A" w:rsidRPr="00B41D95">
        <w:rPr>
          <w:sz w:val="24"/>
          <w:szCs w:val="24"/>
        </w:rPr>
        <w:t>S</w:t>
      </w:r>
      <w:r w:rsidR="00080602" w:rsidRPr="00B41D95">
        <w:rPr>
          <w:sz w:val="24"/>
          <w:szCs w:val="24"/>
        </w:rPr>
        <w:t>5</w:t>
      </w:r>
      <w:r w:rsidR="00975736" w:rsidRPr="00B41D95">
        <w:rPr>
          <w:sz w:val="24"/>
          <w:szCs w:val="24"/>
        </w:rPr>
        <w:t xml:space="preserve">: </w:t>
      </w:r>
      <w:r w:rsidR="00857A5A" w:rsidRPr="00B41D95">
        <w:rPr>
          <w:sz w:val="24"/>
          <w:szCs w:val="24"/>
        </w:rPr>
        <w:t>GIWAXS of sample</w:t>
      </w:r>
      <w:r w:rsidR="00E756AB" w:rsidRPr="00B41D95">
        <w:rPr>
          <w:sz w:val="24"/>
          <w:szCs w:val="24"/>
        </w:rPr>
        <w:t xml:space="preserve"> type</w:t>
      </w:r>
      <w:r w:rsidR="00857A5A" w:rsidRPr="00B41D95">
        <w:rPr>
          <w:sz w:val="24"/>
          <w:szCs w:val="24"/>
        </w:rPr>
        <w:t xml:space="preserve"> A at different incident angles (a) 0.04°</w:t>
      </w:r>
      <w:r w:rsidR="005D58C6" w:rsidRPr="00B41D95">
        <w:rPr>
          <w:sz w:val="24"/>
          <w:szCs w:val="24"/>
        </w:rPr>
        <w:t>,</w:t>
      </w:r>
      <w:r w:rsidR="00857A5A" w:rsidRPr="00B41D95">
        <w:rPr>
          <w:sz w:val="24"/>
          <w:szCs w:val="24"/>
        </w:rPr>
        <w:t xml:space="preserve"> (b) 0.10°</w:t>
      </w:r>
      <w:r w:rsidR="005D58C6" w:rsidRPr="00B41D95">
        <w:rPr>
          <w:sz w:val="24"/>
          <w:szCs w:val="24"/>
        </w:rPr>
        <w:t>,</w:t>
      </w:r>
      <w:r w:rsidR="00857A5A" w:rsidRPr="00B41D95">
        <w:rPr>
          <w:sz w:val="24"/>
          <w:szCs w:val="24"/>
        </w:rPr>
        <w:t xml:space="preserve"> (c) 0.16°</w:t>
      </w:r>
      <w:r w:rsidR="005D58C6" w:rsidRPr="00B41D95">
        <w:rPr>
          <w:sz w:val="24"/>
          <w:szCs w:val="24"/>
        </w:rPr>
        <w:t>,</w:t>
      </w:r>
      <w:r w:rsidR="00857A5A" w:rsidRPr="00B41D95">
        <w:rPr>
          <w:sz w:val="24"/>
          <w:szCs w:val="24"/>
        </w:rPr>
        <w:t xml:space="preserve"> (d) 0.22°</w:t>
      </w:r>
      <w:r w:rsidR="005D58C6" w:rsidRPr="00B41D95">
        <w:rPr>
          <w:sz w:val="24"/>
          <w:szCs w:val="24"/>
        </w:rPr>
        <w:t>.</w:t>
      </w:r>
    </w:p>
    <w:p w14:paraId="24F8CD8B" w14:textId="7EFB7904" w:rsidR="001D5471" w:rsidRPr="00B41D95" w:rsidRDefault="001D5471" w:rsidP="00B41D95">
      <w:pPr>
        <w:jc w:val="both"/>
        <w:rPr>
          <w:b/>
          <w:bCs/>
          <w:sz w:val="24"/>
          <w:szCs w:val="24"/>
        </w:rPr>
      </w:pPr>
    </w:p>
    <w:p w14:paraId="39721C47" w14:textId="0CA5F49E" w:rsidR="001D5471" w:rsidRPr="00B41D95" w:rsidRDefault="000F73B4" w:rsidP="00B41D95">
      <w:pPr>
        <w:jc w:val="both"/>
        <w:rPr>
          <w:b/>
          <w:bCs/>
          <w:sz w:val="24"/>
          <w:szCs w:val="24"/>
        </w:rPr>
      </w:pPr>
      <w:r w:rsidRPr="00B41D95">
        <w:rPr>
          <w:b/>
          <w:bCs/>
          <w:sz w:val="24"/>
          <w:szCs w:val="24"/>
        </w:rPr>
        <w:t>E</w:t>
      </w:r>
      <w:r w:rsidR="00F41D19" w:rsidRPr="00B41D95">
        <w:rPr>
          <w:b/>
          <w:bCs/>
          <w:sz w:val="24"/>
          <w:szCs w:val="24"/>
        </w:rPr>
        <w:t xml:space="preserve">xperimental setup for XBIC and XRF at ESRF ID16b beamline </w:t>
      </w:r>
    </w:p>
    <w:p w14:paraId="2EA3AE3E" w14:textId="77777777" w:rsidR="0035127B" w:rsidRPr="00B41D95" w:rsidRDefault="0035127B" w:rsidP="00B41D95">
      <w:pPr>
        <w:jc w:val="both"/>
        <w:rPr>
          <w:b/>
          <w:bCs/>
          <w:sz w:val="24"/>
          <w:szCs w:val="24"/>
        </w:rPr>
      </w:pPr>
      <w:r w:rsidRPr="00B41D95">
        <w:rPr>
          <w:b/>
          <w:bCs/>
          <w:noProof/>
          <w:sz w:val="24"/>
          <w:szCs w:val="24"/>
        </w:rPr>
        <w:drawing>
          <wp:inline distT="0" distB="0" distL="0" distR="0" wp14:anchorId="541E144B" wp14:editId="6DFBA643">
            <wp:extent cx="5158740" cy="3059708"/>
            <wp:effectExtent l="0" t="0" r="3810" b="7620"/>
            <wp:docPr id="22" name="Picture 21" descr="A diagram of a detector&#10;&#10;AI-generated content may be incorrect.">
              <a:extLst xmlns:a="http://schemas.openxmlformats.org/drawingml/2006/main">
                <a:ext uri="{FF2B5EF4-FFF2-40B4-BE49-F238E27FC236}">
                  <a16:creationId xmlns:a16="http://schemas.microsoft.com/office/drawing/2014/main" id="{594CD6FC-AC7D-21AC-3362-04F88BBC80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descr="A diagram of a detector&#10;&#10;AI-generated content may be incorrect.">
                      <a:extLst>
                        <a:ext uri="{FF2B5EF4-FFF2-40B4-BE49-F238E27FC236}">
                          <a16:creationId xmlns:a16="http://schemas.microsoft.com/office/drawing/2014/main" id="{594CD6FC-AC7D-21AC-3362-04F88BBC80AD}"/>
                        </a:ext>
                      </a:extLst>
                    </pic:cNvPr>
                    <pic:cNvPicPr>
                      <a:picLocks noChangeAspect="1"/>
                    </pic:cNvPicPr>
                  </pic:nvPicPr>
                  <pic:blipFill rotWithShape="1">
                    <a:blip r:embed="rId9"/>
                    <a:srcRect t="8653" b="5831"/>
                    <a:stretch>
                      <a:fillRect/>
                    </a:stretch>
                  </pic:blipFill>
                  <pic:spPr bwMode="auto">
                    <a:xfrm>
                      <a:off x="0" y="0"/>
                      <a:ext cx="5165527" cy="3063733"/>
                    </a:xfrm>
                    <a:prstGeom prst="rect">
                      <a:avLst/>
                    </a:prstGeom>
                    <a:ln>
                      <a:noFill/>
                    </a:ln>
                    <a:extLst>
                      <a:ext uri="{53640926-AAD7-44D8-BBD7-CCE9431645EC}">
                        <a14:shadowObscured xmlns:a14="http://schemas.microsoft.com/office/drawing/2010/main"/>
                      </a:ext>
                    </a:extLst>
                  </pic:spPr>
                </pic:pic>
              </a:graphicData>
            </a:graphic>
          </wp:inline>
        </w:drawing>
      </w:r>
    </w:p>
    <w:p w14:paraId="46097B09" w14:textId="43361F72" w:rsidR="0035127B" w:rsidRPr="00B41D95" w:rsidRDefault="00263F73" w:rsidP="00B41D95">
      <w:pPr>
        <w:pStyle w:val="Didascalia"/>
        <w:rPr>
          <w:sz w:val="24"/>
          <w:szCs w:val="24"/>
        </w:rPr>
      </w:pPr>
      <w:r w:rsidRPr="00B41D95">
        <w:rPr>
          <w:sz w:val="24"/>
          <w:szCs w:val="24"/>
        </w:rPr>
        <w:t>Figure S6: Experimental setup for XRF and XBIC maps used in the ID16b beamline at ESRF</w:t>
      </w:r>
    </w:p>
    <w:p w14:paraId="4081686B" w14:textId="77777777" w:rsidR="00263F73" w:rsidRDefault="00263F73" w:rsidP="00B41D95"/>
    <w:p w14:paraId="2A8CEC27" w14:textId="77777777" w:rsidR="003C21DB" w:rsidRPr="00B41D95" w:rsidRDefault="003C21DB" w:rsidP="00B41D95"/>
    <w:p w14:paraId="0F410B6B" w14:textId="47A306EC" w:rsidR="00397634" w:rsidRPr="00B41D95" w:rsidRDefault="00080602" w:rsidP="00B41D95">
      <w:pPr>
        <w:jc w:val="both"/>
        <w:rPr>
          <w:b/>
          <w:bCs/>
          <w:sz w:val="24"/>
          <w:szCs w:val="24"/>
        </w:rPr>
      </w:pPr>
      <w:r w:rsidRPr="00B41D95">
        <w:rPr>
          <w:b/>
          <w:bCs/>
          <w:sz w:val="24"/>
          <w:szCs w:val="24"/>
        </w:rPr>
        <w:lastRenderedPageBreak/>
        <w:t xml:space="preserve">Simultaneous XRF and XBIC nano-mapping </w:t>
      </w:r>
    </w:p>
    <w:p w14:paraId="4D5FBC78" w14:textId="4979C621" w:rsidR="00397634" w:rsidRPr="00B41D95" w:rsidRDefault="00397634" w:rsidP="00B41D95">
      <w:pPr>
        <w:jc w:val="both"/>
      </w:pPr>
      <w:r w:rsidRPr="00B41D95">
        <w:rPr>
          <w:sz w:val="24"/>
          <w:szCs w:val="24"/>
        </w:rPr>
        <w:t>XBIC maps do not provide a quantitative analysis of the collected charges. Moreover, in morphologically inhomogeneous samples, relevant transport data can be hidden in the difference in absorption of the material. Therefore</w:t>
      </w:r>
      <w:r w:rsidR="00E74885" w:rsidRPr="00B41D95">
        <w:rPr>
          <w:sz w:val="24"/>
          <w:szCs w:val="24"/>
        </w:rPr>
        <w:t>,</w:t>
      </w:r>
      <w:r w:rsidRPr="00B41D95">
        <w:rPr>
          <w:sz w:val="24"/>
          <w:szCs w:val="24"/>
        </w:rPr>
        <w:t xml:space="preserve"> here we followed the procedure described by </w:t>
      </w:r>
      <w:proofErr w:type="spellStart"/>
      <w:r w:rsidRPr="00B7526D">
        <w:rPr>
          <w:sz w:val="24"/>
          <w:szCs w:val="24"/>
        </w:rPr>
        <w:t>Ossig</w:t>
      </w:r>
      <w:proofErr w:type="spellEnd"/>
      <w:r w:rsidRPr="00B7526D">
        <w:rPr>
          <w:sz w:val="24"/>
          <w:szCs w:val="24"/>
        </w:rPr>
        <w:t xml:space="preserve"> et al.</w:t>
      </w:r>
      <w:r w:rsidRPr="00B41D95">
        <w:fldChar w:fldCharType="begin"/>
      </w:r>
      <w:r w:rsidR="00531386">
        <w:instrText xml:space="preserve"> ADDIN ZOTERO_ITEM CSL_CITATION {"citationID":"P8CHz3vm","properties":{"formattedCitation":"\\super 5\\nosupersub{}","plainCitation":"5","noteIndex":0},"citationItems":[{"id":281,"uris":["http://zotero.org/users/local/YGmjVQgx/items/MYIFITYD"],"itemData":{"id":281,"type":"article-journal","abstract":"X-ray beam induced current (XBIC) measurements allow mapping of the nanoscale performance of electronic devices such as solar cells. Ideally, XBIC is employed simultaneously with other techniques within a multi-modal X-ray microscopy approach. An example is given herein combining XBIC with X-ray fluorescence to enable point-by-point correlations of the electrical performance with chemical composition. For the highest signal-to-noise ratio in XBIC measurements, lock-in amplification plays a crucial role. By this approach, the X-ray beam is modulated by an optical chopper upstream of the sample. The modulated X-ray beam induced electrical signal is amplified and demodulated to the chopper frequency using a lock-in amplifier. By optimizing low-pass filter settings, modulation frequency, and amplification amplitudes, noise can efficiently be suppressed for the extraction of a clear XBIC signal. A similar setup can be used to measure the X-ray beam induced voltage (XBIV). Beyond standard XBIC/XBIV measurements, XBIC can be measured with bias light or bias voltage applied such that outdoor working conditions of solar cells can be reproduced during in-situ and operando measurements. Ultimately, the multi-modal and multi-dimensional evaluation of electronic devices at the nanoscale enables new insights into the complex dependencies between composition, structure, and performance, which is an important step towards solving the materials' paradigm.","container-title":"Journal of Visualized Experiments","DOI":"10.3791/60001","ISSN":"1940-087X","issue":"150","journalAbbreviation":"JoVE","language":"en","page":"60001","source":"DOI.org (Crossref)","title":"X-ray Beam Induced Current Measurements for Multi-Modal X-ray Microscopy of Solar Cells","author":[{"family":"Ossig","given":"Christina"},{"family":"Nietzold","given":"Tara"},{"family":"West","given":"Bradley"},{"family":"Bertoni","given":"Mariana"},{"family":"Falkenberg","given":"Gerald"},{"family":"Schroer","given":"Christian  G."},{"family":"Stuckelberger","given":"Michael E."}],"issued":{"date-parts":[["2019",8,20]]}}}],"schema":"https://github.com/citation-style-language/schema/raw/master/csl-citation.json"} </w:instrText>
      </w:r>
      <w:r w:rsidRPr="00B41D95">
        <w:fldChar w:fldCharType="separate"/>
      </w:r>
      <w:r w:rsidR="00531386" w:rsidRPr="00531386">
        <w:rPr>
          <w:rFonts w:ascii="Calibri" w:hAnsi="Calibri" w:cs="Calibri"/>
          <w:kern w:val="0"/>
          <w:vertAlign w:val="superscript"/>
        </w:rPr>
        <w:t>5</w:t>
      </w:r>
      <w:r w:rsidRPr="00B41D95">
        <w:fldChar w:fldCharType="end"/>
      </w:r>
      <w:r w:rsidRPr="00B41D95">
        <w:t xml:space="preserve">. </w:t>
      </w:r>
    </w:p>
    <w:p w14:paraId="6CCE3510" w14:textId="1142BEF1" w:rsidR="00397634" w:rsidRPr="00B7526D" w:rsidRDefault="00397634" w:rsidP="00B41D95">
      <w:pPr>
        <w:jc w:val="both"/>
        <w:rPr>
          <w:rFonts w:cstheme="minorHAnsi"/>
          <w:sz w:val="24"/>
          <w:szCs w:val="24"/>
        </w:rPr>
      </w:pPr>
      <w:r w:rsidRPr="00B7526D">
        <w:rPr>
          <w:rFonts w:cstheme="minorHAnsi"/>
          <w:sz w:val="24"/>
          <w:szCs w:val="24"/>
        </w:rPr>
        <w:t>Each point of the raw XBIC (</w:t>
      </w:r>
      <w:proofErr w:type="spellStart"/>
      <w:r w:rsidRPr="00B7526D">
        <w:rPr>
          <w:rFonts w:cstheme="minorHAnsi"/>
          <w:i/>
          <w:iCs/>
          <w:sz w:val="24"/>
          <w:szCs w:val="24"/>
        </w:rPr>
        <w:t>XBIC</w:t>
      </w:r>
      <w:r w:rsidRPr="00B7526D">
        <w:rPr>
          <w:rFonts w:cstheme="minorHAnsi"/>
          <w:i/>
          <w:iCs/>
          <w:sz w:val="24"/>
          <w:szCs w:val="24"/>
          <w:vertAlign w:val="subscript"/>
        </w:rPr>
        <w:t>raw</w:t>
      </w:r>
      <w:proofErr w:type="spellEnd"/>
      <w:r w:rsidRPr="00B7526D">
        <w:rPr>
          <w:rFonts w:cstheme="minorHAnsi"/>
          <w:sz w:val="24"/>
          <w:szCs w:val="24"/>
        </w:rPr>
        <w:t>) signal was corrected for topological variations</w:t>
      </w:r>
      <w:r w:rsidR="00E74885" w:rsidRPr="00B7526D">
        <w:rPr>
          <w:rFonts w:cstheme="minorHAnsi"/>
          <w:sz w:val="24"/>
          <w:szCs w:val="24"/>
        </w:rPr>
        <w:t>,</w:t>
      </w:r>
      <w:r w:rsidRPr="00B7526D">
        <w:rPr>
          <w:rFonts w:cstheme="minorHAnsi"/>
          <w:sz w:val="24"/>
          <w:szCs w:val="24"/>
        </w:rPr>
        <w:t xml:space="preserve"> exploiting the simultaneous XRF measurements</w:t>
      </w:r>
    </w:p>
    <w:p w14:paraId="3DD68F1D" w14:textId="77777777" w:rsidR="00397634" w:rsidRPr="00B7526D" w:rsidRDefault="00397634" w:rsidP="00B41D95">
      <w:pPr>
        <w:jc w:val="both"/>
        <w:rPr>
          <w:rFonts w:eastAsiaTheme="minorEastAsia" w:cstheme="minorHAnsi"/>
          <w:sz w:val="24"/>
          <w:szCs w:val="24"/>
        </w:rPr>
      </w:pPr>
      <m:oMathPara>
        <m:oMath>
          <m:r>
            <w:rPr>
              <w:rFonts w:ascii="Cambria Math" w:hAnsi="Cambria Math" w:cstheme="minorHAnsi"/>
              <w:sz w:val="24"/>
              <w:szCs w:val="24"/>
            </w:rPr>
            <m:t>XBIC=</m:t>
          </m:r>
          <m:f>
            <m:fPr>
              <m:ctrlPr>
                <w:rPr>
                  <w:rFonts w:ascii="Cambria Math" w:eastAsiaTheme="minorEastAsia" w:hAnsi="Cambria Math" w:cstheme="minorHAnsi"/>
                  <w:i/>
                  <w:sz w:val="24"/>
                  <w:szCs w:val="24"/>
                </w:rPr>
              </m:ctrlPr>
            </m:fPr>
            <m:num>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XBIC</m:t>
                  </m:r>
                </m:e>
                <m:sub>
                  <m:r>
                    <w:rPr>
                      <w:rFonts w:ascii="Cambria Math" w:eastAsiaTheme="minorEastAsia" w:hAnsi="Cambria Math" w:cstheme="minorHAnsi"/>
                      <w:sz w:val="24"/>
                      <w:szCs w:val="24"/>
                    </w:rPr>
                    <m:t>raw</m:t>
                  </m:r>
                </m:sub>
              </m:sSub>
              <m:ctrlPr>
                <w:rPr>
                  <w:rFonts w:ascii="Cambria Math" w:hAnsi="Cambria Math" w:cstheme="minorHAnsi"/>
                  <w:i/>
                  <w:sz w:val="24"/>
                  <w:szCs w:val="24"/>
                </w:rPr>
              </m:ctrlPr>
            </m:num>
            <m:den>
              <m:r>
                <w:rPr>
                  <w:rFonts w:ascii="Cambria Math" w:hAnsi="Cambria Math" w:cstheme="minorHAnsi"/>
                  <w:sz w:val="24"/>
                  <w:szCs w:val="24"/>
                </w:rPr>
                <m:t>1-</m:t>
              </m:r>
              <m:r>
                <m:rPr>
                  <m:sty m:val="p"/>
                </m:rPr>
                <w:rPr>
                  <w:rFonts w:ascii="Cambria Math" w:hAnsi="Cambria Math" w:cstheme="minorHAnsi"/>
                  <w:sz w:val="24"/>
                  <w:szCs w:val="24"/>
                </w:rPr>
                <m:t>exp⁡</m:t>
              </m:r>
              <m:r>
                <w:rPr>
                  <w:rFonts w:ascii="Cambria Math" w:hAnsi="Cambria Math" w:cstheme="minorHAnsi"/>
                  <w:sz w:val="24"/>
                  <w:szCs w:val="24"/>
                </w:rPr>
                <m:t>(-</m:t>
              </m:r>
              <m:nary>
                <m:naryPr>
                  <m:chr m:val="∑"/>
                  <m:supHide m:val="1"/>
                  <m:ctrlPr>
                    <w:rPr>
                      <w:rFonts w:ascii="Cambria Math" w:hAnsi="Cambria Math" w:cstheme="minorHAnsi"/>
                      <w:i/>
                      <w:sz w:val="24"/>
                      <w:szCs w:val="24"/>
                    </w:rPr>
                  </m:ctrlPr>
                </m:naryPr>
                <m:sub>
                  <m:r>
                    <w:rPr>
                      <w:rFonts w:ascii="Cambria Math" w:hAnsi="Cambria Math" w:cstheme="minorHAnsi"/>
                      <w:sz w:val="24"/>
                      <w:szCs w:val="24"/>
                    </w:rPr>
                    <m:t>i</m:t>
                  </m:r>
                </m:sub>
                <m:sup/>
                <m:e>
                  <m:sSub>
                    <m:sSubPr>
                      <m:ctrlPr>
                        <w:rPr>
                          <w:rFonts w:ascii="Cambria Math" w:hAnsi="Cambria Math" w:cstheme="minorHAnsi"/>
                          <w:i/>
                          <w:sz w:val="24"/>
                          <w:szCs w:val="24"/>
                        </w:rPr>
                      </m:ctrlPr>
                    </m:sSubPr>
                    <m:e>
                      <m:r>
                        <w:rPr>
                          <w:rFonts w:ascii="Cambria Math" w:hAnsi="Cambria Math" w:cstheme="minorHAnsi"/>
                          <w:sz w:val="24"/>
                          <w:szCs w:val="24"/>
                        </w:rPr>
                        <m:t>α</m:t>
                      </m:r>
                    </m:e>
                    <m:sub>
                      <m:r>
                        <w:rPr>
                          <w:rFonts w:ascii="Cambria Math" w:hAnsi="Cambria Math" w:cstheme="minorHAnsi"/>
                          <w:sz w:val="24"/>
                          <w:szCs w:val="24"/>
                        </w:rPr>
                        <m:t>i</m:t>
                      </m:r>
                    </m:sub>
                  </m:sSub>
                  <m:sSub>
                    <m:sSubPr>
                      <m:ctrlPr>
                        <w:rPr>
                          <w:rFonts w:ascii="Cambria Math" w:hAnsi="Cambria Math" w:cstheme="minorHAnsi"/>
                          <w:i/>
                          <w:sz w:val="24"/>
                          <w:szCs w:val="24"/>
                        </w:rPr>
                      </m:ctrlPr>
                    </m:sSubPr>
                    <m:e>
                      <m:r>
                        <w:rPr>
                          <w:rFonts w:ascii="Cambria Math" w:hAnsi="Cambria Math" w:cstheme="minorHAnsi"/>
                          <w:sz w:val="24"/>
                          <w:szCs w:val="24"/>
                        </w:rPr>
                        <m:t>m</m:t>
                      </m:r>
                    </m:e>
                    <m:sub>
                      <m:r>
                        <w:rPr>
                          <w:rFonts w:ascii="Cambria Math" w:hAnsi="Cambria Math" w:cstheme="minorHAnsi"/>
                          <w:sz w:val="24"/>
                          <w:szCs w:val="24"/>
                        </w:rPr>
                        <m:t>i</m:t>
                      </m:r>
                    </m:sub>
                  </m:sSub>
                  <m:r>
                    <w:rPr>
                      <w:rFonts w:ascii="Cambria Math" w:hAnsi="Cambria Math" w:cstheme="minorHAnsi"/>
                      <w:sz w:val="24"/>
                      <w:szCs w:val="24"/>
                    </w:rPr>
                    <m:t xml:space="preserve">)  </m:t>
                  </m:r>
                </m:e>
              </m:nary>
            </m:den>
          </m:f>
        </m:oMath>
      </m:oMathPara>
    </w:p>
    <w:p w14:paraId="6B3D1F61" w14:textId="77777777" w:rsidR="00397634" w:rsidRPr="00B7526D" w:rsidRDefault="00397634" w:rsidP="00B41D95">
      <w:pPr>
        <w:jc w:val="both"/>
        <w:rPr>
          <w:rFonts w:cstheme="minorHAnsi"/>
          <w:sz w:val="24"/>
          <w:szCs w:val="24"/>
        </w:rPr>
      </w:pPr>
      <w:r w:rsidRPr="00B7526D">
        <w:rPr>
          <w:rFonts w:eastAsiaTheme="minorEastAsia" w:cstheme="minorHAnsi"/>
          <w:sz w:val="24"/>
          <w:szCs w:val="24"/>
        </w:rPr>
        <w:t xml:space="preserve">Where </w:t>
      </w:r>
      <m:oMath>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α</m:t>
            </m:r>
          </m:e>
          <m:sub>
            <m:r>
              <w:rPr>
                <w:rFonts w:ascii="Cambria Math" w:eastAsiaTheme="minorEastAsia" w:hAnsi="Cambria Math" w:cstheme="minorHAnsi"/>
                <w:sz w:val="24"/>
                <w:szCs w:val="24"/>
              </w:rPr>
              <m:t>i</m:t>
            </m:r>
          </m:sub>
        </m:sSub>
        <m:r>
          <w:rPr>
            <w:rFonts w:ascii="Cambria Math" w:eastAsiaTheme="minorEastAsia" w:hAnsi="Cambria Math" w:cstheme="minorHAnsi"/>
            <w:sz w:val="24"/>
            <w:szCs w:val="24"/>
          </w:rPr>
          <m:t>=</m:t>
        </m:r>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μ</m:t>
            </m:r>
          </m:e>
          <m:sub>
            <m:r>
              <w:rPr>
                <w:rFonts w:ascii="Cambria Math" w:eastAsiaTheme="minorEastAsia" w:hAnsi="Cambria Math" w:cstheme="minorHAnsi"/>
                <w:sz w:val="24"/>
                <w:szCs w:val="24"/>
              </w:rPr>
              <m:t>i</m:t>
            </m:r>
          </m:sub>
        </m:sSub>
        <m:r>
          <w:rPr>
            <w:rFonts w:ascii="Cambria Math" w:eastAsiaTheme="minorEastAsia" w:hAnsi="Cambria Math" w:cstheme="minorHAnsi"/>
            <w:sz w:val="24"/>
            <w:szCs w:val="24"/>
          </w:rPr>
          <m:t>/</m:t>
        </m:r>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ρ</m:t>
            </m:r>
          </m:e>
          <m:sub>
            <m:r>
              <w:rPr>
                <w:rFonts w:ascii="Cambria Math" w:eastAsiaTheme="minorEastAsia" w:hAnsi="Cambria Math" w:cstheme="minorHAnsi"/>
                <w:sz w:val="24"/>
                <w:szCs w:val="24"/>
              </w:rPr>
              <m:t>i</m:t>
            </m:r>
          </m:sub>
        </m:sSub>
      </m:oMath>
      <w:r w:rsidRPr="00B7526D">
        <w:rPr>
          <w:rFonts w:eastAsiaTheme="minorEastAsia" w:cstheme="minorHAnsi"/>
          <w:sz w:val="24"/>
          <w:szCs w:val="24"/>
        </w:rPr>
        <w:t xml:space="preserve">is the X-ray attenuation coefficient and </w:t>
      </w:r>
      <m:oMath>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m</m:t>
            </m:r>
          </m:e>
          <m:sub>
            <m:r>
              <w:rPr>
                <w:rFonts w:ascii="Cambria Math" w:eastAsiaTheme="minorEastAsia" w:hAnsi="Cambria Math" w:cstheme="minorHAnsi"/>
                <w:sz w:val="24"/>
                <w:szCs w:val="24"/>
              </w:rPr>
              <m:t>i</m:t>
            </m:r>
          </m:sub>
        </m:sSub>
      </m:oMath>
      <w:r w:rsidRPr="00B7526D">
        <w:rPr>
          <w:rFonts w:eastAsiaTheme="minorEastAsia" w:cstheme="minorHAnsi"/>
          <w:sz w:val="24"/>
          <w:szCs w:val="24"/>
        </w:rPr>
        <w:t xml:space="preserve"> is the mass density of the absorbing element</w:t>
      </w:r>
      <w:r w:rsidRPr="00B7526D">
        <w:rPr>
          <w:rFonts w:eastAsiaTheme="minorEastAsia" w:cstheme="minorHAnsi"/>
          <w:i/>
          <w:iCs/>
          <w:sz w:val="24"/>
          <w:szCs w:val="24"/>
        </w:rPr>
        <w:t xml:space="preserve"> </w:t>
      </w:r>
      <m:oMath>
        <m:r>
          <w:rPr>
            <w:rFonts w:ascii="Cambria Math" w:eastAsiaTheme="minorEastAsia" w:hAnsi="Cambria Math" w:cstheme="minorHAnsi"/>
            <w:sz w:val="24"/>
            <w:szCs w:val="24"/>
          </w:rPr>
          <m:t>i</m:t>
        </m:r>
      </m:oMath>
      <w:r w:rsidRPr="00B7526D">
        <w:rPr>
          <w:rFonts w:cstheme="minorHAnsi"/>
          <w:sz w:val="24"/>
          <w:szCs w:val="24"/>
        </w:rPr>
        <w:t xml:space="preserve">, in this case Pb and Br. </w:t>
      </w:r>
    </w:p>
    <w:p w14:paraId="22E9AFE5" w14:textId="132E61F3" w:rsidR="00397634" w:rsidRPr="00B7526D" w:rsidRDefault="00397634" w:rsidP="00B41D95">
      <w:pPr>
        <w:jc w:val="both"/>
        <w:rPr>
          <w:rFonts w:cstheme="minorHAnsi"/>
          <w:sz w:val="24"/>
          <w:szCs w:val="24"/>
        </w:rPr>
      </w:pPr>
      <w:r w:rsidRPr="00B7526D">
        <w:rPr>
          <w:rFonts w:cstheme="minorHAnsi"/>
          <w:sz w:val="24"/>
          <w:szCs w:val="24"/>
        </w:rPr>
        <w:t>The corrected XBIC signal is then converted to CCE as follow</w:t>
      </w:r>
      <w:r w:rsidR="00E74885" w:rsidRPr="00B7526D">
        <w:rPr>
          <w:rFonts w:cstheme="minorHAnsi"/>
          <w:sz w:val="24"/>
          <w:szCs w:val="24"/>
        </w:rPr>
        <w:t>s</w:t>
      </w:r>
      <w:r w:rsidRPr="00B7526D">
        <w:rPr>
          <w:rFonts w:cstheme="minorHAnsi"/>
          <w:sz w:val="24"/>
          <w:szCs w:val="24"/>
        </w:rPr>
        <w:t xml:space="preserve">: </w:t>
      </w:r>
    </w:p>
    <w:p w14:paraId="7A0DAE24" w14:textId="77777777" w:rsidR="00397634" w:rsidRPr="00B7526D" w:rsidRDefault="00397634" w:rsidP="00B41D95">
      <w:pPr>
        <w:jc w:val="both"/>
        <w:rPr>
          <w:rFonts w:eastAsiaTheme="minorEastAsia" w:cstheme="minorHAnsi"/>
          <w:sz w:val="24"/>
          <w:szCs w:val="24"/>
        </w:rPr>
      </w:pPr>
      <m:oMathPara>
        <m:oMath>
          <m:r>
            <w:rPr>
              <w:rFonts w:ascii="Cambria Math" w:hAnsi="Cambria Math" w:cstheme="minorHAnsi"/>
              <w:sz w:val="24"/>
              <w:szCs w:val="24"/>
            </w:rPr>
            <m:t>CCE=</m:t>
          </m:r>
          <m:f>
            <m:fPr>
              <m:ctrlPr>
                <w:rPr>
                  <w:rFonts w:ascii="Cambria Math" w:hAnsi="Cambria Math" w:cstheme="minorHAnsi"/>
                  <w:i/>
                  <w:sz w:val="24"/>
                  <w:szCs w:val="24"/>
                </w:rPr>
              </m:ctrlPr>
            </m:fPr>
            <m:num>
              <m:sSubSup>
                <m:sSubSupPr>
                  <m:ctrlPr>
                    <w:rPr>
                      <w:rFonts w:ascii="Cambria Math" w:hAnsi="Cambria Math" w:cstheme="minorHAnsi"/>
                      <w:i/>
                      <w:sz w:val="24"/>
                      <w:szCs w:val="24"/>
                    </w:rPr>
                  </m:ctrlPr>
                </m:sSubSupPr>
                <m:e>
                  <m:r>
                    <w:rPr>
                      <w:rFonts w:ascii="Cambria Math" w:hAnsi="Cambria Math" w:cstheme="minorHAnsi"/>
                      <w:sz w:val="24"/>
                      <w:szCs w:val="24"/>
                    </w:rPr>
                    <m:t>n</m:t>
                  </m:r>
                </m:e>
                <m:sub>
                  <m:r>
                    <w:rPr>
                      <w:rFonts w:ascii="Cambria Math" w:hAnsi="Cambria Math" w:cstheme="minorHAnsi"/>
                      <w:sz w:val="24"/>
                      <w:szCs w:val="24"/>
                    </w:rPr>
                    <m:t>e/h</m:t>
                  </m:r>
                </m:sub>
                <m:sup>
                  <m:r>
                    <w:rPr>
                      <w:rFonts w:ascii="Cambria Math" w:hAnsi="Cambria Math" w:cstheme="minorHAnsi"/>
                      <w:sz w:val="24"/>
                      <w:szCs w:val="24"/>
                    </w:rPr>
                    <m:t>coll</m:t>
                  </m:r>
                </m:sup>
              </m:sSubSup>
            </m:num>
            <m:den>
              <m:sSubSup>
                <m:sSubSupPr>
                  <m:ctrlPr>
                    <w:rPr>
                      <w:rFonts w:ascii="Cambria Math" w:hAnsi="Cambria Math" w:cstheme="minorHAnsi"/>
                      <w:i/>
                      <w:sz w:val="24"/>
                      <w:szCs w:val="24"/>
                    </w:rPr>
                  </m:ctrlPr>
                </m:sSubSupPr>
                <m:e>
                  <m:r>
                    <w:rPr>
                      <w:rFonts w:ascii="Cambria Math" w:hAnsi="Cambria Math" w:cstheme="minorHAnsi"/>
                      <w:sz w:val="24"/>
                      <w:szCs w:val="24"/>
                    </w:rPr>
                    <m:t>n</m:t>
                  </m:r>
                </m:e>
                <m:sub>
                  <m:r>
                    <w:rPr>
                      <w:rFonts w:ascii="Cambria Math" w:hAnsi="Cambria Math" w:cstheme="minorHAnsi"/>
                      <w:sz w:val="24"/>
                      <w:szCs w:val="24"/>
                    </w:rPr>
                    <m:t>e/h</m:t>
                  </m:r>
                </m:sub>
                <m:sup>
                  <m:r>
                    <w:rPr>
                      <w:rFonts w:ascii="Cambria Math" w:hAnsi="Cambria Math" w:cstheme="minorHAnsi"/>
                      <w:sz w:val="24"/>
                      <w:szCs w:val="24"/>
                    </w:rPr>
                    <m:t>gen</m:t>
                  </m:r>
                </m:sup>
              </m:sSubSup>
            </m:den>
          </m:f>
          <m:r>
            <w:rPr>
              <w:rFonts w:ascii="Cambria Math" w:hAnsi="Cambria Math" w:cstheme="minorHAnsi"/>
              <w:sz w:val="24"/>
              <w:szCs w:val="24"/>
            </w:rPr>
            <m:t>=</m:t>
          </m:r>
          <m:f>
            <m:fPr>
              <m:ctrlPr>
                <w:rPr>
                  <w:rFonts w:ascii="Cambria Math" w:hAnsi="Cambria Math" w:cstheme="minorHAnsi"/>
                  <w:i/>
                  <w:sz w:val="24"/>
                  <w:szCs w:val="24"/>
                </w:rPr>
              </m:ctrlPr>
            </m:fPr>
            <m:num>
              <m:sSubSup>
                <m:sSubSupPr>
                  <m:ctrlPr>
                    <w:rPr>
                      <w:rFonts w:ascii="Cambria Math" w:hAnsi="Cambria Math" w:cstheme="minorHAnsi"/>
                      <w:i/>
                      <w:sz w:val="24"/>
                      <w:szCs w:val="24"/>
                    </w:rPr>
                  </m:ctrlPr>
                </m:sSubSupPr>
                <m:e>
                  <m:r>
                    <w:rPr>
                      <w:rFonts w:ascii="Cambria Math" w:hAnsi="Cambria Math" w:cstheme="minorHAnsi"/>
                      <w:sz w:val="24"/>
                      <w:szCs w:val="24"/>
                    </w:rPr>
                    <m:t>n</m:t>
                  </m:r>
                </m:e>
                <m:sub>
                  <m:r>
                    <w:rPr>
                      <w:rFonts w:ascii="Cambria Math" w:hAnsi="Cambria Math" w:cstheme="minorHAnsi"/>
                      <w:sz w:val="24"/>
                      <w:szCs w:val="24"/>
                    </w:rPr>
                    <m:t>e/h</m:t>
                  </m:r>
                </m:sub>
                <m:sup>
                  <m:r>
                    <w:rPr>
                      <w:rFonts w:ascii="Cambria Math" w:hAnsi="Cambria Math" w:cstheme="minorHAnsi"/>
                      <w:sz w:val="24"/>
                      <w:szCs w:val="24"/>
                    </w:rPr>
                    <m:t>coll</m:t>
                  </m:r>
                </m:sup>
              </m:sSubSup>
            </m:num>
            <m:den>
              <m:r>
                <w:rPr>
                  <w:rFonts w:ascii="Cambria Math" w:hAnsi="Cambria Math" w:cstheme="minorHAnsi"/>
                  <w:sz w:val="24"/>
                  <w:szCs w:val="24"/>
                </w:rPr>
                <m:t>C</m:t>
              </m:r>
              <m:sSubSup>
                <m:sSubSupPr>
                  <m:ctrlPr>
                    <w:rPr>
                      <w:rFonts w:ascii="Cambria Math" w:hAnsi="Cambria Math" w:cstheme="minorHAnsi"/>
                      <w:i/>
                      <w:sz w:val="24"/>
                      <w:szCs w:val="24"/>
                    </w:rPr>
                  </m:ctrlPr>
                </m:sSubSupPr>
                <m:e>
                  <m:r>
                    <w:rPr>
                      <w:rFonts w:ascii="Cambria Math" w:hAnsi="Cambria Math" w:cstheme="minorHAnsi"/>
                      <w:sz w:val="24"/>
                      <w:szCs w:val="24"/>
                    </w:rPr>
                    <m:t>N</m:t>
                  </m:r>
                </m:e>
                <m:sub>
                  <m:r>
                    <w:rPr>
                      <w:rFonts w:ascii="Cambria Math" w:hAnsi="Cambria Math" w:cstheme="minorHAnsi"/>
                      <w:sz w:val="24"/>
                      <w:szCs w:val="24"/>
                    </w:rPr>
                    <m:t>ph</m:t>
                  </m:r>
                </m:sub>
                <m:sup>
                  <m:r>
                    <w:rPr>
                      <w:rFonts w:ascii="Cambria Math" w:hAnsi="Cambria Math" w:cstheme="minorHAnsi"/>
                      <w:sz w:val="24"/>
                      <w:szCs w:val="24"/>
                    </w:rPr>
                    <m:t>in</m:t>
                  </m:r>
                </m:sup>
              </m:sSubSup>
            </m:den>
          </m:f>
          <m:r>
            <w:rPr>
              <w:rFonts w:ascii="Cambria Math" w:hAnsi="Cambria Math" w:cstheme="minorHAnsi"/>
              <w:sz w:val="24"/>
              <w:szCs w:val="24"/>
            </w:rPr>
            <m:t>=</m:t>
          </m:r>
          <m:f>
            <m:fPr>
              <m:ctrlPr>
                <w:rPr>
                  <w:rFonts w:ascii="Cambria Math" w:hAnsi="Cambria Math" w:cstheme="minorHAnsi"/>
                  <w:i/>
                  <w:sz w:val="24"/>
                  <w:szCs w:val="24"/>
                </w:rPr>
              </m:ctrlPr>
            </m:fPr>
            <m:num>
              <m:f>
                <m:fPr>
                  <m:ctrlPr>
                    <w:rPr>
                      <w:rFonts w:ascii="Cambria Math" w:hAnsi="Cambria Math" w:cstheme="minorHAnsi"/>
                      <w:i/>
                      <w:sz w:val="24"/>
                      <w:szCs w:val="24"/>
                    </w:rPr>
                  </m:ctrlPr>
                </m:fPr>
                <m:num>
                  <m:r>
                    <w:rPr>
                      <w:rFonts w:ascii="Cambria Math" w:hAnsi="Cambria Math" w:cstheme="minorHAnsi"/>
                      <w:sz w:val="24"/>
                      <w:szCs w:val="24"/>
                    </w:rPr>
                    <m:t>XBIC</m:t>
                  </m:r>
                </m:num>
                <m:den>
                  <m:r>
                    <w:rPr>
                      <w:rFonts w:ascii="Cambria Math" w:hAnsi="Cambria Math" w:cstheme="minorHAnsi"/>
                      <w:sz w:val="24"/>
                      <w:szCs w:val="24"/>
                    </w:rPr>
                    <m:t>q</m:t>
                  </m:r>
                </m:den>
              </m:f>
            </m:num>
            <m:den>
              <m:r>
                <w:rPr>
                  <w:rFonts w:ascii="Cambria Math" w:hAnsi="Cambria Math" w:cstheme="minorHAnsi"/>
                  <w:sz w:val="24"/>
                  <w:szCs w:val="24"/>
                </w:rPr>
                <m:t>β</m:t>
              </m:r>
              <m:sSubSup>
                <m:sSubSupPr>
                  <m:ctrlPr>
                    <w:rPr>
                      <w:rFonts w:ascii="Cambria Math" w:hAnsi="Cambria Math" w:cstheme="minorHAnsi"/>
                      <w:i/>
                      <w:sz w:val="24"/>
                      <w:szCs w:val="24"/>
                    </w:rPr>
                  </m:ctrlPr>
                </m:sSubSupPr>
                <m:e>
                  <m:r>
                    <w:rPr>
                      <w:rFonts w:ascii="Cambria Math" w:hAnsi="Cambria Math" w:cstheme="minorHAnsi"/>
                      <w:sz w:val="24"/>
                      <w:szCs w:val="24"/>
                    </w:rPr>
                    <m:t>N</m:t>
                  </m:r>
                </m:e>
                <m:sub>
                  <m:r>
                    <w:rPr>
                      <w:rFonts w:ascii="Cambria Math" w:hAnsi="Cambria Math" w:cstheme="minorHAnsi"/>
                      <w:sz w:val="24"/>
                      <w:szCs w:val="24"/>
                    </w:rPr>
                    <m:t>ph</m:t>
                  </m:r>
                </m:sub>
                <m:sup>
                  <m:r>
                    <w:rPr>
                      <w:rFonts w:ascii="Cambria Math" w:hAnsi="Cambria Math" w:cstheme="minorHAnsi"/>
                      <w:sz w:val="24"/>
                      <w:szCs w:val="24"/>
                    </w:rPr>
                    <m:t>in</m:t>
                  </m:r>
                </m:sup>
              </m:sSubSup>
            </m:den>
          </m:f>
        </m:oMath>
      </m:oMathPara>
    </w:p>
    <w:p w14:paraId="79DEA5FE" w14:textId="75705428" w:rsidR="00397634" w:rsidRPr="00B7526D" w:rsidRDefault="00397634" w:rsidP="00B41D95">
      <w:pPr>
        <w:jc w:val="both"/>
        <w:rPr>
          <w:rFonts w:eastAsiaTheme="minorEastAsia" w:cstheme="minorHAnsi"/>
          <w:sz w:val="24"/>
          <w:szCs w:val="24"/>
        </w:rPr>
      </w:pPr>
      <w:r w:rsidRPr="00B7526D">
        <w:rPr>
          <w:rFonts w:eastAsiaTheme="minorEastAsia" w:cstheme="minorHAnsi"/>
          <w:sz w:val="24"/>
          <w:szCs w:val="24"/>
        </w:rPr>
        <w:t xml:space="preserve">Where  </w:t>
      </w:r>
      <m:oMath>
        <m:sSubSup>
          <m:sSubSupPr>
            <m:ctrlPr>
              <w:rPr>
                <w:rFonts w:ascii="Cambria Math" w:hAnsi="Cambria Math" w:cstheme="minorHAnsi"/>
                <w:i/>
                <w:sz w:val="24"/>
                <w:szCs w:val="24"/>
              </w:rPr>
            </m:ctrlPr>
          </m:sSubSupPr>
          <m:e>
            <m:r>
              <w:rPr>
                <w:rFonts w:ascii="Cambria Math" w:hAnsi="Cambria Math" w:cstheme="minorHAnsi"/>
                <w:sz w:val="24"/>
                <w:szCs w:val="24"/>
              </w:rPr>
              <m:t>n</m:t>
            </m:r>
          </m:e>
          <m:sub>
            <m:r>
              <w:rPr>
                <w:rFonts w:ascii="Cambria Math" w:hAnsi="Cambria Math" w:cstheme="minorHAnsi"/>
                <w:sz w:val="24"/>
                <w:szCs w:val="24"/>
              </w:rPr>
              <m:t>e/h</m:t>
            </m:r>
          </m:sub>
          <m:sup>
            <m:r>
              <w:rPr>
                <w:rFonts w:ascii="Cambria Math" w:hAnsi="Cambria Math" w:cstheme="minorHAnsi"/>
                <w:sz w:val="24"/>
                <w:szCs w:val="24"/>
              </w:rPr>
              <m:t>coll</m:t>
            </m:r>
          </m:sup>
        </m:sSubSup>
      </m:oMath>
      <w:r w:rsidRPr="00B7526D">
        <w:rPr>
          <w:rFonts w:eastAsiaTheme="minorEastAsia" w:cstheme="minorHAnsi"/>
          <w:sz w:val="24"/>
          <w:szCs w:val="24"/>
        </w:rPr>
        <w:t xml:space="preserve"> and  </w:t>
      </w:r>
      <m:oMath>
        <m:sSubSup>
          <m:sSubSupPr>
            <m:ctrlPr>
              <w:rPr>
                <w:rFonts w:ascii="Cambria Math" w:hAnsi="Cambria Math" w:cstheme="minorHAnsi"/>
                <w:i/>
                <w:sz w:val="24"/>
                <w:szCs w:val="24"/>
              </w:rPr>
            </m:ctrlPr>
          </m:sSubSupPr>
          <m:e>
            <m:r>
              <w:rPr>
                <w:rFonts w:ascii="Cambria Math" w:hAnsi="Cambria Math" w:cstheme="minorHAnsi"/>
                <w:sz w:val="24"/>
                <w:szCs w:val="24"/>
              </w:rPr>
              <m:t>n</m:t>
            </m:r>
          </m:e>
          <m:sub>
            <m:r>
              <w:rPr>
                <w:rFonts w:ascii="Cambria Math" w:hAnsi="Cambria Math" w:cstheme="minorHAnsi"/>
                <w:sz w:val="24"/>
                <w:szCs w:val="24"/>
              </w:rPr>
              <m:t>e/h</m:t>
            </m:r>
          </m:sub>
          <m:sup>
            <m:r>
              <w:rPr>
                <w:rFonts w:ascii="Cambria Math" w:hAnsi="Cambria Math" w:cstheme="minorHAnsi"/>
                <w:sz w:val="24"/>
                <w:szCs w:val="24"/>
              </w:rPr>
              <m:t>gen</m:t>
            </m:r>
          </m:sup>
        </m:sSubSup>
      </m:oMath>
      <w:r w:rsidRPr="00B7526D">
        <w:rPr>
          <w:rFonts w:eastAsiaTheme="minorEastAsia" w:cstheme="minorHAnsi"/>
          <w:sz w:val="24"/>
          <w:szCs w:val="24"/>
        </w:rPr>
        <w:t xml:space="preserve"> are the collection and generation rates of electron-hole pairs, </w:t>
      </w:r>
      <m:oMath>
        <m:sSubSup>
          <m:sSubSupPr>
            <m:ctrlPr>
              <w:rPr>
                <w:rFonts w:ascii="Cambria Math" w:hAnsi="Cambria Math" w:cstheme="minorHAnsi"/>
                <w:i/>
                <w:sz w:val="24"/>
                <w:szCs w:val="24"/>
              </w:rPr>
            </m:ctrlPr>
          </m:sSubSupPr>
          <m:e>
            <m:r>
              <w:rPr>
                <w:rFonts w:ascii="Cambria Math" w:hAnsi="Cambria Math" w:cstheme="minorHAnsi"/>
                <w:sz w:val="24"/>
                <w:szCs w:val="24"/>
              </w:rPr>
              <m:t>n</m:t>
            </m:r>
          </m:e>
          <m:sub>
            <m:r>
              <w:rPr>
                <w:rFonts w:ascii="Cambria Math" w:hAnsi="Cambria Math" w:cstheme="minorHAnsi"/>
                <w:sz w:val="24"/>
                <w:szCs w:val="24"/>
              </w:rPr>
              <m:t>ph</m:t>
            </m:r>
          </m:sub>
          <m:sup>
            <m:r>
              <w:rPr>
                <w:rFonts w:ascii="Cambria Math" w:hAnsi="Cambria Math" w:cstheme="minorHAnsi"/>
                <w:sz w:val="24"/>
                <w:szCs w:val="24"/>
              </w:rPr>
              <m:t>in</m:t>
            </m:r>
          </m:sup>
        </m:sSubSup>
      </m:oMath>
      <w:r w:rsidRPr="00B7526D">
        <w:rPr>
          <w:rFonts w:eastAsiaTheme="minorEastAsia" w:cstheme="minorHAnsi"/>
          <w:sz w:val="24"/>
          <w:szCs w:val="24"/>
        </w:rPr>
        <w:t xml:space="preserve"> is the rate of incident photons and </w:t>
      </w:r>
      <m:oMath>
        <m:r>
          <w:rPr>
            <w:rFonts w:ascii="Cambria Math" w:eastAsiaTheme="minorEastAsia" w:hAnsi="Cambria Math" w:cstheme="minorHAnsi"/>
            <w:sz w:val="24"/>
            <w:szCs w:val="24"/>
          </w:rPr>
          <m:t>q</m:t>
        </m:r>
      </m:oMath>
      <w:r w:rsidRPr="00B7526D">
        <w:rPr>
          <w:rFonts w:eastAsiaTheme="minorEastAsia" w:cstheme="minorHAnsi"/>
          <w:sz w:val="24"/>
          <w:szCs w:val="24"/>
        </w:rPr>
        <w:t xml:space="preserve"> is the elementary charge.  </w:t>
      </w:r>
      <m:oMath>
        <m:r>
          <w:rPr>
            <w:rFonts w:ascii="Cambria Math" w:eastAsiaTheme="minorEastAsia" w:hAnsi="Cambria Math" w:cstheme="minorHAnsi"/>
            <w:sz w:val="24"/>
            <w:szCs w:val="24"/>
          </w:rPr>
          <m:t xml:space="preserve">β </m:t>
        </m:r>
      </m:oMath>
      <w:r w:rsidRPr="00B7526D">
        <w:rPr>
          <w:rFonts w:eastAsiaTheme="minorEastAsia" w:cstheme="minorHAnsi"/>
          <w:sz w:val="24"/>
          <w:szCs w:val="24"/>
        </w:rPr>
        <w:t>is a material constant defined as the ratio of electron/hole pair generated per incoming incident photon:</w:t>
      </w:r>
    </w:p>
    <w:p w14:paraId="1A31E401" w14:textId="77777777" w:rsidR="009D2E99" w:rsidRPr="00B7526D" w:rsidRDefault="00397634" w:rsidP="00B7526D">
      <w:pPr>
        <w:jc w:val="center"/>
        <w:rPr>
          <w:rFonts w:eastAsiaTheme="minorEastAsia" w:cstheme="minorHAnsi"/>
          <w:sz w:val="24"/>
          <w:szCs w:val="24"/>
        </w:rPr>
      </w:pPr>
      <m:oMath>
        <m:r>
          <w:rPr>
            <w:rFonts w:ascii="Cambria Math" w:eastAsiaTheme="minorEastAsia" w:hAnsi="Cambria Math" w:cstheme="minorHAnsi"/>
            <w:sz w:val="24"/>
            <w:szCs w:val="24"/>
          </w:rPr>
          <m:t xml:space="preserve">β = </m:t>
        </m:r>
      </m:oMath>
      <w:r w:rsidRPr="00B7526D">
        <w:rPr>
          <w:rFonts w:eastAsiaTheme="minorEastAsia" w:cstheme="minorHAnsi"/>
          <w:sz w:val="24"/>
          <w:szCs w:val="24"/>
        </w:rPr>
        <w:t xml:space="preserve"> </w:t>
      </w:r>
      <m:oMath>
        <m:f>
          <m:fPr>
            <m:ctrlPr>
              <w:rPr>
                <w:rFonts w:ascii="Cambria Math" w:hAnsi="Cambria Math" w:cstheme="minorHAnsi"/>
                <w:i/>
                <w:sz w:val="24"/>
                <w:szCs w:val="24"/>
              </w:rPr>
            </m:ctrlPr>
          </m:fPr>
          <m:num>
            <m:sSubSup>
              <m:sSubSupPr>
                <m:ctrlPr>
                  <w:rPr>
                    <w:rFonts w:ascii="Cambria Math" w:hAnsi="Cambria Math" w:cstheme="minorHAnsi"/>
                    <w:i/>
                    <w:sz w:val="24"/>
                    <w:szCs w:val="24"/>
                  </w:rPr>
                </m:ctrlPr>
              </m:sSubSupPr>
              <m:e>
                <m:r>
                  <w:rPr>
                    <w:rFonts w:ascii="Cambria Math" w:hAnsi="Cambria Math" w:cstheme="minorHAnsi"/>
                    <w:sz w:val="24"/>
                    <w:szCs w:val="24"/>
                  </w:rPr>
                  <m:t>n</m:t>
                </m:r>
              </m:e>
              <m:sub>
                <m:r>
                  <w:rPr>
                    <w:rFonts w:ascii="Cambria Math" w:hAnsi="Cambria Math" w:cstheme="minorHAnsi"/>
                    <w:sz w:val="24"/>
                    <w:szCs w:val="24"/>
                  </w:rPr>
                  <m:t>e/h</m:t>
                </m:r>
              </m:sub>
              <m:sup>
                <m:r>
                  <w:rPr>
                    <w:rFonts w:ascii="Cambria Math" w:hAnsi="Cambria Math" w:cstheme="minorHAnsi"/>
                    <w:sz w:val="24"/>
                    <w:szCs w:val="24"/>
                  </w:rPr>
                  <m:t>gen</m:t>
                </m:r>
              </m:sup>
            </m:sSubSup>
            <m:ctrlPr>
              <w:rPr>
                <w:rFonts w:ascii="Cambria Math" w:hAnsi="Cambria Math" w:cstheme="minorHAnsi"/>
                <w:b/>
                <w:bCs/>
                <w:i/>
                <w:sz w:val="24"/>
                <w:szCs w:val="24"/>
              </w:rPr>
            </m:ctrlPr>
          </m:num>
          <m:den>
            <m:sSubSup>
              <m:sSubSupPr>
                <m:ctrlPr>
                  <w:rPr>
                    <w:rFonts w:ascii="Cambria Math" w:hAnsi="Cambria Math" w:cstheme="minorHAnsi"/>
                    <w:b/>
                    <w:bCs/>
                    <w:i/>
                    <w:sz w:val="24"/>
                    <w:szCs w:val="24"/>
                  </w:rPr>
                </m:ctrlPr>
              </m:sSubSupPr>
              <m:e>
                <m:r>
                  <m:rPr>
                    <m:sty m:val="bi"/>
                  </m:rPr>
                  <w:rPr>
                    <w:rFonts w:ascii="Cambria Math" w:hAnsi="Cambria Math" w:cstheme="minorHAnsi"/>
                    <w:sz w:val="24"/>
                    <w:szCs w:val="24"/>
                  </w:rPr>
                  <m:t>n</m:t>
                </m:r>
              </m:e>
              <m:sub>
                <m:r>
                  <m:rPr>
                    <m:sty m:val="bi"/>
                  </m:rPr>
                  <w:rPr>
                    <w:rFonts w:ascii="Cambria Math" w:hAnsi="Cambria Math" w:cstheme="minorHAnsi"/>
                    <w:sz w:val="24"/>
                    <w:szCs w:val="24"/>
                  </w:rPr>
                  <m:t>ph</m:t>
                </m:r>
              </m:sub>
              <m:sup>
                <m:r>
                  <m:rPr>
                    <m:sty m:val="bi"/>
                  </m:rPr>
                  <w:rPr>
                    <w:rFonts w:ascii="Cambria Math" w:hAnsi="Cambria Math" w:cstheme="minorHAnsi"/>
                    <w:sz w:val="24"/>
                    <w:szCs w:val="24"/>
                  </w:rPr>
                  <m:t>in</m:t>
                </m:r>
              </m:sup>
            </m:sSubSup>
          </m:den>
        </m:f>
        <m:r>
          <w:rPr>
            <w:rFonts w:ascii="Cambria Math" w:eastAsiaTheme="minorEastAsia" w:hAnsi="Cambria Math" w:cstheme="minorHAnsi"/>
            <w:sz w:val="24"/>
            <w:szCs w:val="24"/>
          </w:rPr>
          <m:t>≈</m:t>
        </m:r>
        <m:f>
          <m:fPr>
            <m:ctrlPr>
              <w:rPr>
                <w:rFonts w:ascii="Cambria Math" w:eastAsiaTheme="minorEastAsia" w:hAnsi="Cambria Math" w:cstheme="minorHAnsi"/>
                <w:i/>
                <w:sz w:val="24"/>
                <w:szCs w:val="24"/>
              </w:rPr>
            </m:ctrlPr>
          </m:fPr>
          <m:num>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E</m:t>
                </m:r>
              </m:e>
              <m:sub>
                <m:r>
                  <w:rPr>
                    <w:rFonts w:ascii="Cambria Math" w:eastAsiaTheme="minorEastAsia" w:hAnsi="Cambria Math" w:cstheme="minorHAnsi"/>
                    <w:sz w:val="24"/>
                    <w:szCs w:val="24"/>
                  </w:rPr>
                  <m:t>abs</m:t>
                </m:r>
              </m:sub>
            </m:sSub>
          </m:num>
          <m:den>
            <m:r>
              <w:rPr>
                <w:rFonts w:ascii="Cambria Math" w:eastAsiaTheme="minorEastAsia" w:hAnsi="Cambria Math" w:cstheme="minorHAnsi"/>
                <w:sz w:val="24"/>
                <w:szCs w:val="24"/>
              </w:rPr>
              <m:t>α</m:t>
            </m:r>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E</m:t>
                </m:r>
              </m:e>
              <m:sub>
                <m:r>
                  <w:rPr>
                    <w:rFonts w:ascii="Cambria Math" w:eastAsiaTheme="minorEastAsia" w:hAnsi="Cambria Math" w:cstheme="minorHAnsi"/>
                    <w:sz w:val="24"/>
                    <w:szCs w:val="24"/>
                  </w:rPr>
                  <m:t>g</m:t>
                </m:r>
              </m:sub>
            </m:sSub>
          </m:den>
        </m:f>
      </m:oMath>
    </w:p>
    <w:p w14:paraId="26EB2E91" w14:textId="71597B2A" w:rsidR="009D2E99" w:rsidRPr="00B7526D" w:rsidRDefault="00397634" w:rsidP="00B41D95">
      <w:pPr>
        <w:jc w:val="both"/>
        <w:rPr>
          <w:rFonts w:eastAsiaTheme="minorEastAsia" w:cstheme="minorHAnsi"/>
          <w:sz w:val="24"/>
          <w:szCs w:val="24"/>
        </w:rPr>
      </w:pPr>
      <w:r w:rsidRPr="00B7526D">
        <w:rPr>
          <w:rFonts w:eastAsiaTheme="minorEastAsia" w:cstheme="minorHAnsi"/>
          <w:sz w:val="24"/>
          <w:szCs w:val="24"/>
        </w:rPr>
        <w:t xml:space="preserve">In this case, </w:t>
      </w:r>
      <m:oMath>
        <m:sSub>
          <m:sSubPr>
            <m:ctrlPr>
              <w:rPr>
                <w:rFonts w:ascii="Cambria Math" w:hAnsi="Cambria Math" w:cstheme="minorHAnsi"/>
                <w:i/>
                <w:sz w:val="24"/>
                <w:szCs w:val="24"/>
              </w:rPr>
            </m:ctrlPr>
          </m:sSubPr>
          <m:e>
            <m:r>
              <w:rPr>
                <w:rFonts w:ascii="Cambria Math" w:hAnsi="Cambria Math" w:cstheme="minorHAnsi"/>
                <w:sz w:val="24"/>
                <w:szCs w:val="24"/>
              </w:rPr>
              <m:t>E</m:t>
            </m:r>
          </m:e>
          <m:sub>
            <m:r>
              <w:rPr>
                <w:rFonts w:ascii="Cambria Math" w:hAnsi="Cambria Math" w:cstheme="minorHAnsi"/>
                <w:sz w:val="24"/>
                <w:szCs w:val="24"/>
              </w:rPr>
              <m:t>abs</m:t>
            </m:r>
          </m:sub>
        </m:sSub>
      </m:oMath>
      <w:r w:rsidRPr="00B7526D">
        <w:rPr>
          <w:rFonts w:eastAsiaTheme="minorEastAsia" w:cstheme="minorHAnsi"/>
          <w:sz w:val="24"/>
          <w:szCs w:val="24"/>
        </w:rPr>
        <w:t xml:space="preserve"> is the energy deposited in the material per incident photon and was calculated by Beer-Lambert’s law, </w:t>
      </w:r>
      <m:oMath>
        <m:sSub>
          <m:sSubPr>
            <m:ctrlPr>
              <w:rPr>
                <w:rFonts w:ascii="Cambria Math" w:hAnsi="Cambria Math" w:cstheme="minorHAnsi"/>
                <w:i/>
                <w:sz w:val="24"/>
                <w:szCs w:val="24"/>
              </w:rPr>
            </m:ctrlPr>
          </m:sSubPr>
          <m:e>
            <m:r>
              <w:rPr>
                <w:rFonts w:ascii="Cambria Math" w:hAnsi="Cambria Math" w:cstheme="minorHAnsi"/>
                <w:sz w:val="24"/>
                <w:szCs w:val="24"/>
              </w:rPr>
              <m:t>E</m:t>
            </m:r>
          </m:e>
          <m:sub>
            <m:r>
              <w:rPr>
                <w:rFonts w:ascii="Cambria Math" w:hAnsi="Cambria Math" w:cstheme="minorHAnsi"/>
                <w:sz w:val="24"/>
                <w:szCs w:val="24"/>
              </w:rPr>
              <m:t>g</m:t>
            </m:r>
          </m:sub>
        </m:sSub>
      </m:oMath>
      <w:r w:rsidRPr="00B7526D">
        <w:rPr>
          <w:rFonts w:eastAsiaTheme="minorEastAsia" w:cstheme="minorHAnsi"/>
          <w:sz w:val="24"/>
          <w:szCs w:val="24"/>
        </w:rPr>
        <w:t xml:space="preserve"> is the energy gap</w:t>
      </w:r>
      <w:r w:rsidR="00E74885" w:rsidRPr="00B7526D">
        <w:rPr>
          <w:rFonts w:eastAsiaTheme="minorEastAsia" w:cstheme="minorHAnsi"/>
          <w:sz w:val="24"/>
          <w:szCs w:val="24"/>
        </w:rPr>
        <w:t>,</w:t>
      </w:r>
      <w:r w:rsidRPr="00B7526D">
        <w:rPr>
          <w:rFonts w:eastAsiaTheme="minorEastAsia" w:cstheme="minorHAnsi"/>
          <w:sz w:val="24"/>
          <w:szCs w:val="24"/>
        </w:rPr>
        <w:t xml:space="preserve"> and </w:t>
      </w:r>
      <m:oMath>
        <m:r>
          <w:rPr>
            <w:rFonts w:ascii="Cambria Math" w:hAnsi="Cambria Math" w:cstheme="minorHAnsi"/>
            <w:sz w:val="24"/>
            <w:szCs w:val="24"/>
          </w:rPr>
          <m:t>α</m:t>
        </m:r>
      </m:oMath>
      <w:r w:rsidRPr="00B7526D">
        <w:rPr>
          <w:rFonts w:eastAsiaTheme="minorEastAsia" w:cstheme="minorHAnsi"/>
          <w:sz w:val="24"/>
          <w:szCs w:val="24"/>
        </w:rPr>
        <w:t xml:space="preserve"> accounts for the efficiency of electron/hole pair generation in the material and it is usually approximated empirically </w:t>
      </w:r>
      <m:oMath>
        <m:r>
          <w:rPr>
            <w:rFonts w:ascii="Cambria Math" w:hAnsi="Cambria Math" w:cstheme="minorHAnsi"/>
            <w:sz w:val="24"/>
            <w:szCs w:val="24"/>
          </w:rPr>
          <m:t>α≈3</m:t>
        </m:r>
      </m:oMath>
      <w:r w:rsidRPr="00B7526D">
        <w:rPr>
          <w:rFonts w:eastAsiaTheme="minorEastAsia" w:cstheme="minorHAnsi"/>
          <w:sz w:val="24"/>
          <w:szCs w:val="24"/>
        </w:rPr>
        <w:t>.</w:t>
      </w:r>
    </w:p>
    <w:p w14:paraId="6A521935" w14:textId="4CC7C55C" w:rsidR="00133CAE" w:rsidRPr="00B41D95" w:rsidRDefault="00F807AB" w:rsidP="00B41D95">
      <w:pPr>
        <w:jc w:val="both"/>
        <w:rPr>
          <w:rFonts w:eastAsiaTheme="minorEastAsia"/>
        </w:rPr>
      </w:pPr>
      <w:r w:rsidRPr="00B41D95">
        <w:rPr>
          <w:rFonts w:eastAsiaTheme="minorEastAsia"/>
          <w:noProof/>
        </w:rPr>
        <w:lastRenderedPageBreak/>
        <w:drawing>
          <wp:inline distT="0" distB="0" distL="0" distR="0" wp14:anchorId="4C24EF2A" wp14:editId="4318F1A4">
            <wp:extent cx="6129519" cy="3744368"/>
            <wp:effectExtent l="0" t="0" r="5080" b="8890"/>
            <wp:docPr id="2907438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37518" cy="3749255"/>
                    </a:xfrm>
                    <a:prstGeom prst="rect">
                      <a:avLst/>
                    </a:prstGeom>
                    <a:noFill/>
                    <a:ln>
                      <a:noFill/>
                    </a:ln>
                  </pic:spPr>
                </pic:pic>
              </a:graphicData>
            </a:graphic>
          </wp:inline>
        </w:drawing>
      </w:r>
    </w:p>
    <w:p w14:paraId="5BB7B959" w14:textId="2139A672" w:rsidR="00E63108" w:rsidRPr="00B41D95" w:rsidRDefault="00133CAE" w:rsidP="00B41D95">
      <w:pPr>
        <w:pStyle w:val="Didascalia"/>
        <w:rPr>
          <w:rFonts w:eastAsiaTheme="minorEastAsia"/>
          <w:sz w:val="24"/>
          <w:szCs w:val="24"/>
        </w:rPr>
      </w:pPr>
      <w:r w:rsidRPr="00B41D95">
        <w:rPr>
          <w:sz w:val="24"/>
          <w:szCs w:val="24"/>
        </w:rPr>
        <w:t xml:space="preserve">Figure </w:t>
      </w:r>
      <w:r w:rsidR="00DF0C1A" w:rsidRPr="00B41D95">
        <w:rPr>
          <w:sz w:val="24"/>
          <w:szCs w:val="24"/>
        </w:rPr>
        <w:t>S</w:t>
      </w:r>
      <w:r w:rsidR="00080602" w:rsidRPr="00B41D95">
        <w:rPr>
          <w:sz w:val="24"/>
          <w:szCs w:val="24"/>
        </w:rPr>
        <w:t>7</w:t>
      </w:r>
      <w:r w:rsidR="00E63108" w:rsidRPr="00B41D95">
        <w:rPr>
          <w:rFonts w:eastAsiaTheme="minorEastAsia"/>
          <w:sz w:val="24"/>
          <w:szCs w:val="24"/>
        </w:rPr>
        <w:t>: XRF maps taken in the same area of (a) Pb, (b) Br</w:t>
      </w:r>
      <w:r w:rsidR="00E74885" w:rsidRPr="00B41D95">
        <w:rPr>
          <w:rFonts w:eastAsiaTheme="minorEastAsia"/>
          <w:sz w:val="24"/>
          <w:szCs w:val="24"/>
        </w:rPr>
        <w:t>,</w:t>
      </w:r>
      <w:r w:rsidR="00E63108" w:rsidRPr="00B41D95">
        <w:rPr>
          <w:rFonts w:eastAsiaTheme="minorEastAsia"/>
          <w:sz w:val="24"/>
          <w:szCs w:val="24"/>
        </w:rPr>
        <w:t xml:space="preserve"> and (c) Au. The Au signal was used to locate the electrodes and the interdigitated channel. (d) XBIC raw signal </w:t>
      </w:r>
      <w:r w:rsidR="00E74885" w:rsidRPr="00B41D95">
        <w:rPr>
          <w:rFonts w:eastAsiaTheme="minorEastAsia"/>
          <w:sz w:val="24"/>
          <w:szCs w:val="24"/>
        </w:rPr>
        <w:t xml:space="preserve">was </w:t>
      </w:r>
      <w:r w:rsidR="00E63108" w:rsidRPr="00B41D95">
        <w:rPr>
          <w:rFonts w:eastAsiaTheme="minorEastAsia"/>
          <w:sz w:val="24"/>
          <w:szCs w:val="24"/>
        </w:rPr>
        <w:t xml:space="preserve">acquired simultaneously in the same area. </w:t>
      </w:r>
    </w:p>
    <w:p w14:paraId="7D8F1D81" w14:textId="44AC4869" w:rsidR="00175A6D" w:rsidRPr="00B41D95" w:rsidRDefault="00175A6D" w:rsidP="00B41D95">
      <w:pPr>
        <w:jc w:val="both"/>
      </w:pPr>
      <w:r w:rsidRPr="00B41D95">
        <w:rPr>
          <w:noProof/>
        </w:rPr>
        <w:drawing>
          <wp:anchor distT="0" distB="0" distL="114300" distR="114300" simplePos="0" relativeHeight="251658241" behindDoc="0" locked="0" layoutInCell="1" allowOverlap="1" wp14:anchorId="62FE314A" wp14:editId="17D26CC0">
            <wp:simplePos x="0" y="0"/>
            <wp:positionH relativeFrom="column">
              <wp:posOffset>8255</wp:posOffset>
            </wp:positionH>
            <wp:positionV relativeFrom="paragraph">
              <wp:posOffset>1283335</wp:posOffset>
            </wp:positionV>
            <wp:extent cx="3108325" cy="2037080"/>
            <wp:effectExtent l="0" t="0" r="0" b="1270"/>
            <wp:wrapTopAndBottom/>
            <wp:docPr id="1814040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b="7298"/>
                    <a:stretch>
                      <a:fillRect/>
                    </a:stretch>
                  </pic:blipFill>
                  <pic:spPr bwMode="auto">
                    <a:xfrm>
                      <a:off x="0" y="0"/>
                      <a:ext cx="3108325" cy="20370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41D95">
        <w:rPr>
          <w:lang w:val="en-US"/>
        </w:rPr>
        <w:t>Figure S</w:t>
      </w:r>
      <w:r w:rsidRPr="00B41D95">
        <w:t>8</w:t>
      </w:r>
      <w:r w:rsidRPr="00B41D95">
        <w:rPr>
          <w:lang w:val="en-US"/>
        </w:rPr>
        <w:t xml:space="preserve"> shows the superposition of the Pb XRF (yellow color) and CCE (blue color) maps</w:t>
      </w:r>
      <w:r w:rsidR="00E74885" w:rsidRPr="00B41D95">
        <w:rPr>
          <w:lang w:val="en-US"/>
        </w:rPr>
        <w:t>,</w:t>
      </w:r>
      <w:r w:rsidRPr="00B41D95">
        <w:rPr>
          <w:lang w:val="en-US"/>
        </w:rPr>
        <w:t xml:space="preserve"> and a black line</w:t>
      </w:r>
      <w:r w:rsidR="00CE468F" w:rsidRPr="00B41D95">
        <w:rPr>
          <w:lang w:val="en-US"/>
        </w:rPr>
        <w:t xml:space="preserve"> indicates the position</w:t>
      </w:r>
      <w:r w:rsidR="0014717D" w:rsidRPr="00B41D95">
        <w:rPr>
          <w:lang w:val="en-US"/>
        </w:rPr>
        <w:t xml:space="preserve"> of</w:t>
      </w:r>
      <w:r w:rsidR="001B21D6" w:rsidRPr="00B41D95">
        <w:rPr>
          <w:lang w:val="en-US"/>
        </w:rPr>
        <w:t xml:space="preserve"> the </w:t>
      </w:r>
      <w:r w:rsidRPr="00B41D95">
        <w:rPr>
          <w:lang w:val="en-US"/>
        </w:rPr>
        <w:t xml:space="preserve">profile </w:t>
      </w:r>
      <w:r w:rsidR="001B21D6" w:rsidRPr="00B41D95">
        <w:rPr>
          <w:lang w:val="en-US"/>
        </w:rPr>
        <w:t xml:space="preserve">reported </w:t>
      </w:r>
      <w:r w:rsidRPr="00B41D95">
        <w:rPr>
          <w:lang w:val="en-US"/>
        </w:rPr>
        <w:t>in Figure 5</w:t>
      </w:r>
      <w:r w:rsidR="001B21D6" w:rsidRPr="00B41D95">
        <w:rPr>
          <w:lang w:val="en-US"/>
        </w:rPr>
        <w:t>c</w:t>
      </w:r>
      <w:r w:rsidRPr="00B41D95">
        <w:rPr>
          <w:lang w:val="en-US"/>
        </w:rPr>
        <w:t xml:space="preserve">. The superimposed image is obtained by summing the red-green-blue (RGB) values of the XRF and CCE normalized pixels, as described in detail by Verdi </w:t>
      </w:r>
      <w:r w:rsidRPr="00B41D95">
        <w:rPr>
          <w:i/>
          <w:iCs/>
          <w:lang w:val="en-US"/>
        </w:rPr>
        <w:t>et al.</w:t>
      </w:r>
      <w:r w:rsidRPr="00B41D95">
        <w:rPr>
          <w:lang w:val="en-US"/>
        </w:rPr>
        <w:fldChar w:fldCharType="begin"/>
      </w:r>
      <w:r w:rsidR="00531386">
        <w:rPr>
          <w:lang w:val="en-US"/>
        </w:rPr>
        <w:instrText xml:space="preserve"> ADDIN ZOTERO_ITEM CSL_CITATION {"citationID":"K9QGDJnJ","properties":{"formattedCitation":"\\super 6\\nosupersub{}","plainCitation":"6","noteIndex":0},"citationItems":[{"id":357,"uris":["http://zotero.org/users/local/YGmjVQgx/items/9RWQKCTD"],"itemData":{"id":357,"type":"article-journal","abstract":"X-ray direct detectors based on hybrid lead-halide perovskite have seen a dramatic increase of interest in the last years. A rush for the achievement of high performing devices drives the scientific community. In this context, several photoconductor sensors employ functional layers to increase the gain effect, but the full comprehension of the mechanism is still lacking. Here X-ray nanoanalysis is used, performed by simultaneous acquisition of X-ray Fluorescence and X-ray Beam Induced Current maps, to investigate at the nanoscale level the role of [6,6]-phenyl-C61-butyric acid methyl ester fullerene (PCBM) molecules when interacting with MAPbI3 polycrystalline thin films acting as photo-conductors in X-ray detectors. At the device-scale level it shows that the addition of PCBM enhances the X-ray sensitivity by four times. At the nanoscale level how the perovskite grain boundaries act as high photocurrent generation centers is demonstrated. The addition of the PCBM increases the photocurrent generation, as the macroscopic performance does, and the charge collection becomes uniform over the full crystallite volume. The results clarify the role of grain boundaries and charge selecting layers and establish the X-ray nanoanalysis techniques as a powerful tool to investigate charge transport and collection in perovskite films.","container-title":"Advanced Electronic Materials","DOI":"10.1002/aelm.202201346","ISSN":"2199-160X","issue":"n/a","language":"en","license":"© 2023 The Authors. Advanced Electronic Materials published by Wiley-VCH GmbH","note":"_eprint: https://onlinelibrary.wiley.com/doi/pdf/10.1002/aelm.202201346","page":"2201346","source":"Wiley Online Library","title":"X-Ray Nanoanalysis Revealing the Role of Electronically Active Passivation Layers in Perovskite X-Ray film Detectors","volume":"9","author":[{"family":"Verdi","given":"Matteo"},{"family":"Ciavatti","given":"Andrea"},{"family":"Segura-Ruiz","given":"Jaime"},{"family":"Basiricò","given":"Laura"},{"family":"Sorrentino","given":"Roberto"},{"family":"Goncalves","given":"Isabel Pinto"},{"family":"Petrozza","given":"Annamaria"},{"family":"Boscherini","given":"Federico"},{"family":"Fraboni","given":"Beatrice"}]}}],"schema":"https://github.com/citation-style-language/schema/raw/master/csl-citation.json"} </w:instrText>
      </w:r>
      <w:r w:rsidRPr="00B41D95">
        <w:rPr>
          <w:lang w:val="en-US"/>
        </w:rPr>
        <w:fldChar w:fldCharType="separate"/>
      </w:r>
      <w:r w:rsidR="00531386" w:rsidRPr="00531386">
        <w:rPr>
          <w:rFonts w:ascii="Calibri" w:hAnsi="Calibri" w:cs="Calibri"/>
          <w:kern w:val="0"/>
          <w:vertAlign w:val="superscript"/>
        </w:rPr>
        <w:t>6</w:t>
      </w:r>
      <w:r w:rsidRPr="00B41D95">
        <w:rPr>
          <w:lang w:val="en-US"/>
        </w:rPr>
        <w:fldChar w:fldCharType="end"/>
      </w:r>
      <w:r w:rsidRPr="00B41D95">
        <w:rPr>
          <w:lang w:val="en-US"/>
        </w:rPr>
        <w:t xml:space="preserve"> We assign the color yellow to the Pb XRF signal and blue to the CCE, therefore the resulting pixel color represents the dominating signal. In case of signals with similar intensity (i.e. correlated) the pixels would become grey/white. </w:t>
      </w:r>
      <w:r w:rsidRPr="00B41D95">
        <w:rPr>
          <w:lang w:val="en-US"/>
        </w:rPr>
        <w:fldChar w:fldCharType="begin"/>
      </w:r>
      <w:r w:rsidRPr="00B41D95">
        <w:rPr>
          <w:lang w:val="en-US"/>
        </w:rPr>
        <w:instrText xml:space="preserve"> ADDIN ZOTERO_ITEM CSL_CITATION {"citationID":"dvZxhFcS","properties":{"formattedCitation":"\\super 25\\nosupersub{}","plainCitation":"25","dontUpdate":true,"noteIndex":0},"citationItems":[{"id":357,"uris":["http://zotero.org/users/local/YGmjVQgx/items/9RWQKCTD"],"itemData":{"id":357,"type":"article-journal","abstract":"X-ray direct detectors based on hybrid lead-halide perovskite have seen a dramatic increase of interest in the last years. A rush for the achievement of high performing devices drives the scientific community. In this context, several photoconductor sensors employ functional layers to increase the gain effect, but the full comprehension of the mechanism is still lacking. Here X-ray nanoanalysis is used, performed by simultaneous acquisition of X-ray Fluorescence and X-ray Beam Induced Current maps, to investigate at the nanoscale level the role of [6,6]-phenyl-C61-butyric acid methyl ester fullerene (PCBM) molecules when interacting with MAPbI3 polycrystalline thin films acting as photo-conductors in X-ray detectors. At the device-scale level it shows that the addition of PCBM enhances the X-ray sensitivity by four times. At the nanoscale level how the perovskite grain boundaries act as high photocurrent generation centers is demonstrated. The addition of the PCBM increases the photocurrent generation, as the macroscopic performance does, and the charge collection becomes uniform over the full crystallite volume. The results clarify the role of grain boundaries and charge selecting layers and establish the X-ray nanoanalysis techniques as a powerful tool to investigate charge transport and collection in perovskite films.","container-title":"Advanced Electronic Materials","DOI":"10.1002/aelm.202201346","ISSN":"2199-160X","issue":"n/a","language":"en","license":"© 2023 The Authors. Advanced Electronic Materials published by Wiley-VCH GmbH","note":"_eprint: https://onlinelibrary.wiley.com/doi/pdf/10.1002/aelm.202201346","page":"2201346","source":"Wiley Online Library","title":"X-Ray Nanoanalysis Revealing the Role of Electronically Active Passivation Layers in Perovskite X-Ray film Detectors","volume":"9","author":[{"family":"Verdi","given":"Matteo"},{"family":"Ciavatti","given":"Andrea"},{"family":"Segura-Ruiz","given":"Jaime"},{"family":"Basiricò","given":"Laura"},{"family":"Sorrentino","given":"Roberto"},{"family":"Goncalves","given":"Isabel Pinto"},{"family":"Petrozza","given":"Annamaria"},{"family":"Boscherini","given":"Federico"},{"family":"Fraboni","given":"Beatrice"}]}}],"schema":"https://github.com/citation-style-language/schema/raw/master/csl-citation.json"} </w:instrText>
      </w:r>
      <w:r w:rsidRPr="00B41D95">
        <w:rPr>
          <w:lang w:val="en-US"/>
        </w:rPr>
        <w:fldChar w:fldCharType="end"/>
      </w:r>
      <w:r w:rsidRPr="00B41D95">
        <w:rPr>
          <w:lang w:val="en-US"/>
        </w:rPr>
        <w:t xml:space="preserve">We observe that the CCE signal is lower inside the </w:t>
      </w:r>
      <w:r w:rsidRPr="00006BF2">
        <w:rPr>
          <w:lang w:val="en-US"/>
        </w:rPr>
        <w:t>crystallites (Pb-r</w:t>
      </w:r>
      <w:r w:rsidR="001E6BCA" w:rsidRPr="00006BF2">
        <w:rPr>
          <w:lang w:val="en-US"/>
        </w:rPr>
        <w:t>i</w:t>
      </w:r>
      <w:r w:rsidRPr="00006BF2">
        <w:rPr>
          <w:lang w:val="en-US"/>
        </w:rPr>
        <w:t>ch)</w:t>
      </w:r>
      <w:r w:rsidRPr="00B41D95">
        <w:rPr>
          <w:lang w:val="en-US"/>
        </w:rPr>
        <w:t xml:space="preserve"> and higher in the grain boundary (poor in Pb).</w:t>
      </w:r>
    </w:p>
    <w:p w14:paraId="7641FE58" w14:textId="452F06E4" w:rsidR="00263F73" w:rsidRPr="00B41D95" w:rsidRDefault="00263F73" w:rsidP="00B41D95">
      <w:pPr>
        <w:pStyle w:val="Didascalia"/>
        <w:rPr>
          <w:noProof/>
          <w:sz w:val="24"/>
          <w:szCs w:val="24"/>
        </w:rPr>
      </w:pPr>
      <w:r w:rsidRPr="00B41D95">
        <w:rPr>
          <w:sz w:val="24"/>
          <w:szCs w:val="24"/>
        </w:rPr>
        <w:t>Figure S8: Composite map of the Pb XRF (yellow) and CCE (blue) signals</w:t>
      </w:r>
    </w:p>
    <w:p w14:paraId="2CF367D8" w14:textId="4B182141" w:rsidR="00080602" w:rsidRPr="00B41D95" w:rsidRDefault="00D166C5" w:rsidP="00B41D95">
      <m:oMathPara>
        <m:oMath>
          <m:r>
            <m:rPr>
              <m:sty m:val="p"/>
            </m:rPr>
            <w:rPr>
              <w:rFonts w:ascii="Cambria Math" w:hAnsi="Cambria Math"/>
              <w:noProof/>
            </w:rPr>
            <w:lastRenderedPageBreak/>
            <w:drawing>
              <wp:inline distT="0" distB="0" distL="0" distR="0" wp14:anchorId="60A21B9A" wp14:editId="2A799B2F">
                <wp:extent cx="6112510" cy="3717290"/>
                <wp:effectExtent l="0" t="0" r="0" b="0"/>
                <wp:docPr id="2113206304" name="Picture 6" descr="A screenshot of a computer generated im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206304" name="Picture 6" descr="A screenshot of a computer generated image&#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12510" cy="3717290"/>
                        </a:xfrm>
                        <a:prstGeom prst="rect">
                          <a:avLst/>
                        </a:prstGeom>
                        <a:noFill/>
                        <a:ln>
                          <a:noFill/>
                        </a:ln>
                      </pic:spPr>
                    </pic:pic>
                  </a:graphicData>
                </a:graphic>
              </wp:inline>
            </w:drawing>
          </m:r>
        </m:oMath>
      </m:oMathPara>
    </w:p>
    <w:p w14:paraId="6B9A3196" w14:textId="57B93E87" w:rsidR="009D2E99" w:rsidRDefault="00D166C5" w:rsidP="00006BF2">
      <w:pPr>
        <w:pStyle w:val="Didascalia"/>
        <w:rPr>
          <w:sz w:val="24"/>
          <w:szCs w:val="24"/>
        </w:rPr>
      </w:pPr>
      <w:r w:rsidRPr="00B41D95">
        <w:rPr>
          <w:sz w:val="24"/>
          <w:szCs w:val="24"/>
        </w:rPr>
        <w:t>Figure S9: (a) Br XRF and (b) CCE maps of sample A. (c) Br XRF and (d) CCE maps of sample D. Electrodes are drawn with vertical black lines.</w:t>
      </w:r>
    </w:p>
    <w:p w14:paraId="1E674932" w14:textId="77777777" w:rsidR="00735749" w:rsidRPr="00735749" w:rsidRDefault="00735749" w:rsidP="00735749"/>
    <w:p w14:paraId="7F0E8EC0" w14:textId="6C75136B" w:rsidR="00D05E6C" w:rsidRPr="00B41D95" w:rsidRDefault="00CF2733" w:rsidP="00B41D95">
      <w:pPr>
        <w:rPr>
          <w:b/>
          <w:bCs/>
        </w:rPr>
      </w:pPr>
      <w:r w:rsidRPr="00B41D95">
        <w:rPr>
          <w:b/>
          <w:bCs/>
        </w:rPr>
        <w:t xml:space="preserve">KPFM </w:t>
      </w:r>
      <w:r w:rsidR="00ED0B24" w:rsidRPr="00B41D95">
        <w:rPr>
          <w:b/>
          <w:bCs/>
        </w:rPr>
        <w:t>measurements</w:t>
      </w:r>
    </w:p>
    <w:p w14:paraId="608AC32A" w14:textId="104D5C6D" w:rsidR="00133CAE" w:rsidRPr="00B41D95" w:rsidRDefault="00CF2733" w:rsidP="00B41D95">
      <w:pPr>
        <w:keepNext/>
      </w:pPr>
      <w:r w:rsidRPr="00B41D95">
        <w:rPr>
          <w:b/>
          <w:bCs/>
          <w:noProof/>
        </w:rPr>
        <w:drawing>
          <wp:inline distT="0" distB="0" distL="0" distR="0" wp14:anchorId="70ECE6D7" wp14:editId="2852512C">
            <wp:extent cx="6120130" cy="1546225"/>
            <wp:effectExtent l="0" t="0" r="0" b="0"/>
            <wp:docPr id="1019726296" name="Picture 1" descr="A comparison of a graph of a sam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726296" name="Picture 1" descr="A comparison of a graph of a sample&#10;&#10;AI-generated content may be incorrect."/>
                    <pic:cNvPicPr/>
                  </pic:nvPicPr>
                  <pic:blipFill>
                    <a:blip r:embed="rId13"/>
                    <a:stretch>
                      <a:fillRect/>
                    </a:stretch>
                  </pic:blipFill>
                  <pic:spPr>
                    <a:xfrm>
                      <a:off x="0" y="0"/>
                      <a:ext cx="6120130" cy="1546225"/>
                    </a:xfrm>
                    <a:prstGeom prst="rect">
                      <a:avLst/>
                    </a:prstGeom>
                  </pic:spPr>
                </pic:pic>
              </a:graphicData>
            </a:graphic>
          </wp:inline>
        </w:drawing>
      </w:r>
    </w:p>
    <w:p w14:paraId="3DFAFF1C" w14:textId="13677614" w:rsidR="00CF2733" w:rsidRPr="00B41D95" w:rsidRDefault="00133CAE" w:rsidP="00B41D95">
      <w:pPr>
        <w:pStyle w:val="Didascalia"/>
        <w:rPr>
          <w:sz w:val="24"/>
          <w:szCs w:val="24"/>
        </w:rPr>
      </w:pPr>
      <w:r w:rsidRPr="00B41D95">
        <w:rPr>
          <w:sz w:val="24"/>
          <w:szCs w:val="24"/>
        </w:rPr>
        <w:t xml:space="preserve">Figure </w:t>
      </w:r>
      <w:r w:rsidR="00DF0C1A" w:rsidRPr="00B41D95">
        <w:rPr>
          <w:sz w:val="24"/>
          <w:szCs w:val="24"/>
        </w:rPr>
        <w:t>S</w:t>
      </w:r>
      <w:r w:rsidR="00080602" w:rsidRPr="00B41D95">
        <w:rPr>
          <w:sz w:val="24"/>
          <w:szCs w:val="24"/>
        </w:rPr>
        <w:t>10</w:t>
      </w:r>
      <w:r w:rsidR="00CF2733" w:rsidRPr="00B41D95">
        <w:rPr>
          <w:sz w:val="24"/>
          <w:szCs w:val="24"/>
        </w:rPr>
        <w:t>: (a) KPFM map show</w:t>
      </w:r>
      <w:r w:rsidR="00D21769" w:rsidRPr="00B41D95">
        <w:rPr>
          <w:sz w:val="24"/>
          <w:szCs w:val="24"/>
        </w:rPr>
        <w:t>n</w:t>
      </w:r>
      <w:r w:rsidR="009C50D9" w:rsidRPr="00B41D95">
        <w:rPr>
          <w:sz w:val="24"/>
          <w:szCs w:val="24"/>
        </w:rPr>
        <w:t xml:space="preserve"> </w:t>
      </w:r>
      <w:r w:rsidR="00CF2733" w:rsidRPr="00B41D95">
        <w:rPr>
          <w:sz w:val="24"/>
          <w:szCs w:val="24"/>
        </w:rPr>
        <w:t xml:space="preserve">in </w:t>
      </w:r>
      <w:r w:rsidR="00AA6C3E" w:rsidRPr="00B41D95">
        <w:rPr>
          <w:sz w:val="24"/>
          <w:szCs w:val="24"/>
        </w:rPr>
        <w:t>f</w:t>
      </w:r>
      <w:r w:rsidR="00CF2733" w:rsidRPr="00B41D95">
        <w:rPr>
          <w:sz w:val="24"/>
          <w:szCs w:val="24"/>
        </w:rPr>
        <w:t xml:space="preserve">igure 6a with superimposed grain edges obtained from (b) watershed segmentation </w:t>
      </w:r>
      <w:r w:rsidR="00B962DD" w:rsidRPr="00B41D95">
        <w:rPr>
          <w:sz w:val="24"/>
          <w:szCs w:val="24"/>
        </w:rPr>
        <w:t xml:space="preserve">performed on </w:t>
      </w:r>
      <w:r w:rsidR="00CF2733" w:rsidRPr="00B41D95">
        <w:rPr>
          <w:sz w:val="24"/>
          <w:szCs w:val="24"/>
        </w:rPr>
        <w:t xml:space="preserve">AFM morphology </w:t>
      </w:r>
    </w:p>
    <w:p w14:paraId="4E3306B0" w14:textId="1BA3A677" w:rsidR="00FF197E" w:rsidRDefault="00B70F53" w:rsidP="00FF197E">
      <w:pPr>
        <w:jc w:val="both"/>
        <w:rPr>
          <w:color w:val="657C9C" w:themeColor="text2" w:themeTint="BF"/>
        </w:rPr>
      </w:pPr>
      <w:r w:rsidRPr="00B41D95">
        <w:t>The map was cut to exclude an area where</w:t>
      </w:r>
      <w:r w:rsidR="00E74885" w:rsidRPr="00B41D95">
        <w:t xml:space="preserve"> the</w:t>
      </w:r>
      <w:r w:rsidRPr="00B41D95">
        <w:t xml:space="preserve"> watershed mask was not optimal. Also, it is visible in Figure S11a that the grain boundaries result in </w:t>
      </w:r>
      <w:r w:rsidR="00E74885" w:rsidRPr="00B41D95">
        <w:t xml:space="preserve">a </w:t>
      </w:r>
      <w:r w:rsidRPr="00B41D95">
        <w:t>localized increase that can extend in the proximity of the interface and are not masked by the watershed mask (areas circled in green). Moreover, the picture shows at least one grain boundary visible in the morphology</w:t>
      </w:r>
      <w:r w:rsidR="00E74885" w:rsidRPr="00B41D95">
        <w:t>,</w:t>
      </w:r>
      <w:r w:rsidRPr="00B41D95">
        <w:t xml:space="preserve"> but not highlighted by the watershed mask (purple circle). Therefore, the actual value of the potential of the crystalline grains may be even more negative with respect to the reported one.</w:t>
      </w:r>
      <w:r w:rsidR="00FF197E">
        <w:t xml:space="preserve"> </w:t>
      </w:r>
      <w:r w:rsidR="003946C3" w:rsidRPr="00E06905">
        <w:rPr>
          <w:highlight w:val="yellow"/>
        </w:rPr>
        <w:t xml:space="preserve">However, </w:t>
      </w:r>
      <w:r w:rsidR="00E06905" w:rsidRPr="00E06905">
        <w:rPr>
          <w:highlight w:val="yellow"/>
        </w:rPr>
        <w:t xml:space="preserve">this influences </w:t>
      </w:r>
      <w:r w:rsidR="00FF197E" w:rsidRPr="00E06905">
        <w:rPr>
          <w:highlight w:val="yellow"/>
        </w:rPr>
        <w:t>only the surface potential value</w:t>
      </w:r>
      <w:r w:rsidR="00E06905" w:rsidRPr="00E06905">
        <w:rPr>
          <w:highlight w:val="yellow"/>
        </w:rPr>
        <w:t xml:space="preserve"> extracted</w:t>
      </w:r>
      <w:r w:rsidR="00FF197E" w:rsidRPr="00E06905">
        <w:rPr>
          <w:highlight w:val="yellow"/>
        </w:rPr>
        <w:t xml:space="preserve"> in the crystalline grains, while the considerations on the grain boundaries are unaffected.</w:t>
      </w:r>
      <w:r w:rsidR="00FF197E" w:rsidRPr="00E06905">
        <w:t xml:space="preserve"> </w:t>
      </w:r>
    </w:p>
    <w:p w14:paraId="4F9203CC" w14:textId="16945B7E" w:rsidR="00B70F53" w:rsidRPr="00B41D95" w:rsidRDefault="00B70F53" w:rsidP="00B41D95">
      <w:pPr>
        <w:jc w:val="both"/>
      </w:pPr>
    </w:p>
    <w:p w14:paraId="357F3AF0" w14:textId="77777777" w:rsidR="00133CAE" w:rsidRPr="00B41D95" w:rsidRDefault="007F6935" w:rsidP="00B41D95">
      <w:pPr>
        <w:keepNext/>
      </w:pPr>
      <w:r w:rsidRPr="00B41D95">
        <w:rPr>
          <w:b/>
          <w:bCs/>
          <w:noProof/>
        </w:rPr>
        <w:lastRenderedPageBreak/>
        <w:drawing>
          <wp:inline distT="0" distB="0" distL="0" distR="0" wp14:anchorId="02AFE895" wp14:editId="473F4E3C">
            <wp:extent cx="6120130" cy="1443990"/>
            <wp:effectExtent l="0" t="0" r="0" b="3810"/>
            <wp:docPr id="282722618" name="Picture 1" descr="A diagram of a graph showing the same number of c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722618" name="Picture 1" descr="A diagram of a graph showing the same number of cells&#10;&#10;AI-generated content may be incorrect."/>
                    <pic:cNvPicPr/>
                  </pic:nvPicPr>
                  <pic:blipFill>
                    <a:blip r:embed="rId14"/>
                    <a:stretch>
                      <a:fillRect/>
                    </a:stretch>
                  </pic:blipFill>
                  <pic:spPr>
                    <a:xfrm>
                      <a:off x="0" y="0"/>
                      <a:ext cx="6120130" cy="1443990"/>
                    </a:xfrm>
                    <a:prstGeom prst="rect">
                      <a:avLst/>
                    </a:prstGeom>
                  </pic:spPr>
                </pic:pic>
              </a:graphicData>
            </a:graphic>
          </wp:inline>
        </w:drawing>
      </w:r>
    </w:p>
    <w:p w14:paraId="4007CFDF" w14:textId="6D959EC2" w:rsidR="00267438" w:rsidRPr="00B41D95" w:rsidRDefault="00133CAE" w:rsidP="00B41D95">
      <w:pPr>
        <w:pStyle w:val="Didascalia"/>
        <w:rPr>
          <w:i w:val="0"/>
          <w:iCs w:val="0"/>
          <w:sz w:val="24"/>
          <w:szCs w:val="24"/>
        </w:rPr>
      </w:pPr>
      <w:r w:rsidRPr="00B41D95">
        <w:rPr>
          <w:sz w:val="24"/>
          <w:szCs w:val="24"/>
        </w:rPr>
        <w:t xml:space="preserve">Figure </w:t>
      </w:r>
      <w:r w:rsidR="00DF0C1A" w:rsidRPr="00B41D95">
        <w:rPr>
          <w:sz w:val="24"/>
          <w:szCs w:val="24"/>
        </w:rPr>
        <w:t>S</w:t>
      </w:r>
      <w:r w:rsidR="00080602" w:rsidRPr="00B41D95">
        <w:rPr>
          <w:sz w:val="24"/>
          <w:szCs w:val="24"/>
        </w:rPr>
        <w:t>11</w:t>
      </w:r>
      <w:r w:rsidR="006A6AE4" w:rsidRPr="00B41D95">
        <w:rPr>
          <w:sz w:val="24"/>
          <w:szCs w:val="24"/>
        </w:rPr>
        <w:t>:</w:t>
      </w:r>
      <w:r w:rsidR="00BA709B" w:rsidRPr="00B41D95">
        <w:rPr>
          <w:sz w:val="24"/>
          <w:szCs w:val="24"/>
        </w:rPr>
        <w:t xml:space="preserve"> (a) </w:t>
      </w:r>
      <w:r w:rsidR="00195F31" w:rsidRPr="00B41D95">
        <w:rPr>
          <w:sz w:val="24"/>
          <w:szCs w:val="24"/>
        </w:rPr>
        <w:t xml:space="preserve">KPFM masked with </w:t>
      </w:r>
      <w:r w:rsidR="00E74885" w:rsidRPr="00B41D95">
        <w:rPr>
          <w:sz w:val="24"/>
          <w:szCs w:val="24"/>
        </w:rPr>
        <w:t xml:space="preserve">a </w:t>
      </w:r>
      <w:r w:rsidR="00195F31" w:rsidRPr="00B41D95">
        <w:rPr>
          <w:sz w:val="24"/>
          <w:szCs w:val="24"/>
        </w:rPr>
        <w:t xml:space="preserve">watershed mask to calculate the average KPFM value inside the crystalline grains (b) KPFM masked with </w:t>
      </w:r>
      <w:r w:rsidR="00E74885" w:rsidRPr="00B41D95">
        <w:rPr>
          <w:sz w:val="24"/>
          <w:szCs w:val="24"/>
        </w:rPr>
        <w:t xml:space="preserve">an </w:t>
      </w:r>
      <w:r w:rsidR="00195F31" w:rsidRPr="00B41D95">
        <w:rPr>
          <w:sz w:val="24"/>
          <w:szCs w:val="24"/>
        </w:rPr>
        <w:t>inverted watershed mask to calculate the average KPFM value in the grain boundaries</w:t>
      </w:r>
    </w:p>
    <w:p w14:paraId="4384F23F" w14:textId="14DAA153" w:rsidR="009C50D9" w:rsidRPr="00B41D95" w:rsidRDefault="009C50D9" w:rsidP="00B41D95">
      <w:pPr>
        <w:rPr>
          <w:b/>
          <w:bCs/>
        </w:rPr>
      </w:pPr>
    </w:p>
    <w:p w14:paraId="0CEC7CCD" w14:textId="2684ED01" w:rsidR="0892FBB8" w:rsidRDefault="0892FBB8" w:rsidP="270CB91B">
      <w:r>
        <w:rPr>
          <w:noProof/>
        </w:rPr>
        <w:drawing>
          <wp:inline distT="0" distB="0" distL="0" distR="0" wp14:anchorId="19193A83" wp14:editId="3A9D13D6">
            <wp:extent cx="3711347" cy="2623930"/>
            <wp:effectExtent l="0" t="0" r="0" b="5080"/>
            <wp:docPr id="1652542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54265" name="drawing"/>
                    <pic:cNvPicPr/>
                  </pic:nvPicPr>
                  <pic:blipFill>
                    <a:blip r:embed="rId15" cstate="print">
                      <a:extLst>
                        <a:ext uri="{28A0092B-C50C-407E-A947-70E740481C1C}">
                          <a14:useLocalDpi xmlns:a14="http://schemas.microsoft.com/office/drawing/2010/main" val="0"/>
                        </a:ext>
                      </a:extLst>
                    </a:blip>
                    <a:srcRect t="101" b="101"/>
                    <a:stretch>
                      <a:fillRect/>
                    </a:stretch>
                  </pic:blipFill>
                  <pic:spPr>
                    <a:xfrm>
                      <a:off x="0" y="0"/>
                      <a:ext cx="3721317" cy="2630979"/>
                    </a:xfrm>
                    <a:prstGeom prst="rect">
                      <a:avLst/>
                    </a:prstGeom>
                  </pic:spPr>
                </pic:pic>
              </a:graphicData>
            </a:graphic>
          </wp:inline>
        </w:drawing>
      </w:r>
    </w:p>
    <w:p w14:paraId="558F7732" w14:textId="2644E2CC" w:rsidR="0892FBB8" w:rsidRDefault="0892FBB8" w:rsidP="270CB91B">
      <w:pPr>
        <w:pStyle w:val="Didascalia"/>
        <w:rPr>
          <w:i w:val="0"/>
          <w:iCs w:val="0"/>
          <w:sz w:val="24"/>
          <w:szCs w:val="24"/>
        </w:rPr>
      </w:pPr>
      <w:r w:rsidRPr="270CB91B">
        <w:rPr>
          <w:sz w:val="24"/>
          <w:szCs w:val="24"/>
        </w:rPr>
        <w:t>Figure S12: Photoluminescence spectra of type A, B, C and D perovskite thin films.</w:t>
      </w:r>
    </w:p>
    <w:p w14:paraId="4749B4F0" w14:textId="1B24C2B9" w:rsidR="270CB91B" w:rsidRDefault="270CB91B" w:rsidP="270CB91B">
      <w:pPr>
        <w:rPr>
          <w:b/>
          <w:bCs/>
        </w:rPr>
      </w:pPr>
    </w:p>
    <w:p w14:paraId="70DD6D23" w14:textId="793B9D4D" w:rsidR="00397634" w:rsidRPr="00081F5E" w:rsidRDefault="00397634" w:rsidP="00B41D95">
      <w:pPr>
        <w:rPr>
          <w:b/>
          <w:bCs/>
          <w:lang w:val="fr-FR"/>
        </w:rPr>
      </w:pPr>
      <w:r w:rsidRPr="00081F5E">
        <w:rPr>
          <w:b/>
          <w:bCs/>
          <w:lang w:val="fr-FR"/>
        </w:rPr>
        <w:t>Bibliography</w:t>
      </w:r>
    </w:p>
    <w:p w14:paraId="3FE79B56" w14:textId="77777777" w:rsidR="00531386" w:rsidRPr="00531386" w:rsidRDefault="00397634" w:rsidP="00531386">
      <w:pPr>
        <w:pStyle w:val="Bibliografia"/>
        <w:rPr>
          <w:rFonts w:ascii="Calibri" w:hAnsi="Calibri" w:cs="Calibri"/>
        </w:rPr>
      </w:pPr>
      <w:r w:rsidRPr="00B41D95">
        <w:rPr>
          <w:b/>
          <w:bCs/>
        </w:rPr>
        <w:fldChar w:fldCharType="begin"/>
      </w:r>
      <w:r w:rsidR="007714C6" w:rsidRPr="00081F5E">
        <w:rPr>
          <w:b/>
          <w:bCs/>
          <w:lang w:val="fr-FR"/>
        </w:rPr>
        <w:instrText xml:space="preserve"> ADDIN ZOTERO_BIBL {"uncited":[],"omitted":[],"custom":[]} CSL_BIBLIOGRAPHY </w:instrText>
      </w:r>
      <w:r w:rsidRPr="00B41D95">
        <w:rPr>
          <w:b/>
          <w:bCs/>
        </w:rPr>
        <w:fldChar w:fldCharType="separate"/>
      </w:r>
      <w:r w:rsidR="00531386" w:rsidRPr="00531386">
        <w:rPr>
          <w:rFonts w:ascii="Calibri" w:hAnsi="Calibri" w:cs="Calibri"/>
          <w:lang w:val="fr-FR"/>
        </w:rPr>
        <w:t>1.</w:t>
      </w:r>
      <w:r w:rsidR="00531386" w:rsidRPr="00531386">
        <w:rPr>
          <w:rFonts w:ascii="Calibri" w:hAnsi="Calibri" w:cs="Calibri"/>
          <w:lang w:val="fr-FR"/>
        </w:rPr>
        <w:tab/>
        <w:t xml:space="preserve">Solé, V. A., Papillon, E., Cotte, M., Walter, Ph. </w:t>
      </w:r>
      <w:r w:rsidR="00531386" w:rsidRPr="00531386">
        <w:rPr>
          <w:rFonts w:ascii="Calibri" w:hAnsi="Calibri" w:cs="Calibri"/>
        </w:rPr>
        <w:t xml:space="preserve">&amp; Susini, J. A multiplatform code for the analysis of energy-dispersive X-ray fluorescence spectra. </w:t>
      </w:r>
      <w:r w:rsidR="00531386" w:rsidRPr="00531386">
        <w:rPr>
          <w:rFonts w:ascii="Calibri" w:hAnsi="Calibri" w:cs="Calibri"/>
          <w:i/>
          <w:iCs/>
        </w:rPr>
        <w:t>Spectrochimica Acta Part B: Atomic Spectroscopy</w:t>
      </w:r>
      <w:r w:rsidR="00531386" w:rsidRPr="00531386">
        <w:rPr>
          <w:rFonts w:ascii="Calibri" w:hAnsi="Calibri" w:cs="Calibri"/>
        </w:rPr>
        <w:t xml:space="preserve"> </w:t>
      </w:r>
      <w:r w:rsidR="00531386" w:rsidRPr="00531386">
        <w:rPr>
          <w:rFonts w:ascii="Calibri" w:hAnsi="Calibri" w:cs="Calibri"/>
          <w:b/>
          <w:bCs/>
        </w:rPr>
        <w:t>62</w:t>
      </w:r>
      <w:r w:rsidR="00531386" w:rsidRPr="00531386">
        <w:rPr>
          <w:rFonts w:ascii="Calibri" w:hAnsi="Calibri" w:cs="Calibri"/>
        </w:rPr>
        <w:t>, 63–68 (2007).</w:t>
      </w:r>
    </w:p>
    <w:p w14:paraId="333F0D48" w14:textId="77777777" w:rsidR="00531386" w:rsidRPr="00531386" w:rsidRDefault="00531386" w:rsidP="00531386">
      <w:pPr>
        <w:pStyle w:val="Bibliografia"/>
        <w:rPr>
          <w:rFonts w:ascii="Calibri" w:hAnsi="Calibri" w:cs="Calibri"/>
        </w:rPr>
      </w:pPr>
      <w:r w:rsidRPr="00531386">
        <w:rPr>
          <w:rFonts w:ascii="Calibri" w:hAnsi="Calibri" w:cs="Calibri"/>
        </w:rPr>
        <w:t>2.</w:t>
      </w:r>
      <w:r w:rsidRPr="00531386">
        <w:rPr>
          <w:rFonts w:ascii="Calibri" w:hAnsi="Calibri" w:cs="Calibri"/>
        </w:rPr>
        <w:tab/>
        <w:t xml:space="preserve">Pan, L., He, Y., Klepov, V. V., De Siena, M. C. &amp; Kanatzidis, M. G. Perovskite CsPbBr3 Single Crystal Detector for High Flux X-Ray Photon Counting. </w:t>
      </w:r>
      <w:r w:rsidRPr="00531386">
        <w:rPr>
          <w:rFonts w:ascii="Calibri" w:hAnsi="Calibri" w:cs="Calibri"/>
          <w:i/>
          <w:iCs/>
        </w:rPr>
        <w:t>IEEE Transactions on Medical Imaging</w:t>
      </w:r>
      <w:r w:rsidRPr="00531386">
        <w:rPr>
          <w:rFonts w:ascii="Calibri" w:hAnsi="Calibri" w:cs="Calibri"/>
        </w:rPr>
        <w:t xml:space="preserve"> </w:t>
      </w:r>
      <w:r w:rsidRPr="00531386">
        <w:rPr>
          <w:rFonts w:ascii="Calibri" w:hAnsi="Calibri" w:cs="Calibri"/>
          <w:b/>
          <w:bCs/>
        </w:rPr>
        <w:t>41</w:t>
      </w:r>
      <w:r w:rsidRPr="00531386">
        <w:rPr>
          <w:rFonts w:ascii="Calibri" w:hAnsi="Calibri" w:cs="Calibri"/>
        </w:rPr>
        <w:t>, 3053–3061 (2022).</w:t>
      </w:r>
    </w:p>
    <w:p w14:paraId="14ED513C" w14:textId="77777777" w:rsidR="00531386" w:rsidRPr="00531386" w:rsidRDefault="00531386" w:rsidP="00531386">
      <w:pPr>
        <w:pStyle w:val="Bibliografia"/>
        <w:rPr>
          <w:rFonts w:ascii="Calibri" w:hAnsi="Calibri" w:cs="Calibri"/>
        </w:rPr>
      </w:pPr>
      <w:r w:rsidRPr="00531386">
        <w:rPr>
          <w:rFonts w:ascii="Calibri" w:hAnsi="Calibri" w:cs="Calibri"/>
        </w:rPr>
        <w:t>3.</w:t>
      </w:r>
      <w:r w:rsidRPr="00531386">
        <w:rPr>
          <w:rFonts w:ascii="Calibri" w:hAnsi="Calibri" w:cs="Calibri"/>
        </w:rPr>
        <w:tab/>
        <w:t xml:space="preserve">Lédée, F., Ciavatti, A., Verdi, M., Basiricò, L. &amp; Fraboni, B. Ultra-Stable and Robust Response to X-Rays in 2D Layered Perovskite Micro-Crystalline Films Directly Deposited on Flexible Substrate. </w:t>
      </w:r>
      <w:r w:rsidRPr="00531386">
        <w:rPr>
          <w:rFonts w:ascii="Calibri" w:hAnsi="Calibri" w:cs="Calibri"/>
          <w:i/>
          <w:iCs/>
        </w:rPr>
        <w:t>Advanced Optical Materials</w:t>
      </w:r>
      <w:r w:rsidRPr="00531386">
        <w:rPr>
          <w:rFonts w:ascii="Calibri" w:hAnsi="Calibri" w:cs="Calibri"/>
        </w:rPr>
        <w:t xml:space="preserve"> </w:t>
      </w:r>
      <w:r w:rsidRPr="00531386">
        <w:rPr>
          <w:rFonts w:ascii="Calibri" w:hAnsi="Calibri" w:cs="Calibri"/>
          <w:b/>
          <w:bCs/>
        </w:rPr>
        <w:t>10</w:t>
      </w:r>
      <w:r w:rsidRPr="00531386">
        <w:rPr>
          <w:rFonts w:ascii="Calibri" w:hAnsi="Calibri" w:cs="Calibri"/>
        </w:rPr>
        <w:t>, 2101145 (2022).</w:t>
      </w:r>
    </w:p>
    <w:p w14:paraId="6F52289C" w14:textId="77777777" w:rsidR="00531386" w:rsidRPr="00531386" w:rsidRDefault="00531386" w:rsidP="00531386">
      <w:pPr>
        <w:pStyle w:val="Bibliografia"/>
        <w:rPr>
          <w:rFonts w:ascii="Calibri" w:hAnsi="Calibri" w:cs="Calibri"/>
        </w:rPr>
      </w:pPr>
      <w:r w:rsidRPr="00531386">
        <w:rPr>
          <w:rFonts w:ascii="Calibri" w:hAnsi="Calibri" w:cs="Calibri"/>
        </w:rPr>
        <w:t>4.</w:t>
      </w:r>
      <w:r w:rsidRPr="00531386">
        <w:rPr>
          <w:rFonts w:ascii="Calibri" w:hAnsi="Calibri" w:cs="Calibri"/>
        </w:rPr>
        <w:tab/>
        <w:t xml:space="preserve">Napolitano, G. </w:t>
      </w:r>
      <w:r w:rsidRPr="00531386">
        <w:rPr>
          <w:rFonts w:ascii="Calibri" w:hAnsi="Calibri" w:cs="Calibri"/>
          <w:i/>
          <w:iCs/>
        </w:rPr>
        <w:t>et al.</w:t>
      </w:r>
      <w:r w:rsidRPr="00531386">
        <w:rPr>
          <w:rFonts w:ascii="Calibri" w:hAnsi="Calibri" w:cs="Calibri"/>
        </w:rPr>
        <w:t xml:space="preserve"> Impact of Device Architecture on Proton Detection Efficiency in 2D Perovskite Thick Film Detectors. </w:t>
      </w:r>
      <w:r w:rsidRPr="00531386">
        <w:rPr>
          <w:rFonts w:ascii="Calibri" w:hAnsi="Calibri" w:cs="Calibri"/>
          <w:i/>
          <w:iCs/>
        </w:rPr>
        <w:t>Small</w:t>
      </w:r>
      <w:r w:rsidRPr="00531386">
        <w:rPr>
          <w:rFonts w:ascii="Calibri" w:hAnsi="Calibri" w:cs="Calibri"/>
        </w:rPr>
        <w:t xml:space="preserve"> </w:t>
      </w:r>
      <w:r w:rsidRPr="00531386">
        <w:rPr>
          <w:rFonts w:ascii="Calibri" w:hAnsi="Calibri" w:cs="Calibri"/>
          <w:b/>
          <w:bCs/>
        </w:rPr>
        <w:t>n/a</w:t>
      </w:r>
      <w:r w:rsidRPr="00531386">
        <w:rPr>
          <w:rFonts w:ascii="Calibri" w:hAnsi="Calibri" w:cs="Calibri"/>
        </w:rPr>
        <w:t>, e12236.</w:t>
      </w:r>
    </w:p>
    <w:p w14:paraId="3DECE341" w14:textId="77777777" w:rsidR="00531386" w:rsidRPr="00531386" w:rsidRDefault="00531386" w:rsidP="00531386">
      <w:pPr>
        <w:pStyle w:val="Bibliografia"/>
        <w:rPr>
          <w:rFonts w:ascii="Calibri" w:hAnsi="Calibri" w:cs="Calibri"/>
        </w:rPr>
      </w:pPr>
      <w:r w:rsidRPr="00531386">
        <w:rPr>
          <w:rFonts w:ascii="Calibri" w:hAnsi="Calibri" w:cs="Calibri"/>
        </w:rPr>
        <w:t>5.</w:t>
      </w:r>
      <w:r w:rsidRPr="00531386">
        <w:rPr>
          <w:rFonts w:ascii="Calibri" w:hAnsi="Calibri" w:cs="Calibri"/>
        </w:rPr>
        <w:tab/>
        <w:t xml:space="preserve">Ossig, C. </w:t>
      </w:r>
      <w:r w:rsidRPr="00531386">
        <w:rPr>
          <w:rFonts w:ascii="Calibri" w:hAnsi="Calibri" w:cs="Calibri"/>
          <w:i/>
          <w:iCs/>
        </w:rPr>
        <w:t>et al.</w:t>
      </w:r>
      <w:r w:rsidRPr="00531386">
        <w:rPr>
          <w:rFonts w:ascii="Calibri" w:hAnsi="Calibri" w:cs="Calibri"/>
        </w:rPr>
        <w:t xml:space="preserve"> X-ray Beam Induced Current Measurements for Multi-Modal X-ray Microscopy of Solar Cells. </w:t>
      </w:r>
      <w:r w:rsidRPr="00531386">
        <w:rPr>
          <w:rFonts w:ascii="Calibri" w:hAnsi="Calibri" w:cs="Calibri"/>
          <w:i/>
          <w:iCs/>
        </w:rPr>
        <w:t>JoVE</w:t>
      </w:r>
      <w:r w:rsidRPr="00531386">
        <w:rPr>
          <w:rFonts w:ascii="Calibri" w:hAnsi="Calibri" w:cs="Calibri"/>
        </w:rPr>
        <w:t xml:space="preserve"> 60001 (2019) doi:10.3791/60001.</w:t>
      </w:r>
    </w:p>
    <w:p w14:paraId="43D714BF" w14:textId="77777777" w:rsidR="00531386" w:rsidRPr="00531386" w:rsidRDefault="00531386" w:rsidP="00531386">
      <w:pPr>
        <w:pStyle w:val="Bibliografia"/>
        <w:rPr>
          <w:rFonts w:ascii="Calibri" w:hAnsi="Calibri" w:cs="Calibri"/>
        </w:rPr>
      </w:pPr>
      <w:r w:rsidRPr="00531386">
        <w:rPr>
          <w:rFonts w:ascii="Calibri" w:hAnsi="Calibri" w:cs="Calibri"/>
        </w:rPr>
        <w:lastRenderedPageBreak/>
        <w:t>6.</w:t>
      </w:r>
      <w:r w:rsidRPr="00531386">
        <w:rPr>
          <w:rFonts w:ascii="Calibri" w:hAnsi="Calibri" w:cs="Calibri"/>
        </w:rPr>
        <w:tab/>
        <w:t xml:space="preserve">Verdi, M. </w:t>
      </w:r>
      <w:r w:rsidRPr="00531386">
        <w:rPr>
          <w:rFonts w:ascii="Calibri" w:hAnsi="Calibri" w:cs="Calibri"/>
          <w:i/>
          <w:iCs/>
        </w:rPr>
        <w:t>et al.</w:t>
      </w:r>
      <w:r w:rsidRPr="00531386">
        <w:rPr>
          <w:rFonts w:ascii="Calibri" w:hAnsi="Calibri" w:cs="Calibri"/>
        </w:rPr>
        <w:t xml:space="preserve"> X-Ray Nanoanalysis Revealing the Role of Electronically Active Passivation Layers in Perovskite X-Ray film Detectors. </w:t>
      </w:r>
      <w:r w:rsidRPr="00531386">
        <w:rPr>
          <w:rFonts w:ascii="Calibri" w:hAnsi="Calibri" w:cs="Calibri"/>
          <w:i/>
          <w:iCs/>
        </w:rPr>
        <w:t>Advanced Electronic Materials</w:t>
      </w:r>
      <w:r w:rsidRPr="00531386">
        <w:rPr>
          <w:rFonts w:ascii="Calibri" w:hAnsi="Calibri" w:cs="Calibri"/>
        </w:rPr>
        <w:t xml:space="preserve"> </w:t>
      </w:r>
      <w:r w:rsidRPr="00531386">
        <w:rPr>
          <w:rFonts w:ascii="Calibri" w:hAnsi="Calibri" w:cs="Calibri"/>
          <w:b/>
          <w:bCs/>
        </w:rPr>
        <w:t>9</w:t>
      </w:r>
      <w:r w:rsidRPr="00531386">
        <w:rPr>
          <w:rFonts w:ascii="Calibri" w:hAnsi="Calibri" w:cs="Calibri"/>
        </w:rPr>
        <w:t>, 2201346.</w:t>
      </w:r>
    </w:p>
    <w:p w14:paraId="407F67FF" w14:textId="1B5174E7" w:rsidR="00397634" w:rsidRPr="00397634" w:rsidRDefault="00397634" w:rsidP="00B41D95">
      <w:pPr>
        <w:rPr>
          <w:b/>
          <w:bCs/>
        </w:rPr>
      </w:pPr>
      <w:r w:rsidRPr="00B41D95">
        <w:rPr>
          <w:b/>
          <w:bCs/>
        </w:rPr>
        <w:fldChar w:fldCharType="end"/>
      </w:r>
    </w:p>
    <w:sectPr w:rsidR="00397634" w:rsidRPr="00397634" w:rsidSect="00E06905">
      <w:pgSz w:w="11906" w:h="16838"/>
      <w:pgMar w:top="1417" w:right="1134" w:bottom="1134" w:left="1134" w:header="708" w:footer="708" w:gutter="0"/>
      <w:lnNumType w:countBy="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634"/>
    <w:rsid w:val="00001B84"/>
    <w:rsid w:val="00006BF2"/>
    <w:rsid w:val="00014F79"/>
    <w:rsid w:val="00037286"/>
    <w:rsid w:val="00040A4E"/>
    <w:rsid w:val="00047E58"/>
    <w:rsid w:val="00052295"/>
    <w:rsid w:val="00052E85"/>
    <w:rsid w:val="00071318"/>
    <w:rsid w:val="00080602"/>
    <w:rsid w:val="00081F5E"/>
    <w:rsid w:val="00082A41"/>
    <w:rsid w:val="000909F2"/>
    <w:rsid w:val="000913FA"/>
    <w:rsid w:val="00097190"/>
    <w:rsid w:val="000A4DE4"/>
    <w:rsid w:val="000B0917"/>
    <w:rsid w:val="000B5BF2"/>
    <w:rsid w:val="000E24EA"/>
    <w:rsid w:val="000E4B40"/>
    <w:rsid w:val="000F45D5"/>
    <w:rsid w:val="000F73B4"/>
    <w:rsid w:val="00124D3D"/>
    <w:rsid w:val="001270E7"/>
    <w:rsid w:val="00133CAE"/>
    <w:rsid w:val="00144A1D"/>
    <w:rsid w:val="0014717D"/>
    <w:rsid w:val="00153518"/>
    <w:rsid w:val="00161838"/>
    <w:rsid w:val="00170638"/>
    <w:rsid w:val="00175A6D"/>
    <w:rsid w:val="001809BB"/>
    <w:rsid w:val="00187B8B"/>
    <w:rsid w:val="00195F31"/>
    <w:rsid w:val="001A609A"/>
    <w:rsid w:val="001B14FD"/>
    <w:rsid w:val="001B21D6"/>
    <w:rsid w:val="001C421B"/>
    <w:rsid w:val="001D4D7D"/>
    <w:rsid w:val="001D5471"/>
    <w:rsid w:val="001E4DE4"/>
    <w:rsid w:val="001E6BCA"/>
    <w:rsid w:val="002127C3"/>
    <w:rsid w:val="002434F3"/>
    <w:rsid w:val="00244889"/>
    <w:rsid w:val="0025782B"/>
    <w:rsid w:val="00263F73"/>
    <w:rsid w:val="00264E43"/>
    <w:rsid w:val="00267438"/>
    <w:rsid w:val="00276E5E"/>
    <w:rsid w:val="002805D2"/>
    <w:rsid w:val="00285ECE"/>
    <w:rsid w:val="00286F38"/>
    <w:rsid w:val="002910B3"/>
    <w:rsid w:val="002A5910"/>
    <w:rsid w:val="002B384D"/>
    <w:rsid w:val="002B5554"/>
    <w:rsid w:val="002E2D30"/>
    <w:rsid w:val="00316C77"/>
    <w:rsid w:val="00343923"/>
    <w:rsid w:val="00350ADB"/>
    <w:rsid w:val="0035127B"/>
    <w:rsid w:val="00356521"/>
    <w:rsid w:val="0036211B"/>
    <w:rsid w:val="00366FAD"/>
    <w:rsid w:val="00375604"/>
    <w:rsid w:val="00380D35"/>
    <w:rsid w:val="00381671"/>
    <w:rsid w:val="00383E42"/>
    <w:rsid w:val="00385AEC"/>
    <w:rsid w:val="003946C3"/>
    <w:rsid w:val="00397634"/>
    <w:rsid w:val="003A006D"/>
    <w:rsid w:val="003A63BD"/>
    <w:rsid w:val="003B7802"/>
    <w:rsid w:val="003C21DB"/>
    <w:rsid w:val="003C5E5C"/>
    <w:rsid w:val="003C6908"/>
    <w:rsid w:val="003E0DA4"/>
    <w:rsid w:val="003E7EDB"/>
    <w:rsid w:val="00402827"/>
    <w:rsid w:val="00473FA9"/>
    <w:rsid w:val="00477DF6"/>
    <w:rsid w:val="00480742"/>
    <w:rsid w:val="00492D74"/>
    <w:rsid w:val="004D0875"/>
    <w:rsid w:val="004D48DA"/>
    <w:rsid w:val="004E2C98"/>
    <w:rsid w:val="004E3835"/>
    <w:rsid w:val="004F0D91"/>
    <w:rsid w:val="00501442"/>
    <w:rsid w:val="00512FE5"/>
    <w:rsid w:val="00515BB0"/>
    <w:rsid w:val="00523225"/>
    <w:rsid w:val="00523C50"/>
    <w:rsid w:val="00531055"/>
    <w:rsid w:val="00531386"/>
    <w:rsid w:val="0053227B"/>
    <w:rsid w:val="00536A29"/>
    <w:rsid w:val="00543FB9"/>
    <w:rsid w:val="005445C8"/>
    <w:rsid w:val="0054596F"/>
    <w:rsid w:val="00587014"/>
    <w:rsid w:val="005A2554"/>
    <w:rsid w:val="005A6A47"/>
    <w:rsid w:val="005D58C6"/>
    <w:rsid w:val="005F3370"/>
    <w:rsid w:val="00621B9C"/>
    <w:rsid w:val="006248EC"/>
    <w:rsid w:val="00625B40"/>
    <w:rsid w:val="006553B7"/>
    <w:rsid w:val="00666F72"/>
    <w:rsid w:val="00692580"/>
    <w:rsid w:val="006A6AE4"/>
    <w:rsid w:val="006B0339"/>
    <w:rsid w:val="006B5E75"/>
    <w:rsid w:val="006C45C0"/>
    <w:rsid w:val="006C61A8"/>
    <w:rsid w:val="006D0C79"/>
    <w:rsid w:val="007000A4"/>
    <w:rsid w:val="0070157A"/>
    <w:rsid w:val="007037B1"/>
    <w:rsid w:val="007042C5"/>
    <w:rsid w:val="00715BD0"/>
    <w:rsid w:val="00725257"/>
    <w:rsid w:val="00725ED0"/>
    <w:rsid w:val="00730A88"/>
    <w:rsid w:val="00735749"/>
    <w:rsid w:val="00745DE9"/>
    <w:rsid w:val="00751C6C"/>
    <w:rsid w:val="00751C7C"/>
    <w:rsid w:val="0077011C"/>
    <w:rsid w:val="007714C6"/>
    <w:rsid w:val="00777A62"/>
    <w:rsid w:val="0079170A"/>
    <w:rsid w:val="007A277D"/>
    <w:rsid w:val="007B1E4E"/>
    <w:rsid w:val="007C6548"/>
    <w:rsid w:val="007F6935"/>
    <w:rsid w:val="00803399"/>
    <w:rsid w:val="008044E8"/>
    <w:rsid w:val="008135F8"/>
    <w:rsid w:val="00817130"/>
    <w:rsid w:val="00844BE4"/>
    <w:rsid w:val="00857A5A"/>
    <w:rsid w:val="00860340"/>
    <w:rsid w:val="00870A49"/>
    <w:rsid w:val="00880C1F"/>
    <w:rsid w:val="008B0A23"/>
    <w:rsid w:val="008B25C5"/>
    <w:rsid w:val="008B2F3E"/>
    <w:rsid w:val="008C405B"/>
    <w:rsid w:val="008D6146"/>
    <w:rsid w:val="008E6902"/>
    <w:rsid w:val="008F3BD4"/>
    <w:rsid w:val="008F6CD4"/>
    <w:rsid w:val="009210EF"/>
    <w:rsid w:val="009256FB"/>
    <w:rsid w:val="00954A16"/>
    <w:rsid w:val="0095673D"/>
    <w:rsid w:val="00957F87"/>
    <w:rsid w:val="00975736"/>
    <w:rsid w:val="009806B7"/>
    <w:rsid w:val="00983BEF"/>
    <w:rsid w:val="0098613E"/>
    <w:rsid w:val="009869D9"/>
    <w:rsid w:val="009909FC"/>
    <w:rsid w:val="00990A06"/>
    <w:rsid w:val="009A2766"/>
    <w:rsid w:val="009A3CDE"/>
    <w:rsid w:val="009A4802"/>
    <w:rsid w:val="009B0615"/>
    <w:rsid w:val="009B3BA2"/>
    <w:rsid w:val="009B7FF1"/>
    <w:rsid w:val="009C400B"/>
    <w:rsid w:val="009C50D9"/>
    <w:rsid w:val="009D0A01"/>
    <w:rsid w:val="009D1484"/>
    <w:rsid w:val="009D2E99"/>
    <w:rsid w:val="009D4B33"/>
    <w:rsid w:val="00A0707E"/>
    <w:rsid w:val="00A1041F"/>
    <w:rsid w:val="00A243D2"/>
    <w:rsid w:val="00A26B13"/>
    <w:rsid w:val="00A30467"/>
    <w:rsid w:val="00A31C94"/>
    <w:rsid w:val="00A341F4"/>
    <w:rsid w:val="00A40565"/>
    <w:rsid w:val="00A460A6"/>
    <w:rsid w:val="00A60096"/>
    <w:rsid w:val="00A6447D"/>
    <w:rsid w:val="00A65B26"/>
    <w:rsid w:val="00A874B4"/>
    <w:rsid w:val="00AA6C3E"/>
    <w:rsid w:val="00AB511D"/>
    <w:rsid w:val="00AC5544"/>
    <w:rsid w:val="00AE4A75"/>
    <w:rsid w:val="00AE6EEC"/>
    <w:rsid w:val="00AF03E1"/>
    <w:rsid w:val="00AF03EC"/>
    <w:rsid w:val="00AF0580"/>
    <w:rsid w:val="00B21E44"/>
    <w:rsid w:val="00B25000"/>
    <w:rsid w:val="00B41D95"/>
    <w:rsid w:val="00B42C4D"/>
    <w:rsid w:val="00B529AA"/>
    <w:rsid w:val="00B70F53"/>
    <w:rsid w:val="00B7526D"/>
    <w:rsid w:val="00B90C32"/>
    <w:rsid w:val="00B962DD"/>
    <w:rsid w:val="00B974D7"/>
    <w:rsid w:val="00BA709B"/>
    <w:rsid w:val="00BC51E5"/>
    <w:rsid w:val="00BD1803"/>
    <w:rsid w:val="00BE215D"/>
    <w:rsid w:val="00BE64F9"/>
    <w:rsid w:val="00BE6820"/>
    <w:rsid w:val="00BF5373"/>
    <w:rsid w:val="00C069E7"/>
    <w:rsid w:val="00C161D7"/>
    <w:rsid w:val="00C27463"/>
    <w:rsid w:val="00C400EB"/>
    <w:rsid w:val="00C45C54"/>
    <w:rsid w:val="00C47173"/>
    <w:rsid w:val="00C47EBF"/>
    <w:rsid w:val="00C604B8"/>
    <w:rsid w:val="00C62C45"/>
    <w:rsid w:val="00C656F9"/>
    <w:rsid w:val="00C85FDB"/>
    <w:rsid w:val="00C865F8"/>
    <w:rsid w:val="00CA5CCE"/>
    <w:rsid w:val="00CC4FF3"/>
    <w:rsid w:val="00CD63C9"/>
    <w:rsid w:val="00CE468F"/>
    <w:rsid w:val="00CF2733"/>
    <w:rsid w:val="00CF3EED"/>
    <w:rsid w:val="00D05E6C"/>
    <w:rsid w:val="00D07BEC"/>
    <w:rsid w:val="00D10662"/>
    <w:rsid w:val="00D166C5"/>
    <w:rsid w:val="00D1766E"/>
    <w:rsid w:val="00D21769"/>
    <w:rsid w:val="00D22058"/>
    <w:rsid w:val="00D23751"/>
    <w:rsid w:val="00D508F9"/>
    <w:rsid w:val="00D6604E"/>
    <w:rsid w:val="00DB78D7"/>
    <w:rsid w:val="00DC08EF"/>
    <w:rsid w:val="00DD097F"/>
    <w:rsid w:val="00DD0AE9"/>
    <w:rsid w:val="00DD11A3"/>
    <w:rsid w:val="00DD11F5"/>
    <w:rsid w:val="00DD1F97"/>
    <w:rsid w:val="00DD682A"/>
    <w:rsid w:val="00DF0C1A"/>
    <w:rsid w:val="00DF68FB"/>
    <w:rsid w:val="00E06905"/>
    <w:rsid w:val="00E166EF"/>
    <w:rsid w:val="00E424B0"/>
    <w:rsid w:val="00E52FA2"/>
    <w:rsid w:val="00E577F1"/>
    <w:rsid w:val="00E63108"/>
    <w:rsid w:val="00E74885"/>
    <w:rsid w:val="00E756AB"/>
    <w:rsid w:val="00E80A01"/>
    <w:rsid w:val="00EB09AD"/>
    <w:rsid w:val="00EB214D"/>
    <w:rsid w:val="00EB4E4C"/>
    <w:rsid w:val="00ED0B24"/>
    <w:rsid w:val="00ED5055"/>
    <w:rsid w:val="00ED62E0"/>
    <w:rsid w:val="00ED7D42"/>
    <w:rsid w:val="00EE25BA"/>
    <w:rsid w:val="00EE370E"/>
    <w:rsid w:val="00EE3836"/>
    <w:rsid w:val="00EE5551"/>
    <w:rsid w:val="00EE6485"/>
    <w:rsid w:val="00F043B5"/>
    <w:rsid w:val="00F10257"/>
    <w:rsid w:val="00F2325A"/>
    <w:rsid w:val="00F31DEE"/>
    <w:rsid w:val="00F371FD"/>
    <w:rsid w:val="00F41D19"/>
    <w:rsid w:val="00F466CB"/>
    <w:rsid w:val="00F54EBC"/>
    <w:rsid w:val="00F7586B"/>
    <w:rsid w:val="00F803A3"/>
    <w:rsid w:val="00F807AB"/>
    <w:rsid w:val="00F824D1"/>
    <w:rsid w:val="00F849AE"/>
    <w:rsid w:val="00FB7562"/>
    <w:rsid w:val="00FD019F"/>
    <w:rsid w:val="00FE5D76"/>
    <w:rsid w:val="00FF197E"/>
    <w:rsid w:val="04DFBCA2"/>
    <w:rsid w:val="06873BE5"/>
    <w:rsid w:val="0892FBB8"/>
    <w:rsid w:val="0D370DFB"/>
    <w:rsid w:val="128B80C6"/>
    <w:rsid w:val="1882A37A"/>
    <w:rsid w:val="270CB91B"/>
    <w:rsid w:val="6EA01E9F"/>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A17CF2"/>
  <w15:chartTrackingRefBased/>
  <w15:docId w15:val="{9721293D-2CD3-424F-AA97-72454F8BC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397634"/>
    <w:rPr>
      <w:lang w:val="en-GB"/>
    </w:rPr>
  </w:style>
  <w:style w:type="paragraph" w:styleId="Titolo1">
    <w:name w:val="heading 1"/>
    <w:basedOn w:val="Normale"/>
    <w:next w:val="Normale"/>
    <w:link w:val="Titolo1Carattere"/>
    <w:uiPriority w:val="9"/>
    <w:qFormat/>
    <w:rsid w:val="003976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3976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397634"/>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397634"/>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397634"/>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39763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9763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9763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9763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97634"/>
    <w:rPr>
      <w:rFonts w:asciiTheme="majorHAnsi" w:eastAsiaTheme="majorEastAsia" w:hAnsiTheme="majorHAnsi" w:cstheme="majorBidi"/>
      <w:color w:val="2F5496" w:themeColor="accent1" w:themeShade="BF"/>
      <w:sz w:val="40"/>
      <w:szCs w:val="40"/>
      <w:lang w:val="en-GB"/>
    </w:rPr>
  </w:style>
  <w:style w:type="character" w:customStyle="1" w:styleId="Titolo2Carattere">
    <w:name w:val="Titolo 2 Carattere"/>
    <w:basedOn w:val="Carpredefinitoparagrafo"/>
    <w:link w:val="Titolo2"/>
    <w:uiPriority w:val="9"/>
    <w:semiHidden/>
    <w:rsid w:val="00397634"/>
    <w:rPr>
      <w:rFonts w:asciiTheme="majorHAnsi" w:eastAsiaTheme="majorEastAsia" w:hAnsiTheme="majorHAnsi" w:cstheme="majorBidi"/>
      <w:color w:val="2F5496" w:themeColor="accent1" w:themeShade="BF"/>
      <w:sz w:val="32"/>
      <w:szCs w:val="32"/>
      <w:lang w:val="en-GB"/>
    </w:rPr>
  </w:style>
  <w:style w:type="character" w:customStyle="1" w:styleId="Titolo3Carattere">
    <w:name w:val="Titolo 3 Carattere"/>
    <w:basedOn w:val="Carpredefinitoparagrafo"/>
    <w:link w:val="Titolo3"/>
    <w:uiPriority w:val="9"/>
    <w:semiHidden/>
    <w:rsid w:val="00397634"/>
    <w:rPr>
      <w:rFonts w:eastAsiaTheme="majorEastAsia" w:cstheme="majorBidi"/>
      <w:color w:val="2F5496" w:themeColor="accent1" w:themeShade="BF"/>
      <w:sz w:val="28"/>
      <w:szCs w:val="28"/>
      <w:lang w:val="en-GB"/>
    </w:rPr>
  </w:style>
  <w:style w:type="character" w:customStyle="1" w:styleId="Titolo4Carattere">
    <w:name w:val="Titolo 4 Carattere"/>
    <w:basedOn w:val="Carpredefinitoparagrafo"/>
    <w:link w:val="Titolo4"/>
    <w:uiPriority w:val="9"/>
    <w:semiHidden/>
    <w:rsid w:val="00397634"/>
    <w:rPr>
      <w:rFonts w:eastAsiaTheme="majorEastAsia" w:cstheme="majorBidi"/>
      <w:i/>
      <w:iCs/>
      <w:color w:val="2F5496" w:themeColor="accent1" w:themeShade="BF"/>
      <w:lang w:val="en-GB"/>
    </w:rPr>
  </w:style>
  <w:style w:type="character" w:customStyle="1" w:styleId="Titolo5Carattere">
    <w:name w:val="Titolo 5 Carattere"/>
    <w:basedOn w:val="Carpredefinitoparagrafo"/>
    <w:link w:val="Titolo5"/>
    <w:uiPriority w:val="9"/>
    <w:semiHidden/>
    <w:rsid w:val="00397634"/>
    <w:rPr>
      <w:rFonts w:eastAsiaTheme="majorEastAsia" w:cstheme="majorBidi"/>
      <w:color w:val="2F5496" w:themeColor="accent1" w:themeShade="BF"/>
      <w:lang w:val="en-GB"/>
    </w:rPr>
  </w:style>
  <w:style w:type="character" w:customStyle="1" w:styleId="Titolo6Carattere">
    <w:name w:val="Titolo 6 Carattere"/>
    <w:basedOn w:val="Carpredefinitoparagrafo"/>
    <w:link w:val="Titolo6"/>
    <w:uiPriority w:val="9"/>
    <w:semiHidden/>
    <w:rsid w:val="00397634"/>
    <w:rPr>
      <w:rFonts w:eastAsiaTheme="majorEastAsia" w:cstheme="majorBidi"/>
      <w:i/>
      <w:iCs/>
      <w:color w:val="595959" w:themeColor="text1" w:themeTint="A6"/>
      <w:lang w:val="en-GB"/>
    </w:rPr>
  </w:style>
  <w:style w:type="character" w:customStyle="1" w:styleId="Titolo7Carattere">
    <w:name w:val="Titolo 7 Carattere"/>
    <w:basedOn w:val="Carpredefinitoparagrafo"/>
    <w:link w:val="Titolo7"/>
    <w:uiPriority w:val="9"/>
    <w:semiHidden/>
    <w:rsid w:val="00397634"/>
    <w:rPr>
      <w:rFonts w:eastAsiaTheme="majorEastAsia" w:cstheme="majorBidi"/>
      <w:color w:val="595959" w:themeColor="text1" w:themeTint="A6"/>
      <w:lang w:val="en-GB"/>
    </w:rPr>
  </w:style>
  <w:style w:type="character" w:customStyle="1" w:styleId="Titolo8Carattere">
    <w:name w:val="Titolo 8 Carattere"/>
    <w:basedOn w:val="Carpredefinitoparagrafo"/>
    <w:link w:val="Titolo8"/>
    <w:uiPriority w:val="9"/>
    <w:semiHidden/>
    <w:rsid w:val="00397634"/>
    <w:rPr>
      <w:rFonts w:eastAsiaTheme="majorEastAsia" w:cstheme="majorBidi"/>
      <w:i/>
      <w:iCs/>
      <w:color w:val="272727" w:themeColor="text1" w:themeTint="D8"/>
      <w:lang w:val="en-GB"/>
    </w:rPr>
  </w:style>
  <w:style w:type="character" w:customStyle="1" w:styleId="Titolo9Carattere">
    <w:name w:val="Titolo 9 Carattere"/>
    <w:basedOn w:val="Carpredefinitoparagrafo"/>
    <w:link w:val="Titolo9"/>
    <w:uiPriority w:val="9"/>
    <w:semiHidden/>
    <w:rsid w:val="00397634"/>
    <w:rPr>
      <w:rFonts w:eastAsiaTheme="majorEastAsia" w:cstheme="majorBidi"/>
      <w:color w:val="272727" w:themeColor="text1" w:themeTint="D8"/>
      <w:lang w:val="en-GB"/>
    </w:rPr>
  </w:style>
  <w:style w:type="paragraph" w:styleId="Titolo">
    <w:name w:val="Title"/>
    <w:basedOn w:val="Normale"/>
    <w:next w:val="Normale"/>
    <w:link w:val="TitoloCarattere"/>
    <w:uiPriority w:val="10"/>
    <w:qFormat/>
    <w:rsid w:val="003976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97634"/>
    <w:rPr>
      <w:rFonts w:asciiTheme="majorHAnsi" w:eastAsiaTheme="majorEastAsia" w:hAnsiTheme="majorHAnsi" w:cstheme="majorBidi"/>
      <w:spacing w:val="-10"/>
      <w:kern w:val="28"/>
      <w:sz w:val="56"/>
      <w:szCs w:val="56"/>
      <w:lang w:val="en-GB"/>
    </w:rPr>
  </w:style>
  <w:style w:type="paragraph" w:styleId="Sottotitolo">
    <w:name w:val="Subtitle"/>
    <w:basedOn w:val="Normale"/>
    <w:next w:val="Normale"/>
    <w:link w:val="SottotitoloCarattere"/>
    <w:uiPriority w:val="11"/>
    <w:qFormat/>
    <w:rsid w:val="0039763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97634"/>
    <w:rPr>
      <w:rFonts w:eastAsiaTheme="majorEastAsia" w:cstheme="majorBidi"/>
      <w:color w:val="595959" w:themeColor="text1" w:themeTint="A6"/>
      <w:spacing w:val="15"/>
      <w:sz w:val="28"/>
      <w:szCs w:val="28"/>
      <w:lang w:val="en-GB"/>
    </w:rPr>
  </w:style>
  <w:style w:type="paragraph" w:styleId="Citazione">
    <w:name w:val="Quote"/>
    <w:basedOn w:val="Normale"/>
    <w:next w:val="Normale"/>
    <w:link w:val="CitazioneCarattere"/>
    <w:uiPriority w:val="29"/>
    <w:qFormat/>
    <w:rsid w:val="0039763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97634"/>
    <w:rPr>
      <w:i/>
      <w:iCs/>
      <w:color w:val="404040" w:themeColor="text1" w:themeTint="BF"/>
      <w:lang w:val="en-GB"/>
    </w:rPr>
  </w:style>
  <w:style w:type="paragraph" w:styleId="Paragrafoelenco">
    <w:name w:val="List Paragraph"/>
    <w:basedOn w:val="Normale"/>
    <w:uiPriority w:val="34"/>
    <w:qFormat/>
    <w:rsid w:val="00397634"/>
    <w:pPr>
      <w:ind w:left="720"/>
      <w:contextualSpacing/>
    </w:pPr>
  </w:style>
  <w:style w:type="character" w:styleId="Enfasiintensa">
    <w:name w:val="Intense Emphasis"/>
    <w:basedOn w:val="Carpredefinitoparagrafo"/>
    <w:uiPriority w:val="21"/>
    <w:qFormat/>
    <w:rsid w:val="00397634"/>
    <w:rPr>
      <w:i/>
      <w:iCs/>
      <w:color w:val="2F5496" w:themeColor="accent1" w:themeShade="BF"/>
    </w:rPr>
  </w:style>
  <w:style w:type="paragraph" w:styleId="Citazioneintensa">
    <w:name w:val="Intense Quote"/>
    <w:basedOn w:val="Normale"/>
    <w:next w:val="Normale"/>
    <w:link w:val="CitazioneintensaCarattere"/>
    <w:uiPriority w:val="30"/>
    <w:qFormat/>
    <w:rsid w:val="003976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397634"/>
    <w:rPr>
      <w:i/>
      <w:iCs/>
      <w:color w:val="2F5496" w:themeColor="accent1" w:themeShade="BF"/>
      <w:lang w:val="en-GB"/>
    </w:rPr>
  </w:style>
  <w:style w:type="character" w:styleId="Riferimentointenso">
    <w:name w:val="Intense Reference"/>
    <w:basedOn w:val="Carpredefinitoparagrafo"/>
    <w:uiPriority w:val="32"/>
    <w:qFormat/>
    <w:rsid w:val="00397634"/>
    <w:rPr>
      <w:b/>
      <w:bCs/>
      <w:smallCaps/>
      <w:color w:val="2F5496" w:themeColor="accent1" w:themeShade="BF"/>
      <w:spacing w:val="5"/>
    </w:rPr>
  </w:style>
  <w:style w:type="paragraph" w:styleId="Bibliografia">
    <w:name w:val="Bibliography"/>
    <w:basedOn w:val="Normale"/>
    <w:next w:val="Normale"/>
    <w:uiPriority w:val="37"/>
    <w:unhideWhenUsed/>
    <w:rsid w:val="00397634"/>
  </w:style>
  <w:style w:type="table" w:styleId="Grigliatabella">
    <w:name w:val="Table Grid"/>
    <w:basedOn w:val="Tabellanormale"/>
    <w:uiPriority w:val="39"/>
    <w:rsid w:val="00B42C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elenco1chiara">
    <w:name w:val="List Table 1 Light"/>
    <w:basedOn w:val="Tabellanormale"/>
    <w:uiPriority w:val="46"/>
    <w:rsid w:val="00B42C4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elenco3-colore3">
    <w:name w:val="List Table 3 Accent 3"/>
    <w:basedOn w:val="Tabellanormale"/>
    <w:uiPriority w:val="48"/>
    <w:rsid w:val="00B42C4D"/>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ellagriglia1chiara">
    <w:name w:val="Grid Table 1 Light"/>
    <w:basedOn w:val="Tabellanormale"/>
    <w:uiPriority w:val="46"/>
    <w:rsid w:val="00B42C4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asemplice-3">
    <w:name w:val="Plain Table 3"/>
    <w:basedOn w:val="Tabellanormale"/>
    <w:uiPriority w:val="43"/>
    <w:rsid w:val="00B42C4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asemplice5">
    <w:name w:val="Plain Table 5"/>
    <w:basedOn w:val="Tabellanormale"/>
    <w:uiPriority w:val="45"/>
    <w:rsid w:val="00B42C4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Didascalia">
    <w:name w:val="caption"/>
    <w:basedOn w:val="Normale"/>
    <w:next w:val="Normale"/>
    <w:uiPriority w:val="35"/>
    <w:unhideWhenUsed/>
    <w:qFormat/>
    <w:rsid w:val="00FB7562"/>
    <w:pPr>
      <w:spacing w:after="200" w:line="240" w:lineRule="auto"/>
    </w:pPr>
    <w:rPr>
      <w:i/>
      <w:iCs/>
      <w:color w:val="44546A" w:themeColor="text2"/>
      <w:sz w:val="18"/>
      <w:szCs w:val="18"/>
    </w:rPr>
  </w:style>
  <w:style w:type="character" w:styleId="Rimandocommento">
    <w:name w:val="annotation reference"/>
    <w:basedOn w:val="Carpredefinitoparagrafo"/>
    <w:uiPriority w:val="99"/>
    <w:semiHidden/>
    <w:unhideWhenUsed/>
    <w:rsid w:val="00FB7562"/>
    <w:rPr>
      <w:sz w:val="16"/>
      <w:szCs w:val="16"/>
    </w:rPr>
  </w:style>
  <w:style w:type="paragraph" w:styleId="Testocommento">
    <w:name w:val="annotation text"/>
    <w:basedOn w:val="Normale"/>
    <w:link w:val="TestocommentoCarattere"/>
    <w:uiPriority w:val="99"/>
    <w:unhideWhenUsed/>
    <w:rsid w:val="00FB7562"/>
    <w:pPr>
      <w:spacing w:line="240" w:lineRule="auto"/>
    </w:pPr>
    <w:rPr>
      <w:sz w:val="20"/>
      <w:szCs w:val="20"/>
    </w:rPr>
  </w:style>
  <w:style w:type="character" w:customStyle="1" w:styleId="TestocommentoCarattere">
    <w:name w:val="Testo commento Carattere"/>
    <w:basedOn w:val="Carpredefinitoparagrafo"/>
    <w:link w:val="Testocommento"/>
    <w:uiPriority w:val="99"/>
    <w:rsid w:val="00FB7562"/>
    <w:rPr>
      <w:sz w:val="20"/>
      <w:szCs w:val="20"/>
      <w:lang w:val="en-GB"/>
    </w:rPr>
  </w:style>
  <w:style w:type="paragraph" w:styleId="Revisione">
    <w:name w:val="Revision"/>
    <w:hidden/>
    <w:uiPriority w:val="99"/>
    <w:semiHidden/>
    <w:rsid w:val="00082A41"/>
    <w:pPr>
      <w:spacing w:after="0" w:line="240" w:lineRule="auto"/>
    </w:pPr>
    <w:rPr>
      <w:lang w:val="en-GB"/>
    </w:rPr>
  </w:style>
  <w:style w:type="paragraph" w:styleId="Soggettocommento">
    <w:name w:val="annotation subject"/>
    <w:basedOn w:val="Testocommento"/>
    <w:next w:val="Testocommento"/>
    <w:link w:val="SoggettocommentoCarattere"/>
    <w:uiPriority w:val="99"/>
    <w:semiHidden/>
    <w:unhideWhenUsed/>
    <w:rsid w:val="007B1E4E"/>
    <w:rPr>
      <w:b/>
      <w:bCs/>
    </w:rPr>
  </w:style>
  <w:style w:type="character" w:customStyle="1" w:styleId="SoggettocommentoCarattere">
    <w:name w:val="Soggetto commento Carattere"/>
    <w:basedOn w:val="TestocommentoCarattere"/>
    <w:link w:val="Soggettocommento"/>
    <w:uiPriority w:val="99"/>
    <w:semiHidden/>
    <w:rsid w:val="007B1E4E"/>
    <w:rPr>
      <w:b/>
      <w:bCs/>
      <w:sz w:val="20"/>
      <w:szCs w:val="20"/>
      <w:lang w:val="en-GB"/>
    </w:rPr>
  </w:style>
  <w:style w:type="paragraph" w:styleId="NormaleWeb">
    <w:name w:val="Normal (Web)"/>
    <w:basedOn w:val="Normale"/>
    <w:uiPriority w:val="99"/>
    <w:semiHidden/>
    <w:unhideWhenUsed/>
    <w:rsid w:val="00857A5A"/>
    <w:pPr>
      <w:spacing w:before="100" w:beforeAutospacing="1" w:after="100" w:afterAutospacing="1" w:line="240" w:lineRule="auto"/>
    </w:pPr>
    <w:rPr>
      <w:rFonts w:ascii="Times New Roman" w:eastAsia="Times New Roman" w:hAnsi="Times New Roman" w:cs="Times New Roman"/>
      <w:kern w:val="0"/>
      <w:sz w:val="24"/>
      <w:szCs w:val="24"/>
      <w:lang w:val="it-IT" w:eastAsia="it-IT"/>
      <w14:ligatures w14:val="none"/>
    </w:rPr>
  </w:style>
  <w:style w:type="character" w:styleId="Enfasicorsivo">
    <w:name w:val="Emphasis"/>
    <w:basedOn w:val="Carpredefinitoparagrafo"/>
    <w:uiPriority w:val="20"/>
    <w:qFormat/>
    <w:rsid w:val="000913FA"/>
    <w:rPr>
      <w:i/>
      <w:iCs/>
    </w:rPr>
  </w:style>
  <w:style w:type="table" w:styleId="Tabellasemplice-1">
    <w:name w:val="Plain Table 1"/>
    <w:basedOn w:val="Tabellanormale"/>
    <w:uiPriority w:val="41"/>
    <w:rsid w:val="00D508F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Numeroriga">
    <w:name w:val="line number"/>
    <w:basedOn w:val="Carpredefinitoparagrafo"/>
    <w:uiPriority w:val="99"/>
    <w:semiHidden/>
    <w:unhideWhenUsed/>
    <w:rsid w:val="00E06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2061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10</Pages>
  <Words>1542</Words>
  <Characters>30842</Characters>
  <Application>Microsoft Office Word</Application>
  <DocSecurity>0</DocSecurity>
  <Lines>257</Lines>
  <Paragraphs>64</Paragraphs>
  <ScaleCrop>false</ScaleCrop>
  <Company/>
  <LinksUpToDate>false</LinksUpToDate>
  <CharactersWithSpaces>32320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Bordoni - camilla.bordoni@studio.unibo.it</dc:creator>
  <cp:keywords/>
  <dc:description/>
  <cp:lastModifiedBy>Andrea Ciavatti</cp:lastModifiedBy>
  <cp:revision>70</cp:revision>
  <cp:lastPrinted>2025-09-22T21:49:00Z</cp:lastPrinted>
  <dcterms:created xsi:type="dcterms:W3CDTF">2025-06-04T23:42:00Z</dcterms:created>
  <dcterms:modified xsi:type="dcterms:W3CDTF">2026-03-19T10:44:00Z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id="xqbZyc2H"/&gt;&lt;style id="http://www.zotero.org/styles/nature" hasBibliography="1" bibliographyStyleHasBeenSet="1"/&gt;&lt;prefs&gt;&lt;pref name="fieldType" value="Field"/&gt;&lt;/prefs&gt;&lt;/data&gt;</vt:lpwstr>
  </property>
  <property fmtid="{D5CDD505-2E9C-101B-9397-08002B2CF9AE}" pid="3" name="GrammarlyDocumentId">
    <vt:lpwstr>e32a8012-9f0a-4709-9eb2-1bf7bb16269f</vt:lpwstr>
  </property>
</Properties>
</file>