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8A982D" w14:textId="77777777" w:rsidR="00531E2C" w:rsidRDefault="00531E2C" w:rsidP="00BC46E8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31E2C">
        <w:rPr>
          <w:rFonts w:ascii="Times New Roman" w:hAnsi="Times New Roman" w:cs="Times New Roman"/>
          <w:b/>
          <w:sz w:val="24"/>
          <w:szCs w:val="24"/>
          <w:lang w:val="en-US"/>
        </w:rPr>
        <w:t>Supplementary Materials</w:t>
      </w:r>
    </w:p>
    <w:p w14:paraId="368A982E" w14:textId="77777777" w:rsidR="007A492F" w:rsidRPr="007A492F" w:rsidRDefault="00756137" w:rsidP="00171BC7">
      <w:pPr>
        <w:spacing w:after="0" w:line="480" w:lineRule="auto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PCA Analyses</w:t>
      </w:r>
    </w:p>
    <w:p w14:paraId="368A982F" w14:textId="4476D25E" w:rsidR="0086580D" w:rsidRPr="00171BC7" w:rsidRDefault="004F19E7" w:rsidP="00171BC7">
      <w:pPr>
        <w:spacing w:after="0" w:line="48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We ran </w:t>
      </w:r>
      <w:r w:rsidR="0074558B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="00C564D1" w:rsidRPr="00171BC7">
        <w:rPr>
          <w:rFonts w:ascii="Times New Roman" w:eastAsia="Times New Roman" w:hAnsi="Times New Roman" w:cs="Times New Roman"/>
          <w:sz w:val="24"/>
          <w:szCs w:val="24"/>
          <w:lang w:val="en-US"/>
        </w:rPr>
        <w:t>rincipal component analyses (PCA)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C564D1" w:rsidRPr="00171BC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74558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with </w:t>
      </w:r>
      <w:r w:rsidR="00AA73A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oblique </w:t>
      </w:r>
      <w:r w:rsidR="0074558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rotation </w:t>
      </w:r>
      <w:r w:rsidR="00AA73A4">
        <w:rPr>
          <w:rFonts w:ascii="Times New Roman" w:eastAsia="Times New Roman" w:hAnsi="Times New Roman" w:cs="Times New Roman"/>
          <w:sz w:val="24"/>
          <w:szCs w:val="24"/>
          <w:lang w:val="en-US"/>
        </w:rPr>
        <w:t>(direct oblimin)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AA73A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C564D1" w:rsidRPr="00171BC7">
        <w:rPr>
          <w:rFonts w:ascii="Times New Roman" w:eastAsia="Times New Roman" w:hAnsi="Times New Roman" w:cs="Times New Roman"/>
          <w:sz w:val="24"/>
          <w:szCs w:val="24"/>
          <w:lang w:val="en-US"/>
        </w:rPr>
        <w:t>on child ER strategies</w:t>
      </w:r>
      <w:r w:rsidR="00694AB6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C564D1" w:rsidRPr="00171BC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maternal strategies during infant distress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The number of components to extract was determined through Kaiser’s criterion. </w:t>
      </w:r>
      <w:r w:rsidR="008E17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For component interpretation, a cut-off of </w:t>
      </w:r>
      <w:r w:rsidR="00C564D1" w:rsidRPr="00171BC7">
        <w:rPr>
          <w:rFonts w:ascii="Times New Roman" w:eastAsia="Times New Roman" w:hAnsi="Times New Roman" w:cs="Times New Roman"/>
          <w:sz w:val="24"/>
          <w:szCs w:val="24"/>
          <w:lang w:val="en-US"/>
        </w:rPr>
        <w:t>0.5</w:t>
      </w:r>
      <w:r w:rsidR="008E17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was chosen for loadings</w:t>
      </w:r>
      <w:r w:rsidR="00C564D1" w:rsidRPr="00171BC7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="00750AB7" w:rsidRPr="00750AB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D54C5B" w:rsidRPr="00257F7F">
        <w:rPr>
          <w:rFonts w:ascii="Times New Roman" w:eastAsia="Times New Roman" w:hAnsi="Times New Roman" w:cs="Times New Roman"/>
          <w:sz w:val="24"/>
          <w:szCs w:val="24"/>
          <w:highlight w:val="yellow"/>
          <w:lang w:val="en-US"/>
        </w:rPr>
        <w:t>The use of similar statistical techniques has been examined in the context of small sample sizes [</w:t>
      </w:r>
      <w:r w:rsidR="00D54C5B" w:rsidRPr="00257F7F">
        <w:rPr>
          <w:rFonts w:ascii="Times New Roman" w:eastAsia="Times New Roman" w:hAnsi="Times New Roman" w:cs="Times New Roman"/>
          <w:sz w:val="24"/>
          <w:szCs w:val="24"/>
          <w:highlight w:val="yellow"/>
          <w:lang w:val="en-US"/>
        </w:rPr>
        <w:fldChar w:fldCharType="begin" w:fldLock="1"/>
      </w:r>
      <w:r w:rsidR="00257F7F">
        <w:rPr>
          <w:rFonts w:ascii="Times New Roman" w:eastAsia="Times New Roman" w:hAnsi="Times New Roman" w:cs="Times New Roman"/>
          <w:sz w:val="24"/>
          <w:szCs w:val="24"/>
          <w:highlight w:val="yellow"/>
          <w:lang w:val="en-US"/>
        </w:rPr>
        <w:instrText>ADDIN CSL_CITATION { "citationItems" : [ { "id" : "ITEM-1", "itemData" : { "author" : [ { "dropping-particle" : "", "family" : "Winter", "given" : "J. C. F.", "non-dropping-particle" : "de", "parse-names" : false, "suffix" : "" }, { "dropping-particle" : "", "family" : "Dodou", "given" : "D.", "non-dropping-particle" : "", "parse-names" : false, "suffix" : "" }, { "dropping-particle" : "", "family" : "Wieringa", "given" : "P. A.", "non-dropping-particle" : "", "parse-names" : false, "suffix" : "" } ], "container-title" : "Multivariate Behavioral Research", "id" : "ITEM-1", "issue" : "2", "issued" : { "date-parts" : [ [ "2009" ] ] }, "page" : "147\u2013181", "title" : "Exploratory factor analysis with small sample sizes", "type" : "article-journal", "volume" : "44" }, "uris" : [ "http://www.mendeley.com/documents/?uuid=2200963f-8337-464c-bebe-8f4222bc133e" ] } ], "mendeley" : { "formattedCitation" : "(1)", "manualFormatting" : "1", "plainTextFormattedCitation" : "(1)", "previouslyFormattedCitation" : "(1)" }, "properties" : { "noteIndex" : 0 }, "schema" : "https://github.com/citation-style-language/schema/raw/master/csl-citation.json" }</w:instrText>
      </w:r>
      <w:r w:rsidR="00D54C5B" w:rsidRPr="00257F7F">
        <w:rPr>
          <w:rFonts w:ascii="Times New Roman" w:eastAsia="Times New Roman" w:hAnsi="Times New Roman" w:cs="Times New Roman"/>
          <w:sz w:val="24"/>
          <w:szCs w:val="24"/>
          <w:highlight w:val="yellow"/>
          <w:lang w:val="en-US"/>
        </w:rPr>
        <w:fldChar w:fldCharType="separate"/>
      </w:r>
      <w:r w:rsidR="00D54C5B" w:rsidRPr="00257F7F">
        <w:rPr>
          <w:rFonts w:ascii="Times New Roman" w:eastAsia="Times New Roman" w:hAnsi="Times New Roman" w:cs="Times New Roman"/>
          <w:noProof/>
          <w:sz w:val="24"/>
          <w:szCs w:val="24"/>
          <w:highlight w:val="yellow"/>
          <w:lang w:val="en-US"/>
        </w:rPr>
        <w:t>1</w:t>
      </w:r>
      <w:r w:rsidR="00D54C5B" w:rsidRPr="00257F7F">
        <w:rPr>
          <w:rFonts w:ascii="Times New Roman" w:eastAsia="Times New Roman" w:hAnsi="Times New Roman" w:cs="Times New Roman"/>
          <w:sz w:val="24"/>
          <w:szCs w:val="24"/>
          <w:highlight w:val="yellow"/>
          <w:lang w:val="en-US"/>
        </w:rPr>
        <w:fldChar w:fldCharType="end"/>
      </w:r>
      <w:r w:rsidR="00D54C5B" w:rsidRPr="00257F7F">
        <w:rPr>
          <w:rFonts w:ascii="Times New Roman" w:eastAsia="Times New Roman" w:hAnsi="Times New Roman" w:cs="Times New Roman"/>
          <w:sz w:val="24"/>
          <w:szCs w:val="24"/>
          <w:highlight w:val="yellow"/>
          <w:lang w:val="en-US"/>
        </w:rPr>
        <w:t xml:space="preserve">], and </w:t>
      </w:r>
      <w:r w:rsidR="00AA76E9">
        <w:rPr>
          <w:rFonts w:ascii="Times New Roman" w:eastAsia="Times New Roman" w:hAnsi="Times New Roman" w:cs="Times New Roman"/>
          <w:sz w:val="24"/>
          <w:szCs w:val="24"/>
          <w:highlight w:val="yellow"/>
          <w:lang w:val="en-US"/>
        </w:rPr>
        <w:t>considered</w:t>
      </w:r>
      <w:r w:rsidR="00D54C5B" w:rsidRPr="00257F7F">
        <w:rPr>
          <w:rFonts w:ascii="Times New Roman" w:eastAsia="Times New Roman" w:hAnsi="Times New Roman" w:cs="Times New Roman"/>
          <w:sz w:val="24"/>
          <w:szCs w:val="24"/>
          <w:highlight w:val="yellow"/>
          <w:lang w:val="en-US"/>
        </w:rPr>
        <w:t xml:space="preserve"> reliable.</w:t>
      </w:r>
    </w:p>
    <w:p w14:paraId="368A9830" w14:textId="77777777" w:rsidR="007A492F" w:rsidRDefault="007A492F" w:rsidP="00171BC7">
      <w:pPr>
        <w:spacing w:after="0" w:line="480" w:lineRule="auto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</w:p>
    <w:p w14:paraId="368A9831" w14:textId="77777777" w:rsidR="004F19E7" w:rsidRPr="007A492F" w:rsidRDefault="004F19E7" w:rsidP="00171BC7">
      <w:pPr>
        <w:spacing w:after="0" w:line="480" w:lineRule="auto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Child ER Strategies</w:t>
      </w:r>
    </w:p>
    <w:p w14:paraId="368A9832" w14:textId="77777777" w:rsidR="00504993" w:rsidRDefault="00504993" w:rsidP="00171BC7">
      <w:pPr>
        <w:spacing w:after="0" w:line="48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171BC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PCA on child strategies revealed three components (Bartlett’s test: Χ2(15)=98.030, p&lt;.001) that explained 72.95% of variance. The first included, with positive loading, ‘distraction’ (.692), and with negative loading, ‘self-soothing’ (-.860). The second component included, with positive loading, ‘avoidance’ (.972), and with negative loading, ‘attempts to obtain the toy’ (-.579). The final component included </w:t>
      </w:r>
      <w:r w:rsidR="00496CE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both subcategories of passive gaze, i.e., </w:t>
      </w:r>
      <w:r w:rsidRPr="00171BC7">
        <w:rPr>
          <w:rFonts w:ascii="Times New Roman" w:eastAsia="Times New Roman" w:hAnsi="Times New Roman" w:cs="Times New Roman"/>
          <w:sz w:val="24"/>
          <w:szCs w:val="24"/>
          <w:lang w:val="en-US"/>
        </w:rPr>
        <w:t>‘passive gaze to the toy’ (.901) and ‘passive gaze to the adults’ (.645), both positively loaded</w:t>
      </w:r>
      <w:r w:rsidR="004F19E7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="00750AB7" w:rsidRPr="00750AB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750AB7" w:rsidRPr="00632F5F">
        <w:rPr>
          <w:rFonts w:ascii="Times New Roman" w:eastAsia="Times New Roman" w:hAnsi="Times New Roman" w:cs="Times New Roman"/>
          <w:sz w:val="24"/>
          <w:szCs w:val="24"/>
          <w:lang w:val="en-US"/>
        </w:rPr>
        <w:t>Given loadings with opposite signs, variables in the first two components were treated separately in analyses, while the two passive gaze scores were aggregated into a single variable.</w:t>
      </w:r>
    </w:p>
    <w:p w14:paraId="368A9833" w14:textId="77777777" w:rsidR="004F19E7" w:rsidRPr="00171BC7" w:rsidRDefault="004F19E7" w:rsidP="00171BC7">
      <w:pPr>
        <w:spacing w:after="0" w:line="48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Maternal Strategies during Infant Distress</w:t>
      </w:r>
    </w:p>
    <w:p w14:paraId="368A9834" w14:textId="77777777" w:rsidR="00520562" w:rsidRDefault="00504993" w:rsidP="00171BC7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171BC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PCA on maternal strategies revealed two components (Bartlett’s test: Χ2(15)=33.648, p=.004) that explained 58.43% of variance. </w:t>
      </w:r>
      <w:r w:rsidR="00AB23D2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="00AB23D2" w:rsidRPr="00171BC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he </w:t>
      </w:r>
      <w:r w:rsidRPr="00171BC7">
        <w:rPr>
          <w:rFonts w:ascii="Times New Roman" w:eastAsia="Times New Roman" w:hAnsi="Times New Roman" w:cs="Times New Roman"/>
          <w:sz w:val="24"/>
          <w:szCs w:val="24"/>
          <w:lang w:val="en-US"/>
        </w:rPr>
        <w:t>first</w:t>
      </w:r>
      <w:r w:rsidR="00AB23D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included the two subcategories of</w:t>
      </w:r>
      <w:r w:rsidR="00DF5C5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171BC7">
        <w:rPr>
          <w:rFonts w:ascii="Times New Roman" w:eastAsia="Times New Roman" w:hAnsi="Times New Roman" w:cs="Times New Roman"/>
          <w:sz w:val="24"/>
          <w:szCs w:val="24"/>
          <w:lang w:val="en-US"/>
        </w:rPr>
        <w:t>‘</w:t>
      </w:r>
      <w:r w:rsidR="001633CE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171BC7">
        <w:rPr>
          <w:rFonts w:ascii="Times New Roman" w:eastAsia="Times New Roman" w:hAnsi="Times New Roman" w:cs="Times New Roman"/>
          <w:sz w:val="24"/>
          <w:szCs w:val="24"/>
          <w:lang w:val="en-US"/>
        </w:rPr>
        <w:t>hysical soothing’</w:t>
      </w:r>
      <w:r w:rsidR="00AB23D2">
        <w:rPr>
          <w:rFonts w:ascii="Times New Roman" w:eastAsia="Times New Roman" w:hAnsi="Times New Roman" w:cs="Times New Roman"/>
          <w:sz w:val="24"/>
          <w:szCs w:val="24"/>
          <w:lang w:val="en-US"/>
        </w:rPr>
        <w:t>:</w:t>
      </w:r>
      <w:r w:rsidR="00AB23D2" w:rsidRPr="00171BC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171BC7">
        <w:rPr>
          <w:rFonts w:ascii="Times New Roman" w:eastAsia="Times New Roman" w:hAnsi="Times New Roman" w:cs="Times New Roman"/>
          <w:sz w:val="24"/>
          <w:szCs w:val="24"/>
          <w:lang w:val="en-US"/>
        </w:rPr>
        <w:t>feeding or providing a pacifier (.899)</w:t>
      </w:r>
      <w:r w:rsidR="00AB23D2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171BC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physical comforting (.767). For the second, ‘</w:t>
      </w:r>
      <w:r w:rsidR="001633CE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171BC7">
        <w:rPr>
          <w:rFonts w:ascii="Times New Roman" w:eastAsia="Times New Roman" w:hAnsi="Times New Roman" w:cs="Times New Roman"/>
          <w:sz w:val="24"/>
          <w:szCs w:val="24"/>
          <w:lang w:val="en-US"/>
        </w:rPr>
        <w:t>ismissal of distress’, the strongest loading</w:t>
      </w:r>
      <w:r w:rsidR="00AA76E9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171BC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AA76E9" w:rsidRPr="00171BC7">
        <w:rPr>
          <w:rFonts w:ascii="Times New Roman" w:eastAsia="Times New Roman" w:hAnsi="Times New Roman" w:cs="Times New Roman"/>
          <w:sz w:val="24"/>
          <w:szCs w:val="24"/>
          <w:lang w:val="en-US"/>
        </w:rPr>
        <w:t>w</w:t>
      </w:r>
      <w:r w:rsidR="00AA76E9">
        <w:rPr>
          <w:rFonts w:ascii="Times New Roman" w:eastAsia="Times New Roman" w:hAnsi="Times New Roman" w:cs="Times New Roman"/>
          <w:sz w:val="24"/>
          <w:szCs w:val="24"/>
          <w:lang w:val="en-US"/>
        </w:rPr>
        <w:t>ere</w:t>
      </w:r>
      <w:r w:rsidR="00AA76E9" w:rsidRPr="00171BC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171BC7">
        <w:rPr>
          <w:rFonts w:ascii="Times New Roman" w:eastAsia="Times New Roman" w:hAnsi="Times New Roman" w:cs="Times New Roman"/>
          <w:sz w:val="24"/>
          <w:szCs w:val="24"/>
          <w:lang w:val="en-US"/>
        </w:rPr>
        <w:t>for non-effective distraction (.836), ignoring (.724)</w:t>
      </w:r>
      <w:r w:rsidR="00815B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and </w:t>
      </w:r>
      <w:r w:rsidR="00815BCB" w:rsidRPr="00171BC7">
        <w:rPr>
          <w:rFonts w:ascii="Times New Roman" w:eastAsia="Times New Roman" w:hAnsi="Times New Roman" w:cs="Times New Roman"/>
          <w:sz w:val="24"/>
          <w:szCs w:val="24"/>
          <w:lang w:val="en-US"/>
        </w:rPr>
        <w:t>non-soothing care-taking (.613)</w:t>
      </w:r>
      <w:r w:rsidRPr="00171BC7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="004F19E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Social soothing did not load strongly on either of the two factors.</w:t>
      </w:r>
      <w:r w:rsidR="00750AB7" w:rsidRPr="00750AB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50AB7" w:rsidRPr="00C139CA">
        <w:rPr>
          <w:rFonts w:ascii="Times New Roman" w:hAnsi="Times New Roman" w:cs="Times New Roman"/>
          <w:sz w:val="24"/>
          <w:szCs w:val="24"/>
          <w:lang w:val="en-US"/>
        </w:rPr>
        <w:t xml:space="preserve">Items in each of the two components were </w:t>
      </w:r>
      <w:r w:rsidR="00750AB7" w:rsidRPr="00C139CA">
        <w:rPr>
          <w:rFonts w:ascii="Times New Roman" w:hAnsi="Times New Roman" w:cs="Times New Roman"/>
          <w:sz w:val="24"/>
          <w:szCs w:val="24"/>
          <w:lang w:val="en-US"/>
        </w:rPr>
        <w:lastRenderedPageBreak/>
        <w:t>aggregated to create two superordinate variables that were used in subsequent analyses. The remaining measure, ‘social soothing’, was analyzed separately.</w:t>
      </w:r>
    </w:p>
    <w:p w14:paraId="368A9835" w14:textId="77777777" w:rsidR="00185C6B" w:rsidRDefault="00185C6B" w:rsidP="00171BC7">
      <w:pPr>
        <w:spacing w:after="0" w:line="48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368A9836" w14:textId="77777777" w:rsidR="00185C6B" w:rsidRPr="00E569E0" w:rsidRDefault="00D54C5B" w:rsidP="00185C6B">
      <w:pPr>
        <w:spacing w:after="0" w:line="480" w:lineRule="auto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val="en-US"/>
        </w:rPr>
      </w:pPr>
      <w:r w:rsidRPr="00E569E0"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val="en-US"/>
        </w:rPr>
        <w:t>Reference</w:t>
      </w:r>
    </w:p>
    <w:p w14:paraId="368A9838" w14:textId="3294EEEC" w:rsidR="00185C6B" w:rsidRPr="00DF5C5B" w:rsidRDefault="00D54C5B" w:rsidP="00C403A9">
      <w:pPr>
        <w:widowControl w:val="0"/>
        <w:autoSpaceDE w:val="0"/>
        <w:autoSpaceDN w:val="0"/>
        <w:adjustRightInd w:val="0"/>
        <w:spacing w:after="0" w:line="480" w:lineRule="auto"/>
        <w:ind w:left="640" w:hanging="64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569E0">
        <w:rPr>
          <w:rFonts w:ascii="Times New Roman" w:eastAsia="Times New Roman" w:hAnsi="Times New Roman" w:cs="Times New Roman"/>
          <w:sz w:val="24"/>
          <w:szCs w:val="24"/>
          <w:highlight w:val="yellow"/>
          <w:lang w:val="en-US"/>
        </w:rPr>
        <w:fldChar w:fldCharType="begin" w:fldLock="1"/>
      </w:r>
      <w:r w:rsidRPr="00E569E0">
        <w:rPr>
          <w:rFonts w:ascii="Times New Roman" w:eastAsia="Times New Roman" w:hAnsi="Times New Roman" w:cs="Times New Roman"/>
          <w:sz w:val="24"/>
          <w:szCs w:val="24"/>
          <w:highlight w:val="yellow"/>
          <w:lang w:val="en-US"/>
        </w:rPr>
        <w:instrText xml:space="preserve">ADDIN Mendeley Bibliography CSL_BIBLIOGRAPHY </w:instrText>
      </w:r>
      <w:r w:rsidRPr="00E569E0">
        <w:rPr>
          <w:rFonts w:ascii="Times New Roman" w:eastAsia="Times New Roman" w:hAnsi="Times New Roman" w:cs="Times New Roman"/>
          <w:sz w:val="24"/>
          <w:szCs w:val="24"/>
          <w:highlight w:val="yellow"/>
          <w:lang w:val="en-US"/>
        </w:rPr>
        <w:fldChar w:fldCharType="separate"/>
      </w:r>
      <w:r w:rsidR="00257F7F" w:rsidRPr="00E569E0">
        <w:rPr>
          <w:rFonts w:ascii="Times New Roman" w:hAnsi="Times New Roman" w:cs="Times New Roman"/>
          <w:noProof/>
          <w:sz w:val="24"/>
          <w:szCs w:val="24"/>
          <w:highlight w:val="yellow"/>
        </w:rPr>
        <w:t xml:space="preserve">1. </w:t>
      </w:r>
      <w:r w:rsidR="00257F7F" w:rsidRPr="00E569E0">
        <w:rPr>
          <w:rFonts w:ascii="Times New Roman" w:hAnsi="Times New Roman" w:cs="Times New Roman"/>
          <w:noProof/>
          <w:sz w:val="24"/>
          <w:szCs w:val="24"/>
          <w:highlight w:val="yellow"/>
        </w:rPr>
        <w:tab/>
        <w:t>de W</w:t>
      </w:r>
      <w:r w:rsidR="00552FBD">
        <w:rPr>
          <w:rFonts w:ascii="Times New Roman" w:hAnsi="Times New Roman" w:cs="Times New Roman"/>
          <w:noProof/>
          <w:sz w:val="24"/>
          <w:szCs w:val="24"/>
          <w:highlight w:val="yellow"/>
        </w:rPr>
        <w:t>inter JCF, Dodou D, Wieringa PA:</w:t>
      </w:r>
      <w:r w:rsidR="00257F7F" w:rsidRPr="00E569E0">
        <w:rPr>
          <w:rFonts w:ascii="Times New Roman" w:hAnsi="Times New Roman" w:cs="Times New Roman"/>
          <w:noProof/>
          <w:sz w:val="24"/>
          <w:szCs w:val="24"/>
          <w:highlight w:val="yellow"/>
        </w:rPr>
        <w:t xml:space="preserve"> Exploratory factor analysis with small sampl</w:t>
      </w:r>
      <w:r w:rsidR="00552FBD">
        <w:rPr>
          <w:rFonts w:ascii="Times New Roman" w:hAnsi="Times New Roman" w:cs="Times New Roman"/>
          <w:noProof/>
          <w:sz w:val="24"/>
          <w:szCs w:val="24"/>
          <w:highlight w:val="yellow"/>
        </w:rPr>
        <w:t>e sizes. Multivariate Behav Res 2009;44</w:t>
      </w:r>
      <w:r w:rsidR="00257F7F" w:rsidRPr="00E569E0">
        <w:rPr>
          <w:rFonts w:ascii="Times New Roman" w:hAnsi="Times New Roman" w:cs="Times New Roman"/>
          <w:noProof/>
          <w:sz w:val="24"/>
          <w:szCs w:val="24"/>
          <w:highlight w:val="yellow"/>
        </w:rPr>
        <w:t>:147–</w:t>
      </w:r>
      <w:r w:rsidR="00552FBD">
        <w:rPr>
          <w:rFonts w:ascii="Times New Roman" w:hAnsi="Times New Roman" w:cs="Times New Roman"/>
          <w:noProof/>
          <w:sz w:val="24"/>
          <w:szCs w:val="24"/>
          <w:highlight w:val="yellow"/>
        </w:rPr>
        <w:t>1</w:t>
      </w:r>
      <w:bookmarkStart w:id="0" w:name="_GoBack"/>
      <w:bookmarkEnd w:id="0"/>
      <w:r w:rsidR="00257F7F" w:rsidRPr="00E569E0">
        <w:rPr>
          <w:rFonts w:ascii="Times New Roman" w:hAnsi="Times New Roman" w:cs="Times New Roman"/>
          <w:noProof/>
          <w:sz w:val="24"/>
          <w:szCs w:val="24"/>
          <w:highlight w:val="yellow"/>
        </w:rPr>
        <w:t xml:space="preserve">81. </w:t>
      </w:r>
      <w:r w:rsidRPr="00E569E0">
        <w:rPr>
          <w:rFonts w:ascii="Times New Roman" w:eastAsia="Times New Roman" w:hAnsi="Times New Roman" w:cs="Times New Roman"/>
          <w:sz w:val="24"/>
          <w:szCs w:val="24"/>
          <w:highlight w:val="yellow"/>
          <w:lang w:val="en-US"/>
        </w:rPr>
        <w:fldChar w:fldCharType="end"/>
      </w:r>
    </w:p>
    <w:sectPr w:rsidR="00185C6B" w:rsidRPr="00DF5C5B" w:rsidSect="00FF061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2"/>
  </w:compat>
  <w:rsids>
    <w:rsidRoot w:val="00A2381E"/>
    <w:rsid w:val="000B110C"/>
    <w:rsid w:val="0013085F"/>
    <w:rsid w:val="001633CE"/>
    <w:rsid w:val="00171BC7"/>
    <w:rsid w:val="00185C6B"/>
    <w:rsid w:val="00257F7F"/>
    <w:rsid w:val="0026395A"/>
    <w:rsid w:val="002A5980"/>
    <w:rsid w:val="002B43D5"/>
    <w:rsid w:val="002F30C6"/>
    <w:rsid w:val="003146CB"/>
    <w:rsid w:val="00496CED"/>
    <w:rsid w:val="004A595B"/>
    <w:rsid w:val="004C757A"/>
    <w:rsid w:val="004F19E7"/>
    <w:rsid w:val="00504993"/>
    <w:rsid w:val="00520562"/>
    <w:rsid w:val="00521441"/>
    <w:rsid w:val="00531E2C"/>
    <w:rsid w:val="005358AC"/>
    <w:rsid w:val="00552FBD"/>
    <w:rsid w:val="0058398A"/>
    <w:rsid w:val="00624C25"/>
    <w:rsid w:val="006321FC"/>
    <w:rsid w:val="00694AB6"/>
    <w:rsid w:val="0074558B"/>
    <w:rsid w:val="00750AB7"/>
    <w:rsid w:val="00756137"/>
    <w:rsid w:val="007A492F"/>
    <w:rsid w:val="00815BCB"/>
    <w:rsid w:val="00826EE9"/>
    <w:rsid w:val="0086580D"/>
    <w:rsid w:val="00894B6E"/>
    <w:rsid w:val="008A1017"/>
    <w:rsid w:val="008C5B07"/>
    <w:rsid w:val="008E171F"/>
    <w:rsid w:val="00986D90"/>
    <w:rsid w:val="009927DC"/>
    <w:rsid w:val="009C7C3D"/>
    <w:rsid w:val="00A2381E"/>
    <w:rsid w:val="00A534C3"/>
    <w:rsid w:val="00A5746B"/>
    <w:rsid w:val="00A9669F"/>
    <w:rsid w:val="00AA73A4"/>
    <w:rsid w:val="00AA76E9"/>
    <w:rsid w:val="00AB23D2"/>
    <w:rsid w:val="00AC195F"/>
    <w:rsid w:val="00B660B4"/>
    <w:rsid w:val="00B8255D"/>
    <w:rsid w:val="00BB77A4"/>
    <w:rsid w:val="00BC43BA"/>
    <w:rsid w:val="00BC46E8"/>
    <w:rsid w:val="00C00D42"/>
    <w:rsid w:val="00C37536"/>
    <w:rsid w:val="00C403A9"/>
    <w:rsid w:val="00C564D1"/>
    <w:rsid w:val="00CB1538"/>
    <w:rsid w:val="00CB2F86"/>
    <w:rsid w:val="00CE08A7"/>
    <w:rsid w:val="00D046AA"/>
    <w:rsid w:val="00D54C5B"/>
    <w:rsid w:val="00DF5C5B"/>
    <w:rsid w:val="00E32068"/>
    <w:rsid w:val="00E569E0"/>
    <w:rsid w:val="00E84375"/>
    <w:rsid w:val="00EA4644"/>
    <w:rsid w:val="00EE71DC"/>
    <w:rsid w:val="00F53764"/>
    <w:rsid w:val="00F80340"/>
    <w:rsid w:val="00FF0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8A982D"/>
  <w15:docId w15:val="{B4AB845B-74E3-4188-A4CA-BC22C305AB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  <w:rsid w:val="00FF061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BC46E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C46E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C46E8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C46E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46E8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3085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3085F"/>
    <w:rPr>
      <w:b/>
      <w:bCs/>
      <w:sz w:val="20"/>
      <w:szCs w:val="20"/>
    </w:rPr>
  </w:style>
  <w:style w:type="character" w:customStyle="1" w:styleId="apple-converted-space">
    <w:name w:val="apple-converted-space"/>
    <w:basedOn w:val="DefaultParagraphFont"/>
    <w:rsid w:val="003146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C0C0F2-1A15-49A0-8A20-EA6A5F452B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495</Words>
  <Characters>2822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Leonardo De Pascalis</dc:creator>
  <cp:keywords/>
  <dc:description/>
  <cp:lastModifiedBy>Laura Bozicevic</cp:lastModifiedBy>
  <cp:revision>7</cp:revision>
  <cp:lastPrinted>2016-06-10T08:23:00Z</cp:lastPrinted>
  <dcterms:created xsi:type="dcterms:W3CDTF">2016-06-12T09:11:00Z</dcterms:created>
  <dcterms:modified xsi:type="dcterms:W3CDTF">2016-06-12T14:30:00Z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User Name_1">
    <vt:lpwstr>l.bozicevic@reading.ac.uk@www.mendeley.com</vt:lpwstr>
  </property>
  <property fmtid="{D5CDD505-2E9C-101B-9397-08002B2CF9AE}" pid="4" name="Mendeley Citation Style_1">
    <vt:lpwstr>http://www.zotero.org/styles/vancouver</vt:lpwstr>
  </property>
  <property fmtid="{D5CDD505-2E9C-101B-9397-08002B2CF9AE}" pid="5" name="Mendeley Recent Style Id 0_1">
    <vt:lpwstr>http://www.zotero.org/styles/american-medical-association</vt:lpwstr>
  </property>
  <property fmtid="{D5CDD505-2E9C-101B-9397-08002B2CF9AE}" pid="6" name="Mendeley Recent Style Name 0_1">
    <vt:lpwstr>American Medical Association</vt:lpwstr>
  </property>
  <property fmtid="{D5CDD505-2E9C-101B-9397-08002B2CF9AE}" pid="7" name="Mendeley Recent Style Id 1_1">
    <vt:lpwstr>http://www.zotero.org/styles/american-political-science-association</vt:lpwstr>
  </property>
  <property fmtid="{D5CDD505-2E9C-101B-9397-08002B2CF9AE}" pid="8" name="Mendeley Recent Style Name 1_1">
    <vt:lpwstr>American Political Science Association</vt:lpwstr>
  </property>
  <property fmtid="{D5CDD505-2E9C-101B-9397-08002B2CF9AE}" pid="9" name="Mendeley Recent Style Id 2_1">
    <vt:lpwstr>http://www.zotero.org/styles/apa</vt:lpwstr>
  </property>
  <property fmtid="{D5CDD505-2E9C-101B-9397-08002B2CF9AE}" pid="10" name="Mendeley Recent Style Name 2_1">
    <vt:lpwstr>American Psychological Association 6th edition</vt:lpwstr>
  </property>
  <property fmtid="{D5CDD505-2E9C-101B-9397-08002B2CF9AE}" pid="11" name="Mendeley Recent Style Id 3_1">
    <vt:lpwstr>http://www.zotero.org/styles/american-sociological-association</vt:lpwstr>
  </property>
  <property fmtid="{D5CDD505-2E9C-101B-9397-08002B2CF9AE}" pid="12" name="Mendeley Recent Style Name 3_1">
    <vt:lpwstr>American Sociological Association</vt:lpwstr>
  </property>
  <property fmtid="{D5CDD505-2E9C-101B-9397-08002B2CF9AE}" pid="13" name="Mendeley Recent Style Id 4_1">
    <vt:lpwstr>http://www.zotero.org/styles/chicago-author-date</vt:lpwstr>
  </property>
  <property fmtid="{D5CDD505-2E9C-101B-9397-08002B2CF9AE}" pid="14" name="Mendeley Recent Style Name 4_1">
    <vt:lpwstr>Chicago Manual of Style 16th edition (author-date)</vt:lpwstr>
  </property>
  <property fmtid="{D5CDD505-2E9C-101B-9397-08002B2CF9AE}" pid="15" name="Mendeley Recent Style Id 5_1">
    <vt:lpwstr>http://www.zotero.org/styles/harvard1</vt:lpwstr>
  </property>
  <property fmtid="{D5CDD505-2E9C-101B-9397-08002B2CF9AE}" pid="16" name="Mendeley Recent Style Name 5_1">
    <vt:lpwstr>Harvard Reference format 1 (author-date)</vt:lpwstr>
  </property>
  <property fmtid="{D5CDD505-2E9C-101B-9397-08002B2CF9AE}" pid="17" name="Mendeley Recent Style Id 6_1">
    <vt:lpwstr>http://www.zotero.org/styles/ieee</vt:lpwstr>
  </property>
  <property fmtid="{D5CDD505-2E9C-101B-9397-08002B2CF9AE}" pid="18" name="Mendeley Recent Style Name 6_1">
    <vt:lpwstr>IEEE</vt:lpwstr>
  </property>
  <property fmtid="{D5CDD505-2E9C-101B-9397-08002B2CF9AE}" pid="19" name="Mendeley Recent Style Id 7_1">
    <vt:lpwstr>http://www.zotero.org/styles/modern-humanities-research-association</vt:lpwstr>
  </property>
  <property fmtid="{D5CDD505-2E9C-101B-9397-08002B2CF9AE}" pid="20" name="Mendeley Recent Style Name 7_1">
    <vt:lpwstr>Modern Humanities Research Association 3rd edition (note with bibliography)</vt:lpwstr>
  </property>
  <property fmtid="{D5CDD505-2E9C-101B-9397-08002B2CF9AE}" pid="21" name="Mendeley Recent Style Id 8_1">
    <vt:lpwstr>http://www.zotero.org/styles/modern-language-association</vt:lpwstr>
  </property>
  <property fmtid="{D5CDD505-2E9C-101B-9397-08002B2CF9AE}" pid="22" name="Mendeley Recent Style Name 8_1">
    <vt:lpwstr>Modern Language Association 7th edition</vt:lpwstr>
  </property>
  <property fmtid="{D5CDD505-2E9C-101B-9397-08002B2CF9AE}" pid="23" name="Mendeley Recent Style Id 9_1">
    <vt:lpwstr>http://www.zotero.org/styles/vancouver</vt:lpwstr>
  </property>
  <property fmtid="{D5CDD505-2E9C-101B-9397-08002B2CF9AE}" pid="24" name="Mendeley Recent Style Name 9_1">
    <vt:lpwstr>Vancouver</vt:lpwstr>
  </property>
</Properties>
</file>