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BBFFB8" w14:textId="77777777" w:rsidR="002B4C62" w:rsidRPr="00C61CC4" w:rsidRDefault="002B4C62" w:rsidP="002B4C62">
      <w:pPr>
        <w:spacing w:line="360" w:lineRule="auto"/>
        <w:rPr>
          <w:rFonts w:cs="Times New Roman"/>
          <w:b/>
          <w:bCs/>
          <w:sz w:val="22"/>
          <w:szCs w:val="22"/>
          <w:lang w:val="en-US"/>
        </w:rPr>
      </w:pPr>
      <w:r w:rsidRPr="00C61CC4">
        <w:rPr>
          <w:rFonts w:cs="Times New Roman"/>
          <w:b/>
          <w:bCs/>
          <w:lang w:val="en-US"/>
        </w:rPr>
        <w:t>HEMATOPOIETIC STEM CELL TRANSPLANTATION DISRUPTS AGE-RELATED GUT MICROBIOTA SIGNATURES IN PEDIATRIC AND ADULT RECIPIENTS</w:t>
      </w:r>
    </w:p>
    <w:p w14:paraId="384E04BE" w14:textId="77777777" w:rsidR="002B4C62" w:rsidRPr="00C61CC4" w:rsidRDefault="002B4C62" w:rsidP="002B4C62">
      <w:pPr>
        <w:spacing w:line="360" w:lineRule="auto"/>
        <w:rPr>
          <w:rFonts w:cs="Times New Roman"/>
          <w:sz w:val="22"/>
          <w:szCs w:val="22"/>
          <w:lang w:val="en-US"/>
        </w:rPr>
      </w:pPr>
    </w:p>
    <w:p w14:paraId="2418D121" w14:textId="1F6FC455" w:rsidR="002B4C62" w:rsidRPr="00C61CC4" w:rsidRDefault="002B4C62" w:rsidP="002B4C62">
      <w:pPr>
        <w:spacing w:line="360" w:lineRule="auto"/>
        <w:rPr>
          <w:rFonts w:cs="Times New Roman"/>
          <w:sz w:val="22"/>
          <w:szCs w:val="22"/>
        </w:rPr>
      </w:pPr>
      <w:r w:rsidRPr="00C61CC4">
        <w:rPr>
          <w:rFonts w:cs="Times New Roman"/>
          <w:sz w:val="22"/>
          <w:szCs w:val="22"/>
        </w:rPr>
        <w:t>Davide Leardini</w:t>
      </w:r>
      <w:proofErr w:type="gramStart"/>
      <w:r w:rsidRPr="00C61CC4">
        <w:rPr>
          <w:rFonts w:cs="Times New Roman"/>
          <w:sz w:val="22"/>
          <w:szCs w:val="22"/>
          <w:vertAlign w:val="superscript"/>
        </w:rPr>
        <w:t>1,+</w:t>
      </w:r>
      <w:proofErr w:type="gramEnd"/>
      <w:r w:rsidRPr="00C61CC4">
        <w:rPr>
          <w:rFonts w:cs="Times New Roman"/>
          <w:sz w:val="22"/>
          <w:szCs w:val="22"/>
        </w:rPr>
        <w:t>, Marcello Roberto</w:t>
      </w:r>
      <w:proofErr w:type="gramStart"/>
      <w:r w:rsidRPr="00C61CC4">
        <w:rPr>
          <w:rFonts w:cs="Times New Roman"/>
          <w:sz w:val="22"/>
          <w:szCs w:val="22"/>
          <w:vertAlign w:val="superscript"/>
        </w:rPr>
        <w:t>2,+</w:t>
      </w:r>
      <w:proofErr w:type="gramEnd"/>
      <w:r w:rsidRPr="00C61CC4">
        <w:rPr>
          <w:rFonts w:cs="Times New Roman"/>
          <w:sz w:val="22"/>
          <w:szCs w:val="22"/>
        </w:rPr>
        <w:t>, Sara Roggiani</w:t>
      </w:r>
      <w:r w:rsidRPr="00C61CC4">
        <w:rPr>
          <w:rFonts w:cs="Times New Roman"/>
          <w:sz w:val="22"/>
          <w:szCs w:val="22"/>
          <w:vertAlign w:val="superscript"/>
        </w:rPr>
        <w:t>3,</w:t>
      </w:r>
      <w:r w:rsidR="00A75AE4">
        <w:rPr>
          <w:rFonts w:cs="Times New Roman"/>
          <w:sz w:val="22"/>
          <w:szCs w:val="22"/>
          <w:vertAlign w:val="superscript"/>
        </w:rPr>
        <w:t>4</w:t>
      </w:r>
      <w:r w:rsidRPr="00C61CC4">
        <w:rPr>
          <w:rFonts w:cs="Times New Roman"/>
          <w:sz w:val="22"/>
          <w:szCs w:val="22"/>
          <w:vertAlign w:val="superscript"/>
        </w:rPr>
        <w:t>*</w:t>
      </w:r>
      <w:r w:rsidRPr="00C61CC4">
        <w:rPr>
          <w:rFonts w:cs="Times New Roman"/>
          <w:sz w:val="22"/>
          <w:szCs w:val="22"/>
        </w:rPr>
        <w:t>, Edoardo Muratore</w:t>
      </w:r>
      <w:r w:rsidRPr="00C61CC4">
        <w:rPr>
          <w:rFonts w:cs="Times New Roman"/>
          <w:sz w:val="22"/>
          <w:szCs w:val="22"/>
          <w:vertAlign w:val="superscript"/>
        </w:rPr>
        <w:t>1</w:t>
      </w:r>
      <w:r w:rsidRPr="00C61CC4">
        <w:rPr>
          <w:rFonts w:cs="Times New Roman"/>
          <w:sz w:val="22"/>
          <w:szCs w:val="22"/>
        </w:rPr>
        <w:t>, Marco Fabbrini</w:t>
      </w:r>
      <w:r w:rsidRPr="00C61CC4">
        <w:rPr>
          <w:rFonts w:cs="Times New Roman"/>
          <w:sz w:val="22"/>
          <w:szCs w:val="22"/>
          <w:vertAlign w:val="superscript"/>
        </w:rPr>
        <w:t>3</w:t>
      </w:r>
      <w:r w:rsidRPr="00C61CC4">
        <w:rPr>
          <w:rFonts w:cs="Times New Roman"/>
          <w:sz w:val="22"/>
          <w:szCs w:val="22"/>
        </w:rPr>
        <w:t>, Gianluca Storci</w:t>
      </w:r>
      <w:r w:rsidRPr="00C61CC4">
        <w:rPr>
          <w:rFonts w:cs="Times New Roman"/>
          <w:sz w:val="22"/>
          <w:szCs w:val="22"/>
          <w:vertAlign w:val="superscript"/>
        </w:rPr>
        <w:t>2</w:t>
      </w:r>
      <w:r w:rsidRPr="00C61CC4">
        <w:rPr>
          <w:rFonts w:cs="Times New Roman"/>
          <w:sz w:val="22"/>
          <w:szCs w:val="22"/>
        </w:rPr>
        <w:t>, Enrica Tomassini</w:t>
      </w:r>
      <w:r w:rsidRPr="00C61CC4">
        <w:rPr>
          <w:rFonts w:cs="Times New Roman"/>
          <w:sz w:val="22"/>
          <w:szCs w:val="22"/>
          <w:vertAlign w:val="superscript"/>
        </w:rPr>
        <w:t>2</w:t>
      </w:r>
      <w:r w:rsidRPr="00C61CC4">
        <w:rPr>
          <w:rFonts w:cs="Times New Roman"/>
          <w:sz w:val="22"/>
          <w:szCs w:val="22"/>
        </w:rPr>
        <w:t>, Elisa Dan</w:t>
      </w:r>
      <w:r w:rsidRPr="00C61CC4">
        <w:rPr>
          <w:rFonts w:cs="Times New Roman"/>
          <w:sz w:val="22"/>
          <w:szCs w:val="22"/>
          <w:vertAlign w:val="superscript"/>
        </w:rPr>
        <w:t>2</w:t>
      </w:r>
      <w:r w:rsidRPr="00C61CC4">
        <w:rPr>
          <w:rFonts w:cs="Times New Roman"/>
          <w:sz w:val="22"/>
          <w:szCs w:val="22"/>
        </w:rPr>
        <w:t>, Angela Schipani</w:t>
      </w:r>
      <w:r w:rsidRPr="00C61CC4">
        <w:rPr>
          <w:rFonts w:cs="Times New Roman"/>
          <w:sz w:val="22"/>
          <w:szCs w:val="22"/>
          <w:vertAlign w:val="superscript"/>
        </w:rPr>
        <w:t>2</w:t>
      </w:r>
      <w:r w:rsidRPr="00C61CC4">
        <w:rPr>
          <w:rFonts w:cs="Times New Roman"/>
          <w:sz w:val="22"/>
          <w:szCs w:val="22"/>
        </w:rPr>
        <w:t>, Serena De Matteis</w:t>
      </w:r>
      <w:r w:rsidRPr="00C61CC4">
        <w:rPr>
          <w:rFonts w:cs="Times New Roman"/>
          <w:sz w:val="22"/>
          <w:szCs w:val="22"/>
          <w:vertAlign w:val="superscript"/>
        </w:rPr>
        <w:t>2</w:t>
      </w:r>
      <w:r w:rsidRPr="00C61CC4">
        <w:rPr>
          <w:rFonts w:cs="Times New Roman"/>
          <w:sz w:val="22"/>
          <w:szCs w:val="22"/>
        </w:rPr>
        <w:t>, Barbara Sinigaglia</w:t>
      </w:r>
      <w:r w:rsidRPr="00C61CC4">
        <w:rPr>
          <w:rFonts w:cs="Times New Roman"/>
          <w:sz w:val="22"/>
          <w:szCs w:val="22"/>
          <w:vertAlign w:val="superscript"/>
        </w:rPr>
        <w:t>2</w:t>
      </w:r>
      <w:r w:rsidRPr="00C61CC4">
        <w:rPr>
          <w:rFonts w:cs="Times New Roman"/>
          <w:sz w:val="22"/>
          <w:szCs w:val="22"/>
        </w:rPr>
        <w:t>, Daria Messelodi</w:t>
      </w:r>
      <w:r w:rsidRPr="00C61CC4">
        <w:rPr>
          <w:rFonts w:cs="Times New Roman"/>
          <w:sz w:val="22"/>
          <w:szCs w:val="22"/>
          <w:vertAlign w:val="superscript"/>
        </w:rPr>
        <w:t>2</w:t>
      </w:r>
      <w:r w:rsidRPr="00C61CC4">
        <w:rPr>
          <w:rFonts w:cs="Times New Roman"/>
          <w:sz w:val="22"/>
          <w:szCs w:val="22"/>
        </w:rPr>
        <w:t>, Nicola Salvatore Bertuccio</w:t>
      </w:r>
      <w:r w:rsidRPr="00C61CC4">
        <w:rPr>
          <w:rFonts w:cs="Times New Roman"/>
          <w:sz w:val="22"/>
          <w:szCs w:val="22"/>
          <w:vertAlign w:val="superscript"/>
        </w:rPr>
        <w:t>2</w:t>
      </w:r>
      <w:r w:rsidRPr="00C61CC4">
        <w:rPr>
          <w:rFonts w:cs="Times New Roman"/>
          <w:sz w:val="22"/>
          <w:szCs w:val="22"/>
        </w:rPr>
        <w:t>, Arcangelo Prete</w:t>
      </w:r>
      <w:r w:rsidRPr="00C61CC4">
        <w:rPr>
          <w:rFonts w:cs="Times New Roman"/>
          <w:sz w:val="22"/>
          <w:szCs w:val="22"/>
          <w:vertAlign w:val="superscript"/>
        </w:rPr>
        <w:t>1</w:t>
      </w:r>
      <w:r w:rsidRPr="00C61CC4">
        <w:rPr>
          <w:rFonts w:cs="Times New Roman"/>
          <w:sz w:val="22"/>
          <w:szCs w:val="22"/>
        </w:rPr>
        <w:t>, Patrizia Brigidi</w:t>
      </w:r>
      <w:r w:rsidRPr="00C61CC4">
        <w:rPr>
          <w:rFonts w:cs="Times New Roman"/>
          <w:sz w:val="22"/>
          <w:szCs w:val="22"/>
          <w:vertAlign w:val="superscript"/>
        </w:rPr>
        <w:t>3</w:t>
      </w:r>
      <w:r w:rsidRPr="00C61CC4">
        <w:rPr>
          <w:rFonts w:cs="Times New Roman"/>
          <w:sz w:val="22"/>
          <w:szCs w:val="22"/>
        </w:rPr>
        <w:t>, Francesca Bonifazi</w:t>
      </w:r>
      <w:proofErr w:type="gramStart"/>
      <w:r w:rsidRPr="00C61CC4">
        <w:rPr>
          <w:rFonts w:cs="Times New Roman"/>
          <w:sz w:val="22"/>
          <w:szCs w:val="22"/>
          <w:vertAlign w:val="superscript"/>
        </w:rPr>
        <w:t>2,°</w:t>
      </w:r>
      <w:proofErr w:type="gramEnd"/>
      <w:r w:rsidRPr="00C61CC4">
        <w:rPr>
          <w:rFonts w:cs="Times New Roman"/>
          <w:sz w:val="22"/>
          <w:szCs w:val="22"/>
        </w:rPr>
        <w:t>, Riccardo Masetti</w:t>
      </w:r>
      <w:proofErr w:type="gramStart"/>
      <w:r w:rsidRPr="00C61CC4">
        <w:rPr>
          <w:rFonts w:cs="Times New Roman"/>
          <w:sz w:val="22"/>
          <w:szCs w:val="22"/>
          <w:vertAlign w:val="superscript"/>
        </w:rPr>
        <w:t>1,°</w:t>
      </w:r>
      <w:proofErr w:type="gramEnd"/>
    </w:p>
    <w:p w14:paraId="671BAC3D" w14:textId="77777777" w:rsidR="002B4C62" w:rsidRPr="00C61CC4" w:rsidRDefault="002B4C62" w:rsidP="002B4C62">
      <w:pPr>
        <w:spacing w:line="360" w:lineRule="auto"/>
        <w:rPr>
          <w:rFonts w:cs="Times New Roman"/>
          <w:sz w:val="22"/>
          <w:szCs w:val="22"/>
        </w:rPr>
      </w:pPr>
    </w:p>
    <w:p w14:paraId="2BAB846A" w14:textId="77777777" w:rsidR="002B4C62" w:rsidRPr="00C61CC4" w:rsidRDefault="002B4C62" w:rsidP="002B4C62">
      <w:pPr>
        <w:spacing w:line="360" w:lineRule="auto"/>
        <w:rPr>
          <w:rFonts w:cs="Times New Roman"/>
          <w:sz w:val="21"/>
          <w:szCs w:val="21"/>
        </w:rPr>
      </w:pPr>
      <w:r w:rsidRPr="00C61CC4">
        <w:rPr>
          <w:rFonts w:cs="Times New Roman"/>
          <w:sz w:val="22"/>
          <w:szCs w:val="22"/>
          <w:vertAlign w:val="superscript"/>
        </w:rPr>
        <w:t>1</w:t>
      </w:r>
      <w:r w:rsidRPr="00C61CC4">
        <w:rPr>
          <w:rFonts w:cs="Times New Roman"/>
          <w:sz w:val="21"/>
          <w:szCs w:val="21"/>
        </w:rPr>
        <w:t xml:space="preserve"> </w:t>
      </w:r>
      <w:proofErr w:type="spellStart"/>
      <w:r w:rsidRPr="00C61CC4">
        <w:rPr>
          <w:rFonts w:cs="Times New Roman"/>
          <w:sz w:val="21"/>
          <w:szCs w:val="21"/>
        </w:rPr>
        <w:t>Pediatric</w:t>
      </w:r>
      <w:proofErr w:type="spellEnd"/>
      <w:r w:rsidRPr="00C61CC4">
        <w:rPr>
          <w:rFonts w:cs="Times New Roman"/>
          <w:sz w:val="21"/>
          <w:szCs w:val="21"/>
        </w:rPr>
        <w:t xml:space="preserve"> </w:t>
      </w:r>
      <w:proofErr w:type="spellStart"/>
      <w:r w:rsidRPr="00C61CC4">
        <w:rPr>
          <w:rFonts w:cs="Times New Roman"/>
          <w:sz w:val="21"/>
          <w:szCs w:val="21"/>
        </w:rPr>
        <w:t>Hematology</w:t>
      </w:r>
      <w:proofErr w:type="spellEnd"/>
      <w:r w:rsidRPr="00C61CC4">
        <w:rPr>
          <w:rFonts w:cs="Times New Roman"/>
          <w:sz w:val="21"/>
          <w:szCs w:val="21"/>
        </w:rPr>
        <w:t xml:space="preserve"> and </w:t>
      </w:r>
      <w:proofErr w:type="spellStart"/>
      <w:r w:rsidRPr="00C61CC4">
        <w:rPr>
          <w:rFonts w:cs="Times New Roman"/>
          <w:sz w:val="21"/>
          <w:szCs w:val="21"/>
        </w:rPr>
        <w:t>Oncology</w:t>
      </w:r>
      <w:proofErr w:type="spellEnd"/>
      <w:r w:rsidRPr="00C61CC4">
        <w:rPr>
          <w:rFonts w:cs="Times New Roman"/>
          <w:sz w:val="21"/>
          <w:szCs w:val="21"/>
        </w:rPr>
        <w:t xml:space="preserve">, IRCCS Azienda Ospedaliero-Universitaria di Bologna, Bologna, </w:t>
      </w:r>
      <w:proofErr w:type="spellStart"/>
      <w:r w:rsidRPr="00C61CC4">
        <w:rPr>
          <w:rFonts w:cs="Times New Roman"/>
          <w:sz w:val="21"/>
          <w:szCs w:val="21"/>
        </w:rPr>
        <w:t>Italy</w:t>
      </w:r>
      <w:proofErr w:type="spellEnd"/>
      <w:r w:rsidRPr="00C61CC4">
        <w:rPr>
          <w:rFonts w:cs="Times New Roman"/>
          <w:sz w:val="21"/>
          <w:szCs w:val="21"/>
        </w:rPr>
        <w:t>;</w:t>
      </w:r>
    </w:p>
    <w:p w14:paraId="6E03B1B1" w14:textId="77777777" w:rsidR="002B4C62" w:rsidRPr="00C61CC4" w:rsidRDefault="002B4C62" w:rsidP="002B4C62">
      <w:pPr>
        <w:spacing w:line="360" w:lineRule="auto"/>
        <w:rPr>
          <w:rFonts w:cs="Times New Roman"/>
          <w:sz w:val="21"/>
          <w:szCs w:val="21"/>
        </w:rPr>
      </w:pPr>
      <w:r w:rsidRPr="00C61CC4">
        <w:rPr>
          <w:rFonts w:cs="Times New Roman"/>
          <w:sz w:val="22"/>
          <w:szCs w:val="22"/>
          <w:vertAlign w:val="superscript"/>
        </w:rPr>
        <w:t>2</w:t>
      </w:r>
      <w:r w:rsidRPr="00C61CC4">
        <w:rPr>
          <w:rFonts w:cs="Times New Roman"/>
          <w:color w:val="212121"/>
          <w:sz w:val="21"/>
          <w:szCs w:val="21"/>
          <w:shd w:val="clear" w:color="auto" w:fill="FFFFFF"/>
        </w:rPr>
        <w:t xml:space="preserve"> IRCCS Azienda Ospedaliero-Universitaria di Bologna, Bologna </w:t>
      </w:r>
      <w:proofErr w:type="spellStart"/>
      <w:r w:rsidRPr="00C61CC4">
        <w:rPr>
          <w:rFonts w:cs="Times New Roman"/>
          <w:color w:val="212121"/>
          <w:sz w:val="21"/>
          <w:szCs w:val="21"/>
          <w:shd w:val="clear" w:color="auto" w:fill="FFFFFF"/>
        </w:rPr>
        <w:t>Italy</w:t>
      </w:r>
      <w:proofErr w:type="spellEnd"/>
      <w:r w:rsidRPr="00C61CC4">
        <w:rPr>
          <w:rFonts w:cs="Times New Roman"/>
          <w:color w:val="212121"/>
          <w:sz w:val="21"/>
          <w:szCs w:val="21"/>
          <w:shd w:val="clear" w:color="auto" w:fill="FFFFFF"/>
        </w:rPr>
        <w:t>;</w:t>
      </w:r>
    </w:p>
    <w:p w14:paraId="1EC4D5AE" w14:textId="77777777" w:rsidR="002B4C62" w:rsidRDefault="002B4C62" w:rsidP="002B4C62">
      <w:pPr>
        <w:spacing w:line="360" w:lineRule="auto"/>
        <w:rPr>
          <w:rFonts w:cs="Times New Roman"/>
          <w:sz w:val="21"/>
          <w:szCs w:val="21"/>
          <w:lang w:val="en-US"/>
        </w:rPr>
      </w:pPr>
      <w:r w:rsidRPr="00C61CC4">
        <w:rPr>
          <w:rFonts w:cs="Times New Roman"/>
          <w:sz w:val="22"/>
          <w:szCs w:val="22"/>
          <w:vertAlign w:val="superscript"/>
          <w:lang w:val="en-US"/>
        </w:rPr>
        <w:t>3</w:t>
      </w:r>
      <w:r w:rsidRPr="00C61CC4">
        <w:rPr>
          <w:rFonts w:cs="Times New Roman"/>
          <w:sz w:val="21"/>
          <w:szCs w:val="21"/>
          <w:lang w:val="en-US"/>
        </w:rPr>
        <w:t xml:space="preserve"> Human Microbiomics Unit, Department of Medical and Surgical Sciences, University of Bologna, Bologna, Italy.</w:t>
      </w:r>
    </w:p>
    <w:p w14:paraId="58778904" w14:textId="77777777" w:rsidR="00A75AE4" w:rsidRPr="00A75AE4" w:rsidRDefault="00A75AE4" w:rsidP="00A75AE4">
      <w:pPr>
        <w:spacing w:line="360" w:lineRule="auto"/>
        <w:rPr>
          <w:rFonts w:cs="Times New Roman"/>
          <w:sz w:val="22"/>
          <w:szCs w:val="22"/>
          <w:lang w:val="en-US"/>
        </w:rPr>
      </w:pPr>
      <w:r w:rsidRPr="00A75AE4">
        <w:rPr>
          <w:rFonts w:cs="Times New Roman"/>
          <w:sz w:val="22"/>
          <w:szCs w:val="22"/>
          <w:vertAlign w:val="superscript"/>
          <w:lang w:val="en-US"/>
        </w:rPr>
        <w:t>4</w:t>
      </w:r>
      <w:r w:rsidRPr="00A75AE4">
        <w:rPr>
          <w:rFonts w:cs="Times New Roman"/>
          <w:sz w:val="22"/>
          <w:szCs w:val="22"/>
          <w:lang w:val="en-US"/>
        </w:rPr>
        <w:t xml:space="preserve"> Department of Pharmacy and Biotechnology, University of Bologna, Bologna, Italy.</w:t>
      </w:r>
    </w:p>
    <w:p w14:paraId="004629CA" w14:textId="77777777" w:rsidR="002B4C62" w:rsidRPr="00C61CC4" w:rsidRDefault="002B4C62" w:rsidP="002B4C62">
      <w:pPr>
        <w:spacing w:line="360" w:lineRule="auto"/>
        <w:rPr>
          <w:rFonts w:cs="Times New Roman"/>
          <w:sz w:val="22"/>
          <w:szCs w:val="22"/>
          <w:lang w:val="en-US"/>
        </w:rPr>
      </w:pPr>
    </w:p>
    <w:p w14:paraId="1EBDD8FE" w14:textId="77777777" w:rsidR="002B4C62" w:rsidRPr="00C61CC4" w:rsidRDefault="002B4C62" w:rsidP="002B4C62">
      <w:pPr>
        <w:spacing w:line="360" w:lineRule="auto"/>
        <w:rPr>
          <w:rFonts w:cs="Times New Roman"/>
          <w:sz w:val="22"/>
          <w:szCs w:val="22"/>
          <w:lang w:val="en-US"/>
        </w:rPr>
      </w:pPr>
      <w:r w:rsidRPr="00C61CC4">
        <w:rPr>
          <w:rFonts w:cs="Times New Roman"/>
          <w:sz w:val="22"/>
          <w:szCs w:val="22"/>
          <w:lang w:val="en-US"/>
        </w:rPr>
        <w:t xml:space="preserve">+ these two authors contributed equally as first </w:t>
      </w:r>
      <w:proofErr w:type="gramStart"/>
      <w:r w:rsidRPr="00C61CC4">
        <w:rPr>
          <w:rFonts w:cs="Times New Roman"/>
          <w:sz w:val="22"/>
          <w:szCs w:val="22"/>
          <w:lang w:val="en-US"/>
        </w:rPr>
        <w:t>authors;</w:t>
      </w:r>
      <w:proofErr w:type="gramEnd"/>
    </w:p>
    <w:p w14:paraId="743A3B00" w14:textId="77777777" w:rsidR="002B4C62" w:rsidRPr="00C61CC4" w:rsidRDefault="002B4C62" w:rsidP="002B4C62">
      <w:pPr>
        <w:spacing w:line="360" w:lineRule="auto"/>
        <w:rPr>
          <w:rFonts w:cs="Times New Roman"/>
          <w:sz w:val="22"/>
          <w:szCs w:val="22"/>
          <w:lang w:val="en-US"/>
        </w:rPr>
      </w:pPr>
      <w:r w:rsidRPr="00C61CC4">
        <w:rPr>
          <w:rFonts w:cs="Times New Roman"/>
          <w:sz w:val="22"/>
          <w:szCs w:val="22"/>
          <w:lang w:val="en-US"/>
        </w:rPr>
        <w:t xml:space="preserve">° these two authors contributed equally as last </w:t>
      </w:r>
      <w:proofErr w:type="gramStart"/>
      <w:r w:rsidRPr="00C61CC4">
        <w:rPr>
          <w:rFonts w:cs="Times New Roman"/>
          <w:sz w:val="22"/>
          <w:szCs w:val="22"/>
          <w:lang w:val="en-US"/>
        </w:rPr>
        <w:t>authors;</w:t>
      </w:r>
      <w:proofErr w:type="gramEnd"/>
    </w:p>
    <w:p w14:paraId="78F65619" w14:textId="77777777" w:rsidR="002B4C62" w:rsidRPr="00C61CC4" w:rsidRDefault="002B4C62" w:rsidP="002B4C62">
      <w:pPr>
        <w:spacing w:line="360" w:lineRule="auto"/>
        <w:rPr>
          <w:rFonts w:cs="Times New Roman"/>
          <w:sz w:val="22"/>
          <w:szCs w:val="22"/>
          <w:lang w:val="en-US"/>
        </w:rPr>
      </w:pPr>
      <w:r w:rsidRPr="00C61CC4">
        <w:rPr>
          <w:rFonts w:cs="Times New Roman"/>
          <w:sz w:val="22"/>
          <w:szCs w:val="22"/>
          <w:lang w:val="en-US"/>
        </w:rPr>
        <w:t xml:space="preserve">* </w:t>
      </w:r>
      <w:proofErr w:type="gramStart"/>
      <w:r w:rsidRPr="00C61CC4">
        <w:rPr>
          <w:rFonts w:cs="Times New Roman"/>
          <w:sz w:val="22"/>
          <w:szCs w:val="22"/>
          <w:lang w:val="en-US"/>
        </w:rPr>
        <w:t>corresponding</w:t>
      </w:r>
      <w:proofErr w:type="gramEnd"/>
      <w:r w:rsidRPr="00C61CC4">
        <w:rPr>
          <w:rFonts w:cs="Times New Roman"/>
          <w:sz w:val="22"/>
          <w:szCs w:val="22"/>
          <w:lang w:val="en-US"/>
        </w:rPr>
        <w:t xml:space="preserve"> author.</w:t>
      </w:r>
    </w:p>
    <w:p w14:paraId="1D51FAE4" w14:textId="77777777" w:rsidR="002B4C62" w:rsidRPr="00C61CC4" w:rsidRDefault="002B4C62" w:rsidP="002B4C62">
      <w:pPr>
        <w:spacing w:line="360" w:lineRule="auto"/>
        <w:rPr>
          <w:rFonts w:cs="Times New Roman"/>
          <w:sz w:val="22"/>
          <w:szCs w:val="22"/>
          <w:lang w:val="en-US"/>
        </w:rPr>
      </w:pPr>
    </w:p>
    <w:p w14:paraId="6D12AF67" w14:textId="77777777" w:rsidR="002B4C62" w:rsidRPr="00C61CC4" w:rsidRDefault="002B4C62" w:rsidP="002B4C62">
      <w:pPr>
        <w:spacing w:line="360" w:lineRule="auto"/>
        <w:rPr>
          <w:rFonts w:cs="Times New Roman"/>
          <w:sz w:val="22"/>
          <w:szCs w:val="22"/>
          <w:lang w:val="en-US"/>
        </w:rPr>
      </w:pPr>
      <w:r w:rsidRPr="00C61CC4">
        <w:rPr>
          <w:rFonts w:cs="Times New Roman"/>
          <w:b/>
          <w:bCs/>
          <w:sz w:val="22"/>
          <w:szCs w:val="22"/>
          <w:lang w:val="en-US"/>
        </w:rPr>
        <w:t>Correspondence</w:t>
      </w:r>
      <w:r w:rsidRPr="00C61CC4">
        <w:rPr>
          <w:rFonts w:cs="Times New Roman"/>
          <w:sz w:val="22"/>
          <w:szCs w:val="22"/>
          <w:lang w:val="en-US"/>
        </w:rPr>
        <w:t>:</w:t>
      </w:r>
    </w:p>
    <w:p w14:paraId="40F55E12" w14:textId="784F5930" w:rsidR="00585AFE" w:rsidRPr="00C35D79" w:rsidRDefault="002B4C62" w:rsidP="002B4C62">
      <w:pPr>
        <w:spacing w:line="276" w:lineRule="auto"/>
        <w:rPr>
          <w:rFonts w:cs="Times New Roman"/>
          <w:lang w:val="en-AU"/>
        </w:rPr>
      </w:pPr>
      <w:r w:rsidRPr="00C61CC4">
        <w:rPr>
          <w:rFonts w:cs="Times New Roman"/>
          <w:sz w:val="22"/>
          <w:szCs w:val="22"/>
          <w:lang w:val="en-US"/>
        </w:rPr>
        <w:t>Sara Roggiani, Human Microbiomics Unit, Department of Medical and Surgical Sciences, University of Bologna, Bologna, Italy</w:t>
      </w:r>
      <w:r w:rsidR="00025816">
        <w:rPr>
          <w:rFonts w:cs="Times New Roman"/>
          <w:sz w:val="22"/>
          <w:szCs w:val="22"/>
          <w:lang w:val="en-US"/>
        </w:rPr>
        <w:t xml:space="preserve">. </w:t>
      </w:r>
      <w:r w:rsidR="00025816" w:rsidRPr="00025816">
        <w:rPr>
          <w:rFonts w:cs="Times New Roman"/>
          <w:sz w:val="22"/>
          <w:szCs w:val="22"/>
          <w:lang w:val="en-US"/>
        </w:rPr>
        <w:t>Department of Pharmacy and Biotechnology, University of Bologna, Bologna, Italy</w:t>
      </w:r>
      <w:r w:rsidR="009D019C">
        <w:rPr>
          <w:rFonts w:cs="Times New Roman"/>
          <w:sz w:val="22"/>
          <w:szCs w:val="22"/>
          <w:lang w:val="en-US"/>
        </w:rPr>
        <w:t xml:space="preserve">. </w:t>
      </w:r>
      <w:r w:rsidRPr="00C61CC4">
        <w:rPr>
          <w:rFonts w:cs="Times New Roman"/>
          <w:sz w:val="22"/>
          <w:szCs w:val="22"/>
          <w:lang w:val="en-US"/>
        </w:rPr>
        <w:t>sara.roggiani3@unibo.it.</w:t>
      </w:r>
    </w:p>
    <w:p w14:paraId="4125B883" w14:textId="77777777" w:rsidR="00222A86" w:rsidRDefault="00222A86" w:rsidP="00222A86">
      <w:pPr>
        <w:spacing w:line="276" w:lineRule="auto"/>
        <w:rPr>
          <w:rFonts w:cs="Times New Roman"/>
          <w:lang w:val="en-AU"/>
        </w:rPr>
      </w:pPr>
    </w:p>
    <w:p w14:paraId="2F28C448" w14:textId="77777777" w:rsidR="00851D41" w:rsidRPr="00C35D79" w:rsidRDefault="00851D41" w:rsidP="00222A86">
      <w:pPr>
        <w:spacing w:line="276" w:lineRule="auto"/>
        <w:rPr>
          <w:rFonts w:cs="Times New Roman"/>
          <w:lang w:val="en-AU"/>
        </w:rPr>
      </w:pPr>
    </w:p>
    <w:p w14:paraId="46652523" w14:textId="1480537A" w:rsidR="00585AFE" w:rsidRPr="00C35D79" w:rsidRDefault="00585AFE" w:rsidP="00222A86">
      <w:pPr>
        <w:spacing w:line="276" w:lineRule="auto"/>
        <w:jc w:val="center"/>
        <w:rPr>
          <w:rFonts w:cs="Times New Roman"/>
          <w:b/>
          <w:bCs/>
          <w:sz w:val="32"/>
          <w:szCs w:val="32"/>
          <w:lang w:val="en-AU"/>
        </w:rPr>
      </w:pPr>
      <w:r w:rsidRPr="00C35D79">
        <w:rPr>
          <w:rFonts w:cs="Times New Roman"/>
          <w:b/>
          <w:bCs/>
          <w:sz w:val="32"/>
          <w:szCs w:val="32"/>
          <w:lang w:val="en-AU"/>
        </w:rPr>
        <w:t>Supplementary Material</w:t>
      </w:r>
    </w:p>
    <w:p w14:paraId="5399A80E" w14:textId="77777777" w:rsidR="00585AFE" w:rsidRPr="00C35D79" w:rsidRDefault="00585AFE" w:rsidP="00585AFE">
      <w:pPr>
        <w:jc w:val="center"/>
        <w:rPr>
          <w:rFonts w:cs="Times New Roman"/>
          <w:lang w:val="en-AU"/>
        </w:rPr>
      </w:pPr>
    </w:p>
    <w:p w14:paraId="1813B848" w14:textId="64F8FB3F" w:rsidR="008A154A" w:rsidRPr="00C35D79" w:rsidRDefault="008A154A">
      <w:pPr>
        <w:rPr>
          <w:rFonts w:cs="Times New Roman"/>
          <w:noProof/>
          <w:sz w:val="21"/>
          <w:szCs w:val="22"/>
          <w:lang w:val="en-AU"/>
        </w:rPr>
      </w:pPr>
    </w:p>
    <w:p w14:paraId="0C0F5EB2" w14:textId="15291555" w:rsidR="001C60E2" w:rsidRPr="001C60E2" w:rsidRDefault="001C60E2" w:rsidP="00FD0ACB">
      <w:pPr>
        <w:pStyle w:val="Paragrafoelenco"/>
        <w:numPr>
          <w:ilvl w:val="0"/>
          <w:numId w:val="2"/>
        </w:numPr>
        <w:spacing w:line="276" w:lineRule="auto"/>
        <w:rPr>
          <w:rFonts w:cs="Times New Roman"/>
          <w:sz w:val="22"/>
          <w:szCs w:val="22"/>
          <w:lang w:val="en-AU"/>
        </w:rPr>
      </w:pPr>
      <w:r w:rsidRPr="001C60E2">
        <w:rPr>
          <w:rFonts w:cs="Times New Roman"/>
          <w:b/>
          <w:bCs/>
          <w:sz w:val="22"/>
          <w:szCs w:val="22"/>
          <w:lang w:val="en-AU"/>
        </w:rPr>
        <w:t>Supplementary Text 1</w:t>
      </w:r>
      <w:r w:rsidRPr="001C60E2">
        <w:rPr>
          <w:rFonts w:cs="Times New Roman"/>
          <w:sz w:val="22"/>
          <w:szCs w:val="22"/>
          <w:lang w:val="en-AU"/>
        </w:rPr>
        <w:t>: Compositional shifts occur after HSCT depleting the age-related signature</w:t>
      </w:r>
    </w:p>
    <w:p w14:paraId="44B0853E" w14:textId="4FDFC0C5" w:rsidR="001C60E2" w:rsidRPr="001C60E2" w:rsidRDefault="001C60E2" w:rsidP="00FD0ACB">
      <w:pPr>
        <w:pStyle w:val="Paragrafoelenco"/>
        <w:numPr>
          <w:ilvl w:val="0"/>
          <w:numId w:val="2"/>
        </w:numPr>
        <w:spacing w:line="276" w:lineRule="auto"/>
        <w:rPr>
          <w:rFonts w:cs="Times New Roman"/>
          <w:sz w:val="22"/>
          <w:szCs w:val="22"/>
          <w:lang w:val="en-AU"/>
        </w:rPr>
      </w:pPr>
      <w:r w:rsidRPr="001C60E2">
        <w:rPr>
          <w:rFonts w:cs="Times New Roman"/>
          <w:b/>
          <w:bCs/>
          <w:sz w:val="22"/>
          <w:szCs w:val="22"/>
          <w:lang w:val="en-AU"/>
        </w:rPr>
        <w:t>Supplementary Text 2</w:t>
      </w:r>
      <w:r w:rsidRPr="001C60E2">
        <w:rPr>
          <w:rFonts w:cs="Times New Roman"/>
          <w:sz w:val="22"/>
          <w:szCs w:val="22"/>
          <w:lang w:val="en-AU"/>
        </w:rPr>
        <w:t>: Impact of antibiotic prophylaxis on post-transplant diversity and GM composition</w:t>
      </w:r>
    </w:p>
    <w:p w14:paraId="35057C74" w14:textId="51B2962B" w:rsidR="001C60E2" w:rsidRPr="001C60E2" w:rsidRDefault="001C60E2" w:rsidP="00FD0ACB">
      <w:pPr>
        <w:pStyle w:val="Paragrafoelenco"/>
        <w:numPr>
          <w:ilvl w:val="0"/>
          <w:numId w:val="2"/>
        </w:numPr>
        <w:spacing w:line="276" w:lineRule="auto"/>
        <w:rPr>
          <w:rFonts w:cs="Times New Roman"/>
          <w:sz w:val="22"/>
          <w:szCs w:val="22"/>
          <w:lang w:val="en-AU"/>
        </w:rPr>
      </w:pPr>
      <w:r w:rsidRPr="001C60E2">
        <w:rPr>
          <w:rFonts w:cs="Times New Roman"/>
          <w:b/>
          <w:bCs/>
          <w:sz w:val="22"/>
          <w:szCs w:val="22"/>
          <w:lang w:val="en-AU"/>
        </w:rPr>
        <w:t>Supplementary Table 1</w:t>
      </w:r>
      <w:r w:rsidRPr="001C60E2">
        <w:rPr>
          <w:rFonts w:cs="Times New Roman"/>
          <w:sz w:val="22"/>
          <w:szCs w:val="22"/>
          <w:lang w:val="en-AU"/>
        </w:rPr>
        <w:t>: Comparison of baseline characteristics in patients developing or not developing grade II-IV aGvHD. HCT: hematopoietic cell transplantation.</w:t>
      </w:r>
    </w:p>
    <w:p w14:paraId="2E8437DF" w14:textId="204A21BD" w:rsidR="001C60E2" w:rsidRPr="001C60E2" w:rsidRDefault="001C60E2" w:rsidP="00FD0ACB">
      <w:pPr>
        <w:pStyle w:val="Paragrafoelenco"/>
        <w:numPr>
          <w:ilvl w:val="0"/>
          <w:numId w:val="2"/>
        </w:numPr>
        <w:spacing w:line="276" w:lineRule="auto"/>
        <w:rPr>
          <w:rFonts w:cs="Times New Roman"/>
          <w:sz w:val="22"/>
          <w:szCs w:val="22"/>
          <w:lang w:val="en-AU"/>
        </w:rPr>
      </w:pPr>
      <w:r w:rsidRPr="001C60E2">
        <w:rPr>
          <w:rFonts w:cs="Times New Roman"/>
          <w:b/>
          <w:bCs/>
          <w:sz w:val="22"/>
          <w:szCs w:val="22"/>
          <w:lang w:val="en-AU"/>
        </w:rPr>
        <w:t>Supplemental Figure 1</w:t>
      </w:r>
      <w:r w:rsidRPr="001C60E2">
        <w:rPr>
          <w:rFonts w:cs="Times New Roman"/>
          <w:sz w:val="22"/>
          <w:szCs w:val="22"/>
          <w:lang w:val="en-AU"/>
        </w:rPr>
        <w:t>. Distribution of gut microbiota diversity by patient age (in years). Scatter plot showing data for samples collected before allo-HSCT (A) and for those collected at neutrophil engraftment (B). Gut microbiota diversity was computed using two metrics: Shannon entropy (left panels) and Faith’s Phylogenetic Diversity (Faith’s PD, right panels).</w:t>
      </w:r>
    </w:p>
    <w:p w14:paraId="216035AA" w14:textId="593BCD01" w:rsidR="001C60E2" w:rsidRPr="001C60E2" w:rsidRDefault="001C60E2" w:rsidP="00FD0ACB">
      <w:pPr>
        <w:pStyle w:val="Paragrafoelenco"/>
        <w:numPr>
          <w:ilvl w:val="0"/>
          <w:numId w:val="2"/>
        </w:numPr>
        <w:spacing w:line="276" w:lineRule="auto"/>
        <w:rPr>
          <w:rFonts w:cs="Times New Roman"/>
          <w:sz w:val="22"/>
          <w:szCs w:val="22"/>
          <w:lang w:val="en-AU"/>
        </w:rPr>
      </w:pPr>
      <w:r w:rsidRPr="001C60E2">
        <w:rPr>
          <w:rFonts w:cs="Times New Roman"/>
          <w:b/>
          <w:bCs/>
          <w:sz w:val="22"/>
          <w:szCs w:val="22"/>
          <w:lang w:val="en-AU"/>
        </w:rPr>
        <w:t>Supplementary Figure 2</w:t>
      </w:r>
      <w:r w:rsidRPr="001C60E2">
        <w:rPr>
          <w:rFonts w:cs="Times New Roman"/>
          <w:sz w:val="22"/>
          <w:szCs w:val="22"/>
          <w:lang w:val="en-AU"/>
        </w:rPr>
        <w:t>: Gut microbiota phyla and families differentially represented before HSCT and at neutrophils engraftment in adults and pediatric patients.</w:t>
      </w:r>
    </w:p>
    <w:p w14:paraId="02F77176" w14:textId="17C061D0" w:rsidR="001C60E2" w:rsidRPr="001C60E2" w:rsidRDefault="001C60E2" w:rsidP="00FD0ACB">
      <w:pPr>
        <w:pStyle w:val="Paragrafoelenco"/>
        <w:numPr>
          <w:ilvl w:val="0"/>
          <w:numId w:val="2"/>
        </w:numPr>
        <w:spacing w:line="276" w:lineRule="auto"/>
        <w:rPr>
          <w:rFonts w:cs="Times New Roman"/>
          <w:sz w:val="22"/>
          <w:szCs w:val="22"/>
          <w:lang w:val="en-AU"/>
        </w:rPr>
      </w:pPr>
      <w:r w:rsidRPr="001C60E2">
        <w:rPr>
          <w:rFonts w:cs="Times New Roman"/>
          <w:b/>
          <w:bCs/>
          <w:sz w:val="22"/>
          <w:szCs w:val="22"/>
          <w:lang w:val="en-AU"/>
        </w:rPr>
        <w:t>Supplementary Figure 3</w:t>
      </w:r>
      <w:r w:rsidRPr="001C60E2">
        <w:rPr>
          <w:rFonts w:cs="Times New Roman"/>
          <w:sz w:val="22"/>
          <w:szCs w:val="22"/>
          <w:lang w:val="en-AU"/>
        </w:rPr>
        <w:t>: Gut microbiota genera differentially represented before HSCT and at neutrophils engraftment in adults and pediatric patients.</w:t>
      </w:r>
    </w:p>
    <w:p w14:paraId="69C85FE8" w14:textId="700E639D" w:rsidR="001C60E2" w:rsidRPr="001C60E2" w:rsidRDefault="001C60E2" w:rsidP="00FD0ACB">
      <w:pPr>
        <w:pStyle w:val="Paragrafoelenco"/>
        <w:numPr>
          <w:ilvl w:val="0"/>
          <w:numId w:val="2"/>
        </w:numPr>
        <w:spacing w:line="276" w:lineRule="auto"/>
        <w:rPr>
          <w:rFonts w:cs="Times New Roman"/>
          <w:sz w:val="22"/>
          <w:szCs w:val="22"/>
          <w:lang w:val="en-AU"/>
        </w:rPr>
      </w:pPr>
      <w:r w:rsidRPr="001C60E2">
        <w:rPr>
          <w:rFonts w:cs="Times New Roman"/>
          <w:b/>
          <w:bCs/>
          <w:sz w:val="22"/>
          <w:szCs w:val="22"/>
          <w:lang w:val="en-AU"/>
        </w:rPr>
        <w:t>Supplementary Figure 4</w:t>
      </w:r>
      <w:r w:rsidRPr="001C60E2">
        <w:rPr>
          <w:rFonts w:cs="Times New Roman"/>
          <w:sz w:val="22"/>
          <w:szCs w:val="22"/>
          <w:lang w:val="en-AU"/>
        </w:rPr>
        <w:t>. Gut microbiota genera differentially represented before HSCT and at neutrophil engraftment in adult and pediatric patients, with or without antibiotic prophylaxis.</w:t>
      </w:r>
    </w:p>
    <w:p w14:paraId="47142F49" w14:textId="4A0ED28F" w:rsidR="001C60E2" w:rsidRPr="001C60E2" w:rsidRDefault="001C60E2" w:rsidP="00FD0ACB">
      <w:pPr>
        <w:pStyle w:val="Paragrafoelenco"/>
        <w:numPr>
          <w:ilvl w:val="0"/>
          <w:numId w:val="2"/>
        </w:numPr>
        <w:spacing w:line="276" w:lineRule="auto"/>
        <w:rPr>
          <w:rFonts w:cs="Times New Roman"/>
          <w:sz w:val="22"/>
          <w:szCs w:val="22"/>
          <w:lang w:val="en-AU"/>
        </w:rPr>
      </w:pPr>
      <w:r w:rsidRPr="001C60E2">
        <w:rPr>
          <w:rFonts w:cs="Times New Roman"/>
          <w:b/>
          <w:bCs/>
          <w:sz w:val="22"/>
          <w:szCs w:val="22"/>
          <w:lang w:val="en-AU"/>
        </w:rPr>
        <w:t>Supplementary Figure 5</w:t>
      </w:r>
      <w:r w:rsidRPr="001C60E2">
        <w:rPr>
          <w:rFonts w:cs="Times New Roman"/>
          <w:sz w:val="22"/>
          <w:szCs w:val="22"/>
          <w:lang w:val="en-AU"/>
        </w:rPr>
        <w:t>: Silhouette analysis supported the use of K-means clustering with k = 6.</w:t>
      </w:r>
    </w:p>
    <w:p w14:paraId="6C66D27E" w14:textId="7BBA7242" w:rsidR="001C60E2" w:rsidRPr="001C60E2" w:rsidRDefault="001C60E2" w:rsidP="00FD0ACB">
      <w:pPr>
        <w:pStyle w:val="Paragrafoelenco"/>
        <w:numPr>
          <w:ilvl w:val="0"/>
          <w:numId w:val="2"/>
        </w:numPr>
        <w:spacing w:line="276" w:lineRule="auto"/>
        <w:rPr>
          <w:rFonts w:cs="Times New Roman"/>
          <w:sz w:val="22"/>
          <w:szCs w:val="22"/>
          <w:lang w:val="en-AU"/>
        </w:rPr>
      </w:pPr>
      <w:r w:rsidRPr="001C60E2">
        <w:rPr>
          <w:rFonts w:cs="Times New Roman"/>
          <w:b/>
          <w:bCs/>
          <w:sz w:val="22"/>
          <w:szCs w:val="22"/>
          <w:lang w:val="en-AU"/>
        </w:rPr>
        <w:t>Supplementary Figure 6</w:t>
      </w:r>
      <w:r w:rsidRPr="001C60E2">
        <w:rPr>
          <w:rFonts w:cs="Times New Roman"/>
          <w:sz w:val="22"/>
          <w:szCs w:val="22"/>
          <w:lang w:val="en-AU"/>
        </w:rPr>
        <w:t>: Gut microbiota genera characterizing the clusters obtained by applying K-means clustering.</w:t>
      </w:r>
    </w:p>
    <w:p w14:paraId="10B0E426" w14:textId="372D3B77" w:rsidR="00585AFE" w:rsidRPr="002B4C62" w:rsidRDefault="001C60E2" w:rsidP="002B4C62">
      <w:pPr>
        <w:pStyle w:val="Paragrafoelenco"/>
        <w:numPr>
          <w:ilvl w:val="0"/>
          <w:numId w:val="2"/>
        </w:numPr>
        <w:spacing w:line="276" w:lineRule="auto"/>
        <w:rPr>
          <w:rFonts w:cs="Times New Roman"/>
          <w:sz w:val="22"/>
          <w:szCs w:val="22"/>
          <w:lang w:val="en-AU"/>
        </w:rPr>
      </w:pPr>
      <w:r w:rsidRPr="001C60E2">
        <w:rPr>
          <w:rFonts w:cs="Times New Roman"/>
          <w:b/>
          <w:bCs/>
          <w:sz w:val="22"/>
          <w:szCs w:val="22"/>
          <w:lang w:val="en-AU"/>
        </w:rPr>
        <w:lastRenderedPageBreak/>
        <w:t>Supplementary Figure 7</w:t>
      </w:r>
      <w:r w:rsidRPr="001C60E2">
        <w:rPr>
          <w:rFonts w:cs="Times New Roman"/>
          <w:sz w:val="22"/>
          <w:szCs w:val="22"/>
          <w:lang w:val="en-AU"/>
        </w:rPr>
        <w:t>: Gut microbiota families and genera differentially represented before HSCT in adults and younger patients who developed no or low-grade aGvHD and clinically significant aGvHD.</w:t>
      </w:r>
      <w:r w:rsidR="00585AFE" w:rsidRPr="002B4C62">
        <w:rPr>
          <w:rFonts w:cs="Times New Roman"/>
          <w:lang w:val="en-AU"/>
        </w:rPr>
        <w:br w:type="page"/>
      </w:r>
    </w:p>
    <w:p w14:paraId="0296D601" w14:textId="0F7B13A8" w:rsidR="005B23B8" w:rsidRPr="00C35D79" w:rsidRDefault="005B23B8" w:rsidP="000851AD">
      <w:pPr>
        <w:pStyle w:val="Titolo1"/>
        <w:rPr>
          <w:lang w:val="en-AU"/>
        </w:rPr>
      </w:pPr>
      <w:bookmarkStart w:id="0" w:name="_Toc202199951"/>
      <w:r w:rsidRPr="00C35D79">
        <w:rPr>
          <w:lang w:val="en-AU"/>
        </w:rPr>
        <w:lastRenderedPageBreak/>
        <w:t>Supplementary Text</w:t>
      </w:r>
      <w:r w:rsidR="0089366B">
        <w:rPr>
          <w:lang w:val="en-AU"/>
        </w:rPr>
        <w:t xml:space="preserve"> 1</w:t>
      </w:r>
      <w:r w:rsidRPr="00C35D79">
        <w:rPr>
          <w:lang w:val="en-AU"/>
        </w:rPr>
        <w:t>:</w:t>
      </w:r>
      <w:r w:rsidR="000851AD" w:rsidRPr="00C35D79">
        <w:rPr>
          <w:lang w:val="en-AU"/>
        </w:rPr>
        <w:t xml:space="preserve"> Compositional shifts occur after HSCT depleting the age-related signature</w:t>
      </w:r>
      <w:bookmarkEnd w:id="0"/>
      <w:r w:rsidRPr="00C35D79">
        <w:rPr>
          <w:lang w:val="en-AU"/>
        </w:rPr>
        <w:t xml:space="preserve"> </w:t>
      </w:r>
    </w:p>
    <w:p w14:paraId="62CDC38F" w14:textId="77777777" w:rsidR="005B23B8" w:rsidRPr="00C35D79" w:rsidRDefault="005B23B8">
      <w:pPr>
        <w:rPr>
          <w:rFonts w:eastAsiaTheme="majorEastAsia" w:cs="Times New Roman"/>
          <w:bCs/>
          <w:color w:val="000000" w:themeColor="text1"/>
          <w:szCs w:val="40"/>
          <w:lang w:val="en-AU"/>
        </w:rPr>
      </w:pPr>
    </w:p>
    <w:p w14:paraId="0B92CB83" w14:textId="37E5F328" w:rsidR="005B23B8" w:rsidRPr="00C35D79" w:rsidRDefault="000851AD" w:rsidP="000851AD">
      <w:pPr>
        <w:rPr>
          <w:rFonts w:eastAsiaTheme="majorEastAsia" w:cs="Times New Roman"/>
          <w:b/>
          <w:color w:val="000000" w:themeColor="text1"/>
          <w:szCs w:val="40"/>
          <w:lang w:val="en-AU"/>
        </w:rPr>
      </w:pPr>
      <w:r w:rsidRPr="00C35D79">
        <w:rPr>
          <w:rFonts w:eastAsiaTheme="majorEastAsia" w:cs="Times New Roman"/>
          <w:bCs/>
          <w:color w:val="000000" w:themeColor="text1"/>
          <w:szCs w:val="40"/>
          <w:lang w:val="en-AU"/>
        </w:rPr>
        <w:t xml:space="preserve">At the phylum level the most abundant taxa were Firmicutes (mean relative abundance ± standard error of the mean: 63.4% ± 24.4%), </w:t>
      </w:r>
      <w:proofErr w:type="spellStart"/>
      <w:r w:rsidRPr="00C35D79">
        <w:rPr>
          <w:rFonts w:eastAsiaTheme="majorEastAsia" w:cs="Times New Roman"/>
          <w:bCs/>
          <w:color w:val="000000" w:themeColor="text1"/>
          <w:szCs w:val="40"/>
          <w:lang w:val="en-AU"/>
        </w:rPr>
        <w:t>Bacteroidota</w:t>
      </w:r>
      <w:proofErr w:type="spellEnd"/>
      <w:r w:rsidRPr="00C35D79">
        <w:rPr>
          <w:rFonts w:eastAsiaTheme="majorEastAsia" w:cs="Times New Roman"/>
          <w:bCs/>
          <w:color w:val="000000" w:themeColor="text1"/>
          <w:szCs w:val="40"/>
          <w:lang w:val="en-AU"/>
        </w:rPr>
        <w:t xml:space="preserve"> (13% ± 18.5%), Proteobacteria (10.5% ± 18.9%) and </w:t>
      </w:r>
      <w:proofErr w:type="spellStart"/>
      <w:r w:rsidRPr="00C35D79">
        <w:rPr>
          <w:rFonts w:eastAsiaTheme="majorEastAsia" w:cs="Times New Roman"/>
          <w:bCs/>
          <w:color w:val="000000" w:themeColor="text1"/>
          <w:szCs w:val="40"/>
          <w:lang w:val="en-AU"/>
        </w:rPr>
        <w:t>Actinobacteriota</w:t>
      </w:r>
      <w:proofErr w:type="spellEnd"/>
      <w:r w:rsidRPr="00C35D79">
        <w:rPr>
          <w:rFonts w:eastAsiaTheme="majorEastAsia" w:cs="Times New Roman"/>
          <w:bCs/>
          <w:color w:val="000000" w:themeColor="text1"/>
          <w:szCs w:val="40"/>
          <w:lang w:val="en-AU"/>
        </w:rPr>
        <w:t xml:space="preserve"> (10% ± 13.1%). Before HSCT, older patients exhibited significantly higher proportion of Proteobacteria compared to younger ones (Wilcoxon test, p &lt; 0.01) (</w:t>
      </w:r>
      <w:r w:rsidRPr="00C35D79">
        <w:rPr>
          <w:rFonts w:eastAsiaTheme="majorEastAsia" w:cs="Times New Roman"/>
          <w:b/>
          <w:bCs/>
          <w:color w:val="000000" w:themeColor="text1"/>
          <w:szCs w:val="40"/>
          <w:lang w:val="en-AU"/>
        </w:rPr>
        <w:t>Supplementary Figure 2A</w:t>
      </w:r>
      <w:r w:rsidRPr="00C35D79">
        <w:rPr>
          <w:rFonts w:eastAsiaTheme="majorEastAsia" w:cs="Times New Roman"/>
          <w:bCs/>
          <w:color w:val="000000" w:themeColor="text1"/>
          <w:szCs w:val="40"/>
          <w:lang w:val="en-AU"/>
        </w:rPr>
        <w:t xml:space="preserve">). A similar pattern was observed at neutrophil engraftment, though it only approached statistical significance (p = 0.09). Conversely, younger patients tended to have higher abundances of </w:t>
      </w:r>
      <w:proofErr w:type="spellStart"/>
      <w:r w:rsidRPr="00C35D79">
        <w:rPr>
          <w:rFonts w:eastAsiaTheme="majorEastAsia" w:cs="Times New Roman"/>
          <w:bCs/>
          <w:color w:val="000000" w:themeColor="text1"/>
          <w:szCs w:val="40"/>
          <w:lang w:val="en-AU"/>
        </w:rPr>
        <w:t>Actinobacteriota</w:t>
      </w:r>
      <w:proofErr w:type="spellEnd"/>
      <w:r w:rsidRPr="00C35D79">
        <w:rPr>
          <w:rFonts w:eastAsiaTheme="majorEastAsia" w:cs="Times New Roman"/>
          <w:bCs/>
          <w:color w:val="000000" w:themeColor="text1"/>
          <w:szCs w:val="40"/>
          <w:lang w:val="en-AU"/>
        </w:rPr>
        <w:t xml:space="preserve"> compared to older ones before HSCT (p &lt; 0.08). Following HSCT, both groups showed a decline in </w:t>
      </w:r>
      <w:proofErr w:type="spellStart"/>
      <w:r w:rsidRPr="00C35D79">
        <w:rPr>
          <w:rFonts w:eastAsiaTheme="majorEastAsia" w:cs="Times New Roman"/>
          <w:bCs/>
          <w:color w:val="000000" w:themeColor="text1"/>
          <w:szCs w:val="40"/>
          <w:lang w:val="en-AU"/>
        </w:rPr>
        <w:t>Actinobacteriota</w:t>
      </w:r>
      <w:proofErr w:type="spellEnd"/>
      <w:r w:rsidRPr="00C35D79">
        <w:rPr>
          <w:rFonts w:eastAsiaTheme="majorEastAsia" w:cs="Times New Roman"/>
          <w:bCs/>
          <w:color w:val="000000" w:themeColor="text1"/>
          <w:szCs w:val="40"/>
          <w:lang w:val="en-AU"/>
        </w:rPr>
        <w:t xml:space="preserve">, with this trend being more pronounced in older (p &lt; 0.07). At the time of neutrophils engraftment, adults exhibited higher proportions of </w:t>
      </w:r>
      <w:proofErr w:type="spellStart"/>
      <w:r w:rsidRPr="00C35D79">
        <w:rPr>
          <w:rFonts w:eastAsiaTheme="majorEastAsia" w:cs="Times New Roman"/>
          <w:bCs/>
          <w:color w:val="000000" w:themeColor="text1"/>
          <w:szCs w:val="40"/>
          <w:lang w:val="en-AU"/>
        </w:rPr>
        <w:t>Bacteroidota</w:t>
      </w:r>
      <w:proofErr w:type="spellEnd"/>
      <w:r w:rsidRPr="00C35D79">
        <w:rPr>
          <w:rFonts w:eastAsiaTheme="majorEastAsia" w:cs="Times New Roman"/>
          <w:bCs/>
          <w:color w:val="000000" w:themeColor="text1"/>
          <w:szCs w:val="40"/>
          <w:lang w:val="en-AU"/>
        </w:rPr>
        <w:t xml:space="preserve"> than younger ones (p = 0.04). The most abundant families characterizing the GM of the whole cohort were </w:t>
      </w:r>
      <w:proofErr w:type="spellStart"/>
      <w:r w:rsidRPr="00C35D79">
        <w:rPr>
          <w:rFonts w:eastAsiaTheme="majorEastAsia" w:cs="Times New Roman"/>
          <w:bCs/>
          <w:i/>
          <w:iCs/>
          <w:color w:val="000000" w:themeColor="text1"/>
          <w:szCs w:val="40"/>
          <w:lang w:val="en-AU"/>
        </w:rPr>
        <w:t>Lachnospiraceae</w:t>
      </w:r>
      <w:proofErr w:type="spellEnd"/>
      <w:r w:rsidRPr="00C35D79">
        <w:rPr>
          <w:rFonts w:eastAsiaTheme="majorEastAsia" w:cs="Times New Roman"/>
          <w:bCs/>
          <w:color w:val="000000" w:themeColor="text1"/>
          <w:szCs w:val="40"/>
          <w:lang w:val="en-AU"/>
        </w:rPr>
        <w:t xml:space="preserve"> (18% ± 14.2%), </w:t>
      </w:r>
      <w:r w:rsidRPr="00C35D79">
        <w:rPr>
          <w:rFonts w:eastAsiaTheme="majorEastAsia" w:cs="Times New Roman"/>
          <w:bCs/>
          <w:i/>
          <w:iCs/>
          <w:color w:val="000000" w:themeColor="text1"/>
          <w:szCs w:val="40"/>
          <w:lang w:val="en-AU"/>
        </w:rPr>
        <w:t>Ruminococcaceae</w:t>
      </w:r>
      <w:r w:rsidRPr="00C35D79">
        <w:rPr>
          <w:rFonts w:eastAsiaTheme="majorEastAsia" w:cs="Times New Roman"/>
          <w:bCs/>
          <w:color w:val="000000" w:themeColor="text1"/>
          <w:szCs w:val="40"/>
          <w:lang w:val="en-AU"/>
        </w:rPr>
        <w:t xml:space="preserve"> (10.5% ± 12%), </w:t>
      </w:r>
      <w:proofErr w:type="spellStart"/>
      <w:r w:rsidRPr="00C35D79">
        <w:rPr>
          <w:rFonts w:eastAsiaTheme="majorEastAsia" w:cs="Times New Roman"/>
          <w:bCs/>
          <w:i/>
          <w:iCs/>
          <w:color w:val="000000" w:themeColor="text1"/>
          <w:szCs w:val="40"/>
          <w:lang w:val="en-AU"/>
        </w:rPr>
        <w:t>Bacteroidaceae</w:t>
      </w:r>
      <w:proofErr w:type="spellEnd"/>
      <w:r w:rsidRPr="00C35D79">
        <w:rPr>
          <w:rFonts w:eastAsiaTheme="majorEastAsia" w:cs="Times New Roman"/>
          <w:bCs/>
          <w:color w:val="000000" w:themeColor="text1"/>
          <w:szCs w:val="40"/>
          <w:lang w:val="en-AU"/>
        </w:rPr>
        <w:t xml:space="preserve"> (9.7% ± 15.8%), </w:t>
      </w:r>
      <w:proofErr w:type="spellStart"/>
      <w:r w:rsidRPr="00C35D79">
        <w:rPr>
          <w:rFonts w:eastAsiaTheme="majorEastAsia" w:cs="Times New Roman"/>
          <w:bCs/>
          <w:i/>
          <w:iCs/>
          <w:color w:val="000000" w:themeColor="text1"/>
          <w:szCs w:val="40"/>
          <w:lang w:val="en-AU"/>
        </w:rPr>
        <w:t>Streptococcaceae</w:t>
      </w:r>
      <w:proofErr w:type="spellEnd"/>
      <w:r w:rsidRPr="00C35D79">
        <w:rPr>
          <w:rFonts w:eastAsiaTheme="majorEastAsia" w:cs="Times New Roman"/>
          <w:bCs/>
          <w:color w:val="000000" w:themeColor="text1"/>
          <w:szCs w:val="40"/>
          <w:lang w:val="en-AU"/>
        </w:rPr>
        <w:t xml:space="preserve"> (8.7% ± 12.6%), and </w:t>
      </w:r>
      <w:r w:rsidRPr="00C35D79">
        <w:rPr>
          <w:rFonts w:eastAsiaTheme="majorEastAsia" w:cs="Times New Roman"/>
          <w:bCs/>
          <w:i/>
          <w:iCs/>
          <w:color w:val="000000" w:themeColor="text1"/>
          <w:szCs w:val="40"/>
          <w:lang w:val="en-AU"/>
        </w:rPr>
        <w:t>Enterobacteriaceae</w:t>
      </w:r>
      <w:r w:rsidRPr="00C35D79">
        <w:rPr>
          <w:rFonts w:eastAsiaTheme="majorEastAsia" w:cs="Times New Roman"/>
          <w:bCs/>
          <w:color w:val="000000" w:themeColor="text1"/>
          <w:szCs w:val="40"/>
          <w:lang w:val="en-AU"/>
        </w:rPr>
        <w:t xml:space="preserve"> (8.5% ± 15.5%). Before undergoing HSCT, distinct differences in GM composition were evident between age groups. Older patients exhibited higher abundances of </w:t>
      </w:r>
      <w:proofErr w:type="spellStart"/>
      <w:r w:rsidRPr="00C35D79">
        <w:rPr>
          <w:rFonts w:eastAsiaTheme="majorEastAsia" w:cs="Times New Roman"/>
          <w:bCs/>
          <w:i/>
          <w:iCs/>
          <w:color w:val="000000" w:themeColor="text1"/>
          <w:szCs w:val="40"/>
          <w:lang w:val="en-AU"/>
        </w:rPr>
        <w:t>Butyricicoccaceae</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Staphylococcaceae</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Coriobacteriaceae</w:t>
      </w:r>
      <w:proofErr w:type="spellEnd"/>
      <w:r w:rsidRPr="00C35D79">
        <w:rPr>
          <w:rFonts w:eastAsiaTheme="majorEastAsia" w:cs="Times New Roman"/>
          <w:bCs/>
          <w:color w:val="000000" w:themeColor="text1"/>
          <w:szCs w:val="40"/>
          <w:lang w:val="en-AU"/>
        </w:rPr>
        <w:t xml:space="preserve">, </w:t>
      </w:r>
      <w:r w:rsidRPr="00C35D79">
        <w:rPr>
          <w:rFonts w:eastAsiaTheme="majorEastAsia" w:cs="Times New Roman"/>
          <w:bCs/>
          <w:i/>
          <w:iCs/>
          <w:color w:val="000000" w:themeColor="text1"/>
          <w:szCs w:val="40"/>
          <w:lang w:val="en-AU"/>
        </w:rPr>
        <w:t>Enterobacteriaceae</w:t>
      </w:r>
      <w:r w:rsidRPr="00C35D79">
        <w:rPr>
          <w:rFonts w:eastAsiaTheme="majorEastAsia" w:cs="Times New Roman"/>
          <w:bCs/>
          <w:color w:val="000000" w:themeColor="text1"/>
          <w:szCs w:val="40"/>
          <w:lang w:val="en-AU"/>
        </w:rPr>
        <w:t xml:space="preserve">, </w:t>
      </w:r>
      <w:r w:rsidRPr="00C35D79">
        <w:rPr>
          <w:rFonts w:eastAsiaTheme="majorEastAsia" w:cs="Times New Roman"/>
          <w:bCs/>
          <w:i/>
          <w:iCs/>
          <w:color w:val="000000" w:themeColor="text1"/>
          <w:szCs w:val="40"/>
          <w:lang w:val="en-AU"/>
        </w:rPr>
        <w:t>Vibrionaceae</w:t>
      </w:r>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Erwiniaceae</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Yersiniaceae</w:t>
      </w:r>
      <w:proofErr w:type="spellEnd"/>
      <w:r w:rsidRPr="00C35D79">
        <w:rPr>
          <w:rFonts w:eastAsiaTheme="majorEastAsia" w:cs="Times New Roman"/>
          <w:bCs/>
          <w:color w:val="000000" w:themeColor="text1"/>
          <w:szCs w:val="40"/>
          <w:lang w:val="en-AU"/>
        </w:rPr>
        <w:t xml:space="preserve">, </w:t>
      </w:r>
      <w:r w:rsidRPr="00C35D79">
        <w:rPr>
          <w:rFonts w:eastAsiaTheme="majorEastAsia" w:cs="Times New Roman"/>
          <w:bCs/>
          <w:i/>
          <w:iCs/>
          <w:color w:val="000000" w:themeColor="text1"/>
          <w:szCs w:val="40"/>
          <w:lang w:val="en-AU"/>
        </w:rPr>
        <w:t>Pseudomonadaceae</w:t>
      </w:r>
      <w:r w:rsidRPr="00C35D79">
        <w:rPr>
          <w:rFonts w:eastAsiaTheme="majorEastAsia" w:cs="Times New Roman"/>
          <w:bCs/>
          <w:color w:val="000000" w:themeColor="text1"/>
          <w:szCs w:val="40"/>
          <w:lang w:val="en-AU"/>
        </w:rPr>
        <w:t xml:space="preserve"> and </w:t>
      </w:r>
      <w:proofErr w:type="spellStart"/>
      <w:r w:rsidRPr="00C35D79">
        <w:rPr>
          <w:rFonts w:eastAsiaTheme="majorEastAsia" w:cs="Times New Roman"/>
          <w:bCs/>
          <w:i/>
          <w:iCs/>
          <w:color w:val="000000" w:themeColor="text1"/>
          <w:szCs w:val="40"/>
          <w:lang w:val="en-AU"/>
        </w:rPr>
        <w:t>Morganellaceae</w:t>
      </w:r>
      <w:proofErr w:type="spellEnd"/>
      <w:r w:rsidRPr="00C35D79">
        <w:rPr>
          <w:rFonts w:eastAsiaTheme="majorEastAsia" w:cs="Times New Roman"/>
          <w:bCs/>
          <w:color w:val="000000" w:themeColor="text1"/>
          <w:szCs w:val="40"/>
          <w:lang w:val="en-AU"/>
        </w:rPr>
        <w:t xml:space="preserve">, while younger displayed higher levels of </w:t>
      </w:r>
      <w:proofErr w:type="spellStart"/>
      <w:r w:rsidRPr="00C35D79">
        <w:rPr>
          <w:rFonts w:eastAsiaTheme="majorEastAsia" w:cs="Times New Roman"/>
          <w:bCs/>
          <w:i/>
          <w:iCs/>
          <w:color w:val="000000" w:themeColor="text1"/>
          <w:szCs w:val="40"/>
          <w:lang w:val="en-AU"/>
        </w:rPr>
        <w:t>Bifidobacteriaceae</w:t>
      </w:r>
      <w:proofErr w:type="spellEnd"/>
      <w:r w:rsidRPr="00C35D79">
        <w:rPr>
          <w:rFonts w:eastAsiaTheme="majorEastAsia" w:cs="Times New Roman"/>
          <w:bCs/>
          <w:color w:val="000000" w:themeColor="text1"/>
          <w:szCs w:val="40"/>
          <w:lang w:val="en-AU"/>
        </w:rPr>
        <w:t xml:space="preserve">. However, such age-dependent differences largely disappeared following HSCT, except for a sustained increase in older for </w:t>
      </w:r>
      <w:r w:rsidRPr="00C35D79">
        <w:rPr>
          <w:rFonts w:eastAsiaTheme="majorEastAsia" w:cs="Times New Roman"/>
          <w:bCs/>
          <w:i/>
          <w:iCs/>
          <w:color w:val="000000" w:themeColor="text1"/>
          <w:szCs w:val="40"/>
          <w:lang w:val="en-AU"/>
        </w:rPr>
        <w:t>Enterobacteriaceae</w:t>
      </w:r>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Alteromonadaceae</w:t>
      </w:r>
      <w:proofErr w:type="spellEnd"/>
      <w:r w:rsidRPr="00C35D79">
        <w:rPr>
          <w:rFonts w:eastAsiaTheme="majorEastAsia" w:cs="Times New Roman"/>
          <w:bCs/>
          <w:color w:val="000000" w:themeColor="text1"/>
          <w:szCs w:val="40"/>
          <w:lang w:val="en-AU"/>
        </w:rPr>
        <w:t xml:space="preserve">, </w:t>
      </w:r>
      <w:r w:rsidRPr="00C35D79">
        <w:rPr>
          <w:rFonts w:eastAsiaTheme="majorEastAsia" w:cs="Times New Roman"/>
          <w:bCs/>
          <w:i/>
          <w:iCs/>
          <w:color w:val="000000" w:themeColor="text1"/>
          <w:szCs w:val="40"/>
          <w:lang w:val="en-AU"/>
        </w:rPr>
        <w:t>Vibrionaceae</w:t>
      </w:r>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Erwiniaceae</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Yersiniaceae</w:t>
      </w:r>
      <w:proofErr w:type="spellEnd"/>
      <w:r w:rsidRPr="00C35D79">
        <w:rPr>
          <w:rFonts w:eastAsiaTheme="majorEastAsia" w:cs="Times New Roman"/>
          <w:bCs/>
          <w:color w:val="000000" w:themeColor="text1"/>
          <w:szCs w:val="40"/>
          <w:lang w:val="en-AU"/>
        </w:rPr>
        <w:t xml:space="preserve"> and </w:t>
      </w:r>
      <w:proofErr w:type="spellStart"/>
      <w:r w:rsidRPr="00C35D79">
        <w:rPr>
          <w:rFonts w:eastAsiaTheme="majorEastAsia" w:cs="Times New Roman"/>
          <w:bCs/>
          <w:i/>
          <w:iCs/>
          <w:color w:val="000000" w:themeColor="text1"/>
          <w:szCs w:val="40"/>
          <w:lang w:val="en-AU"/>
        </w:rPr>
        <w:t>Morganellaceae</w:t>
      </w:r>
      <w:proofErr w:type="spellEnd"/>
      <w:r w:rsidRPr="00C35D79">
        <w:rPr>
          <w:rFonts w:eastAsiaTheme="majorEastAsia" w:cs="Times New Roman"/>
          <w:bCs/>
          <w:i/>
          <w:iCs/>
          <w:color w:val="000000" w:themeColor="text1"/>
          <w:szCs w:val="40"/>
          <w:lang w:val="en-AU"/>
        </w:rPr>
        <w:t xml:space="preserve"> </w:t>
      </w:r>
      <w:r w:rsidRPr="00C35D79">
        <w:rPr>
          <w:rFonts w:eastAsiaTheme="majorEastAsia" w:cs="Times New Roman"/>
          <w:bCs/>
          <w:color w:val="000000" w:themeColor="text1"/>
          <w:szCs w:val="40"/>
          <w:lang w:val="en-AU"/>
        </w:rPr>
        <w:t xml:space="preserve">(p </w:t>
      </w:r>
      <w:r w:rsidRPr="00C35D79">
        <w:rPr>
          <w:rFonts w:eastAsiaTheme="majorEastAsia" w:cs="Times New Roman"/>
          <w:b/>
          <w:bCs/>
          <w:color w:val="000000" w:themeColor="text1"/>
          <w:szCs w:val="40"/>
          <w:lang w:val="en-AU"/>
        </w:rPr>
        <w:t>&lt;</w:t>
      </w:r>
      <w:r w:rsidRPr="00C35D79">
        <w:rPr>
          <w:rFonts w:eastAsiaTheme="majorEastAsia" w:cs="Times New Roman"/>
          <w:bCs/>
          <w:color w:val="000000" w:themeColor="text1"/>
          <w:szCs w:val="40"/>
          <w:lang w:val="en-AU"/>
        </w:rPr>
        <w:t xml:space="preserve"> 0.05). GM profiles at engraftment revealed notable similarities between younger and older patients’ family level composition. Both groups demonstrated significant reductions in </w:t>
      </w:r>
      <w:proofErr w:type="spellStart"/>
      <w:r w:rsidRPr="00C35D79">
        <w:rPr>
          <w:rFonts w:eastAsiaTheme="majorEastAsia" w:cs="Times New Roman"/>
          <w:bCs/>
          <w:i/>
          <w:iCs/>
          <w:color w:val="000000" w:themeColor="text1"/>
          <w:szCs w:val="40"/>
          <w:lang w:val="en-AU"/>
        </w:rPr>
        <w:t>Butyricicoccaceae</w:t>
      </w:r>
      <w:proofErr w:type="spellEnd"/>
      <w:r w:rsidRPr="00C35D79">
        <w:rPr>
          <w:rFonts w:eastAsiaTheme="majorEastAsia" w:cs="Times New Roman"/>
          <w:bCs/>
          <w:color w:val="000000" w:themeColor="text1"/>
          <w:szCs w:val="40"/>
          <w:lang w:val="en-AU"/>
        </w:rPr>
        <w:t>, [</w:t>
      </w:r>
      <w:r w:rsidRPr="00C35D79">
        <w:rPr>
          <w:rFonts w:eastAsiaTheme="majorEastAsia" w:cs="Times New Roman"/>
          <w:bCs/>
          <w:i/>
          <w:iCs/>
          <w:color w:val="000000" w:themeColor="text1"/>
          <w:szCs w:val="40"/>
          <w:lang w:val="en-AU"/>
        </w:rPr>
        <w:t>Eubacterium</w:t>
      </w:r>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coprostanoligenes</w:t>
      </w:r>
      <w:proofErr w:type="spellEnd"/>
      <w:r w:rsidRPr="00C35D79">
        <w:rPr>
          <w:rFonts w:eastAsiaTheme="majorEastAsia" w:cs="Times New Roman"/>
          <w:bCs/>
          <w:i/>
          <w:iCs/>
          <w:color w:val="000000" w:themeColor="text1"/>
          <w:szCs w:val="40"/>
          <w:lang w:val="en-AU"/>
        </w:rPr>
        <w:t xml:space="preserve"> </w:t>
      </w:r>
      <w:r w:rsidRPr="00C35D79">
        <w:rPr>
          <w:rFonts w:eastAsiaTheme="majorEastAsia" w:cs="Times New Roman"/>
          <w:bCs/>
          <w:color w:val="000000" w:themeColor="text1"/>
          <w:szCs w:val="40"/>
          <w:lang w:val="en-AU"/>
        </w:rPr>
        <w:t xml:space="preserve">group, </w:t>
      </w:r>
      <w:proofErr w:type="spellStart"/>
      <w:r w:rsidRPr="00C35D79">
        <w:rPr>
          <w:rFonts w:eastAsiaTheme="majorEastAsia" w:cs="Times New Roman"/>
          <w:bCs/>
          <w:i/>
          <w:iCs/>
          <w:color w:val="000000" w:themeColor="text1"/>
          <w:szCs w:val="40"/>
          <w:lang w:val="en-AU"/>
        </w:rPr>
        <w:t>Oscillospiraceae</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Clostridiaceae</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Ruminococcaceae</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Lachnospiraceae</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Veillonellaceae</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Bifidobacteriaceae</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Monoglobaceae</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Coriobacteriaceae</w:t>
      </w:r>
      <w:proofErr w:type="spellEnd"/>
      <w:r w:rsidRPr="00C35D79">
        <w:rPr>
          <w:rFonts w:eastAsiaTheme="majorEastAsia" w:cs="Times New Roman"/>
          <w:bCs/>
          <w:color w:val="000000" w:themeColor="text1"/>
          <w:szCs w:val="40"/>
          <w:lang w:val="en-AU"/>
        </w:rPr>
        <w:t xml:space="preserve">, </w:t>
      </w:r>
      <w:r w:rsidRPr="00C35D79">
        <w:rPr>
          <w:rFonts w:eastAsiaTheme="majorEastAsia" w:cs="Times New Roman"/>
          <w:bCs/>
          <w:i/>
          <w:iCs/>
          <w:color w:val="000000" w:themeColor="text1"/>
          <w:szCs w:val="40"/>
          <w:lang w:val="en-AU"/>
        </w:rPr>
        <w:t>Anaerovoracaceae</w:t>
      </w:r>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Peptostreptococcaceae</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Christensenellaceae</w:t>
      </w:r>
      <w:proofErr w:type="spellEnd"/>
      <w:r w:rsidRPr="00C35D79">
        <w:rPr>
          <w:rFonts w:eastAsiaTheme="majorEastAsia" w:cs="Times New Roman"/>
          <w:bCs/>
          <w:color w:val="000000" w:themeColor="text1"/>
          <w:szCs w:val="40"/>
          <w:lang w:val="en-AU"/>
        </w:rPr>
        <w:t xml:space="preserve"> and </w:t>
      </w:r>
      <w:proofErr w:type="spellStart"/>
      <w:r w:rsidRPr="00C35D79">
        <w:rPr>
          <w:rFonts w:eastAsiaTheme="majorEastAsia" w:cs="Times New Roman"/>
          <w:bCs/>
          <w:i/>
          <w:iCs/>
          <w:color w:val="000000" w:themeColor="text1"/>
          <w:szCs w:val="40"/>
          <w:lang w:val="en-AU"/>
        </w:rPr>
        <w:t>Erysipelatoclostridiaceae</w:t>
      </w:r>
      <w:proofErr w:type="spellEnd"/>
      <w:r w:rsidRPr="00C35D79">
        <w:rPr>
          <w:rFonts w:eastAsiaTheme="majorEastAsia" w:cs="Times New Roman"/>
          <w:bCs/>
          <w:i/>
          <w:iCs/>
          <w:color w:val="000000" w:themeColor="text1"/>
          <w:szCs w:val="40"/>
          <w:lang w:val="en-AU"/>
        </w:rPr>
        <w:t xml:space="preserve"> </w:t>
      </w:r>
      <w:r w:rsidRPr="00C35D79">
        <w:rPr>
          <w:rFonts w:eastAsiaTheme="majorEastAsia" w:cs="Times New Roman"/>
          <w:bCs/>
          <w:color w:val="000000" w:themeColor="text1"/>
          <w:szCs w:val="40"/>
          <w:lang w:val="en-AU"/>
        </w:rPr>
        <w:t xml:space="preserve">(Wilcoxon test, p ≤ 0.03). Conversely, </w:t>
      </w:r>
      <w:proofErr w:type="spellStart"/>
      <w:r w:rsidRPr="00C35D79">
        <w:rPr>
          <w:rFonts w:eastAsiaTheme="majorEastAsia" w:cs="Times New Roman"/>
          <w:bCs/>
          <w:i/>
          <w:iCs/>
          <w:color w:val="000000" w:themeColor="text1"/>
          <w:szCs w:val="40"/>
          <w:lang w:val="en-AU"/>
        </w:rPr>
        <w:t>Staphylococcaceae</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Carnobacteriaceae</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Bacillaceae</w:t>
      </w:r>
      <w:proofErr w:type="spellEnd"/>
      <w:r w:rsidRPr="00C35D79">
        <w:rPr>
          <w:rFonts w:eastAsiaTheme="majorEastAsia" w:cs="Times New Roman"/>
          <w:bCs/>
          <w:i/>
          <w:iCs/>
          <w:color w:val="000000" w:themeColor="text1"/>
          <w:szCs w:val="40"/>
          <w:lang w:val="en-AU"/>
        </w:rPr>
        <w:t xml:space="preserve"> </w:t>
      </w:r>
      <w:r w:rsidRPr="00C35D79">
        <w:rPr>
          <w:rFonts w:eastAsiaTheme="majorEastAsia" w:cs="Times New Roman"/>
          <w:bCs/>
          <w:color w:val="000000" w:themeColor="text1"/>
          <w:szCs w:val="40"/>
          <w:lang w:val="en-AU"/>
        </w:rPr>
        <w:t xml:space="preserve">and </w:t>
      </w:r>
      <w:proofErr w:type="spellStart"/>
      <w:r w:rsidRPr="00C35D79">
        <w:rPr>
          <w:rFonts w:eastAsiaTheme="majorEastAsia" w:cs="Times New Roman"/>
          <w:bCs/>
          <w:i/>
          <w:iCs/>
          <w:color w:val="000000" w:themeColor="text1"/>
          <w:szCs w:val="40"/>
          <w:lang w:val="en-AU"/>
        </w:rPr>
        <w:t>Enterococcaceae</w:t>
      </w:r>
      <w:proofErr w:type="spellEnd"/>
      <w:r w:rsidRPr="00C35D79">
        <w:rPr>
          <w:rFonts w:eastAsiaTheme="majorEastAsia" w:cs="Times New Roman"/>
          <w:bCs/>
          <w:color w:val="000000" w:themeColor="text1"/>
          <w:szCs w:val="40"/>
          <w:lang w:val="en-AU"/>
        </w:rPr>
        <w:t xml:space="preserve"> increased in both groups post-HSCT (p ≤ 0.03). At </w:t>
      </w:r>
      <w:proofErr w:type="gramStart"/>
      <w:r w:rsidRPr="00C35D79">
        <w:rPr>
          <w:rFonts w:eastAsiaTheme="majorEastAsia" w:cs="Times New Roman"/>
          <w:bCs/>
          <w:color w:val="000000" w:themeColor="text1"/>
          <w:szCs w:val="40"/>
          <w:lang w:val="en-AU"/>
        </w:rPr>
        <w:t>a the</w:t>
      </w:r>
      <w:proofErr w:type="gramEnd"/>
      <w:r w:rsidRPr="00C35D79">
        <w:rPr>
          <w:rFonts w:eastAsiaTheme="majorEastAsia" w:cs="Times New Roman"/>
          <w:bCs/>
          <w:color w:val="000000" w:themeColor="text1"/>
          <w:szCs w:val="40"/>
          <w:lang w:val="en-AU"/>
        </w:rPr>
        <w:t xml:space="preserve"> genus level. Post-HSCT, unique patterns emerged in each age group. Older patients experienced an increase in </w:t>
      </w:r>
      <w:proofErr w:type="spellStart"/>
      <w:r w:rsidRPr="00C35D79">
        <w:rPr>
          <w:rFonts w:eastAsiaTheme="majorEastAsia" w:cs="Times New Roman"/>
          <w:bCs/>
          <w:i/>
          <w:iCs/>
          <w:color w:val="000000" w:themeColor="text1"/>
          <w:szCs w:val="40"/>
          <w:lang w:val="en-AU"/>
        </w:rPr>
        <w:t>Bacteroidaceae</w:t>
      </w:r>
      <w:proofErr w:type="spellEnd"/>
      <w:r w:rsidRPr="00C35D79">
        <w:rPr>
          <w:rFonts w:eastAsiaTheme="majorEastAsia" w:cs="Times New Roman"/>
          <w:bCs/>
          <w:i/>
          <w:iCs/>
          <w:color w:val="000000" w:themeColor="text1"/>
          <w:szCs w:val="40"/>
          <w:lang w:val="en-AU"/>
        </w:rPr>
        <w:t xml:space="preserve">, Anaerovoracaceae, </w:t>
      </w:r>
      <w:proofErr w:type="spellStart"/>
      <w:r w:rsidRPr="00C35D79">
        <w:rPr>
          <w:rFonts w:eastAsiaTheme="majorEastAsia" w:cs="Times New Roman"/>
          <w:bCs/>
          <w:i/>
          <w:iCs/>
          <w:color w:val="000000" w:themeColor="text1"/>
          <w:szCs w:val="40"/>
          <w:lang w:val="en-AU"/>
        </w:rPr>
        <w:t>Erysipelatoclostridiaceae</w:t>
      </w:r>
      <w:proofErr w:type="spellEnd"/>
      <w:r w:rsidRPr="00C35D79">
        <w:rPr>
          <w:rFonts w:eastAsiaTheme="majorEastAsia" w:cs="Times New Roman"/>
          <w:bCs/>
          <w:color w:val="000000" w:themeColor="text1"/>
          <w:szCs w:val="40"/>
          <w:lang w:val="en-AU"/>
        </w:rPr>
        <w:t xml:space="preserve"> and </w:t>
      </w:r>
      <w:proofErr w:type="spellStart"/>
      <w:r w:rsidRPr="00C35D79">
        <w:rPr>
          <w:rFonts w:eastAsiaTheme="majorEastAsia" w:cs="Times New Roman"/>
          <w:bCs/>
          <w:i/>
          <w:iCs/>
          <w:color w:val="000000" w:themeColor="text1"/>
          <w:szCs w:val="40"/>
          <w:lang w:val="en-AU"/>
        </w:rPr>
        <w:t>Acidaminococcaceae</w:t>
      </w:r>
      <w:proofErr w:type="spellEnd"/>
      <w:r w:rsidRPr="00C35D79">
        <w:rPr>
          <w:rFonts w:eastAsiaTheme="majorEastAsia" w:cs="Times New Roman"/>
          <w:bCs/>
          <w:color w:val="000000" w:themeColor="text1"/>
          <w:szCs w:val="40"/>
          <w:lang w:val="en-AU"/>
        </w:rPr>
        <w:t xml:space="preserve">, whereas </w:t>
      </w:r>
      <w:proofErr w:type="spellStart"/>
      <w:r w:rsidRPr="00C35D79">
        <w:rPr>
          <w:rFonts w:eastAsiaTheme="majorEastAsia" w:cs="Times New Roman"/>
          <w:bCs/>
          <w:i/>
          <w:iCs/>
          <w:color w:val="000000" w:themeColor="text1"/>
          <w:szCs w:val="40"/>
          <w:lang w:val="en-AU"/>
        </w:rPr>
        <w:t>Streptococcaceae</w:t>
      </w:r>
      <w:proofErr w:type="spellEnd"/>
      <w:r w:rsidRPr="00C35D79">
        <w:rPr>
          <w:rFonts w:eastAsiaTheme="majorEastAsia" w:cs="Times New Roman"/>
          <w:bCs/>
          <w:color w:val="000000" w:themeColor="text1"/>
          <w:szCs w:val="40"/>
          <w:lang w:val="en-AU"/>
        </w:rPr>
        <w:t xml:space="preserve"> expanded exclusively in the younger cohort (p </w:t>
      </w:r>
      <w:r w:rsidRPr="00C35D79">
        <w:rPr>
          <w:rFonts w:eastAsiaTheme="majorEastAsia" w:cs="Times New Roman"/>
          <w:b/>
          <w:bCs/>
          <w:color w:val="000000" w:themeColor="text1"/>
          <w:szCs w:val="40"/>
          <w:lang w:val="en-AU"/>
        </w:rPr>
        <w:t>&lt;</w:t>
      </w:r>
      <w:r w:rsidRPr="00C35D79">
        <w:rPr>
          <w:rFonts w:eastAsiaTheme="majorEastAsia" w:cs="Times New Roman"/>
          <w:bCs/>
          <w:color w:val="000000" w:themeColor="text1"/>
          <w:szCs w:val="40"/>
          <w:lang w:val="en-AU"/>
        </w:rPr>
        <w:t xml:space="preserve"> 0.05) (</w:t>
      </w:r>
      <w:r w:rsidRPr="00C35D79">
        <w:rPr>
          <w:rFonts w:eastAsiaTheme="majorEastAsia" w:cs="Times New Roman"/>
          <w:b/>
          <w:bCs/>
          <w:color w:val="000000" w:themeColor="text1"/>
          <w:szCs w:val="40"/>
          <w:lang w:val="en-AU"/>
        </w:rPr>
        <w:t>Supplementary Figure 2B</w:t>
      </w:r>
      <w:r w:rsidRPr="00C35D79">
        <w:rPr>
          <w:rFonts w:eastAsiaTheme="majorEastAsia" w:cs="Times New Roman"/>
          <w:bCs/>
          <w:color w:val="000000" w:themeColor="text1"/>
          <w:szCs w:val="40"/>
          <w:lang w:val="en-AU"/>
        </w:rPr>
        <w:t xml:space="preserve">). A significant decrease in abundance was noted post-HSCT for both cohorts across genera including </w:t>
      </w:r>
      <w:proofErr w:type="spellStart"/>
      <w:r w:rsidRPr="00C35D79">
        <w:rPr>
          <w:rFonts w:eastAsiaTheme="majorEastAsia" w:cs="Times New Roman"/>
          <w:bCs/>
          <w:i/>
          <w:iCs/>
          <w:color w:val="000000" w:themeColor="text1"/>
          <w:szCs w:val="40"/>
          <w:lang w:val="en-AU"/>
        </w:rPr>
        <w:t>Agathobacter</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Blautia</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Ruminococcus</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Roseburia</w:t>
      </w:r>
      <w:proofErr w:type="spellEnd"/>
      <w:r w:rsidRPr="00C35D79">
        <w:rPr>
          <w:rFonts w:eastAsiaTheme="majorEastAsia" w:cs="Times New Roman"/>
          <w:bCs/>
          <w:color w:val="000000" w:themeColor="text1"/>
          <w:szCs w:val="40"/>
          <w:lang w:val="en-AU"/>
        </w:rPr>
        <w:t xml:space="preserve">, </w:t>
      </w:r>
      <w:r w:rsidRPr="00C35D79">
        <w:rPr>
          <w:rFonts w:eastAsiaTheme="majorEastAsia" w:cs="Times New Roman"/>
          <w:bCs/>
          <w:i/>
          <w:iCs/>
          <w:color w:val="000000" w:themeColor="text1"/>
          <w:szCs w:val="40"/>
          <w:lang w:val="en-AU"/>
        </w:rPr>
        <w:t>Clostridium</w:t>
      </w:r>
      <w:r w:rsidRPr="00C35D79">
        <w:rPr>
          <w:rFonts w:eastAsiaTheme="majorEastAsia" w:cs="Times New Roman"/>
          <w:bCs/>
          <w:color w:val="000000" w:themeColor="text1"/>
          <w:szCs w:val="40"/>
          <w:lang w:val="en-AU"/>
        </w:rPr>
        <w:t xml:space="preserve"> sensu stricto 1, </w:t>
      </w:r>
      <w:proofErr w:type="spellStart"/>
      <w:r w:rsidRPr="00C35D79">
        <w:rPr>
          <w:rFonts w:eastAsiaTheme="majorEastAsia" w:cs="Times New Roman"/>
          <w:bCs/>
          <w:i/>
          <w:iCs/>
          <w:color w:val="000000" w:themeColor="text1"/>
          <w:szCs w:val="40"/>
          <w:lang w:val="en-AU"/>
        </w:rPr>
        <w:t>Butyricicoccus</w:t>
      </w:r>
      <w:proofErr w:type="spellEnd"/>
      <w:r w:rsidRPr="00C35D79">
        <w:rPr>
          <w:rFonts w:eastAsiaTheme="majorEastAsia" w:cs="Times New Roman"/>
          <w:bCs/>
          <w:color w:val="000000" w:themeColor="text1"/>
          <w:szCs w:val="40"/>
          <w:lang w:val="en-AU"/>
        </w:rPr>
        <w:t>, [</w:t>
      </w:r>
      <w:r w:rsidRPr="00C35D79">
        <w:rPr>
          <w:rFonts w:eastAsiaTheme="majorEastAsia" w:cs="Times New Roman"/>
          <w:bCs/>
          <w:i/>
          <w:iCs/>
          <w:color w:val="000000" w:themeColor="text1"/>
          <w:szCs w:val="40"/>
          <w:lang w:val="en-AU"/>
        </w:rPr>
        <w:t>Eubacterium</w:t>
      </w:r>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hallii</w:t>
      </w:r>
      <w:proofErr w:type="spellEnd"/>
      <w:r w:rsidRPr="00C35D79">
        <w:rPr>
          <w:rFonts w:eastAsiaTheme="majorEastAsia" w:cs="Times New Roman"/>
          <w:bCs/>
          <w:i/>
          <w:iCs/>
          <w:color w:val="000000" w:themeColor="text1"/>
          <w:szCs w:val="40"/>
          <w:lang w:val="en-AU"/>
        </w:rPr>
        <w:t xml:space="preserve"> </w:t>
      </w:r>
      <w:r w:rsidRPr="00C35D79">
        <w:rPr>
          <w:rFonts w:eastAsiaTheme="majorEastAsia" w:cs="Times New Roman"/>
          <w:bCs/>
          <w:color w:val="000000" w:themeColor="text1"/>
          <w:szCs w:val="40"/>
          <w:lang w:val="en-AU"/>
        </w:rPr>
        <w:t xml:space="preserve">group, </w:t>
      </w:r>
      <w:r w:rsidRPr="00C35D79">
        <w:rPr>
          <w:rFonts w:eastAsiaTheme="majorEastAsia" w:cs="Times New Roman"/>
          <w:bCs/>
          <w:i/>
          <w:iCs/>
          <w:color w:val="000000" w:themeColor="text1"/>
          <w:szCs w:val="40"/>
          <w:lang w:val="en-AU"/>
        </w:rPr>
        <w:t>Staphylococcus</w:t>
      </w:r>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Tyzzerella</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Faecalibacterium</w:t>
      </w:r>
      <w:proofErr w:type="spellEnd"/>
      <w:r w:rsidRPr="00C35D79">
        <w:rPr>
          <w:rFonts w:eastAsiaTheme="majorEastAsia" w:cs="Times New Roman"/>
          <w:bCs/>
          <w:color w:val="000000" w:themeColor="text1"/>
          <w:szCs w:val="40"/>
          <w:lang w:val="en-AU"/>
        </w:rPr>
        <w:t>, [</w:t>
      </w:r>
      <w:proofErr w:type="spellStart"/>
      <w:r w:rsidRPr="00C35D79">
        <w:rPr>
          <w:rFonts w:eastAsiaTheme="majorEastAsia" w:cs="Times New Roman"/>
          <w:bCs/>
          <w:i/>
          <w:iCs/>
          <w:color w:val="000000" w:themeColor="text1"/>
          <w:szCs w:val="40"/>
          <w:lang w:val="en-AU"/>
        </w:rPr>
        <w:t>Ruminococcus</w:t>
      </w:r>
      <w:proofErr w:type="spellEnd"/>
      <w:r w:rsidRPr="00C35D79">
        <w:rPr>
          <w:rFonts w:eastAsiaTheme="majorEastAsia" w:cs="Times New Roman"/>
          <w:bCs/>
          <w:color w:val="000000" w:themeColor="text1"/>
          <w:szCs w:val="40"/>
          <w:lang w:val="en-AU"/>
        </w:rPr>
        <w:t xml:space="preserve">] </w:t>
      </w:r>
      <w:r w:rsidRPr="00C35D79">
        <w:rPr>
          <w:rFonts w:eastAsiaTheme="majorEastAsia" w:cs="Times New Roman"/>
          <w:bCs/>
          <w:i/>
          <w:iCs/>
          <w:color w:val="000000" w:themeColor="text1"/>
          <w:szCs w:val="40"/>
          <w:lang w:val="en-AU"/>
        </w:rPr>
        <w:t xml:space="preserve">torques </w:t>
      </w:r>
      <w:r w:rsidRPr="00C35D79">
        <w:rPr>
          <w:rFonts w:eastAsiaTheme="majorEastAsia" w:cs="Times New Roman"/>
          <w:bCs/>
          <w:color w:val="000000" w:themeColor="text1"/>
          <w:szCs w:val="40"/>
          <w:lang w:val="en-AU"/>
        </w:rPr>
        <w:t xml:space="preserve">group, </w:t>
      </w:r>
      <w:r w:rsidRPr="00C35D79">
        <w:rPr>
          <w:rFonts w:eastAsiaTheme="majorEastAsia" w:cs="Times New Roman"/>
          <w:bCs/>
          <w:i/>
          <w:iCs/>
          <w:color w:val="000000" w:themeColor="text1"/>
          <w:szCs w:val="40"/>
          <w:lang w:val="en-AU"/>
        </w:rPr>
        <w:t>Bifidobacterium</w:t>
      </w:r>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Subdoligranulum</w:t>
      </w:r>
      <w:proofErr w:type="spellEnd"/>
      <w:r w:rsidRPr="00C35D79">
        <w:rPr>
          <w:rFonts w:eastAsiaTheme="majorEastAsia" w:cs="Times New Roman"/>
          <w:bCs/>
          <w:color w:val="000000" w:themeColor="text1"/>
          <w:szCs w:val="40"/>
          <w:lang w:val="en-AU"/>
        </w:rPr>
        <w:t xml:space="preserve">, </w:t>
      </w:r>
      <w:r w:rsidRPr="00C35D79">
        <w:rPr>
          <w:rFonts w:eastAsiaTheme="majorEastAsia" w:cs="Times New Roman"/>
          <w:bCs/>
          <w:i/>
          <w:iCs/>
          <w:color w:val="000000" w:themeColor="text1"/>
          <w:szCs w:val="40"/>
          <w:lang w:val="en-AU"/>
        </w:rPr>
        <w:t>NK4A214 group</w:t>
      </w:r>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Anaerostipes</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Lachnospiraceae</w:t>
      </w:r>
      <w:proofErr w:type="spellEnd"/>
      <w:r w:rsidRPr="00C35D79">
        <w:rPr>
          <w:rFonts w:eastAsiaTheme="majorEastAsia" w:cs="Times New Roman"/>
          <w:bCs/>
          <w:color w:val="000000" w:themeColor="text1"/>
          <w:szCs w:val="40"/>
          <w:lang w:val="en-AU"/>
        </w:rPr>
        <w:t xml:space="preserve"> NK3A20 group, </w:t>
      </w:r>
      <w:r w:rsidRPr="00C35D79">
        <w:rPr>
          <w:rFonts w:eastAsiaTheme="majorEastAsia" w:cs="Times New Roman"/>
          <w:bCs/>
          <w:i/>
          <w:iCs/>
          <w:color w:val="000000" w:themeColor="text1"/>
          <w:szCs w:val="40"/>
          <w:lang w:val="en-AU"/>
        </w:rPr>
        <w:t>Bacillus</w:t>
      </w:r>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Colidextribacter</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Lachnospiraceae</w:t>
      </w:r>
      <w:proofErr w:type="spellEnd"/>
      <w:r w:rsidRPr="00C35D79">
        <w:rPr>
          <w:rFonts w:eastAsiaTheme="majorEastAsia" w:cs="Times New Roman"/>
          <w:bCs/>
          <w:color w:val="000000" w:themeColor="text1"/>
          <w:szCs w:val="40"/>
          <w:lang w:val="en-AU"/>
        </w:rPr>
        <w:t xml:space="preserve"> NK4A136 group, </w:t>
      </w:r>
      <w:proofErr w:type="spellStart"/>
      <w:r w:rsidRPr="00C35D79">
        <w:rPr>
          <w:rFonts w:eastAsiaTheme="majorEastAsia" w:cs="Times New Roman"/>
          <w:bCs/>
          <w:i/>
          <w:iCs/>
          <w:color w:val="000000" w:themeColor="text1"/>
          <w:szCs w:val="40"/>
          <w:lang w:val="en-AU"/>
        </w:rPr>
        <w:t>Monoglobus</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Lachnospiraceae</w:t>
      </w:r>
      <w:proofErr w:type="spellEnd"/>
      <w:r w:rsidRPr="00C35D79">
        <w:rPr>
          <w:rFonts w:eastAsiaTheme="majorEastAsia" w:cs="Times New Roman"/>
          <w:bCs/>
          <w:color w:val="000000" w:themeColor="text1"/>
          <w:szCs w:val="40"/>
          <w:lang w:val="en-AU"/>
        </w:rPr>
        <w:t xml:space="preserve"> UCG−008, </w:t>
      </w:r>
      <w:proofErr w:type="spellStart"/>
      <w:r w:rsidRPr="00C35D79">
        <w:rPr>
          <w:rFonts w:eastAsiaTheme="majorEastAsia" w:cs="Times New Roman"/>
          <w:bCs/>
          <w:i/>
          <w:iCs/>
          <w:color w:val="000000" w:themeColor="text1"/>
          <w:szCs w:val="40"/>
          <w:lang w:val="en-AU"/>
        </w:rPr>
        <w:t>Veillonella</w:t>
      </w:r>
      <w:proofErr w:type="spellEnd"/>
      <w:r w:rsidRPr="00C35D79">
        <w:rPr>
          <w:rFonts w:eastAsiaTheme="majorEastAsia" w:cs="Times New Roman"/>
          <w:bCs/>
          <w:color w:val="000000" w:themeColor="text1"/>
          <w:szCs w:val="40"/>
          <w:lang w:val="en-AU"/>
        </w:rPr>
        <w:t xml:space="preserve">, </w:t>
      </w:r>
      <w:r w:rsidRPr="00C35D79">
        <w:rPr>
          <w:rFonts w:eastAsiaTheme="majorEastAsia" w:cs="Times New Roman"/>
          <w:bCs/>
          <w:i/>
          <w:iCs/>
          <w:color w:val="000000" w:themeColor="text1"/>
          <w:szCs w:val="40"/>
          <w:lang w:val="en-AU"/>
        </w:rPr>
        <w:t>Dorea</w:t>
      </w:r>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Collinsella</w:t>
      </w:r>
      <w:proofErr w:type="spellEnd"/>
      <w:r w:rsidRPr="00C35D79">
        <w:rPr>
          <w:rFonts w:eastAsiaTheme="majorEastAsia" w:cs="Times New Roman"/>
          <w:bCs/>
          <w:i/>
          <w:i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Oscillibacter</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Christensenellaceae</w:t>
      </w:r>
      <w:proofErr w:type="spellEnd"/>
      <w:r w:rsidRPr="00C35D79">
        <w:rPr>
          <w:rFonts w:eastAsiaTheme="majorEastAsia" w:cs="Times New Roman"/>
          <w:bCs/>
          <w:color w:val="000000" w:themeColor="text1"/>
          <w:szCs w:val="40"/>
          <w:lang w:val="en-AU"/>
        </w:rPr>
        <w:t xml:space="preserve"> R−7 group, </w:t>
      </w:r>
      <w:proofErr w:type="spellStart"/>
      <w:r w:rsidRPr="00C35D79">
        <w:rPr>
          <w:rFonts w:eastAsiaTheme="majorEastAsia" w:cs="Times New Roman"/>
          <w:bCs/>
          <w:i/>
          <w:iCs/>
          <w:color w:val="000000" w:themeColor="text1"/>
          <w:szCs w:val="40"/>
          <w:lang w:val="en-AU"/>
        </w:rPr>
        <w:t>Romboutsia</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Erysipelotrichaceae</w:t>
      </w:r>
      <w:proofErr w:type="spellEnd"/>
      <w:r w:rsidRPr="00C35D79">
        <w:rPr>
          <w:rFonts w:eastAsiaTheme="majorEastAsia" w:cs="Times New Roman"/>
          <w:bCs/>
          <w:color w:val="000000" w:themeColor="text1"/>
          <w:szCs w:val="40"/>
          <w:lang w:val="en-AU"/>
        </w:rPr>
        <w:t xml:space="preserve"> UCG−003, [</w:t>
      </w:r>
      <w:r w:rsidRPr="00C35D79">
        <w:rPr>
          <w:rFonts w:eastAsiaTheme="majorEastAsia" w:cs="Times New Roman"/>
          <w:bCs/>
          <w:i/>
          <w:iCs/>
          <w:color w:val="000000" w:themeColor="text1"/>
          <w:szCs w:val="40"/>
          <w:lang w:val="en-AU"/>
        </w:rPr>
        <w:t>Eubacterium</w:t>
      </w:r>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eligens</w:t>
      </w:r>
      <w:proofErr w:type="spellEnd"/>
      <w:r w:rsidRPr="00C35D79">
        <w:rPr>
          <w:rFonts w:eastAsiaTheme="majorEastAsia" w:cs="Times New Roman"/>
          <w:bCs/>
          <w:i/>
          <w:iCs/>
          <w:color w:val="000000" w:themeColor="text1"/>
          <w:szCs w:val="40"/>
          <w:lang w:val="en-AU"/>
        </w:rPr>
        <w:t xml:space="preserve"> </w:t>
      </w:r>
      <w:r w:rsidRPr="00C35D79">
        <w:rPr>
          <w:rFonts w:eastAsiaTheme="majorEastAsia" w:cs="Times New Roman"/>
          <w:bCs/>
          <w:color w:val="000000" w:themeColor="text1"/>
          <w:szCs w:val="40"/>
          <w:lang w:val="en-AU"/>
        </w:rPr>
        <w:t xml:space="preserve">group, </w:t>
      </w:r>
      <w:proofErr w:type="spellStart"/>
      <w:r w:rsidRPr="00C35D79">
        <w:rPr>
          <w:rFonts w:eastAsiaTheme="majorEastAsia" w:cs="Times New Roman"/>
          <w:bCs/>
          <w:i/>
          <w:iCs/>
          <w:color w:val="000000" w:themeColor="text1"/>
          <w:szCs w:val="40"/>
          <w:lang w:val="en-AU"/>
        </w:rPr>
        <w:t>Dialister</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Lachnoclostridium</w:t>
      </w:r>
      <w:proofErr w:type="spellEnd"/>
      <w:r w:rsidRPr="00C35D79">
        <w:rPr>
          <w:rFonts w:eastAsiaTheme="majorEastAsia" w:cs="Times New Roman"/>
          <w:bCs/>
          <w:color w:val="000000" w:themeColor="text1"/>
          <w:szCs w:val="40"/>
          <w:lang w:val="en-AU"/>
        </w:rPr>
        <w:t>, [</w:t>
      </w:r>
      <w:proofErr w:type="spellStart"/>
      <w:r w:rsidRPr="00C35D79">
        <w:rPr>
          <w:rFonts w:eastAsiaTheme="majorEastAsia" w:cs="Times New Roman"/>
          <w:bCs/>
          <w:i/>
          <w:iCs/>
          <w:color w:val="000000" w:themeColor="text1"/>
          <w:szCs w:val="40"/>
          <w:lang w:val="en-AU"/>
        </w:rPr>
        <w:t>Ruminococcus</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gnavus</w:t>
      </w:r>
      <w:proofErr w:type="spellEnd"/>
      <w:r w:rsidRPr="00C35D79">
        <w:rPr>
          <w:rFonts w:eastAsiaTheme="majorEastAsia" w:cs="Times New Roman"/>
          <w:bCs/>
          <w:i/>
          <w:iCs/>
          <w:color w:val="000000" w:themeColor="text1"/>
          <w:szCs w:val="40"/>
          <w:lang w:val="en-AU"/>
        </w:rPr>
        <w:t xml:space="preserve"> </w:t>
      </w:r>
      <w:r w:rsidRPr="00C35D79">
        <w:rPr>
          <w:rFonts w:eastAsiaTheme="majorEastAsia" w:cs="Times New Roman"/>
          <w:bCs/>
          <w:color w:val="000000" w:themeColor="text1"/>
          <w:szCs w:val="40"/>
          <w:lang w:val="en-AU"/>
        </w:rPr>
        <w:t>group</w:t>
      </w:r>
      <w:r w:rsidRPr="00C35D79">
        <w:rPr>
          <w:rFonts w:eastAsiaTheme="majorEastAsia" w:cs="Times New Roman"/>
          <w:bCs/>
          <w:i/>
          <w:iCs/>
          <w:color w:val="000000" w:themeColor="text1"/>
          <w:szCs w:val="40"/>
          <w:lang w:val="en-AU"/>
        </w:rPr>
        <w:t xml:space="preserve"> </w:t>
      </w:r>
      <w:r w:rsidRPr="00C35D79">
        <w:rPr>
          <w:rFonts w:eastAsiaTheme="majorEastAsia" w:cs="Times New Roman"/>
          <w:bCs/>
          <w:color w:val="000000" w:themeColor="text1"/>
          <w:szCs w:val="40"/>
          <w:lang w:val="en-AU"/>
        </w:rPr>
        <w:t xml:space="preserve">(p ≤ 0.09). Conversely, both groups showed significant increases in </w:t>
      </w:r>
      <w:r w:rsidRPr="00C35D79">
        <w:rPr>
          <w:rFonts w:eastAsiaTheme="majorEastAsia" w:cs="Times New Roman"/>
          <w:bCs/>
          <w:i/>
          <w:iCs/>
          <w:color w:val="000000" w:themeColor="text1"/>
          <w:szCs w:val="40"/>
          <w:lang w:val="en-AU"/>
        </w:rPr>
        <w:t>Bacillus</w:t>
      </w:r>
      <w:r w:rsidRPr="00C35D79">
        <w:rPr>
          <w:rFonts w:eastAsiaTheme="majorEastAsia" w:cs="Times New Roman"/>
          <w:bCs/>
          <w:color w:val="000000" w:themeColor="text1"/>
          <w:szCs w:val="40"/>
          <w:lang w:val="en-AU"/>
        </w:rPr>
        <w:t xml:space="preserve">, </w:t>
      </w:r>
      <w:r w:rsidRPr="00C35D79">
        <w:rPr>
          <w:rFonts w:eastAsiaTheme="majorEastAsia" w:cs="Times New Roman"/>
          <w:bCs/>
          <w:i/>
          <w:iCs/>
          <w:color w:val="000000" w:themeColor="text1"/>
          <w:szCs w:val="40"/>
          <w:lang w:val="en-AU"/>
        </w:rPr>
        <w:t>Enterococcus</w:t>
      </w:r>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Granulicatella</w:t>
      </w:r>
      <w:proofErr w:type="spellEnd"/>
      <w:r w:rsidRPr="00C35D79">
        <w:rPr>
          <w:rFonts w:eastAsiaTheme="majorEastAsia" w:cs="Times New Roman"/>
          <w:bCs/>
          <w:color w:val="000000" w:themeColor="text1"/>
          <w:szCs w:val="40"/>
          <w:lang w:val="en-AU"/>
        </w:rPr>
        <w:t xml:space="preserve">, </w:t>
      </w:r>
      <w:r w:rsidRPr="00C35D79">
        <w:rPr>
          <w:rFonts w:eastAsiaTheme="majorEastAsia" w:cs="Times New Roman"/>
          <w:bCs/>
          <w:i/>
          <w:iCs/>
          <w:color w:val="000000" w:themeColor="text1"/>
          <w:szCs w:val="40"/>
          <w:lang w:val="en-AU"/>
        </w:rPr>
        <w:t>Staphylococcus</w:t>
      </w:r>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Lacticaseibacillus</w:t>
      </w:r>
      <w:proofErr w:type="spellEnd"/>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Levilactobacillus</w:t>
      </w:r>
      <w:proofErr w:type="spellEnd"/>
      <w:r w:rsidRPr="00C35D79">
        <w:rPr>
          <w:rFonts w:eastAsiaTheme="majorEastAsia" w:cs="Times New Roman"/>
          <w:bCs/>
          <w:color w:val="000000" w:themeColor="text1"/>
          <w:szCs w:val="40"/>
          <w:lang w:val="en-AU"/>
        </w:rPr>
        <w:t>, [</w:t>
      </w:r>
      <w:r w:rsidRPr="00C35D79">
        <w:rPr>
          <w:rFonts w:eastAsiaTheme="majorEastAsia" w:cs="Times New Roman"/>
          <w:bCs/>
          <w:i/>
          <w:iCs/>
          <w:color w:val="000000" w:themeColor="text1"/>
          <w:szCs w:val="40"/>
          <w:lang w:val="en-AU"/>
        </w:rPr>
        <w:t>Clostridium</w:t>
      </w:r>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innocuum</w:t>
      </w:r>
      <w:proofErr w:type="spellEnd"/>
      <w:r w:rsidRPr="00C35D79">
        <w:rPr>
          <w:rFonts w:eastAsiaTheme="majorEastAsia" w:cs="Times New Roman"/>
          <w:bCs/>
          <w:color w:val="000000" w:themeColor="text1"/>
          <w:szCs w:val="40"/>
          <w:lang w:val="en-AU"/>
        </w:rPr>
        <w:t xml:space="preserve"> group, </w:t>
      </w:r>
      <w:r w:rsidRPr="00C35D79">
        <w:rPr>
          <w:rFonts w:eastAsiaTheme="majorEastAsia" w:cs="Times New Roman"/>
          <w:bCs/>
          <w:i/>
          <w:iCs/>
          <w:color w:val="000000" w:themeColor="text1"/>
          <w:szCs w:val="40"/>
          <w:lang w:val="en-AU"/>
        </w:rPr>
        <w:t>Lactobacillus</w:t>
      </w:r>
      <w:r w:rsidRPr="00C35D79">
        <w:rPr>
          <w:rFonts w:eastAsiaTheme="majorEastAsia" w:cs="Times New Roman"/>
          <w:bCs/>
          <w:color w:val="000000" w:themeColor="text1"/>
          <w:szCs w:val="40"/>
          <w:lang w:val="en-AU"/>
        </w:rPr>
        <w:t xml:space="preserve">, </w:t>
      </w:r>
      <w:r w:rsidRPr="00C35D79">
        <w:rPr>
          <w:rFonts w:eastAsiaTheme="majorEastAsia" w:cs="Times New Roman"/>
          <w:bCs/>
          <w:i/>
          <w:iCs/>
          <w:color w:val="000000" w:themeColor="text1"/>
          <w:szCs w:val="40"/>
          <w:lang w:val="en-AU"/>
        </w:rPr>
        <w:t>Lactococcus</w:t>
      </w:r>
      <w:r w:rsidRPr="00C35D79">
        <w:rPr>
          <w:rFonts w:eastAsiaTheme="majorEastAsia" w:cs="Times New Roman"/>
          <w:bCs/>
          <w:color w:val="000000" w:themeColor="text1"/>
          <w:szCs w:val="40"/>
          <w:lang w:val="en-AU"/>
        </w:rPr>
        <w:t xml:space="preserve">, and </w:t>
      </w:r>
      <w:proofErr w:type="spellStart"/>
      <w:r w:rsidRPr="00C35D79">
        <w:rPr>
          <w:rFonts w:eastAsiaTheme="majorEastAsia" w:cs="Times New Roman"/>
          <w:bCs/>
          <w:i/>
          <w:iCs/>
          <w:color w:val="000000" w:themeColor="text1"/>
          <w:szCs w:val="40"/>
          <w:lang w:val="en-AU"/>
        </w:rPr>
        <w:t>Limosilactobacillus</w:t>
      </w:r>
      <w:proofErr w:type="spellEnd"/>
      <w:r w:rsidRPr="00C35D79">
        <w:rPr>
          <w:rFonts w:eastAsiaTheme="majorEastAsia" w:cs="Times New Roman"/>
          <w:bCs/>
          <w:color w:val="000000" w:themeColor="text1"/>
          <w:szCs w:val="40"/>
          <w:lang w:val="en-AU"/>
        </w:rPr>
        <w:t xml:space="preserve"> post-HSCT (p ≤ 0.09). At neutrophil engraftment, older patients exhibited further increases in </w:t>
      </w:r>
      <w:r w:rsidRPr="00C35D79">
        <w:rPr>
          <w:rFonts w:eastAsiaTheme="majorEastAsia" w:cs="Times New Roman"/>
          <w:bCs/>
          <w:i/>
          <w:iCs/>
          <w:color w:val="000000" w:themeColor="text1"/>
          <w:szCs w:val="40"/>
          <w:lang w:val="en-AU"/>
        </w:rPr>
        <w:t>Ruminococcus</w:t>
      </w:r>
      <w:r w:rsidRPr="00C35D79">
        <w:rPr>
          <w:rFonts w:eastAsiaTheme="majorEastAsia" w:cs="Times New Roman"/>
          <w:bCs/>
          <w:color w:val="000000" w:themeColor="text1"/>
          <w:szCs w:val="40"/>
          <w:lang w:val="en-AU"/>
        </w:rPr>
        <w:t xml:space="preserve">, </w:t>
      </w:r>
      <w:r w:rsidRPr="00C35D79">
        <w:rPr>
          <w:rFonts w:eastAsiaTheme="majorEastAsia" w:cs="Times New Roman"/>
          <w:bCs/>
          <w:i/>
          <w:iCs/>
          <w:color w:val="000000" w:themeColor="text1"/>
          <w:szCs w:val="40"/>
          <w:lang w:val="en-AU"/>
        </w:rPr>
        <w:t>Clostridium</w:t>
      </w:r>
      <w:r w:rsidRPr="00C35D79">
        <w:rPr>
          <w:rFonts w:eastAsiaTheme="majorEastAsia" w:cs="Times New Roman"/>
          <w:bCs/>
          <w:color w:val="000000" w:themeColor="text1"/>
          <w:szCs w:val="40"/>
          <w:lang w:val="en-AU"/>
        </w:rPr>
        <w:t xml:space="preserve"> sensu stricto 1, </w:t>
      </w:r>
      <w:proofErr w:type="spellStart"/>
      <w:r w:rsidRPr="00C35D79">
        <w:rPr>
          <w:rFonts w:eastAsiaTheme="majorEastAsia" w:cs="Times New Roman"/>
          <w:bCs/>
          <w:i/>
          <w:iCs/>
          <w:color w:val="000000" w:themeColor="text1"/>
          <w:szCs w:val="40"/>
          <w:lang w:val="en-AU"/>
        </w:rPr>
        <w:t>Flavonifractor</w:t>
      </w:r>
      <w:proofErr w:type="spellEnd"/>
      <w:r w:rsidRPr="00C35D79">
        <w:rPr>
          <w:rFonts w:eastAsiaTheme="majorEastAsia" w:cs="Times New Roman"/>
          <w:bCs/>
          <w:color w:val="000000" w:themeColor="text1"/>
          <w:szCs w:val="40"/>
          <w:lang w:val="en-AU"/>
        </w:rPr>
        <w:t xml:space="preserve">, </w:t>
      </w:r>
      <w:r w:rsidRPr="00C35D79">
        <w:rPr>
          <w:rFonts w:eastAsiaTheme="majorEastAsia" w:cs="Times New Roman"/>
          <w:bCs/>
          <w:i/>
          <w:iCs/>
          <w:color w:val="000000" w:themeColor="text1"/>
          <w:szCs w:val="40"/>
          <w:lang w:val="en-AU"/>
        </w:rPr>
        <w:t>Enterobacter</w:t>
      </w:r>
      <w:r w:rsidRPr="00C35D79">
        <w:rPr>
          <w:rFonts w:eastAsiaTheme="majorEastAsia" w:cs="Times New Roman"/>
          <w:bCs/>
          <w:color w:val="000000" w:themeColor="text1"/>
          <w:szCs w:val="40"/>
          <w:lang w:val="en-AU"/>
        </w:rPr>
        <w:t xml:space="preserve">, </w:t>
      </w:r>
      <w:r w:rsidRPr="00C35D79">
        <w:rPr>
          <w:rFonts w:eastAsiaTheme="majorEastAsia" w:cs="Times New Roman"/>
          <w:bCs/>
          <w:i/>
          <w:iCs/>
          <w:color w:val="000000" w:themeColor="text1"/>
          <w:szCs w:val="40"/>
          <w:lang w:val="en-AU"/>
        </w:rPr>
        <w:t>Klebsiella</w:t>
      </w:r>
      <w:r w:rsidRPr="00C35D79">
        <w:rPr>
          <w:rFonts w:eastAsiaTheme="majorEastAsia" w:cs="Times New Roman"/>
          <w:bCs/>
          <w:color w:val="000000" w:themeColor="text1"/>
          <w:szCs w:val="40"/>
          <w:lang w:val="en-AU"/>
        </w:rPr>
        <w:t xml:space="preserve">, </w:t>
      </w:r>
      <w:r w:rsidRPr="00C35D79">
        <w:rPr>
          <w:rFonts w:eastAsiaTheme="majorEastAsia" w:cs="Times New Roman"/>
          <w:bCs/>
          <w:i/>
          <w:iCs/>
          <w:color w:val="000000" w:themeColor="text1"/>
          <w:szCs w:val="40"/>
          <w:lang w:val="en-AU"/>
        </w:rPr>
        <w:t>Salmonella</w:t>
      </w:r>
      <w:r w:rsidRPr="00C35D79">
        <w:rPr>
          <w:rFonts w:eastAsiaTheme="majorEastAsia" w:cs="Times New Roman"/>
          <w:bCs/>
          <w:color w:val="000000" w:themeColor="text1"/>
          <w:szCs w:val="40"/>
          <w:lang w:val="en-AU"/>
        </w:rPr>
        <w:t xml:space="preserve">, </w:t>
      </w:r>
      <w:proofErr w:type="spellStart"/>
      <w:r w:rsidRPr="00C35D79">
        <w:rPr>
          <w:rFonts w:eastAsiaTheme="majorEastAsia" w:cs="Times New Roman"/>
          <w:bCs/>
          <w:i/>
          <w:iCs/>
          <w:color w:val="000000" w:themeColor="text1"/>
          <w:szCs w:val="40"/>
          <w:lang w:val="en-AU"/>
        </w:rPr>
        <w:t>Weissella</w:t>
      </w:r>
      <w:proofErr w:type="spellEnd"/>
      <w:r w:rsidRPr="00C35D79">
        <w:rPr>
          <w:rFonts w:eastAsiaTheme="majorEastAsia" w:cs="Times New Roman"/>
          <w:bCs/>
          <w:color w:val="000000" w:themeColor="text1"/>
          <w:szCs w:val="40"/>
          <w:lang w:val="en-AU"/>
        </w:rPr>
        <w:t xml:space="preserve">, </w:t>
      </w:r>
      <w:r w:rsidRPr="00C35D79">
        <w:rPr>
          <w:rFonts w:eastAsiaTheme="majorEastAsia" w:cs="Times New Roman"/>
          <w:bCs/>
          <w:i/>
          <w:iCs/>
          <w:color w:val="000000" w:themeColor="text1"/>
          <w:szCs w:val="40"/>
          <w:lang w:val="en-AU"/>
        </w:rPr>
        <w:t>Citrobacter</w:t>
      </w:r>
      <w:r w:rsidRPr="00C35D79">
        <w:rPr>
          <w:rFonts w:eastAsiaTheme="majorEastAsia" w:cs="Times New Roman"/>
          <w:bCs/>
          <w:color w:val="000000" w:themeColor="text1"/>
          <w:szCs w:val="40"/>
          <w:lang w:val="en-AU"/>
        </w:rPr>
        <w:t xml:space="preserve">, and </w:t>
      </w:r>
      <w:r w:rsidRPr="00C35D79">
        <w:rPr>
          <w:rFonts w:eastAsiaTheme="majorEastAsia" w:cs="Times New Roman"/>
          <w:bCs/>
          <w:i/>
          <w:iCs/>
          <w:color w:val="000000" w:themeColor="text1"/>
          <w:szCs w:val="40"/>
          <w:lang w:val="en-AU"/>
        </w:rPr>
        <w:t>Bacteroides</w:t>
      </w:r>
      <w:r w:rsidRPr="00C35D79">
        <w:rPr>
          <w:rFonts w:eastAsiaTheme="majorEastAsia" w:cs="Times New Roman"/>
          <w:bCs/>
          <w:color w:val="000000" w:themeColor="text1"/>
          <w:szCs w:val="40"/>
          <w:lang w:val="en-AU"/>
        </w:rPr>
        <w:t xml:space="preserve">. In contrast, younger patients showed an increase in </w:t>
      </w:r>
      <w:r w:rsidRPr="00C35D79">
        <w:rPr>
          <w:rFonts w:eastAsiaTheme="majorEastAsia" w:cs="Times New Roman"/>
          <w:bCs/>
          <w:i/>
          <w:iCs/>
          <w:color w:val="000000" w:themeColor="text1"/>
          <w:szCs w:val="40"/>
          <w:lang w:val="en-AU"/>
        </w:rPr>
        <w:t>Merdibacter</w:t>
      </w:r>
      <w:r w:rsidRPr="00C35D79">
        <w:rPr>
          <w:rFonts w:eastAsiaTheme="majorEastAsia" w:cs="Times New Roman"/>
          <w:bCs/>
          <w:color w:val="000000" w:themeColor="text1"/>
          <w:szCs w:val="40"/>
          <w:lang w:val="en-AU"/>
        </w:rPr>
        <w:t xml:space="preserve"> (p ≤ 0.03). Additionally, this group also experienced an increase in </w:t>
      </w:r>
      <w:proofErr w:type="spellStart"/>
      <w:r w:rsidRPr="00C35D79">
        <w:rPr>
          <w:rFonts w:eastAsiaTheme="majorEastAsia" w:cs="Times New Roman"/>
          <w:bCs/>
          <w:i/>
          <w:iCs/>
          <w:color w:val="000000" w:themeColor="text1"/>
          <w:szCs w:val="40"/>
          <w:lang w:val="en-AU"/>
        </w:rPr>
        <w:t>Streptococccus</w:t>
      </w:r>
      <w:proofErr w:type="spellEnd"/>
      <w:r w:rsidRPr="00C35D79">
        <w:rPr>
          <w:rFonts w:eastAsiaTheme="majorEastAsia" w:cs="Times New Roman"/>
          <w:bCs/>
          <w:color w:val="000000" w:themeColor="text1"/>
          <w:szCs w:val="40"/>
          <w:lang w:val="en-AU"/>
        </w:rPr>
        <w:t xml:space="preserve"> and a decrease in </w:t>
      </w:r>
      <w:r w:rsidRPr="00C35D79">
        <w:rPr>
          <w:rFonts w:eastAsiaTheme="majorEastAsia" w:cs="Times New Roman"/>
          <w:bCs/>
          <w:i/>
          <w:iCs/>
          <w:color w:val="000000" w:themeColor="text1"/>
          <w:szCs w:val="40"/>
          <w:lang w:val="en-AU"/>
        </w:rPr>
        <w:t>Erysipelatoclostridium</w:t>
      </w:r>
      <w:r w:rsidRPr="00C35D79">
        <w:rPr>
          <w:rFonts w:eastAsiaTheme="majorEastAsia" w:cs="Times New Roman"/>
          <w:bCs/>
          <w:color w:val="000000" w:themeColor="text1"/>
          <w:szCs w:val="40"/>
          <w:lang w:val="en-AU"/>
        </w:rPr>
        <w:t xml:space="preserve"> (p </w:t>
      </w:r>
      <w:r w:rsidRPr="00C35D79">
        <w:rPr>
          <w:rFonts w:eastAsiaTheme="majorEastAsia" w:cs="Times New Roman"/>
          <w:b/>
          <w:bCs/>
          <w:color w:val="000000" w:themeColor="text1"/>
          <w:szCs w:val="40"/>
          <w:lang w:val="en-AU"/>
        </w:rPr>
        <w:t>&lt;</w:t>
      </w:r>
      <w:r w:rsidRPr="00C35D79">
        <w:rPr>
          <w:rFonts w:eastAsiaTheme="majorEastAsia" w:cs="Times New Roman"/>
          <w:bCs/>
          <w:color w:val="000000" w:themeColor="text1"/>
          <w:szCs w:val="40"/>
          <w:lang w:val="en-AU"/>
        </w:rPr>
        <w:t xml:space="preserve"> 0.05) (</w:t>
      </w:r>
      <w:r w:rsidRPr="00C35D79">
        <w:rPr>
          <w:rFonts w:eastAsiaTheme="majorEastAsia" w:cs="Times New Roman"/>
          <w:b/>
          <w:bCs/>
          <w:color w:val="000000" w:themeColor="text1"/>
          <w:szCs w:val="40"/>
          <w:lang w:val="en-AU"/>
        </w:rPr>
        <w:t>Supplementary Figure 3</w:t>
      </w:r>
      <w:r w:rsidRPr="00C35D79">
        <w:rPr>
          <w:rFonts w:eastAsiaTheme="majorEastAsia" w:cs="Times New Roman"/>
          <w:bCs/>
          <w:color w:val="000000" w:themeColor="text1"/>
          <w:szCs w:val="40"/>
          <w:lang w:val="en-AU"/>
        </w:rPr>
        <w:t>).</w:t>
      </w:r>
      <w:r w:rsidR="005B23B8" w:rsidRPr="00C35D79">
        <w:rPr>
          <w:rFonts w:cs="Times New Roman"/>
          <w:lang w:val="en-AU"/>
        </w:rPr>
        <w:br w:type="page"/>
      </w:r>
    </w:p>
    <w:p w14:paraId="525F2C79" w14:textId="1773FB70" w:rsidR="0089366B" w:rsidRPr="00C35D79" w:rsidRDefault="0089366B" w:rsidP="0089366B">
      <w:pPr>
        <w:pStyle w:val="Titolo1"/>
        <w:rPr>
          <w:lang w:val="en-AU"/>
        </w:rPr>
      </w:pPr>
      <w:bookmarkStart w:id="1" w:name="_Toc202199952"/>
      <w:r w:rsidRPr="00C35D79">
        <w:rPr>
          <w:lang w:val="en-AU"/>
        </w:rPr>
        <w:lastRenderedPageBreak/>
        <w:t>Supplementary Text</w:t>
      </w:r>
      <w:r>
        <w:rPr>
          <w:lang w:val="en-AU"/>
        </w:rPr>
        <w:t xml:space="preserve"> 2</w:t>
      </w:r>
      <w:r w:rsidRPr="00C35D79">
        <w:rPr>
          <w:lang w:val="en-AU"/>
        </w:rPr>
        <w:t>: Impact of antibiotic prophylaxis on post-transplant diversity and GM composition</w:t>
      </w:r>
      <w:bookmarkEnd w:id="1"/>
    </w:p>
    <w:p w14:paraId="283A09C8" w14:textId="77777777" w:rsidR="0089366B" w:rsidRPr="00C35D79" w:rsidRDefault="0089366B" w:rsidP="0089366B">
      <w:pPr>
        <w:rPr>
          <w:rStyle w:val="Titolo1Carattere"/>
          <w:rFonts w:cs="Times New Roman"/>
          <w:b w:val="0"/>
          <w:lang w:val="en-AU"/>
        </w:rPr>
      </w:pPr>
    </w:p>
    <w:p w14:paraId="5595FFBE" w14:textId="77777777" w:rsidR="0089366B" w:rsidRPr="00187421" w:rsidRDefault="0089366B" w:rsidP="0089366B">
      <w:pPr>
        <w:rPr>
          <w:rStyle w:val="Titolo1Carattere"/>
          <w:rFonts w:cs="Times New Roman"/>
          <w:b w:val="0"/>
          <w:lang w:val="en-AU"/>
        </w:rPr>
      </w:pPr>
      <w:bookmarkStart w:id="2" w:name="_Toc202199953"/>
      <w:r w:rsidRPr="00C35D79">
        <w:rPr>
          <w:rStyle w:val="Titolo1Carattere"/>
          <w:rFonts w:cs="Times New Roman"/>
          <w:b w:val="0"/>
          <w:lang w:val="en-AU"/>
        </w:rPr>
        <w:t>To investigate the impact of antibiotic prophylaxis on GM diversity and composition, we classified the samples based on age (≥15</w:t>
      </w:r>
      <w:bookmarkEnd w:id="2"/>
      <w:r w:rsidRPr="00C35D79">
        <w:rPr>
          <w:rStyle w:val="Titolo1Carattere"/>
          <w:rFonts w:cs="Times New Roman"/>
          <w:b w:val="0"/>
          <w:lang w:val="en-AU"/>
        </w:rPr>
        <w:t xml:space="preserve"> </w:t>
      </w:r>
      <w:r w:rsidRPr="0089366B">
        <w:rPr>
          <w:lang w:val="en-AU"/>
        </w:rPr>
        <w:t xml:space="preserve">years or &lt;15 years), timepoint (pre- and post-HSCT), and the administration of antibiotic prophylaxis. </w:t>
      </w:r>
      <w:r w:rsidRPr="00690B20">
        <w:rPr>
          <w:lang w:val="en-US"/>
        </w:rPr>
        <w:t>Alpha diversity was assessed as previously described, using both Shannon diversity and Faith’s phylogenetic diversity indices (Supplementary Figure 4A). The analysis revealed that patients aged ≥15</w:t>
      </w:r>
      <w:r w:rsidRPr="00C35D79">
        <w:rPr>
          <w:rStyle w:val="Titolo1Carattere"/>
          <w:rFonts w:cs="Times New Roman"/>
          <w:b w:val="0"/>
          <w:lang w:val="en-AU"/>
        </w:rPr>
        <w:t xml:space="preserve"> years who received antibiotic prophylaxis exhibited significantly higher levels of GM diversity before HSCT compared to their corresponding samples collected at neutrophil engraftment and to pre-HSCT samples from children under 15 years who also received antibiotics (Wilcoxon test, p &lt; 0.03). Additionally, younger patients who did not receive antibiotic prophylaxis experienced a reduction in alpha diversity following HSCT (p ≤ 0.005). According to the Shannon diversity index, pediatric patients who received antibiotics exhibited lower GM diversity after HSCT compared to those who did not receive antibiotics (p ≤ 0.05). Since we previously demonstrated that GM composition varies according to both timepoint and age, we employed a comprehensive multivariable model to specifically assess the impact of antibiotic prophylaxis on GM composition. To this end, we integrated antibiotic prophylaxis as an additional fixed effect and applied MaAsLin2 to simultaneously evaluate the effects of age, timepoint, and antibiotic prophylaxis on GM composition at the genus level. This analysis identified significant associations between antibiotic prophylaxis and the relative abundances of several genera, including </w:t>
      </w:r>
      <w:proofErr w:type="spellStart"/>
      <w:r w:rsidRPr="00690B20">
        <w:rPr>
          <w:rStyle w:val="Titolo1Carattere"/>
          <w:rFonts w:cs="Times New Roman"/>
          <w:b w:val="0"/>
          <w:i/>
          <w:iCs/>
          <w:lang w:val="en-AU"/>
        </w:rPr>
        <w:t>Faecalitalea</w:t>
      </w:r>
      <w:proofErr w:type="spellEnd"/>
      <w:r w:rsidRPr="00C35D79">
        <w:rPr>
          <w:rStyle w:val="Titolo1Carattere"/>
          <w:rFonts w:cs="Times New Roman"/>
          <w:b w:val="0"/>
          <w:lang w:val="en-AU"/>
        </w:rPr>
        <w:t xml:space="preserve">, </w:t>
      </w:r>
      <w:proofErr w:type="spellStart"/>
      <w:r w:rsidRPr="00690B20">
        <w:rPr>
          <w:rStyle w:val="Titolo1Carattere"/>
          <w:rFonts w:cs="Times New Roman"/>
          <w:b w:val="0"/>
          <w:i/>
          <w:iCs/>
          <w:lang w:val="en-AU"/>
        </w:rPr>
        <w:t>Lachnospiraceae</w:t>
      </w:r>
      <w:proofErr w:type="spellEnd"/>
      <w:r w:rsidRPr="00C35D79">
        <w:rPr>
          <w:rStyle w:val="Titolo1Carattere"/>
          <w:rFonts w:cs="Times New Roman"/>
          <w:b w:val="0"/>
          <w:lang w:val="en-AU"/>
        </w:rPr>
        <w:t xml:space="preserve"> UCG-008, </w:t>
      </w:r>
      <w:r w:rsidRPr="00690B20">
        <w:rPr>
          <w:rStyle w:val="Titolo1Carattere"/>
          <w:rFonts w:cs="Times New Roman"/>
          <w:b w:val="0"/>
          <w:i/>
          <w:iCs/>
          <w:lang w:val="en-AU"/>
        </w:rPr>
        <w:t>Enterococcus</w:t>
      </w:r>
      <w:r w:rsidRPr="00C35D79">
        <w:rPr>
          <w:rStyle w:val="Titolo1Carattere"/>
          <w:rFonts w:cs="Times New Roman"/>
          <w:b w:val="0"/>
          <w:lang w:val="en-AU"/>
        </w:rPr>
        <w:t xml:space="preserve">, </w:t>
      </w:r>
      <w:proofErr w:type="spellStart"/>
      <w:r w:rsidRPr="00690B20">
        <w:rPr>
          <w:rStyle w:val="Titolo1Carattere"/>
          <w:rFonts w:cs="Times New Roman"/>
          <w:b w:val="0"/>
          <w:i/>
          <w:iCs/>
          <w:lang w:val="en-AU"/>
        </w:rPr>
        <w:t>Peptoclostridium</w:t>
      </w:r>
      <w:proofErr w:type="spellEnd"/>
      <w:r w:rsidRPr="00C35D79">
        <w:rPr>
          <w:rStyle w:val="Titolo1Carattere"/>
          <w:rFonts w:cs="Times New Roman"/>
          <w:b w:val="0"/>
          <w:lang w:val="en-AU"/>
        </w:rPr>
        <w:t xml:space="preserve">, </w:t>
      </w:r>
      <w:proofErr w:type="spellStart"/>
      <w:r w:rsidRPr="00690B20">
        <w:rPr>
          <w:rStyle w:val="Titolo1Carattere"/>
          <w:rFonts w:cs="Times New Roman"/>
          <w:b w:val="0"/>
          <w:i/>
          <w:iCs/>
          <w:lang w:val="en-AU"/>
        </w:rPr>
        <w:t>Terrisporobacter</w:t>
      </w:r>
      <w:proofErr w:type="spellEnd"/>
      <w:r w:rsidRPr="00C35D79">
        <w:rPr>
          <w:rStyle w:val="Titolo1Carattere"/>
          <w:rFonts w:cs="Times New Roman"/>
          <w:b w:val="0"/>
          <w:lang w:val="en-AU"/>
        </w:rPr>
        <w:t xml:space="preserve">, </w:t>
      </w:r>
      <w:proofErr w:type="spellStart"/>
      <w:r w:rsidRPr="00690B20">
        <w:rPr>
          <w:rStyle w:val="Titolo1Carattere"/>
          <w:rFonts w:cs="Times New Roman"/>
          <w:b w:val="0"/>
          <w:i/>
          <w:iCs/>
          <w:lang w:val="en-AU"/>
        </w:rPr>
        <w:t>Holdemanella</w:t>
      </w:r>
      <w:proofErr w:type="spellEnd"/>
      <w:r w:rsidRPr="00C35D79">
        <w:rPr>
          <w:rStyle w:val="Titolo1Carattere"/>
          <w:rFonts w:cs="Times New Roman"/>
          <w:b w:val="0"/>
          <w:lang w:val="en-AU"/>
        </w:rPr>
        <w:t xml:space="preserve">, </w:t>
      </w:r>
      <w:proofErr w:type="spellStart"/>
      <w:r w:rsidRPr="00690B20">
        <w:rPr>
          <w:rStyle w:val="Titolo1Carattere"/>
          <w:rFonts w:cs="Times New Roman"/>
          <w:b w:val="0"/>
          <w:i/>
          <w:iCs/>
          <w:lang w:val="en-AU"/>
        </w:rPr>
        <w:t>Intestinibacter</w:t>
      </w:r>
      <w:proofErr w:type="spellEnd"/>
      <w:r w:rsidRPr="00C35D79">
        <w:rPr>
          <w:rStyle w:val="Titolo1Carattere"/>
          <w:rFonts w:cs="Times New Roman"/>
          <w:b w:val="0"/>
          <w:lang w:val="en-AU"/>
        </w:rPr>
        <w:t xml:space="preserve">, </w:t>
      </w:r>
      <w:r w:rsidRPr="00690B20">
        <w:rPr>
          <w:rStyle w:val="Titolo1Carattere"/>
          <w:rFonts w:cs="Times New Roman"/>
          <w:b w:val="0"/>
          <w:i/>
          <w:iCs/>
          <w:lang w:val="en-AU"/>
        </w:rPr>
        <w:t>Bacillus</w:t>
      </w:r>
      <w:r w:rsidRPr="00C35D79">
        <w:rPr>
          <w:rStyle w:val="Titolo1Carattere"/>
          <w:rFonts w:cs="Times New Roman"/>
          <w:b w:val="0"/>
          <w:lang w:val="en-AU"/>
        </w:rPr>
        <w:t xml:space="preserve">, and </w:t>
      </w:r>
      <w:proofErr w:type="spellStart"/>
      <w:r w:rsidRPr="00690B20">
        <w:rPr>
          <w:rStyle w:val="Titolo1Carattere"/>
          <w:rFonts w:cs="Times New Roman"/>
          <w:b w:val="0"/>
          <w:i/>
          <w:iCs/>
          <w:lang w:val="en-AU"/>
        </w:rPr>
        <w:t>Sellimonas</w:t>
      </w:r>
      <w:proofErr w:type="spellEnd"/>
      <w:r w:rsidRPr="00C35D79">
        <w:rPr>
          <w:rStyle w:val="Titolo1Carattere"/>
          <w:rFonts w:cs="Times New Roman"/>
          <w:b w:val="0"/>
          <w:lang w:val="en-AU"/>
        </w:rPr>
        <w:t xml:space="preserve"> (p ≤ 0.05). Further pairwise comparisons using Wilcoxon tests within the same categories used for alpha diversity revealed distinct trends (Supplementary Figure 4B). </w:t>
      </w:r>
      <w:proofErr w:type="spellStart"/>
      <w:r w:rsidRPr="00690B20">
        <w:rPr>
          <w:rStyle w:val="Titolo1Carattere"/>
          <w:rFonts w:cs="Times New Roman"/>
          <w:b w:val="0"/>
          <w:i/>
          <w:iCs/>
          <w:lang w:val="en-AU"/>
        </w:rPr>
        <w:t>Faecalitalea</w:t>
      </w:r>
      <w:proofErr w:type="spellEnd"/>
      <w:r w:rsidRPr="00C35D79">
        <w:rPr>
          <w:rStyle w:val="Titolo1Carattere"/>
          <w:rFonts w:cs="Times New Roman"/>
          <w:b w:val="0"/>
          <w:lang w:val="en-AU"/>
        </w:rPr>
        <w:t xml:space="preserve"> showed an increasing trend in younger patients who did not receive antibiotics after HSCT (Wilcoxon test, p = 0.08). </w:t>
      </w:r>
      <w:proofErr w:type="spellStart"/>
      <w:r w:rsidRPr="00690B20">
        <w:rPr>
          <w:rStyle w:val="Titolo1Carattere"/>
          <w:rFonts w:cs="Times New Roman"/>
          <w:b w:val="0"/>
          <w:i/>
          <w:iCs/>
          <w:lang w:val="en-AU"/>
        </w:rPr>
        <w:t>Lachnospiraceae</w:t>
      </w:r>
      <w:proofErr w:type="spellEnd"/>
      <w:r w:rsidRPr="00C35D79">
        <w:rPr>
          <w:rStyle w:val="Titolo1Carattere"/>
          <w:rFonts w:cs="Times New Roman"/>
          <w:b w:val="0"/>
          <w:lang w:val="en-AU"/>
        </w:rPr>
        <w:t xml:space="preserve"> UCG-008 significantly decreased after HSCT in older subjects receiving antibiotics and remained lower than levels observed in those who did not receive antibiotics before HSCT (p ≤ 0.05). </w:t>
      </w:r>
      <w:r w:rsidRPr="00690B20">
        <w:rPr>
          <w:rStyle w:val="Titolo1Carattere"/>
          <w:rFonts w:cs="Times New Roman"/>
          <w:b w:val="0"/>
          <w:i/>
          <w:iCs/>
          <w:lang w:val="en-AU"/>
        </w:rPr>
        <w:t>Enterococcus</w:t>
      </w:r>
      <w:r w:rsidRPr="00C35D79">
        <w:rPr>
          <w:rStyle w:val="Titolo1Carattere"/>
          <w:rFonts w:cs="Times New Roman"/>
          <w:b w:val="0"/>
          <w:lang w:val="en-AU"/>
        </w:rPr>
        <w:t xml:space="preserve"> was significantly higher at neutrophil engraftment in older patients who received antibiotics compared to their pre-HSCT samples, and was also elevated in younger patients who did not receive antibiotics compared to both their pre-HSCT samples and those who did receive antibiotics (p ≤ 0.008). </w:t>
      </w:r>
      <w:proofErr w:type="spellStart"/>
      <w:r w:rsidRPr="00690B20">
        <w:rPr>
          <w:rStyle w:val="Titolo1Carattere"/>
          <w:rFonts w:cs="Times New Roman"/>
          <w:b w:val="0"/>
          <w:i/>
          <w:iCs/>
          <w:lang w:val="en-AU"/>
        </w:rPr>
        <w:t>Peptoclostridium</w:t>
      </w:r>
      <w:proofErr w:type="spellEnd"/>
      <w:r w:rsidRPr="00C35D79">
        <w:rPr>
          <w:rStyle w:val="Titolo1Carattere"/>
          <w:rFonts w:cs="Times New Roman"/>
          <w:b w:val="0"/>
          <w:lang w:val="en-AU"/>
        </w:rPr>
        <w:t xml:space="preserve"> and </w:t>
      </w:r>
      <w:proofErr w:type="spellStart"/>
      <w:r w:rsidRPr="00690B20">
        <w:rPr>
          <w:rStyle w:val="Titolo1Carattere"/>
          <w:rFonts w:cs="Times New Roman"/>
          <w:b w:val="0"/>
          <w:i/>
          <w:iCs/>
          <w:lang w:val="en-AU"/>
        </w:rPr>
        <w:t>Intestinibacter</w:t>
      </w:r>
      <w:proofErr w:type="spellEnd"/>
      <w:r w:rsidRPr="00C35D79">
        <w:rPr>
          <w:rStyle w:val="Titolo1Carattere"/>
          <w:rFonts w:cs="Times New Roman"/>
          <w:b w:val="0"/>
          <w:lang w:val="en-AU"/>
        </w:rPr>
        <w:t xml:space="preserve"> decreased from pre-HSCT to neutrophil engraftment in patients under 15 years of age who did not receive antibiotics (p ≤ 0.03), with a similar decreasing trend observed for </w:t>
      </w:r>
      <w:proofErr w:type="spellStart"/>
      <w:r w:rsidRPr="00690B20">
        <w:rPr>
          <w:rStyle w:val="Titolo1Carattere"/>
          <w:rFonts w:cs="Times New Roman"/>
          <w:b w:val="0"/>
          <w:i/>
          <w:iCs/>
          <w:lang w:val="en-AU"/>
        </w:rPr>
        <w:t>Terrisporobacter</w:t>
      </w:r>
      <w:proofErr w:type="spellEnd"/>
      <w:r w:rsidRPr="00C35D79">
        <w:rPr>
          <w:rStyle w:val="Titolo1Carattere"/>
          <w:rFonts w:cs="Times New Roman"/>
          <w:b w:val="0"/>
          <w:lang w:val="en-AU"/>
        </w:rPr>
        <w:t xml:space="preserve"> (p = 0.08). </w:t>
      </w:r>
      <w:r w:rsidRPr="00690B20">
        <w:rPr>
          <w:rStyle w:val="Titolo1Carattere"/>
          <w:rFonts w:cs="Times New Roman"/>
          <w:b w:val="0"/>
          <w:i/>
          <w:iCs/>
          <w:lang w:val="en-AU"/>
        </w:rPr>
        <w:t>Bacillus</w:t>
      </w:r>
      <w:r w:rsidRPr="00C35D79">
        <w:rPr>
          <w:rStyle w:val="Titolo1Carattere"/>
          <w:rFonts w:cs="Times New Roman"/>
          <w:b w:val="0"/>
          <w:lang w:val="en-AU"/>
        </w:rPr>
        <w:t xml:space="preserve"> increased at neutrophil engraftment in both older patients who received antibiotics and younger ones who did not, when compared to their respective pre-HSCT samples (p ≤ 0.003). No significant differences were observed for </w:t>
      </w:r>
      <w:proofErr w:type="spellStart"/>
      <w:r w:rsidRPr="00690B20">
        <w:rPr>
          <w:rStyle w:val="Titolo1Carattere"/>
          <w:rFonts w:cs="Times New Roman"/>
          <w:b w:val="0"/>
          <w:i/>
          <w:iCs/>
          <w:lang w:val="en-AU"/>
        </w:rPr>
        <w:t>Sellimonas</w:t>
      </w:r>
      <w:proofErr w:type="spellEnd"/>
      <w:r w:rsidRPr="00C35D79">
        <w:rPr>
          <w:rStyle w:val="Titolo1Carattere"/>
          <w:rFonts w:cs="Times New Roman"/>
          <w:b w:val="0"/>
          <w:lang w:val="en-AU"/>
        </w:rPr>
        <w:t xml:space="preserve"> and </w:t>
      </w:r>
      <w:proofErr w:type="spellStart"/>
      <w:r w:rsidRPr="00690B20">
        <w:rPr>
          <w:rStyle w:val="Titolo1Carattere"/>
          <w:rFonts w:cs="Times New Roman"/>
          <w:b w:val="0"/>
          <w:i/>
          <w:iCs/>
          <w:lang w:val="en-AU"/>
        </w:rPr>
        <w:t>Holdemanella</w:t>
      </w:r>
      <w:proofErr w:type="spellEnd"/>
      <w:r w:rsidRPr="00C35D79">
        <w:rPr>
          <w:rStyle w:val="Titolo1Carattere"/>
          <w:rFonts w:cs="Times New Roman"/>
          <w:b w:val="0"/>
          <w:lang w:val="en-AU"/>
        </w:rPr>
        <w:t xml:space="preserve"> across the groups.</w:t>
      </w:r>
    </w:p>
    <w:p w14:paraId="2A1C4D2D" w14:textId="77777777" w:rsidR="0089366B" w:rsidRDefault="0089366B">
      <w:pPr>
        <w:jc w:val="left"/>
        <w:rPr>
          <w:rFonts w:cs="Times New Roman"/>
          <w:lang w:val="en-AU"/>
        </w:rPr>
      </w:pPr>
    </w:p>
    <w:p w14:paraId="3F4A0D56" w14:textId="77777777" w:rsidR="0089366B" w:rsidRDefault="0089366B">
      <w:pPr>
        <w:jc w:val="left"/>
        <w:rPr>
          <w:rFonts w:cs="Times New Roman"/>
          <w:lang w:val="en-AU"/>
        </w:rPr>
      </w:pPr>
    </w:p>
    <w:p w14:paraId="48B498EF" w14:textId="1AC98041" w:rsidR="0089366B" w:rsidRDefault="0089366B">
      <w:pPr>
        <w:jc w:val="left"/>
        <w:rPr>
          <w:rFonts w:eastAsiaTheme="majorEastAsia" w:cs="Times New Roman"/>
          <w:b/>
          <w:color w:val="000000" w:themeColor="text1"/>
          <w:szCs w:val="40"/>
          <w:lang w:val="en-AU"/>
        </w:rPr>
      </w:pPr>
      <w:r>
        <w:rPr>
          <w:rFonts w:cs="Times New Roman"/>
          <w:lang w:val="en-AU"/>
        </w:rPr>
        <w:br w:type="page"/>
      </w:r>
    </w:p>
    <w:p w14:paraId="33C82932" w14:textId="7FADC6E7" w:rsidR="00E17BC9" w:rsidRPr="00C35D79" w:rsidRDefault="00E17BC9" w:rsidP="00E17BC9">
      <w:pPr>
        <w:pStyle w:val="Titolo1"/>
        <w:rPr>
          <w:rFonts w:cs="Times New Roman"/>
          <w:b w:val="0"/>
          <w:bCs/>
          <w:lang w:val="en-AU"/>
        </w:rPr>
      </w:pPr>
      <w:bookmarkStart w:id="3" w:name="_Toc202199954"/>
      <w:r w:rsidRPr="00C35D79">
        <w:rPr>
          <w:rFonts w:cs="Times New Roman"/>
          <w:lang w:val="en-AU"/>
        </w:rPr>
        <w:lastRenderedPageBreak/>
        <w:t xml:space="preserve">Supplementary Table 1: Comparison of baseline characteristics in </w:t>
      </w:r>
      <w:r w:rsidR="00FC708B" w:rsidRPr="00C35D79">
        <w:rPr>
          <w:rFonts w:cs="Times New Roman"/>
          <w:lang w:val="en-AU"/>
        </w:rPr>
        <w:t>patients</w:t>
      </w:r>
      <w:r w:rsidRPr="00C35D79">
        <w:rPr>
          <w:rFonts w:cs="Times New Roman"/>
          <w:lang w:val="en-AU"/>
        </w:rPr>
        <w:t xml:space="preserve"> developing or not developing grade II-IV aGvHD.</w:t>
      </w:r>
      <w:r w:rsidR="005B7B50" w:rsidRPr="00C35D79">
        <w:rPr>
          <w:rFonts w:cs="Times New Roman"/>
          <w:lang w:val="en-AU"/>
        </w:rPr>
        <w:t xml:space="preserve"> </w:t>
      </w:r>
      <w:r w:rsidR="005B7B50" w:rsidRPr="00C35D79">
        <w:rPr>
          <w:rFonts w:cs="Times New Roman"/>
          <w:b w:val="0"/>
          <w:bCs/>
          <w:lang w:val="en-AU"/>
        </w:rPr>
        <w:t>HCT: hematopoietic cell transplantation.</w:t>
      </w:r>
      <w:bookmarkEnd w:id="3"/>
    </w:p>
    <w:p w14:paraId="05F3BF11" w14:textId="77777777" w:rsidR="00E17BC9" w:rsidRPr="00C35D79" w:rsidRDefault="00E17BC9" w:rsidP="00E17BC9">
      <w:pPr>
        <w:rPr>
          <w:rFonts w:cs="Times New Roman"/>
          <w:lang w:val="en-AU"/>
        </w:rPr>
      </w:pPr>
    </w:p>
    <w:tbl>
      <w:tblPr>
        <w:tblStyle w:val="Grigliatabella"/>
        <w:tblW w:w="0" w:type="auto"/>
        <w:tblLook w:val="04A0" w:firstRow="1" w:lastRow="0" w:firstColumn="1" w:lastColumn="0" w:noHBand="0" w:noVBand="1"/>
      </w:tblPr>
      <w:tblGrid>
        <w:gridCol w:w="4199"/>
        <w:gridCol w:w="2570"/>
        <w:gridCol w:w="1873"/>
        <w:gridCol w:w="980"/>
      </w:tblGrid>
      <w:tr w:rsidR="006A6D8F" w:rsidRPr="00C35D79" w14:paraId="4677A0F7" w14:textId="77777777" w:rsidTr="006A6D8F">
        <w:trPr>
          <w:trHeight w:val="320"/>
        </w:trPr>
        <w:tc>
          <w:tcPr>
            <w:tcW w:w="4199" w:type="dxa"/>
            <w:noWrap/>
            <w:vAlign w:val="center"/>
            <w:hideMark/>
          </w:tcPr>
          <w:p w14:paraId="49FAA15B" w14:textId="77777777" w:rsidR="006A6D8F" w:rsidRPr="00C35D79" w:rsidRDefault="006A6D8F" w:rsidP="00222A86">
            <w:pPr>
              <w:jc w:val="left"/>
              <w:rPr>
                <w:rFonts w:cs="Times New Roman"/>
                <w:b/>
                <w:bCs/>
                <w:sz w:val="21"/>
                <w:szCs w:val="21"/>
                <w:lang w:val="en-AU"/>
              </w:rPr>
            </w:pPr>
            <w:r w:rsidRPr="00C35D79">
              <w:rPr>
                <w:rFonts w:cs="Times New Roman"/>
                <w:b/>
                <w:bCs/>
                <w:sz w:val="21"/>
                <w:szCs w:val="21"/>
                <w:lang w:val="en-AU"/>
              </w:rPr>
              <w:t xml:space="preserve">Characteristic </w:t>
            </w:r>
          </w:p>
        </w:tc>
        <w:tc>
          <w:tcPr>
            <w:tcW w:w="2570" w:type="dxa"/>
            <w:noWrap/>
            <w:vAlign w:val="center"/>
            <w:hideMark/>
          </w:tcPr>
          <w:p w14:paraId="2F0D0F8E" w14:textId="41C06BA8" w:rsidR="006A6D8F" w:rsidRPr="00C35D79" w:rsidRDefault="006A6D8F" w:rsidP="006A6D8F">
            <w:pPr>
              <w:jc w:val="center"/>
              <w:rPr>
                <w:rFonts w:cs="Times New Roman"/>
                <w:b/>
                <w:bCs/>
                <w:sz w:val="21"/>
                <w:szCs w:val="21"/>
                <w:lang w:val="en-AU"/>
              </w:rPr>
            </w:pPr>
            <w:r w:rsidRPr="00C35D79">
              <w:rPr>
                <w:rFonts w:cs="Times New Roman"/>
                <w:b/>
                <w:bCs/>
                <w:sz w:val="21"/>
                <w:szCs w:val="21"/>
                <w:lang w:val="en-AU"/>
              </w:rPr>
              <w:t>No grade II-IV aGvHD (n=61)</w:t>
            </w:r>
          </w:p>
        </w:tc>
        <w:tc>
          <w:tcPr>
            <w:tcW w:w="1873" w:type="dxa"/>
            <w:noWrap/>
            <w:vAlign w:val="center"/>
            <w:hideMark/>
          </w:tcPr>
          <w:p w14:paraId="7E7EEF11" w14:textId="77777777" w:rsidR="006A6D8F" w:rsidRPr="00C35D79" w:rsidRDefault="006A6D8F" w:rsidP="006A6D8F">
            <w:pPr>
              <w:jc w:val="center"/>
              <w:rPr>
                <w:rFonts w:cs="Times New Roman"/>
                <w:b/>
                <w:bCs/>
                <w:sz w:val="21"/>
                <w:szCs w:val="21"/>
                <w:lang w:val="en-AU"/>
              </w:rPr>
            </w:pPr>
            <w:r w:rsidRPr="00C35D79">
              <w:rPr>
                <w:rFonts w:cs="Times New Roman"/>
                <w:b/>
                <w:bCs/>
                <w:sz w:val="21"/>
                <w:szCs w:val="21"/>
                <w:lang w:val="en-AU"/>
              </w:rPr>
              <w:t>Grade II-IV aGvHD</w:t>
            </w:r>
          </w:p>
          <w:p w14:paraId="231A8451" w14:textId="18548BAB" w:rsidR="006A6D8F" w:rsidRPr="00C35D79" w:rsidRDefault="006A6D8F" w:rsidP="006A6D8F">
            <w:pPr>
              <w:jc w:val="center"/>
              <w:rPr>
                <w:rFonts w:cs="Times New Roman"/>
                <w:b/>
                <w:bCs/>
                <w:sz w:val="21"/>
                <w:szCs w:val="21"/>
                <w:lang w:val="en-AU"/>
              </w:rPr>
            </w:pPr>
            <w:r w:rsidRPr="00C35D79">
              <w:rPr>
                <w:rFonts w:cs="Times New Roman"/>
                <w:b/>
                <w:bCs/>
                <w:sz w:val="21"/>
                <w:szCs w:val="21"/>
                <w:lang w:val="en-AU"/>
              </w:rPr>
              <w:t>(n=27)</w:t>
            </w:r>
          </w:p>
        </w:tc>
        <w:tc>
          <w:tcPr>
            <w:tcW w:w="980" w:type="dxa"/>
            <w:noWrap/>
            <w:vAlign w:val="center"/>
            <w:hideMark/>
          </w:tcPr>
          <w:p w14:paraId="4B52E713" w14:textId="77777777" w:rsidR="006A6D8F" w:rsidRPr="00C35D79" w:rsidRDefault="006A6D8F" w:rsidP="006A6D8F">
            <w:pPr>
              <w:jc w:val="center"/>
              <w:rPr>
                <w:rFonts w:cs="Times New Roman"/>
                <w:b/>
                <w:bCs/>
                <w:sz w:val="21"/>
                <w:szCs w:val="21"/>
                <w:lang w:val="en-AU"/>
              </w:rPr>
            </w:pPr>
            <w:r w:rsidRPr="00C35D79">
              <w:rPr>
                <w:rFonts w:cs="Times New Roman"/>
                <w:b/>
                <w:bCs/>
                <w:sz w:val="21"/>
                <w:szCs w:val="21"/>
                <w:lang w:val="en-AU"/>
              </w:rPr>
              <w:t>p value</w:t>
            </w:r>
          </w:p>
        </w:tc>
      </w:tr>
      <w:tr w:rsidR="006A6D8F" w:rsidRPr="00C35D79" w14:paraId="1041C2E2" w14:textId="77777777" w:rsidTr="006A6D8F">
        <w:trPr>
          <w:trHeight w:val="320"/>
        </w:trPr>
        <w:tc>
          <w:tcPr>
            <w:tcW w:w="4199" w:type="dxa"/>
            <w:noWrap/>
            <w:vAlign w:val="center"/>
            <w:hideMark/>
          </w:tcPr>
          <w:p w14:paraId="7666EE22" w14:textId="77777777" w:rsidR="006A6D8F" w:rsidRPr="00C35D79" w:rsidRDefault="006A6D8F" w:rsidP="00222A86">
            <w:pPr>
              <w:jc w:val="left"/>
              <w:rPr>
                <w:rFonts w:cs="Times New Roman"/>
                <w:b/>
                <w:bCs/>
                <w:sz w:val="21"/>
                <w:szCs w:val="21"/>
                <w:lang w:val="en-AU"/>
              </w:rPr>
            </w:pPr>
            <w:r w:rsidRPr="00C35D79">
              <w:rPr>
                <w:rFonts w:cs="Times New Roman"/>
                <w:b/>
                <w:bCs/>
                <w:sz w:val="21"/>
                <w:szCs w:val="21"/>
                <w:lang w:val="en-AU"/>
              </w:rPr>
              <w:t>Age at allo-HCT, y (± SD)</w:t>
            </w:r>
          </w:p>
        </w:tc>
        <w:tc>
          <w:tcPr>
            <w:tcW w:w="2570" w:type="dxa"/>
            <w:noWrap/>
            <w:vAlign w:val="center"/>
            <w:hideMark/>
          </w:tcPr>
          <w:p w14:paraId="65CA765A" w14:textId="0DEEE533" w:rsidR="006A6D8F" w:rsidRPr="00C35D79" w:rsidRDefault="006A6D8F" w:rsidP="006A6D8F">
            <w:pPr>
              <w:jc w:val="center"/>
              <w:rPr>
                <w:rFonts w:cs="Times New Roman"/>
                <w:sz w:val="21"/>
                <w:szCs w:val="21"/>
                <w:lang w:val="en-AU"/>
              </w:rPr>
            </w:pPr>
            <w:r w:rsidRPr="00C35D79">
              <w:rPr>
                <w:rFonts w:cs="Times New Roman"/>
                <w:sz w:val="21"/>
                <w:szCs w:val="21"/>
                <w:lang w:val="en-AU"/>
              </w:rPr>
              <w:t>17.1 ± 24.9</w:t>
            </w:r>
          </w:p>
        </w:tc>
        <w:tc>
          <w:tcPr>
            <w:tcW w:w="1873" w:type="dxa"/>
            <w:noWrap/>
            <w:vAlign w:val="center"/>
            <w:hideMark/>
          </w:tcPr>
          <w:p w14:paraId="232B3908" w14:textId="20DB8EDA" w:rsidR="006A6D8F" w:rsidRPr="00C35D79" w:rsidRDefault="006A6D8F" w:rsidP="006A6D8F">
            <w:pPr>
              <w:jc w:val="center"/>
              <w:rPr>
                <w:rFonts w:cs="Times New Roman"/>
                <w:sz w:val="21"/>
                <w:szCs w:val="21"/>
                <w:lang w:val="en-AU"/>
              </w:rPr>
            </w:pPr>
            <w:r w:rsidRPr="00C35D79">
              <w:rPr>
                <w:rFonts w:cs="Times New Roman"/>
                <w:sz w:val="21"/>
                <w:szCs w:val="21"/>
                <w:lang w:val="en-AU"/>
              </w:rPr>
              <w:t>17.7 ± 23.5</w:t>
            </w:r>
          </w:p>
        </w:tc>
        <w:tc>
          <w:tcPr>
            <w:tcW w:w="980" w:type="dxa"/>
            <w:noWrap/>
            <w:vAlign w:val="center"/>
            <w:hideMark/>
          </w:tcPr>
          <w:p w14:paraId="4C37B5AE" w14:textId="2EED8D63" w:rsidR="006A6D8F" w:rsidRPr="00C35D79" w:rsidRDefault="006A6D8F" w:rsidP="006A6D8F">
            <w:pPr>
              <w:jc w:val="center"/>
              <w:rPr>
                <w:rFonts w:cs="Times New Roman"/>
                <w:sz w:val="21"/>
                <w:szCs w:val="21"/>
                <w:lang w:val="en-AU"/>
              </w:rPr>
            </w:pPr>
            <w:r w:rsidRPr="00C35D79">
              <w:rPr>
                <w:rFonts w:cs="Times New Roman"/>
                <w:sz w:val="21"/>
                <w:szCs w:val="21"/>
                <w:lang w:val="en-AU"/>
              </w:rPr>
              <w:t>0.789</w:t>
            </w:r>
          </w:p>
        </w:tc>
      </w:tr>
      <w:tr w:rsidR="006A6D8F" w:rsidRPr="00C35D79" w14:paraId="5EDE4B07" w14:textId="77777777" w:rsidTr="006A6D8F">
        <w:trPr>
          <w:trHeight w:val="320"/>
        </w:trPr>
        <w:tc>
          <w:tcPr>
            <w:tcW w:w="4199" w:type="dxa"/>
            <w:noWrap/>
            <w:vAlign w:val="center"/>
            <w:hideMark/>
          </w:tcPr>
          <w:p w14:paraId="45DE1671" w14:textId="77777777" w:rsidR="006A6D8F" w:rsidRPr="00C35D79" w:rsidRDefault="006A6D8F" w:rsidP="00222A86">
            <w:pPr>
              <w:jc w:val="left"/>
              <w:rPr>
                <w:rFonts w:cs="Times New Roman"/>
                <w:b/>
                <w:bCs/>
                <w:sz w:val="21"/>
                <w:szCs w:val="21"/>
                <w:lang w:val="en-AU"/>
              </w:rPr>
            </w:pPr>
            <w:r w:rsidRPr="00C35D79">
              <w:rPr>
                <w:rFonts w:cs="Times New Roman"/>
                <w:b/>
                <w:bCs/>
                <w:sz w:val="21"/>
                <w:szCs w:val="21"/>
                <w:lang w:val="en-AU"/>
              </w:rPr>
              <w:t>Male sex, n (%)</w:t>
            </w:r>
          </w:p>
        </w:tc>
        <w:tc>
          <w:tcPr>
            <w:tcW w:w="2570" w:type="dxa"/>
            <w:noWrap/>
            <w:vAlign w:val="center"/>
            <w:hideMark/>
          </w:tcPr>
          <w:p w14:paraId="740FCBAF"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32 (52)</w:t>
            </w:r>
          </w:p>
        </w:tc>
        <w:tc>
          <w:tcPr>
            <w:tcW w:w="1873" w:type="dxa"/>
            <w:noWrap/>
            <w:vAlign w:val="center"/>
            <w:hideMark/>
          </w:tcPr>
          <w:p w14:paraId="1D05E23A"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14 (52)</w:t>
            </w:r>
          </w:p>
        </w:tc>
        <w:tc>
          <w:tcPr>
            <w:tcW w:w="980" w:type="dxa"/>
            <w:noWrap/>
            <w:vAlign w:val="center"/>
            <w:hideMark/>
          </w:tcPr>
          <w:p w14:paraId="05C482E5"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0.958</w:t>
            </w:r>
          </w:p>
        </w:tc>
      </w:tr>
      <w:tr w:rsidR="006A6D8F" w:rsidRPr="00C35D79" w14:paraId="1444ACE1" w14:textId="77777777" w:rsidTr="006A6D8F">
        <w:trPr>
          <w:trHeight w:val="320"/>
        </w:trPr>
        <w:tc>
          <w:tcPr>
            <w:tcW w:w="4199" w:type="dxa"/>
            <w:noWrap/>
            <w:vAlign w:val="center"/>
            <w:hideMark/>
          </w:tcPr>
          <w:p w14:paraId="10F14275" w14:textId="77777777" w:rsidR="006A6D8F" w:rsidRPr="00C35D79" w:rsidRDefault="006A6D8F" w:rsidP="00222A86">
            <w:pPr>
              <w:jc w:val="left"/>
              <w:rPr>
                <w:rFonts w:cs="Times New Roman"/>
                <w:b/>
                <w:bCs/>
                <w:sz w:val="21"/>
                <w:szCs w:val="21"/>
                <w:lang w:val="en-AU"/>
              </w:rPr>
            </w:pPr>
            <w:r w:rsidRPr="00C35D79">
              <w:rPr>
                <w:rFonts w:cs="Times New Roman"/>
                <w:b/>
                <w:bCs/>
                <w:sz w:val="21"/>
                <w:szCs w:val="21"/>
                <w:lang w:val="en-AU"/>
              </w:rPr>
              <w:t>Disease, n (%)</w:t>
            </w:r>
          </w:p>
        </w:tc>
        <w:tc>
          <w:tcPr>
            <w:tcW w:w="2570" w:type="dxa"/>
            <w:noWrap/>
            <w:vAlign w:val="center"/>
            <w:hideMark/>
          </w:tcPr>
          <w:p w14:paraId="128F4019" w14:textId="77777777" w:rsidR="006A6D8F" w:rsidRPr="00C35D79" w:rsidRDefault="006A6D8F" w:rsidP="006A6D8F">
            <w:pPr>
              <w:jc w:val="center"/>
              <w:rPr>
                <w:rFonts w:cs="Times New Roman"/>
                <w:sz w:val="21"/>
                <w:szCs w:val="21"/>
                <w:lang w:val="en-AU"/>
              </w:rPr>
            </w:pPr>
          </w:p>
        </w:tc>
        <w:tc>
          <w:tcPr>
            <w:tcW w:w="1873" w:type="dxa"/>
            <w:noWrap/>
            <w:vAlign w:val="center"/>
            <w:hideMark/>
          </w:tcPr>
          <w:p w14:paraId="1C9ABE66" w14:textId="77777777" w:rsidR="006A6D8F" w:rsidRPr="00C35D79" w:rsidRDefault="006A6D8F" w:rsidP="006A6D8F">
            <w:pPr>
              <w:jc w:val="center"/>
              <w:rPr>
                <w:rFonts w:cs="Times New Roman"/>
                <w:sz w:val="21"/>
                <w:szCs w:val="21"/>
                <w:lang w:val="en-AU"/>
              </w:rPr>
            </w:pPr>
          </w:p>
        </w:tc>
        <w:tc>
          <w:tcPr>
            <w:tcW w:w="980" w:type="dxa"/>
            <w:noWrap/>
            <w:vAlign w:val="center"/>
            <w:hideMark/>
          </w:tcPr>
          <w:p w14:paraId="7787152F" w14:textId="1DA1C15C" w:rsidR="006A6D8F" w:rsidRPr="00C35D79" w:rsidRDefault="006A6D8F" w:rsidP="006A6D8F">
            <w:pPr>
              <w:jc w:val="center"/>
              <w:rPr>
                <w:rFonts w:cs="Times New Roman"/>
                <w:sz w:val="21"/>
                <w:szCs w:val="21"/>
                <w:lang w:val="en-AU"/>
              </w:rPr>
            </w:pPr>
            <w:r w:rsidRPr="00C35D79">
              <w:rPr>
                <w:rFonts w:cs="Times New Roman"/>
                <w:sz w:val="21"/>
                <w:szCs w:val="21"/>
                <w:lang w:val="en-AU"/>
              </w:rPr>
              <w:t>0.625</w:t>
            </w:r>
          </w:p>
        </w:tc>
      </w:tr>
      <w:tr w:rsidR="006A6D8F" w:rsidRPr="00C35D79" w14:paraId="7888855A" w14:textId="77777777" w:rsidTr="006A6D8F">
        <w:trPr>
          <w:trHeight w:val="320"/>
        </w:trPr>
        <w:tc>
          <w:tcPr>
            <w:tcW w:w="4199" w:type="dxa"/>
            <w:noWrap/>
            <w:vAlign w:val="center"/>
            <w:hideMark/>
          </w:tcPr>
          <w:p w14:paraId="29A8F082" w14:textId="77777777" w:rsidR="006A6D8F" w:rsidRPr="00C35D79" w:rsidRDefault="006A6D8F" w:rsidP="00222A86">
            <w:pPr>
              <w:jc w:val="left"/>
              <w:rPr>
                <w:rFonts w:cs="Times New Roman"/>
                <w:sz w:val="21"/>
                <w:szCs w:val="21"/>
                <w:lang w:val="en-AU"/>
              </w:rPr>
            </w:pPr>
            <w:r w:rsidRPr="00C35D79">
              <w:rPr>
                <w:rFonts w:cs="Times New Roman"/>
                <w:sz w:val="21"/>
                <w:szCs w:val="21"/>
                <w:lang w:val="en-AU"/>
              </w:rPr>
              <w:t>Acute myeloid leukemia</w:t>
            </w:r>
          </w:p>
        </w:tc>
        <w:tc>
          <w:tcPr>
            <w:tcW w:w="2570" w:type="dxa"/>
            <w:noWrap/>
            <w:vAlign w:val="center"/>
            <w:hideMark/>
          </w:tcPr>
          <w:p w14:paraId="511F6A9D"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24 (39)</w:t>
            </w:r>
          </w:p>
        </w:tc>
        <w:tc>
          <w:tcPr>
            <w:tcW w:w="1873" w:type="dxa"/>
            <w:noWrap/>
            <w:vAlign w:val="center"/>
            <w:hideMark/>
          </w:tcPr>
          <w:p w14:paraId="3D49FC80"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8 (30)</w:t>
            </w:r>
          </w:p>
        </w:tc>
        <w:tc>
          <w:tcPr>
            <w:tcW w:w="980" w:type="dxa"/>
            <w:noWrap/>
            <w:vAlign w:val="center"/>
            <w:hideMark/>
          </w:tcPr>
          <w:p w14:paraId="5A6890D1" w14:textId="77777777" w:rsidR="006A6D8F" w:rsidRPr="00C35D79" w:rsidRDefault="006A6D8F" w:rsidP="006A6D8F">
            <w:pPr>
              <w:jc w:val="center"/>
              <w:rPr>
                <w:rFonts w:cs="Times New Roman"/>
                <w:sz w:val="21"/>
                <w:szCs w:val="21"/>
                <w:lang w:val="en-AU"/>
              </w:rPr>
            </w:pPr>
          </w:p>
        </w:tc>
      </w:tr>
      <w:tr w:rsidR="006A6D8F" w:rsidRPr="00C35D79" w14:paraId="44F3ED7B" w14:textId="77777777" w:rsidTr="006A6D8F">
        <w:trPr>
          <w:trHeight w:val="320"/>
        </w:trPr>
        <w:tc>
          <w:tcPr>
            <w:tcW w:w="4199" w:type="dxa"/>
            <w:noWrap/>
            <w:vAlign w:val="center"/>
            <w:hideMark/>
          </w:tcPr>
          <w:p w14:paraId="2870CF53" w14:textId="77777777" w:rsidR="006A6D8F" w:rsidRPr="00C35D79" w:rsidRDefault="006A6D8F" w:rsidP="00222A86">
            <w:pPr>
              <w:jc w:val="left"/>
              <w:rPr>
                <w:rFonts w:cs="Times New Roman"/>
                <w:sz w:val="21"/>
                <w:szCs w:val="21"/>
                <w:lang w:val="en-AU"/>
              </w:rPr>
            </w:pPr>
            <w:r w:rsidRPr="00C35D79">
              <w:rPr>
                <w:rFonts w:cs="Times New Roman"/>
                <w:sz w:val="21"/>
                <w:szCs w:val="21"/>
                <w:lang w:val="en-AU"/>
              </w:rPr>
              <w:t>Acute lymphoblastic leukemia</w:t>
            </w:r>
          </w:p>
        </w:tc>
        <w:tc>
          <w:tcPr>
            <w:tcW w:w="2570" w:type="dxa"/>
            <w:noWrap/>
            <w:vAlign w:val="center"/>
            <w:hideMark/>
          </w:tcPr>
          <w:p w14:paraId="0ACE5FC6"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13 (21)</w:t>
            </w:r>
          </w:p>
        </w:tc>
        <w:tc>
          <w:tcPr>
            <w:tcW w:w="1873" w:type="dxa"/>
            <w:noWrap/>
            <w:vAlign w:val="center"/>
            <w:hideMark/>
          </w:tcPr>
          <w:p w14:paraId="2A3CE062"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10 (37)</w:t>
            </w:r>
          </w:p>
        </w:tc>
        <w:tc>
          <w:tcPr>
            <w:tcW w:w="980" w:type="dxa"/>
            <w:noWrap/>
            <w:vAlign w:val="center"/>
            <w:hideMark/>
          </w:tcPr>
          <w:p w14:paraId="7C78E4F1" w14:textId="77777777" w:rsidR="006A6D8F" w:rsidRPr="00C35D79" w:rsidRDefault="006A6D8F" w:rsidP="006A6D8F">
            <w:pPr>
              <w:jc w:val="center"/>
              <w:rPr>
                <w:rFonts w:cs="Times New Roman"/>
                <w:sz w:val="21"/>
                <w:szCs w:val="21"/>
                <w:lang w:val="en-AU"/>
              </w:rPr>
            </w:pPr>
          </w:p>
        </w:tc>
      </w:tr>
      <w:tr w:rsidR="006A6D8F" w:rsidRPr="00C35D79" w14:paraId="0C259B04" w14:textId="77777777" w:rsidTr="006A6D8F">
        <w:trPr>
          <w:trHeight w:val="320"/>
        </w:trPr>
        <w:tc>
          <w:tcPr>
            <w:tcW w:w="4199" w:type="dxa"/>
            <w:noWrap/>
            <w:vAlign w:val="center"/>
            <w:hideMark/>
          </w:tcPr>
          <w:p w14:paraId="5CEA7228" w14:textId="77777777" w:rsidR="006A6D8F" w:rsidRPr="00C35D79" w:rsidRDefault="006A6D8F" w:rsidP="00222A86">
            <w:pPr>
              <w:jc w:val="left"/>
              <w:rPr>
                <w:rFonts w:cs="Times New Roman"/>
                <w:sz w:val="21"/>
                <w:szCs w:val="21"/>
                <w:lang w:val="en-AU"/>
              </w:rPr>
            </w:pPr>
            <w:r w:rsidRPr="00C35D79">
              <w:rPr>
                <w:rFonts w:cs="Times New Roman"/>
                <w:sz w:val="21"/>
                <w:szCs w:val="21"/>
                <w:lang w:val="en-AU"/>
              </w:rPr>
              <w:t>Myelodysplastic syndrome or myeloproliferative neoplasm</w:t>
            </w:r>
          </w:p>
        </w:tc>
        <w:tc>
          <w:tcPr>
            <w:tcW w:w="2570" w:type="dxa"/>
            <w:noWrap/>
            <w:vAlign w:val="center"/>
            <w:hideMark/>
          </w:tcPr>
          <w:p w14:paraId="292A46A5"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9 (15)</w:t>
            </w:r>
          </w:p>
        </w:tc>
        <w:tc>
          <w:tcPr>
            <w:tcW w:w="1873" w:type="dxa"/>
            <w:noWrap/>
            <w:vAlign w:val="center"/>
            <w:hideMark/>
          </w:tcPr>
          <w:p w14:paraId="55E4E0D0" w14:textId="2203F2F3" w:rsidR="006A6D8F" w:rsidRPr="00C35D79" w:rsidRDefault="006A6D8F" w:rsidP="006A6D8F">
            <w:pPr>
              <w:jc w:val="center"/>
              <w:rPr>
                <w:rFonts w:cs="Times New Roman"/>
                <w:sz w:val="21"/>
                <w:szCs w:val="21"/>
                <w:lang w:val="en-AU"/>
              </w:rPr>
            </w:pPr>
            <w:r w:rsidRPr="00C35D79">
              <w:rPr>
                <w:rFonts w:cs="Times New Roman"/>
                <w:sz w:val="21"/>
                <w:szCs w:val="21"/>
                <w:lang w:val="en-AU"/>
              </w:rPr>
              <w:t>3 (11)</w:t>
            </w:r>
          </w:p>
        </w:tc>
        <w:tc>
          <w:tcPr>
            <w:tcW w:w="980" w:type="dxa"/>
            <w:noWrap/>
            <w:vAlign w:val="center"/>
            <w:hideMark/>
          </w:tcPr>
          <w:p w14:paraId="4891603B" w14:textId="062391EC" w:rsidR="006A6D8F" w:rsidRPr="00C35D79" w:rsidRDefault="006A6D8F" w:rsidP="006A6D8F">
            <w:pPr>
              <w:jc w:val="center"/>
              <w:rPr>
                <w:rFonts w:cs="Times New Roman"/>
                <w:sz w:val="21"/>
                <w:szCs w:val="21"/>
                <w:lang w:val="en-AU"/>
              </w:rPr>
            </w:pPr>
          </w:p>
        </w:tc>
      </w:tr>
      <w:tr w:rsidR="006A6D8F" w:rsidRPr="00C35D79" w14:paraId="7A54D4A5" w14:textId="77777777" w:rsidTr="006A6D8F">
        <w:trPr>
          <w:trHeight w:val="320"/>
        </w:trPr>
        <w:tc>
          <w:tcPr>
            <w:tcW w:w="4199" w:type="dxa"/>
            <w:noWrap/>
            <w:vAlign w:val="center"/>
            <w:hideMark/>
          </w:tcPr>
          <w:p w14:paraId="19B8AB4B" w14:textId="77777777" w:rsidR="006A6D8F" w:rsidRPr="00C35D79" w:rsidRDefault="006A6D8F" w:rsidP="00222A86">
            <w:pPr>
              <w:jc w:val="left"/>
              <w:rPr>
                <w:rFonts w:cs="Times New Roman"/>
                <w:sz w:val="21"/>
                <w:szCs w:val="21"/>
                <w:lang w:val="en-AU"/>
              </w:rPr>
            </w:pPr>
            <w:r w:rsidRPr="00C35D79">
              <w:rPr>
                <w:rFonts w:cs="Times New Roman"/>
                <w:sz w:val="21"/>
                <w:szCs w:val="21"/>
                <w:lang w:val="en-AU"/>
              </w:rPr>
              <w:t>Non</w:t>
            </w:r>
            <w:r w:rsidRPr="00C35D79">
              <w:rPr>
                <w:rFonts w:cs="Times New Roman"/>
                <w:sz w:val="21"/>
                <w:szCs w:val="21"/>
                <w:lang w:val="en-AU"/>
              </w:rPr>
              <w:noBreakHyphen/>
              <w:t xml:space="preserve">Hodgkin’s lymphoma </w:t>
            </w:r>
          </w:p>
        </w:tc>
        <w:tc>
          <w:tcPr>
            <w:tcW w:w="2570" w:type="dxa"/>
            <w:noWrap/>
            <w:vAlign w:val="center"/>
            <w:hideMark/>
          </w:tcPr>
          <w:p w14:paraId="5C90109F"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3 (5)</w:t>
            </w:r>
          </w:p>
        </w:tc>
        <w:tc>
          <w:tcPr>
            <w:tcW w:w="1873" w:type="dxa"/>
            <w:noWrap/>
            <w:vAlign w:val="center"/>
            <w:hideMark/>
          </w:tcPr>
          <w:p w14:paraId="1DDA7C54"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2 (7)</w:t>
            </w:r>
          </w:p>
        </w:tc>
        <w:tc>
          <w:tcPr>
            <w:tcW w:w="980" w:type="dxa"/>
            <w:noWrap/>
            <w:vAlign w:val="center"/>
            <w:hideMark/>
          </w:tcPr>
          <w:p w14:paraId="61E070D0" w14:textId="77777777" w:rsidR="006A6D8F" w:rsidRPr="00C35D79" w:rsidRDefault="006A6D8F" w:rsidP="006A6D8F">
            <w:pPr>
              <w:jc w:val="center"/>
              <w:rPr>
                <w:rFonts w:cs="Times New Roman"/>
                <w:sz w:val="21"/>
                <w:szCs w:val="21"/>
                <w:lang w:val="en-AU"/>
              </w:rPr>
            </w:pPr>
          </w:p>
        </w:tc>
      </w:tr>
      <w:tr w:rsidR="006A6D8F" w:rsidRPr="00C35D79" w14:paraId="37E0D58D" w14:textId="77777777" w:rsidTr="006A6D8F">
        <w:trPr>
          <w:trHeight w:val="320"/>
        </w:trPr>
        <w:tc>
          <w:tcPr>
            <w:tcW w:w="4199" w:type="dxa"/>
            <w:noWrap/>
            <w:vAlign w:val="center"/>
            <w:hideMark/>
          </w:tcPr>
          <w:p w14:paraId="236EAC2A" w14:textId="77777777" w:rsidR="006A6D8F" w:rsidRPr="00C35D79" w:rsidRDefault="006A6D8F" w:rsidP="00222A86">
            <w:pPr>
              <w:jc w:val="left"/>
              <w:rPr>
                <w:rFonts w:cs="Times New Roman"/>
                <w:sz w:val="21"/>
                <w:szCs w:val="21"/>
                <w:lang w:val="en-AU"/>
              </w:rPr>
            </w:pPr>
            <w:r w:rsidRPr="00C35D79">
              <w:rPr>
                <w:rFonts w:cs="Times New Roman"/>
                <w:sz w:val="21"/>
                <w:szCs w:val="21"/>
                <w:lang w:val="en-AU"/>
              </w:rPr>
              <w:t xml:space="preserve">Chronic myeloid leukemia </w:t>
            </w:r>
          </w:p>
        </w:tc>
        <w:tc>
          <w:tcPr>
            <w:tcW w:w="2570" w:type="dxa"/>
            <w:noWrap/>
            <w:vAlign w:val="center"/>
            <w:hideMark/>
          </w:tcPr>
          <w:p w14:paraId="67CF8239"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3 (5)</w:t>
            </w:r>
          </w:p>
        </w:tc>
        <w:tc>
          <w:tcPr>
            <w:tcW w:w="1873" w:type="dxa"/>
            <w:noWrap/>
            <w:vAlign w:val="center"/>
            <w:hideMark/>
          </w:tcPr>
          <w:p w14:paraId="1EC3C30A"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0</w:t>
            </w:r>
          </w:p>
        </w:tc>
        <w:tc>
          <w:tcPr>
            <w:tcW w:w="980" w:type="dxa"/>
            <w:noWrap/>
            <w:vAlign w:val="center"/>
            <w:hideMark/>
          </w:tcPr>
          <w:p w14:paraId="571E138C" w14:textId="77777777" w:rsidR="006A6D8F" w:rsidRPr="00C35D79" w:rsidRDefault="006A6D8F" w:rsidP="006A6D8F">
            <w:pPr>
              <w:jc w:val="center"/>
              <w:rPr>
                <w:rFonts w:cs="Times New Roman"/>
                <w:sz w:val="21"/>
                <w:szCs w:val="21"/>
                <w:lang w:val="en-AU"/>
              </w:rPr>
            </w:pPr>
          </w:p>
        </w:tc>
      </w:tr>
      <w:tr w:rsidR="006A6D8F" w:rsidRPr="00C35D79" w14:paraId="3ABB5871" w14:textId="77777777" w:rsidTr="006A6D8F">
        <w:trPr>
          <w:trHeight w:val="320"/>
        </w:trPr>
        <w:tc>
          <w:tcPr>
            <w:tcW w:w="4199" w:type="dxa"/>
            <w:noWrap/>
            <w:vAlign w:val="center"/>
            <w:hideMark/>
          </w:tcPr>
          <w:p w14:paraId="476D4715" w14:textId="77777777" w:rsidR="006A6D8F" w:rsidRPr="00C35D79" w:rsidRDefault="006A6D8F" w:rsidP="00222A86">
            <w:pPr>
              <w:jc w:val="left"/>
              <w:rPr>
                <w:rFonts w:cs="Times New Roman"/>
                <w:sz w:val="21"/>
                <w:szCs w:val="21"/>
                <w:lang w:val="en-AU"/>
              </w:rPr>
            </w:pPr>
            <w:r w:rsidRPr="00C35D79">
              <w:rPr>
                <w:rFonts w:cs="Times New Roman"/>
                <w:sz w:val="21"/>
                <w:szCs w:val="21"/>
                <w:lang w:val="en-AU"/>
              </w:rPr>
              <w:t>Juvenile Myelomonocytic Leukemia</w:t>
            </w:r>
          </w:p>
        </w:tc>
        <w:tc>
          <w:tcPr>
            <w:tcW w:w="2570" w:type="dxa"/>
            <w:noWrap/>
            <w:vAlign w:val="center"/>
            <w:hideMark/>
          </w:tcPr>
          <w:p w14:paraId="464CC7B2"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1 (2)</w:t>
            </w:r>
          </w:p>
        </w:tc>
        <w:tc>
          <w:tcPr>
            <w:tcW w:w="1873" w:type="dxa"/>
            <w:noWrap/>
            <w:vAlign w:val="center"/>
            <w:hideMark/>
          </w:tcPr>
          <w:p w14:paraId="0A95D40E"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1 (4)</w:t>
            </w:r>
          </w:p>
        </w:tc>
        <w:tc>
          <w:tcPr>
            <w:tcW w:w="980" w:type="dxa"/>
            <w:noWrap/>
            <w:vAlign w:val="center"/>
            <w:hideMark/>
          </w:tcPr>
          <w:p w14:paraId="30F4CF24" w14:textId="77777777" w:rsidR="006A6D8F" w:rsidRPr="00C35D79" w:rsidRDefault="006A6D8F" w:rsidP="006A6D8F">
            <w:pPr>
              <w:jc w:val="center"/>
              <w:rPr>
                <w:rFonts w:cs="Times New Roman"/>
                <w:sz w:val="21"/>
                <w:szCs w:val="21"/>
                <w:lang w:val="en-AU"/>
              </w:rPr>
            </w:pPr>
          </w:p>
        </w:tc>
      </w:tr>
      <w:tr w:rsidR="006A6D8F" w:rsidRPr="00C35D79" w14:paraId="55762373" w14:textId="77777777" w:rsidTr="006A6D8F">
        <w:trPr>
          <w:trHeight w:val="320"/>
        </w:trPr>
        <w:tc>
          <w:tcPr>
            <w:tcW w:w="4199" w:type="dxa"/>
            <w:noWrap/>
            <w:vAlign w:val="center"/>
            <w:hideMark/>
          </w:tcPr>
          <w:p w14:paraId="403CC204" w14:textId="70A9B4E8" w:rsidR="006A6D8F" w:rsidRPr="00C35D79" w:rsidRDefault="0091584C" w:rsidP="00222A86">
            <w:pPr>
              <w:jc w:val="left"/>
              <w:rPr>
                <w:rFonts w:cs="Times New Roman"/>
                <w:sz w:val="21"/>
                <w:szCs w:val="21"/>
                <w:lang w:val="en-AU"/>
              </w:rPr>
            </w:pPr>
            <w:proofErr w:type="spellStart"/>
            <w:r w:rsidRPr="00C35D79">
              <w:rPr>
                <w:rFonts w:cs="Times New Roman"/>
                <w:sz w:val="21"/>
                <w:szCs w:val="21"/>
                <w:lang w:val="en-AU"/>
              </w:rPr>
              <w:t>Nonmalignant</w:t>
            </w:r>
            <w:proofErr w:type="spellEnd"/>
            <w:r w:rsidR="006A6D8F" w:rsidRPr="00C35D79">
              <w:rPr>
                <w:rFonts w:cs="Times New Roman"/>
                <w:sz w:val="21"/>
                <w:szCs w:val="21"/>
                <w:lang w:val="en-AU"/>
              </w:rPr>
              <w:t xml:space="preserve"> disease</w:t>
            </w:r>
          </w:p>
        </w:tc>
        <w:tc>
          <w:tcPr>
            <w:tcW w:w="2570" w:type="dxa"/>
            <w:noWrap/>
            <w:vAlign w:val="center"/>
            <w:hideMark/>
          </w:tcPr>
          <w:p w14:paraId="75EBDA8F"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8 (13)</w:t>
            </w:r>
          </w:p>
        </w:tc>
        <w:tc>
          <w:tcPr>
            <w:tcW w:w="1873" w:type="dxa"/>
            <w:noWrap/>
            <w:vAlign w:val="center"/>
            <w:hideMark/>
          </w:tcPr>
          <w:p w14:paraId="742C883F"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3 (11)</w:t>
            </w:r>
          </w:p>
        </w:tc>
        <w:tc>
          <w:tcPr>
            <w:tcW w:w="980" w:type="dxa"/>
            <w:noWrap/>
            <w:vAlign w:val="center"/>
            <w:hideMark/>
          </w:tcPr>
          <w:p w14:paraId="6B73D318" w14:textId="77777777" w:rsidR="006A6D8F" w:rsidRPr="00C35D79" w:rsidRDefault="006A6D8F" w:rsidP="006A6D8F">
            <w:pPr>
              <w:jc w:val="center"/>
              <w:rPr>
                <w:rFonts w:cs="Times New Roman"/>
                <w:sz w:val="21"/>
                <w:szCs w:val="21"/>
                <w:lang w:val="en-AU"/>
              </w:rPr>
            </w:pPr>
          </w:p>
        </w:tc>
      </w:tr>
      <w:tr w:rsidR="006A6D8F" w:rsidRPr="00C35D79" w14:paraId="4003F969" w14:textId="77777777" w:rsidTr="006A6D8F">
        <w:trPr>
          <w:trHeight w:val="320"/>
        </w:trPr>
        <w:tc>
          <w:tcPr>
            <w:tcW w:w="4199" w:type="dxa"/>
            <w:noWrap/>
            <w:vAlign w:val="center"/>
            <w:hideMark/>
          </w:tcPr>
          <w:p w14:paraId="303AC3A0" w14:textId="77777777" w:rsidR="006A6D8F" w:rsidRPr="00C35D79" w:rsidRDefault="006A6D8F" w:rsidP="00222A86">
            <w:pPr>
              <w:jc w:val="left"/>
              <w:rPr>
                <w:rFonts w:cs="Times New Roman"/>
                <w:b/>
                <w:bCs/>
                <w:sz w:val="21"/>
                <w:szCs w:val="21"/>
                <w:lang w:val="en-AU"/>
              </w:rPr>
            </w:pPr>
            <w:r w:rsidRPr="00C35D79">
              <w:rPr>
                <w:rFonts w:cs="Times New Roman"/>
                <w:b/>
                <w:bCs/>
                <w:sz w:val="21"/>
                <w:szCs w:val="21"/>
                <w:lang w:val="en-AU"/>
              </w:rPr>
              <w:t>Stem cell source (%)</w:t>
            </w:r>
          </w:p>
        </w:tc>
        <w:tc>
          <w:tcPr>
            <w:tcW w:w="2570" w:type="dxa"/>
            <w:noWrap/>
            <w:vAlign w:val="center"/>
            <w:hideMark/>
          </w:tcPr>
          <w:p w14:paraId="596FAA97" w14:textId="77777777" w:rsidR="006A6D8F" w:rsidRPr="00C35D79" w:rsidRDefault="006A6D8F" w:rsidP="006A6D8F">
            <w:pPr>
              <w:jc w:val="center"/>
              <w:rPr>
                <w:rFonts w:cs="Times New Roman"/>
                <w:sz w:val="21"/>
                <w:szCs w:val="21"/>
                <w:lang w:val="en-AU"/>
              </w:rPr>
            </w:pPr>
          </w:p>
        </w:tc>
        <w:tc>
          <w:tcPr>
            <w:tcW w:w="1873" w:type="dxa"/>
            <w:noWrap/>
            <w:vAlign w:val="center"/>
            <w:hideMark/>
          </w:tcPr>
          <w:p w14:paraId="2BF0380D" w14:textId="77777777" w:rsidR="006A6D8F" w:rsidRPr="00C35D79" w:rsidRDefault="006A6D8F" w:rsidP="006A6D8F">
            <w:pPr>
              <w:jc w:val="center"/>
              <w:rPr>
                <w:rFonts w:cs="Times New Roman"/>
                <w:sz w:val="21"/>
                <w:szCs w:val="21"/>
                <w:lang w:val="en-AU"/>
              </w:rPr>
            </w:pPr>
          </w:p>
        </w:tc>
        <w:tc>
          <w:tcPr>
            <w:tcW w:w="980" w:type="dxa"/>
            <w:noWrap/>
            <w:vAlign w:val="center"/>
            <w:hideMark/>
          </w:tcPr>
          <w:p w14:paraId="39A3125B" w14:textId="6D0BA847" w:rsidR="006A6D8F" w:rsidRPr="00C35D79" w:rsidRDefault="006A6D8F" w:rsidP="006A6D8F">
            <w:pPr>
              <w:jc w:val="center"/>
              <w:rPr>
                <w:rFonts w:cs="Times New Roman"/>
                <w:sz w:val="21"/>
                <w:szCs w:val="21"/>
                <w:lang w:val="en-AU"/>
              </w:rPr>
            </w:pPr>
            <w:r w:rsidRPr="00C35D79">
              <w:rPr>
                <w:rFonts w:cs="Times New Roman"/>
                <w:sz w:val="21"/>
                <w:szCs w:val="21"/>
                <w:lang w:val="en-AU"/>
              </w:rPr>
              <w:t>0.899</w:t>
            </w:r>
          </w:p>
        </w:tc>
      </w:tr>
      <w:tr w:rsidR="006A6D8F" w:rsidRPr="00C35D79" w14:paraId="32DA9EAB" w14:textId="77777777" w:rsidTr="006A6D8F">
        <w:trPr>
          <w:trHeight w:val="320"/>
        </w:trPr>
        <w:tc>
          <w:tcPr>
            <w:tcW w:w="4199" w:type="dxa"/>
            <w:noWrap/>
            <w:vAlign w:val="center"/>
            <w:hideMark/>
          </w:tcPr>
          <w:p w14:paraId="73840E81" w14:textId="77777777" w:rsidR="006A6D8F" w:rsidRPr="00C35D79" w:rsidRDefault="006A6D8F" w:rsidP="00222A86">
            <w:pPr>
              <w:jc w:val="left"/>
              <w:rPr>
                <w:rFonts w:cs="Times New Roman"/>
                <w:sz w:val="21"/>
                <w:szCs w:val="21"/>
                <w:lang w:val="en-AU"/>
              </w:rPr>
            </w:pPr>
            <w:r w:rsidRPr="00C35D79">
              <w:rPr>
                <w:rFonts w:cs="Times New Roman"/>
                <w:sz w:val="21"/>
                <w:szCs w:val="21"/>
                <w:lang w:val="en-AU"/>
              </w:rPr>
              <w:t xml:space="preserve">unmodified BM </w:t>
            </w:r>
          </w:p>
        </w:tc>
        <w:tc>
          <w:tcPr>
            <w:tcW w:w="2570" w:type="dxa"/>
            <w:noWrap/>
            <w:vAlign w:val="center"/>
            <w:hideMark/>
          </w:tcPr>
          <w:p w14:paraId="2C2D5124"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33 (54)</w:t>
            </w:r>
          </w:p>
        </w:tc>
        <w:tc>
          <w:tcPr>
            <w:tcW w:w="1873" w:type="dxa"/>
            <w:noWrap/>
            <w:vAlign w:val="center"/>
            <w:hideMark/>
          </w:tcPr>
          <w:p w14:paraId="618EA9AB"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15 (56)</w:t>
            </w:r>
          </w:p>
        </w:tc>
        <w:tc>
          <w:tcPr>
            <w:tcW w:w="980" w:type="dxa"/>
            <w:noWrap/>
            <w:vAlign w:val="center"/>
            <w:hideMark/>
          </w:tcPr>
          <w:p w14:paraId="390FEBEC" w14:textId="1FF74B2C" w:rsidR="006A6D8F" w:rsidRPr="00C35D79" w:rsidRDefault="006A6D8F" w:rsidP="006A6D8F">
            <w:pPr>
              <w:jc w:val="center"/>
              <w:rPr>
                <w:rFonts w:cs="Times New Roman"/>
                <w:sz w:val="21"/>
                <w:szCs w:val="21"/>
                <w:lang w:val="en-AU"/>
              </w:rPr>
            </w:pPr>
          </w:p>
        </w:tc>
      </w:tr>
      <w:tr w:rsidR="006A6D8F" w:rsidRPr="00C35D79" w14:paraId="2E5B8911" w14:textId="77777777" w:rsidTr="006A6D8F">
        <w:trPr>
          <w:trHeight w:val="320"/>
        </w:trPr>
        <w:tc>
          <w:tcPr>
            <w:tcW w:w="4199" w:type="dxa"/>
            <w:noWrap/>
            <w:vAlign w:val="center"/>
            <w:hideMark/>
          </w:tcPr>
          <w:p w14:paraId="0805C91C" w14:textId="77777777" w:rsidR="006A6D8F" w:rsidRPr="00C35D79" w:rsidRDefault="006A6D8F" w:rsidP="00222A86">
            <w:pPr>
              <w:jc w:val="left"/>
              <w:rPr>
                <w:rFonts w:cs="Times New Roman"/>
                <w:sz w:val="21"/>
                <w:szCs w:val="21"/>
                <w:lang w:val="en-AU"/>
              </w:rPr>
            </w:pPr>
            <w:r w:rsidRPr="00C35D79">
              <w:rPr>
                <w:rFonts w:cs="Times New Roman"/>
                <w:sz w:val="21"/>
                <w:szCs w:val="21"/>
                <w:lang w:val="en-AU"/>
              </w:rPr>
              <w:t>unmodified PBSC</w:t>
            </w:r>
          </w:p>
        </w:tc>
        <w:tc>
          <w:tcPr>
            <w:tcW w:w="2570" w:type="dxa"/>
            <w:noWrap/>
            <w:vAlign w:val="center"/>
            <w:hideMark/>
          </w:tcPr>
          <w:p w14:paraId="6100F97B"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28 (46)</w:t>
            </w:r>
          </w:p>
        </w:tc>
        <w:tc>
          <w:tcPr>
            <w:tcW w:w="1873" w:type="dxa"/>
            <w:noWrap/>
            <w:vAlign w:val="center"/>
            <w:hideMark/>
          </w:tcPr>
          <w:p w14:paraId="7D6FDA5E"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12 (44)</w:t>
            </w:r>
          </w:p>
        </w:tc>
        <w:tc>
          <w:tcPr>
            <w:tcW w:w="980" w:type="dxa"/>
            <w:noWrap/>
            <w:vAlign w:val="center"/>
            <w:hideMark/>
          </w:tcPr>
          <w:p w14:paraId="47193D90" w14:textId="77777777" w:rsidR="006A6D8F" w:rsidRPr="00C35D79" w:rsidRDefault="006A6D8F" w:rsidP="006A6D8F">
            <w:pPr>
              <w:jc w:val="center"/>
              <w:rPr>
                <w:rFonts w:cs="Times New Roman"/>
                <w:sz w:val="21"/>
                <w:szCs w:val="21"/>
                <w:lang w:val="en-AU"/>
              </w:rPr>
            </w:pPr>
          </w:p>
        </w:tc>
      </w:tr>
      <w:tr w:rsidR="006A6D8F" w:rsidRPr="00C35D79" w14:paraId="039065B4" w14:textId="77777777" w:rsidTr="006A6D8F">
        <w:trPr>
          <w:trHeight w:val="320"/>
        </w:trPr>
        <w:tc>
          <w:tcPr>
            <w:tcW w:w="4199" w:type="dxa"/>
            <w:noWrap/>
            <w:vAlign w:val="center"/>
            <w:hideMark/>
          </w:tcPr>
          <w:p w14:paraId="08A61D28" w14:textId="77777777" w:rsidR="006A6D8F" w:rsidRPr="00C35D79" w:rsidRDefault="006A6D8F" w:rsidP="00222A86">
            <w:pPr>
              <w:jc w:val="left"/>
              <w:rPr>
                <w:rFonts w:cs="Times New Roman"/>
                <w:b/>
                <w:bCs/>
                <w:sz w:val="21"/>
                <w:szCs w:val="21"/>
                <w:lang w:val="en-AU"/>
              </w:rPr>
            </w:pPr>
            <w:r w:rsidRPr="00C35D79">
              <w:rPr>
                <w:rFonts w:cs="Times New Roman"/>
                <w:b/>
                <w:bCs/>
                <w:sz w:val="21"/>
                <w:szCs w:val="21"/>
                <w:lang w:val="en-AU"/>
              </w:rPr>
              <w:t>Type of donor (%)</w:t>
            </w:r>
          </w:p>
        </w:tc>
        <w:tc>
          <w:tcPr>
            <w:tcW w:w="2570" w:type="dxa"/>
            <w:noWrap/>
            <w:vAlign w:val="center"/>
            <w:hideMark/>
          </w:tcPr>
          <w:p w14:paraId="67B9420C" w14:textId="77777777" w:rsidR="006A6D8F" w:rsidRPr="00C35D79" w:rsidRDefault="006A6D8F" w:rsidP="006A6D8F">
            <w:pPr>
              <w:jc w:val="center"/>
              <w:rPr>
                <w:rFonts w:cs="Times New Roman"/>
                <w:sz w:val="21"/>
                <w:szCs w:val="21"/>
                <w:lang w:val="en-AU"/>
              </w:rPr>
            </w:pPr>
          </w:p>
        </w:tc>
        <w:tc>
          <w:tcPr>
            <w:tcW w:w="1873" w:type="dxa"/>
            <w:noWrap/>
            <w:vAlign w:val="center"/>
            <w:hideMark/>
          </w:tcPr>
          <w:p w14:paraId="4927C13E" w14:textId="77777777" w:rsidR="006A6D8F" w:rsidRPr="00C35D79" w:rsidRDefault="006A6D8F" w:rsidP="006A6D8F">
            <w:pPr>
              <w:jc w:val="center"/>
              <w:rPr>
                <w:rFonts w:cs="Times New Roman"/>
                <w:sz w:val="21"/>
                <w:szCs w:val="21"/>
                <w:lang w:val="en-AU"/>
              </w:rPr>
            </w:pPr>
          </w:p>
        </w:tc>
        <w:tc>
          <w:tcPr>
            <w:tcW w:w="980" w:type="dxa"/>
            <w:noWrap/>
            <w:vAlign w:val="center"/>
            <w:hideMark/>
          </w:tcPr>
          <w:p w14:paraId="152D3D2B" w14:textId="27ECBEB1" w:rsidR="006A6D8F" w:rsidRPr="00C35D79" w:rsidRDefault="006A6D8F" w:rsidP="006A6D8F">
            <w:pPr>
              <w:jc w:val="center"/>
              <w:rPr>
                <w:rFonts w:cs="Times New Roman"/>
                <w:sz w:val="21"/>
                <w:szCs w:val="21"/>
                <w:lang w:val="en-AU"/>
              </w:rPr>
            </w:pPr>
            <w:r w:rsidRPr="00C35D79">
              <w:rPr>
                <w:rFonts w:cs="Times New Roman"/>
                <w:sz w:val="21"/>
                <w:szCs w:val="21"/>
                <w:lang w:val="en-AU"/>
              </w:rPr>
              <w:t>0.195</w:t>
            </w:r>
          </w:p>
        </w:tc>
      </w:tr>
      <w:tr w:rsidR="006A6D8F" w:rsidRPr="00C35D79" w14:paraId="2720F1AE" w14:textId="77777777" w:rsidTr="006A6D8F">
        <w:trPr>
          <w:trHeight w:val="320"/>
        </w:trPr>
        <w:tc>
          <w:tcPr>
            <w:tcW w:w="4199" w:type="dxa"/>
            <w:noWrap/>
            <w:vAlign w:val="center"/>
            <w:hideMark/>
          </w:tcPr>
          <w:p w14:paraId="559A5E04" w14:textId="77777777" w:rsidR="006A6D8F" w:rsidRPr="00C35D79" w:rsidRDefault="006A6D8F" w:rsidP="00222A86">
            <w:pPr>
              <w:jc w:val="left"/>
              <w:rPr>
                <w:rFonts w:cs="Times New Roman"/>
                <w:sz w:val="21"/>
                <w:szCs w:val="21"/>
                <w:lang w:val="en-AU"/>
              </w:rPr>
            </w:pPr>
            <w:r w:rsidRPr="00C35D79">
              <w:rPr>
                <w:rFonts w:cs="Times New Roman"/>
                <w:sz w:val="21"/>
                <w:szCs w:val="21"/>
                <w:lang w:val="en-AU"/>
              </w:rPr>
              <w:t>Unrelated</w:t>
            </w:r>
          </w:p>
        </w:tc>
        <w:tc>
          <w:tcPr>
            <w:tcW w:w="2570" w:type="dxa"/>
            <w:noWrap/>
            <w:vAlign w:val="center"/>
            <w:hideMark/>
          </w:tcPr>
          <w:p w14:paraId="1E159F10"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49 (80)</w:t>
            </w:r>
          </w:p>
        </w:tc>
        <w:tc>
          <w:tcPr>
            <w:tcW w:w="1873" w:type="dxa"/>
            <w:noWrap/>
            <w:vAlign w:val="center"/>
            <w:hideMark/>
          </w:tcPr>
          <w:p w14:paraId="3E83F9F6"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17 (63)</w:t>
            </w:r>
          </w:p>
        </w:tc>
        <w:tc>
          <w:tcPr>
            <w:tcW w:w="980" w:type="dxa"/>
            <w:noWrap/>
            <w:vAlign w:val="center"/>
            <w:hideMark/>
          </w:tcPr>
          <w:p w14:paraId="68192157" w14:textId="77777777" w:rsidR="006A6D8F" w:rsidRPr="00C35D79" w:rsidRDefault="006A6D8F" w:rsidP="006A6D8F">
            <w:pPr>
              <w:jc w:val="center"/>
              <w:rPr>
                <w:rFonts w:cs="Times New Roman"/>
                <w:sz w:val="21"/>
                <w:szCs w:val="21"/>
                <w:lang w:val="en-AU"/>
              </w:rPr>
            </w:pPr>
          </w:p>
        </w:tc>
      </w:tr>
      <w:tr w:rsidR="006A6D8F" w:rsidRPr="00C35D79" w14:paraId="46FB9306" w14:textId="77777777" w:rsidTr="006A6D8F">
        <w:trPr>
          <w:trHeight w:val="320"/>
        </w:trPr>
        <w:tc>
          <w:tcPr>
            <w:tcW w:w="4199" w:type="dxa"/>
            <w:noWrap/>
            <w:vAlign w:val="center"/>
            <w:hideMark/>
          </w:tcPr>
          <w:p w14:paraId="35E46958" w14:textId="77777777" w:rsidR="006A6D8F" w:rsidRPr="00C35D79" w:rsidRDefault="006A6D8F" w:rsidP="00222A86">
            <w:pPr>
              <w:jc w:val="left"/>
              <w:rPr>
                <w:rFonts w:cs="Times New Roman"/>
                <w:sz w:val="21"/>
                <w:szCs w:val="21"/>
                <w:lang w:val="en-AU"/>
              </w:rPr>
            </w:pPr>
            <w:r w:rsidRPr="00C35D79">
              <w:rPr>
                <w:rFonts w:cs="Times New Roman"/>
                <w:sz w:val="21"/>
                <w:szCs w:val="21"/>
                <w:lang w:val="en-AU"/>
              </w:rPr>
              <w:t>Identical sibling</w:t>
            </w:r>
          </w:p>
        </w:tc>
        <w:tc>
          <w:tcPr>
            <w:tcW w:w="2570" w:type="dxa"/>
            <w:noWrap/>
            <w:vAlign w:val="center"/>
            <w:hideMark/>
          </w:tcPr>
          <w:p w14:paraId="16AA133D"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6 (10)</w:t>
            </w:r>
          </w:p>
        </w:tc>
        <w:tc>
          <w:tcPr>
            <w:tcW w:w="1873" w:type="dxa"/>
            <w:noWrap/>
            <w:vAlign w:val="center"/>
            <w:hideMark/>
          </w:tcPr>
          <w:p w14:paraId="15B0BC77"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6 (22)</w:t>
            </w:r>
          </w:p>
        </w:tc>
        <w:tc>
          <w:tcPr>
            <w:tcW w:w="980" w:type="dxa"/>
            <w:noWrap/>
            <w:vAlign w:val="center"/>
          </w:tcPr>
          <w:p w14:paraId="383AE8A3" w14:textId="5A303AE6" w:rsidR="006A6D8F" w:rsidRPr="00C35D79" w:rsidRDefault="006A6D8F" w:rsidP="006A6D8F">
            <w:pPr>
              <w:jc w:val="center"/>
              <w:rPr>
                <w:rFonts w:cs="Times New Roman"/>
                <w:sz w:val="21"/>
                <w:szCs w:val="21"/>
                <w:lang w:val="en-AU"/>
              </w:rPr>
            </w:pPr>
          </w:p>
        </w:tc>
      </w:tr>
      <w:tr w:rsidR="006A6D8F" w:rsidRPr="00C35D79" w14:paraId="17FD8703" w14:textId="77777777" w:rsidTr="006A6D8F">
        <w:trPr>
          <w:trHeight w:val="320"/>
        </w:trPr>
        <w:tc>
          <w:tcPr>
            <w:tcW w:w="4199" w:type="dxa"/>
            <w:noWrap/>
            <w:vAlign w:val="center"/>
            <w:hideMark/>
          </w:tcPr>
          <w:p w14:paraId="3C4436E7" w14:textId="77777777" w:rsidR="006A6D8F" w:rsidRPr="00C35D79" w:rsidRDefault="006A6D8F" w:rsidP="00222A86">
            <w:pPr>
              <w:jc w:val="left"/>
              <w:rPr>
                <w:rFonts w:cs="Times New Roman"/>
                <w:sz w:val="21"/>
                <w:szCs w:val="21"/>
                <w:lang w:val="en-AU"/>
              </w:rPr>
            </w:pPr>
            <w:r w:rsidRPr="00C35D79">
              <w:rPr>
                <w:rFonts w:cs="Times New Roman"/>
                <w:sz w:val="21"/>
                <w:szCs w:val="21"/>
                <w:lang w:val="en-AU"/>
              </w:rPr>
              <w:t>HLA-haploidentical sibling</w:t>
            </w:r>
          </w:p>
        </w:tc>
        <w:tc>
          <w:tcPr>
            <w:tcW w:w="2570" w:type="dxa"/>
            <w:noWrap/>
            <w:vAlign w:val="center"/>
            <w:hideMark/>
          </w:tcPr>
          <w:p w14:paraId="1FFB2113"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6 (10)</w:t>
            </w:r>
          </w:p>
        </w:tc>
        <w:tc>
          <w:tcPr>
            <w:tcW w:w="1873" w:type="dxa"/>
            <w:noWrap/>
            <w:vAlign w:val="center"/>
            <w:hideMark/>
          </w:tcPr>
          <w:p w14:paraId="003091A0"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4 (15)</w:t>
            </w:r>
          </w:p>
        </w:tc>
        <w:tc>
          <w:tcPr>
            <w:tcW w:w="980" w:type="dxa"/>
            <w:noWrap/>
            <w:vAlign w:val="center"/>
            <w:hideMark/>
          </w:tcPr>
          <w:p w14:paraId="624F51AF" w14:textId="77777777" w:rsidR="006A6D8F" w:rsidRPr="00C35D79" w:rsidRDefault="006A6D8F" w:rsidP="006A6D8F">
            <w:pPr>
              <w:jc w:val="center"/>
              <w:rPr>
                <w:rFonts w:cs="Times New Roman"/>
                <w:sz w:val="21"/>
                <w:szCs w:val="21"/>
                <w:lang w:val="en-AU"/>
              </w:rPr>
            </w:pPr>
          </w:p>
        </w:tc>
      </w:tr>
      <w:tr w:rsidR="006A6D8F" w:rsidRPr="00C35D79" w14:paraId="39749FA5" w14:textId="77777777" w:rsidTr="006A6D8F">
        <w:trPr>
          <w:trHeight w:val="320"/>
        </w:trPr>
        <w:tc>
          <w:tcPr>
            <w:tcW w:w="4199" w:type="dxa"/>
            <w:noWrap/>
            <w:vAlign w:val="center"/>
            <w:hideMark/>
          </w:tcPr>
          <w:p w14:paraId="7431372F" w14:textId="77777777" w:rsidR="006A6D8F" w:rsidRPr="00C35D79" w:rsidRDefault="006A6D8F" w:rsidP="00222A86">
            <w:pPr>
              <w:jc w:val="left"/>
              <w:rPr>
                <w:rFonts w:cs="Times New Roman"/>
                <w:b/>
                <w:bCs/>
                <w:sz w:val="21"/>
                <w:szCs w:val="21"/>
                <w:lang w:val="en-AU"/>
              </w:rPr>
            </w:pPr>
            <w:r w:rsidRPr="00C35D79">
              <w:rPr>
                <w:rFonts w:cs="Times New Roman"/>
                <w:b/>
                <w:bCs/>
                <w:sz w:val="21"/>
                <w:szCs w:val="21"/>
                <w:lang w:val="en-AU"/>
              </w:rPr>
              <w:t>Intensity of conditioning (%)</w:t>
            </w:r>
          </w:p>
        </w:tc>
        <w:tc>
          <w:tcPr>
            <w:tcW w:w="2570" w:type="dxa"/>
            <w:noWrap/>
            <w:vAlign w:val="center"/>
            <w:hideMark/>
          </w:tcPr>
          <w:p w14:paraId="1F1EEFA7" w14:textId="77777777" w:rsidR="006A6D8F" w:rsidRPr="00C35D79" w:rsidRDefault="006A6D8F" w:rsidP="006A6D8F">
            <w:pPr>
              <w:jc w:val="center"/>
              <w:rPr>
                <w:rFonts w:cs="Times New Roman"/>
                <w:sz w:val="21"/>
                <w:szCs w:val="21"/>
                <w:lang w:val="en-AU"/>
              </w:rPr>
            </w:pPr>
          </w:p>
        </w:tc>
        <w:tc>
          <w:tcPr>
            <w:tcW w:w="1873" w:type="dxa"/>
            <w:noWrap/>
            <w:vAlign w:val="center"/>
            <w:hideMark/>
          </w:tcPr>
          <w:p w14:paraId="00DC8A9A" w14:textId="77777777" w:rsidR="006A6D8F" w:rsidRPr="00C35D79" w:rsidRDefault="006A6D8F" w:rsidP="006A6D8F">
            <w:pPr>
              <w:jc w:val="center"/>
              <w:rPr>
                <w:rFonts w:cs="Times New Roman"/>
                <w:sz w:val="21"/>
                <w:szCs w:val="21"/>
                <w:lang w:val="en-AU"/>
              </w:rPr>
            </w:pPr>
          </w:p>
        </w:tc>
        <w:tc>
          <w:tcPr>
            <w:tcW w:w="980" w:type="dxa"/>
            <w:noWrap/>
            <w:vAlign w:val="center"/>
            <w:hideMark/>
          </w:tcPr>
          <w:p w14:paraId="27BDDA83" w14:textId="40153999" w:rsidR="006A6D8F" w:rsidRPr="00C35D79" w:rsidRDefault="006A6D8F" w:rsidP="006A6D8F">
            <w:pPr>
              <w:jc w:val="center"/>
              <w:rPr>
                <w:rFonts w:cs="Times New Roman"/>
                <w:sz w:val="21"/>
                <w:szCs w:val="21"/>
                <w:lang w:val="en-AU"/>
              </w:rPr>
            </w:pPr>
            <w:r w:rsidRPr="00C35D79">
              <w:rPr>
                <w:rFonts w:cs="Times New Roman"/>
                <w:sz w:val="21"/>
                <w:szCs w:val="21"/>
                <w:lang w:val="en-AU"/>
              </w:rPr>
              <w:t>0.232</w:t>
            </w:r>
          </w:p>
        </w:tc>
      </w:tr>
      <w:tr w:rsidR="006A6D8F" w:rsidRPr="00C35D79" w14:paraId="3E188060" w14:textId="77777777" w:rsidTr="006A6D8F">
        <w:trPr>
          <w:trHeight w:val="320"/>
        </w:trPr>
        <w:tc>
          <w:tcPr>
            <w:tcW w:w="4199" w:type="dxa"/>
            <w:noWrap/>
            <w:vAlign w:val="center"/>
            <w:hideMark/>
          </w:tcPr>
          <w:p w14:paraId="4A1D49EE" w14:textId="77777777" w:rsidR="006A6D8F" w:rsidRPr="00C35D79" w:rsidRDefault="006A6D8F" w:rsidP="00222A86">
            <w:pPr>
              <w:jc w:val="left"/>
              <w:rPr>
                <w:rFonts w:cs="Times New Roman"/>
                <w:sz w:val="21"/>
                <w:szCs w:val="21"/>
                <w:lang w:val="en-AU"/>
              </w:rPr>
            </w:pPr>
            <w:r w:rsidRPr="00C35D79">
              <w:rPr>
                <w:rFonts w:cs="Times New Roman"/>
                <w:sz w:val="21"/>
                <w:szCs w:val="21"/>
                <w:lang w:val="en-AU"/>
              </w:rPr>
              <w:t>Myeloablative</w:t>
            </w:r>
          </w:p>
        </w:tc>
        <w:tc>
          <w:tcPr>
            <w:tcW w:w="2570" w:type="dxa"/>
            <w:noWrap/>
            <w:vAlign w:val="center"/>
            <w:hideMark/>
          </w:tcPr>
          <w:p w14:paraId="60AA0E8B"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30 (49)</w:t>
            </w:r>
          </w:p>
        </w:tc>
        <w:tc>
          <w:tcPr>
            <w:tcW w:w="1873" w:type="dxa"/>
            <w:noWrap/>
            <w:vAlign w:val="center"/>
            <w:hideMark/>
          </w:tcPr>
          <w:p w14:paraId="76FCD797"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17 (63)</w:t>
            </w:r>
          </w:p>
        </w:tc>
        <w:tc>
          <w:tcPr>
            <w:tcW w:w="980" w:type="dxa"/>
            <w:noWrap/>
            <w:vAlign w:val="center"/>
            <w:hideMark/>
          </w:tcPr>
          <w:p w14:paraId="5CE7A7AD" w14:textId="310FA40C" w:rsidR="006A6D8F" w:rsidRPr="00C35D79" w:rsidRDefault="006A6D8F" w:rsidP="006A6D8F">
            <w:pPr>
              <w:jc w:val="center"/>
              <w:rPr>
                <w:rFonts w:cs="Times New Roman"/>
                <w:sz w:val="21"/>
                <w:szCs w:val="21"/>
                <w:lang w:val="en-AU"/>
              </w:rPr>
            </w:pPr>
          </w:p>
        </w:tc>
      </w:tr>
      <w:tr w:rsidR="006A6D8F" w:rsidRPr="00C35D79" w14:paraId="3165AE9B" w14:textId="77777777" w:rsidTr="006A6D8F">
        <w:trPr>
          <w:trHeight w:val="320"/>
        </w:trPr>
        <w:tc>
          <w:tcPr>
            <w:tcW w:w="4199" w:type="dxa"/>
            <w:noWrap/>
            <w:vAlign w:val="center"/>
            <w:hideMark/>
          </w:tcPr>
          <w:p w14:paraId="4D01A543" w14:textId="77777777" w:rsidR="006A6D8F" w:rsidRPr="00C35D79" w:rsidRDefault="006A6D8F" w:rsidP="00222A86">
            <w:pPr>
              <w:jc w:val="left"/>
              <w:rPr>
                <w:rFonts w:cs="Times New Roman"/>
                <w:sz w:val="21"/>
                <w:szCs w:val="21"/>
                <w:lang w:val="en-AU"/>
              </w:rPr>
            </w:pPr>
            <w:r w:rsidRPr="00C35D79">
              <w:rPr>
                <w:rFonts w:cs="Times New Roman"/>
                <w:sz w:val="21"/>
                <w:szCs w:val="21"/>
                <w:lang w:val="en-AU"/>
              </w:rPr>
              <w:t>Reduced intensity</w:t>
            </w:r>
          </w:p>
        </w:tc>
        <w:tc>
          <w:tcPr>
            <w:tcW w:w="2570" w:type="dxa"/>
            <w:noWrap/>
            <w:vAlign w:val="center"/>
            <w:hideMark/>
          </w:tcPr>
          <w:p w14:paraId="532DD2A1"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31 (51)</w:t>
            </w:r>
          </w:p>
        </w:tc>
        <w:tc>
          <w:tcPr>
            <w:tcW w:w="1873" w:type="dxa"/>
            <w:noWrap/>
            <w:vAlign w:val="center"/>
            <w:hideMark/>
          </w:tcPr>
          <w:p w14:paraId="1FF65BC8"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10 (37)</w:t>
            </w:r>
          </w:p>
        </w:tc>
        <w:tc>
          <w:tcPr>
            <w:tcW w:w="980" w:type="dxa"/>
            <w:noWrap/>
            <w:vAlign w:val="center"/>
            <w:hideMark/>
          </w:tcPr>
          <w:p w14:paraId="492BD3B5" w14:textId="77777777" w:rsidR="006A6D8F" w:rsidRPr="00C35D79" w:rsidRDefault="006A6D8F" w:rsidP="006A6D8F">
            <w:pPr>
              <w:jc w:val="center"/>
              <w:rPr>
                <w:rFonts w:cs="Times New Roman"/>
                <w:sz w:val="21"/>
                <w:szCs w:val="21"/>
                <w:lang w:val="en-AU"/>
              </w:rPr>
            </w:pPr>
          </w:p>
        </w:tc>
      </w:tr>
      <w:tr w:rsidR="006A6D8F" w:rsidRPr="00C35D79" w14:paraId="5C670119" w14:textId="77777777" w:rsidTr="006A6D8F">
        <w:trPr>
          <w:trHeight w:val="320"/>
        </w:trPr>
        <w:tc>
          <w:tcPr>
            <w:tcW w:w="4199" w:type="dxa"/>
            <w:noWrap/>
            <w:vAlign w:val="center"/>
            <w:hideMark/>
          </w:tcPr>
          <w:p w14:paraId="24E840B5" w14:textId="77777777" w:rsidR="006A6D8F" w:rsidRPr="00C35D79" w:rsidRDefault="006A6D8F" w:rsidP="00222A86">
            <w:pPr>
              <w:jc w:val="left"/>
              <w:rPr>
                <w:rFonts w:cs="Times New Roman"/>
                <w:b/>
                <w:bCs/>
                <w:sz w:val="21"/>
                <w:szCs w:val="21"/>
                <w:lang w:val="en-AU"/>
              </w:rPr>
            </w:pPr>
            <w:r w:rsidRPr="00C35D79">
              <w:rPr>
                <w:rFonts w:cs="Times New Roman"/>
                <w:b/>
                <w:bCs/>
                <w:sz w:val="21"/>
                <w:szCs w:val="21"/>
                <w:lang w:val="en-AU"/>
              </w:rPr>
              <w:t>Antibiotic prophylaxis (%)</w:t>
            </w:r>
          </w:p>
        </w:tc>
        <w:tc>
          <w:tcPr>
            <w:tcW w:w="2570" w:type="dxa"/>
            <w:noWrap/>
            <w:vAlign w:val="center"/>
            <w:hideMark/>
          </w:tcPr>
          <w:p w14:paraId="7D0735C5" w14:textId="77777777" w:rsidR="006A6D8F" w:rsidRPr="00C35D79" w:rsidRDefault="006A6D8F" w:rsidP="006A6D8F">
            <w:pPr>
              <w:jc w:val="center"/>
              <w:rPr>
                <w:rFonts w:cs="Times New Roman"/>
                <w:sz w:val="21"/>
                <w:szCs w:val="21"/>
                <w:lang w:val="en-AU"/>
              </w:rPr>
            </w:pPr>
          </w:p>
        </w:tc>
        <w:tc>
          <w:tcPr>
            <w:tcW w:w="1873" w:type="dxa"/>
            <w:noWrap/>
            <w:vAlign w:val="center"/>
            <w:hideMark/>
          </w:tcPr>
          <w:p w14:paraId="18A6B47D" w14:textId="77777777" w:rsidR="006A6D8F" w:rsidRPr="00C35D79" w:rsidRDefault="006A6D8F" w:rsidP="006A6D8F">
            <w:pPr>
              <w:jc w:val="center"/>
              <w:rPr>
                <w:rFonts w:cs="Times New Roman"/>
                <w:sz w:val="21"/>
                <w:szCs w:val="21"/>
                <w:lang w:val="en-AU"/>
              </w:rPr>
            </w:pPr>
          </w:p>
        </w:tc>
        <w:tc>
          <w:tcPr>
            <w:tcW w:w="980" w:type="dxa"/>
            <w:noWrap/>
            <w:vAlign w:val="center"/>
            <w:hideMark/>
          </w:tcPr>
          <w:p w14:paraId="4E66E4DE" w14:textId="6EEC9C61" w:rsidR="006A6D8F" w:rsidRPr="00C35D79" w:rsidRDefault="006A6D8F" w:rsidP="006A6D8F">
            <w:pPr>
              <w:jc w:val="center"/>
              <w:rPr>
                <w:rFonts w:cs="Times New Roman"/>
                <w:sz w:val="21"/>
                <w:szCs w:val="21"/>
                <w:lang w:val="en-AU"/>
              </w:rPr>
            </w:pPr>
            <w:r w:rsidRPr="00C35D79">
              <w:rPr>
                <w:rFonts w:cs="Times New Roman"/>
                <w:sz w:val="21"/>
                <w:szCs w:val="21"/>
                <w:lang w:val="en-AU"/>
              </w:rPr>
              <w:t>0.106</w:t>
            </w:r>
          </w:p>
        </w:tc>
      </w:tr>
      <w:tr w:rsidR="006A6D8F" w:rsidRPr="00C35D79" w14:paraId="3699357C" w14:textId="77777777" w:rsidTr="006A6D8F">
        <w:trPr>
          <w:trHeight w:val="320"/>
        </w:trPr>
        <w:tc>
          <w:tcPr>
            <w:tcW w:w="4199" w:type="dxa"/>
            <w:noWrap/>
            <w:vAlign w:val="center"/>
            <w:hideMark/>
          </w:tcPr>
          <w:p w14:paraId="76A1FDDC" w14:textId="77777777" w:rsidR="006A6D8F" w:rsidRPr="00C35D79" w:rsidRDefault="006A6D8F" w:rsidP="00222A86">
            <w:pPr>
              <w:jc w:val="left"/>
              <w:rPr>
                <w:rFonts w:cs="Times New Roman"/>
                <w:sz w:val="21"/>
                <w:szCs w:val="21"/>
                <w:lang w:val="en-AU"/>
              </w:rPr>
            </w:pPr>
            <w:r w:rsidRPr="00C35D79">
              <w:rPr>
                <w:rFonts w:cs="Times New Roman"/>
                <w:sz w:val="21"/>
                <w:szCs w:val="21"/>
                <w:lang w:val="en-AU"/>
              </w:rPr>
              <w:t>no</w:t>
            </w:r>
          </w:p>
        </w:tc>
        <w:tc>
          <w:tcPr>
            <w:tcW w:w="2570" w:type="dxa"/>
            <w:noWrap/>
            <w:vAlign w:val="center"/>
            <w:hideMark/>
          </w:tcPr>
          <w:p w14:paraId="3F94E2B3"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34 (56)</w:t>
            </w:r>
          </w:p>
        </w:tc>
        <w:tc>
          <w:tcPr>
            <w:tcW w:w="1873" w:type="dxa"/>
            <w:noWrap/>
            <w:vAlign w:val="center"/>
            <w:hideMark/>
          </w:tcPr>
          <w:p w14:paraId="4DC9B795"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10 (37)</w:t>
            </w:r>
          </w:p>
        </w:tc>
        <w:tc>
          <w:tcPr>
            <w:tcW w:w="980" w:type="dxa"/>
            <w:noWrap/>
            <w:vAlign w:val="center"/>
            <w:hideMark/>
          </w:tcPr>
          <w:p w14:paraId="4E949EB4" w14:textId="6DB5B4F9" w:rsidR="006A6D8F" w:rsidRPr="00C35D79" w:rsidRDefault="006A6D8F" w:rsidP="006A6D8F">
            <w:pPr>
              <w:jc w:val="center"/>
              <w:rPr>
                <w:rFonts w:cs="Times New Roman"/>
                <w:sz w:val="21"/>
                <w:szCs w:val="21"/>
                <w:lang w:val="en-AU"/>
              </w:rPr>
            </w:pPr>
          </w:p>
        </w:tc>
      </w:tr>
      <w:tr w:rsidR="006A6D8F" w:rsidRPr="00C35D79" w14:paraId="2C5E334E" w14:textId="77777777" w:rsidTr="006A6D8F">
        <w:trPr>
          <w:trHeight w:val="320"/>
        </w:trPr>
        <w:tc>
          <w:tcPr>
            <w:tcW w:w="4199" w:type="dxa"/>
            <w:noWrap/>
            <w:vAlign w:val="center"/>
            <w:hideMark/>
          </w:tcPr>
          <w:p w14:paraId="2EA5A493" w14:textId="77777777" w:rsidR="006A6D8F" w:rsidRPr="00C35D79" w:rsidRDefault="006A6D8F" w:rsidP="00222A86">
            <w:pPr>
              <w:jc w:val="left"/>
              <w:rPr>
                <w:rFonts w:cs="Times New Roman"/>
                <w:sz w:val="21"/>
                <w:szCs w:val="21"/>
                <w:lang w:val="en-AU"/>
              </w:rPr>
            </w:pPr>
            <w:r w:rsidRPr="00C35D79">
              <w:rPr>
                <w:rFonts w:cs="Times New Roman"/>
                <w:sz w:val="21"/>
                <w:szCs w:val="21"/>
                <w:lang w:val="en-AU"/>
              </w:rPr>
              <w:t>yes</w:t>
            </w:r>
          </w:p>
        </w:tc>
        <w:tc>
          <w:tcPr>
            <w:tcW w:w="2570" w:type="dxa"/>
            <w:noWrap/>
            <w:vAlign w:val="center"/>
            <w:hideMark/>
          </w:tcPr>
          <w:p w14:paraId="23A75CAB"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27 (44)</w:t>
            </w:r>
          </w:p>
        </w:tc>
        <w:tc>
          <w:tcPr>
            <w:tcW w:w="1873" w:type="dxa"/>
            <w:noWrap/>
            <w:vAlign w:val="center"/>
            <w:hideMark/>
          </w:tcPr>
          <w:p w14:paraId="669AC79D"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17 (63)</w:t>
            </w:r>
          </w:p>
        </w:tc>
        <w:tc>
          <w:tcPr>
            <w:tcW w:w="980" w:type="dxa"/>
            <w:noWrap/>
            <w:vAlign w:val="center"/>
            <w:hideMark/>
          </w:tcPr>
          <w:p w14:paraId="5AE8B46A" w14:textId="77777777" w:rsidR="006A6D8F" w:rsidRPr="00C35D79" w:rsidRDefault="006A6D8F" w:rsidP="006A6D8F">
            <w:pPr>
              <w:jc w:val="center"/>
              <w:rPr>
                <w:rFonts w:cs="Times New Roman"/>
                <w:sz w:val="21"/>
                <w:szCs w:val="21"/>
                <w:lang w:val="en-AU"/>
              </w:rPr>
            </w:pPr>
          </w:p>
        </w:tc>
      </w:tr>
      <w:tr w:rsidR="006A6D8F" w:rsidRPr="00C35D79" w14:paraId="32CF62BB" w14:textId="77777777" w:rsidTr="006A6D8F">
        <w:trPr>
          <w:trHeight w:val="320"/>
        </w:trPr>
        <w:tc>
          <w:tcPr>
            <w:tcW w:w="4199" w:type="dxa"/>
            <w:noWrap/>
            <w:vAlign w:val="center"/>
            <w:hideMark/>
          </w:tcPr>
          <w:p w14:paraId="34E30749" w14:textId="77777777" w:rsidR="006A6D8F" w:rsidRPr="00C35D79" w:rsidRDefault="006A6D8F" w:rsidP="00222A86">
            <w:pPr>
              <w:jc w:val="left"/>
              <w:rPr>
                <w:rFonts w:cs="Times New Roman"/>
                <w:b/>
                <w:bCs/>
                <w:sz w:val="21"/>
                <w:szCs w:val="21"/>
                <w:lang w:val="en-AU"/>
              </w:rPr>
            </w:pPr>
            <w:r w:rsidRPr="00C35D79">
              <w:rPr>
                <w:rFonts w:cs="Times New Roman"/>
                <w:b/>
                <w:bCs/>
                <w:sz w:val="21"/>
                <w:szCs w:val="21"/>
                <w:lang w:val="en-AU"/>
              </w:rPr>
              <w:t>Type of nutrition (%)</w:t>
            </w:r>
          </w:p>
        </w:tc>
        <w:tc>
          <w:tcPr>
            <w:tcW w:w="2570" w:type="dxa"/>
            <w:noWrap/>
            <w:vAlign w:val="center"/>
            <w:hideMark/>
          </w:tcPr>
          <w:p w14:paraId="049B4E18" w14:textId="77777777" w:rsidR="006A6D8F" w:rsidRPr="00C35D79" w:rsidRDefault="006A6D8F" w:rsidP="006A6D8F">
            <w:pPr>
              <w:jc w:val="center"/>
              <w:rPr>
                <w:rFonts w:cs="Times New Roman"/>
                <w:sz w:val="21"/>
                <w:szCs w:val="21"/>
                <w:lang w:val="en-AU"/>
              </w:rPr>
            </w:pPr>
          </w:p>
        </w:tc>
        <w:tc>
          <w:tcPr>
            <w:tcW w:w="1873" w:type="dxa"/>
            <w:noWrap/>
            <w:vAlign w:val="center"/>
            <w:hideMark/>
          </w:tcPr>
          <w:p w14:paraId="550FA8A3" w14:textId="77777777" w:rsidR="006A6D8F" w:rsidRPr="00C35D79" w:rsidRDefault="006A6D8F" w:rsidP="006A6D8F">
            <w:pPr>
              <w:jc w:val="center"/>
              <w:rPr>
                <w:rFonts w:cs="Times New Roman"/>
                <w:sz w:val="21"/>
                <w:szCs w:val="21"/>
                <w:lang w:val="en-AU"/>
              </w:rPr>
            </w:pPr>
          </w:p>
        </w:tc>
        <w:tc>
          <w:tcPr>
            <w:tcW w:w="980" w:type="dxa"/>
            <w:noWrap/>
            <w:vAlign w:val="center"/>
            <w:hideMark/>
          </w:tcPr>
          <w:p w14:paraId="54C55EB7" w14:textId="3BE5F236" w:rsidR="006A6D8F" w:rsidRPr="00C35D79" w:rsidRDefault="006A6D8F" w:rsidP="006A6D8F">
            <w:pPr>
              <w:jc w:val="center"/>
              <w:rPr>
                <w:rFonts w:cs="Times New Roman"/>
                <w:sz w:val="21"/>
                <w:szCs w:val="21"/>
                <w:lang w:val="en-AU"/>
              </w:rPr>
            </w:pPr>
            <w:r w:rsidRPr="00C35D79">
              <w:rPr>
                <w:rFonts w:cs="Times New Roman"/>
                <w:sz w:val="21"/>
                <w:szCs w:val="21"/>
                <w:lang w:val="en-AU"/>
              </w:rPr>
              <w:t>0.384</w:t>
            </w:r>
          </w:p>
        </w:tc>
      </w:tr>
      <w:tr w:rsidR="006A6D8F" w:rsidRPr="00C35D79" w14:paraId="798A00E4" w14:textId="77777777" w:rsidTr="006A6D8F">
        <w:trPr>
          <w:trHeight w:val="320"/>
        </w:trPr>
        <w:tc>
          <w:tcPr>
            <w:tcW w:w="4199" w:type="dxa"/>
            <w:noWrap/>
            <w:vAlign w:val="center"/>
            <w:hideMark/>
          </w:tcPr>
          <w:p w14:paraId="590B6803" w14:textId="77777777" w:rsidR="006A6D8F" w:rsidRPr="00C35D79" w:rsidRDefault="006A6D8F" w:rsidP="00222A86">
            <w:pPr>
              <w:jc w:val="left"/>
              <w:rPr>
                <w:rFonts w:cs="Times New Roman"/>
                <w:sz w:val="21"/>
                <w:szCs w:val="21"/>
                <w:lang w:val="en-AU"/>
              </w:rPr>
            </w:pPr>
            <w:r w:rsidRPr="00C35D79">
              <w:rPr>
                <w:rFonts w:cs="Times New Roman"/>
                <w:sz w:val="21"/>
                <w:szCs w:val="21"/>
                <w:lang w:val="en-AU"/>
              </w:rPr>
              <w:t>Enteral</w:t>
            </w:r>
          </w:p>
        </w:tc>
        <w:tc>
          <w:tcPr>
            <w:tcW w:w="2570" w:type="dxa"/>
            <w:noWrap/>
            <w:vAlign w:val="center"/>
            <w:hideMark/>
          </w:tcPr>
          <w:p w14:paraId="25A23141"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15 (25)</w:t>
            </w:r>
          </w:p>
        </w:tc>
        <w:tc>
          <w:tcPr>
            <w:tcW w:w="1873" w:type="dxa"/>
            <w:noWrap/>
            <w:vAlign w:val="center"/>
            <w:hideMark/>
          </w:tcPr>
          <w:p w14:paraId="5A484F3F"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4 (15)</w:t>
            </w:r>
          </w:p>
        </w:tc>
        <w:tc>
          <w:tcPr>
            <w:tcW w:w="980" w:type="dxa"/>
            <w:noWrap/>
            <w:vAlign w:val="center"/>
            <w:hideMark/>
          </w:tcPr>
          <w:p w14:paraId="23150C6A" w14:textId="02EF92F8" w:rsidR="006A6D8F" w:rsidRPr="00C35D79" w:rsidRDefault="006A6D8F" w:rsidP="006A6D8F">
            <w:pPr>
              <w:jc w:val="center"/>
              <w:rPr>
                <w:rFonts w:cs="Times New Roman"/>
                <w:sz w:val="21"/>
                <w:szCs w:val="21"/>
                <w:lang w:val="en-AU"/>
              </w:rPr>
            </w:pPr>
          </w:p>
        </w:tc>
      </w:tr>
      <w:tr w:rsidR="006A6D8F" w:rsidRPr="00C35D79" w14:paraId="6FD85DE2" w14:textId="77777777" w:rsidTr="006A6D8F">
        <w:trPr>
          <w:trHeight w:val="320"/>
        </w:trPr>
        <w:tc>
          <w:tcPr>
            <w:tcW w:w="4199" w:type="dxa"/>
            <w:noWrap/>
            <w:vAlign w:val="center"/>
            <w:hideMark/>
          </w:tcPr>
          <w:p w14:paraId="3E51287C" w14:textId="77777777" w:rsidR="006A6D8F" w:rsidRPr="00C35D79" w:rsidRDefault="006A6D8F" w:rsidP="00222A86">
            <w:pPr>
              <w:jc w:val="left"/>
              <w:rPr>
                <w:rFonts w:cs="Times New Roman"/>
                <w:sz w:val="21"/>
                <w:szCs w:val="21"/>
                <w:lang w:val="en-AU"/>
              </w:rPr>
            </w:pPr>
            <w:r w:rsidRPr="00C35D79">
              <w:rPr>
                <w:rFonts w:cs="Times New Roman"/>
                <w:sz w:val="21"/>
                <w:szCs w:val="21"/>
                <w:lang w:val="en-AU"/>
              </w:rPr>
              <w:t>Parenteral</w:t>
            </w:r>
          </w:p>
        </w:tc>
        <w:tc>
          <w:tcPr>
            <w:tcW w:w="2570" w:type="dxa"/>
            <w:noWrap/>
            <w:vAlign w:val="center"/>
            <w:hideMark/>
          </w:tcPr>
          <w:p w14:paraId="4A8AE80D"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41 (67)</w:t>
            </w:r>
          </w:p>
        </w:tc>
        <w:tc>
          <w:tcPr>
            <w:tcW w:w="1873" w:type="dxa"/>
            <w:noWrap/>
            <w:vAlign w:val="center"/>
            <w:hideMark/>
          </w:tcPr>
          <w:p w14:paraId="4DF50DBE"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22 (81)</w:t>
            </w:r>
          </w:p>
        </w:tc>
        <w:tc>
          <w:tcPr>
            <w:tcW w:w="980" w:type="dxa"/>
            <w:noWrap/>
            <w:vAlign w:val="center"/>
            <w:hideMark/>
          </w:tcPr>
          <w:p w14:paraId="4D1D15C1" w14:textId="77777777" w:rsidR="006A6D8F" w:rsidRPr="00C35D79" w:rsidRDefault="006A6D8F" w:rsidP="006A6D8F">
            <w:pPr>
              <w:jc w:val="center"/>
              <w:rPr>
                <w:rFonts w:cs="Times New Roman"/>
                <w:sz w:val="21"/>
                <w:szCs w:val="21"/>
                <w:lang w:val="en-AU"/>
              </w:rPr>
            </w:pPr>
          </w:p>
        </w:tc>
      </w:tr>
      <w:tr w:rsidR="006A6D8F" w:rsidRPr="00C35D79" w14:paraId="0D1D256C" w14:textId="77777777" w:rsidTr="006A6D8F">
        <w:trPr>
          <w:trHeight w:val="320"/>
        </w:trPr>
        <w:tc>
          <w:tcPr>
            <w:tcW w:w="4199" w:type="dxa"/>
            <w:noWrap/>
            <w:vAlign w:val="center"/>
            <w:hideMark/>
          </w:tcPr>
          <w:p w14:paraId="5A969FF6" w14:textId="77777777" w:rsidR="006A6D8F" w:rsidRPr="00C35D79" w:rsidRDefault="006A6D8F" w:rsidP="00222A86">
            <w:pPr>
              <w:jc w:val="left"/>
              <w:rPr>
                <w:rFonts w:cs="Times New Roman"/>
                <w:sz w:val="21"/>
                <w:szCs w:val="21"/>
                <w:lang w:val="en-AU"/>
              </w:rPr>
            </w:pPr>
            <w:r w:rsidRPr="00C35D79">
              <w:rPr>
                <w:rFonts w:cs="Times New Roman"/>
                <w:sz w:val="21"/>
                <w:szCs w:val="21"/>
                <w:lang w:val="en-AU"/>
              </w:rPr>
              <w:t>Combined</w:t>
            </w:r>
          </w:p>
        </w:tc>
        <w:tc>
          <w:tcPr>
            <w:tcW w:w="2570" w:type="dxa"/>
            <w:noWrap/>
            <w:vAlign w:val="center"/>
            <w:hideMark/>
          </w:tcPr>
          <w:p w14:paraId="5F8379C1"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5 (8)</w:t>
            </w:r>
          </w:p>
        </w:tc>
        <w:tc>
          <w:tcPr>
            <w:tcW w:w="1873" w:type="dxa"/>
            <w:noWrap/>
            <w:vAlign w:val="center"/>
            <w:hideMark/>
          </w:tcPr>
          <w:p w14:paraId="51E2D5B3"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1 (4)</w:t>
            </w:r>
          </w:p>
        </w:tc>
        <w:tc>
          <w:tcPr>
            <w:tcW w:w="980" w:type="dxa"/>
            <w:noWrap/>
            <w:vAlign w:val="center"/>
            <w:hideMark/>
          </w:tcPr>
          <w:p w14:paraId="062D2626" w14:textId="77777777" w:rsidR="006A6D8F" w:rsidRPr="00C35D79" w:rsidRDefault="006A6D8F" w:rsidP="006A6D8F">
            <w:pPr>
              <w:jc w:val="center"/>
              <w:rPr>
                <w:rFonts w:cs="Times New Roman"/>
                <w:sz w:val="21"/>
                <w:szCs w:val="21"/>
                <w:lang w:val="en-AU"/>
              </w:rPr>
            </w:pPr>
          </w:p>
        </w:tc>
      </w:tr>
      <w:tr w:rsidR="006A6D8F" w:rsidRPr="00C35D79" w14:paraId="4416F4F8" w14:textId="77777777" w:rsidTr="006A6D8F">
        <w:trPr>
          <w:trHeight w:val="320"/>
        </w:trPr>
        <w:tc>
          <w:tcPr>
            <w:tcW w:w="4199" w:type="dxa"/>
            <w:noWrap/>
            <w:vAlign w:val="center"/>
            <w:hideMark/>
          </w:tcPr>
          <w:p w14:paraId="32315AC1" w14:textId="77777777" w:rsidR="006A6D8F" w:rsidRPr="00C35D79" w:rsidRDefault="006A6D8F" w:rsidP="00222A86">
            <w:pPr>
              <w:jc w:val="left"/>
              <w:rPr>
                <w:rFonts w:cs="Times New Roman"/>
                <w:b/>
                <w:bCs/>
                <w:sz w:val="21"/>
                <w:szCs w:val="21"/>
                <w:lang w:val="en-AU"/>
              </w:rPr>
            </w:pPr>
            <w:r w:rsidRPr="00C35D79">
              <w:rPr>
                <w:rFonts w:cs="Times New Roman"/>
                <w:b/>
                <w:bCs/>
                <w:sz w:val="21"/>
                <w:szCs w:val="21"/>
                <w:lang w:val="en-AU"/>
              </w:rPr>
              <w:t>Disease status</w:t>
            </w:r>
          </w:p>
        </w:tc>
        <w:tc>
          <w:tcPr>
            <w:tcW w:w="2570" w:type="dxa"/>
            <w:noWrap/>
            <w:vAlign w:val="center"/>
            <w:hideMark/>
          </w:tcPr>
          <w:p w14:paraId="2A7372A2" w14:textId="77777777" w:rsidR="006A6D8F" w:rsidRPr="00C35D79" w:rsidRDefault="006A6D8F" w:rsidP="006A6D8F">
            <w:pPr>
              <w:jc w:val="center"/>
              <w:rPr>
                <w:rFonts w:cs="Times New Roman"/>
                <w:sz w:val="21"/>
                <w:szCs w:val="21"/>
                <w:lang w:val="en-AU"/>
              </w:rPr>
            </w:pPr>
          </w:p>
        </w:tc>
        <w:tc>
          <w:tcPr>
            <w:tcW w:w="1873" w:type="dxa"/>
            <w:noWrap/>
            <w:vAlign w:val="center"/>
            <w:hideMark/>
          </w:tcPr>
          <w:p w14:paraId="2A01867F" w14:textId="77777777" w:rsidR="006A6D8F" w:rsidRPr="00C35D79" w:rsidRDefault="006A6D8F" w:rsidP="006A6D8F">
            <w:pPr>
              <w:jc w:val="center"/>
              <w:rPr>
                <w:rFonts w:cs="Times New Roman"/>
                <w:sz w:val="21"/>
                <w:szCs w:val="21"/>
                <w:lang w:val="en-AU"/>
              </w:rPr>
            </w:pPr>
          </w:p>
        </w:tc>
        <w:tc>
          <w:tcPr>
            <w:tcW w:w="980" w:type="dxa"/>
            <w:noWrap/>
            <w:vAlign w:val="center"/>
            <w:hideMark/>
          </w:tcPr>
          <w:p w14:paraId="17918138" w14:textId="5E1A8DB9" w:rsidR="006A6D8F" w:rsidRPr="00C35D79" w:rsidRDefault="006A6D8F" w:rsidP="006A6D8F">
            <w:pPr>
              <w:jc w:val="center"/>
              <w:rPr>
                <w:rFonts w:cs="Times New Roman"/>
                <w:sz w:val="21"/>
                <w:szCs w:val="21"/>
                <w:lang w:val="en-AU"/>
              </w:rPr>
            </w:pPr>
            <w:r w:rsidRPr="00C35D79">
              <w:rPr>
                <w:rFonts w:cs="Times New Roman"/>
                <w:sz w:val="21"/>
                <w:szCs w:val="21"/>
                <w:lang w:val="en-AU"/>
              </w:rPr>
              <w:t>0.268</w:t>
            </w:r>
          </w:p>
        </w:tc>
      </w:tr>
      <w:tr w:rsidR="006A6D8F" w:rsidRPr="00C35D79" w14:paraId="0BEF593C" w14:textId="77777777" w:rsidTr="006A6D8F">
        <w:trPr>
          <w:trHeight w:val="320"/>
        </w:trPr>
        <w:tc>
          <w:tcPr>
            <w:tcW w:w="4199" w:type="dxa"/>
            <w:noWrap/>
            <w:vAlign w:val="center"/>
            <w:hideMark/>
          </w:tcPr>
          <w:p w14:paraId="3FC0ADB4" w14:textId="77777777" w:rsidR="006A6D8F" w:rsidRPr="00C35D79" w:rsidRDefault="006A6D8F" w:rsidP="00222A86">
            <w:pPr>
              <w:jc w:val="left"/>
              <w:rPr>
                <w:rFonts w:cs="Times New Roman"/>
                <w:sz w:val="21"/>
                <w:szCs w:val="21"/>
                <w:lang w:val="en-AU"/>
              </w:rPr>
            </w:pPr>
            <w:r w:rsidRPr="00C35D79">
              <w:rPr>
                <w:rFonts w:cs="Times New Roman"/>
                <w:sz w:val="21"/>
                <w:szCs w:val="21"/>
                <w:lang w:val="en-AU"/>
              </w:rPr>
              <w:t>CR</w:t>
            </w:r>
          </w:p>
        </w:tc>
        <w:tc>
          <w:tcPr>
            <w:tcW w:w="2570" w:type="dxa"/>
            <w:noWrap/>
            <w:vAlign w:val="center"/>
            <w:hideMark/>
          </w:tcPr>
          <w:p w14:paraId="5DD4A389"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38 (62)</w:t>
            </w:r>
          </w:p>
        </w:tc>
        <w:tc>
          <w:tcPr>
            <w:tcW w:w="1873" w:type="dxa"/>
            <w:noWrap/>
            <w:vAlign w:val="center"/>
            <w:hideMark/>
          </w:tcPr>
          <w:p w14:paraId="4192B41C"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18 (67)</w:t>
            </w:r>
          </w:p>
        </w:tc>
        <w:tc>
          <w:tcPr>
            <w:tcW w:w="980" w:type="dxa"/>
            <w:noWrap/>
            <w:vAlign w:val="center"/>
            <w:hideMark/>
          </w:tcPr>
          <w:p w14:paraId="34145AE2" w14:textId="2BB1C68B" w:rsidR="006A6D8F" w:rsidRPr="00C35D79" w:rsidRDefault="006A6D8F" w:rsidP="006A6D8F">
            <w:pPr>
              <w:jc w:val="center"/>
              <w:rPr>
                <w:rFonts w:cs="Times New Roman"/>
                <w:sz w:val="21"/>
                <w:szCs w:val="21"/>
                <w:lang w:val="en-AU"/>
              </w:rPr>
            </w:pPr>
          </w:p>
        </w:tc>
      </w:tr>
      <w:tr w:rsidR="006A6D8F" w:rsidRPr="00C35D79" w14:paraId="5D87BCFB" w14:textId="77777777" w:rsidTr="006A6D8F">
        <w:trPr>
          <w:trHeight w:val="320"/>
        </w:trPr>
        <w:tc>
          <w:tcPr>
            <w:tcW w:w="4199" w:type="dxa"/>
            <w:noWrap/>
            <w:vAlign w:val="center"/>
            <w:hideMark/>
          </w:tcPr>
          <w:p w14:paraId="783F110F" w14:textId="1CF07797" w:rsidR="006A6D8F" w:rsidRPr="00C35D79" w:rsidRDefault="0091584C" w:rsidP="00222A86">
            <w:pPr>
              <w:jc w:val="left"/>
              <w:rPr>
                <w:rFonts w:cs="Times New Roman"/>
                <w:sz w:val="21"/>
                <w:szCs w:val="21"/>
                <w:lang w:val="en-AU"/>
              </w:rPr>
            </w:pPr>
            <w:r w:rsidRPr="00C35D79">
              <w:rPr>
                <w:rFonts w:cs="Times New Roman"/>
                <w:sz w:val="21"/>
                <w:szCs w:val="21"/>
                <w:lang w:val="en-AU"/>
              </w:rPr>
              <w:t>non-CR</w:t>
            </w:r>
          </w:p>
        </w:tc>
        <w:tc>
          <w:tcPr>
            <w:tcW w:w="2570" w:type="dxa"/>
            <w:noWrap/>
            <w:vAlign w:val="center"/>
            <w:hideMark/>
          </w:tcPr>
          <w:p w14:paraId="267E6A7B"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23 (38)</w:t>
            </w:r>
          </w:p>
        </w:tc>
        <w:tc>
          <w:tcPr>
            <w:tcW w:w="1873" w:type="dxa"/>
            <w:noWrap/>
            <w:vAlign w:val="center"/>
            <w:hideMark/>
          </w:tcPr>
          <w:p w14:paraId="5AC7B817" w14:textId="77777777" w:rsidR="006A6D8F" w:rsidRPr="00C35D79" w:rsidRDefault="006A6D8F" w:rsidP="006A6D8F">
            <w:pPr>
              <w:jc w:val="center"/>
              <w:rPr>
                <w:rFonts w:cs="Times New Roman"/>
                <w:sz w:val="21"/>
                <w:szCs w:val="21"/>
                <w:lang w:val="en-AU"/>
              </w:rPr>
            </w:pPr>
            <w:r w:rsidRPr="00C35D79">
              <w:rPr>
                <w:rFonts w:cs="Times New Roman"/>
                <w:sz w:val="21"/>
                <w:szCs w:val="21"/>
                <w:lang w:val="en-AU"/>
              </w:rPr>
              <w:t>9 (33)</w:t>
            </w:r>
          </w:p>
        </w:tc>
        <w:tc>
          <w:tcPr>
            <w:tcW w:w="980" w:type="dxa"/>
            <w:noWrap/>
            <w:vAlign w:val="center"/>
            <w:hideMark/>
          </w:tcPr>
          <w:p w14:paraId="3AEE282B" w14:textId="77777777" w:rsidR="006A6D8F" w:rsidRPr="00C35D79" w:rsidRDefault="006A6D8F" w:rsidP="006A6D8F">
            <w:pPr>
              <w:jc w:val="center"/>
              <w:rPr>
                <w:rFonts w:cs="Times New Roman"/>
                <w:sz w:val="21"/>
                <w:szCs w:val="21"/>
                <w:lang w:val="en-AU"/>
              </w:rPr>
            </w:pPr>
          </w:p>
        </w:tc>
      </w:tr>
    </w:tbl>
    <w:p w14:paraId="54C6CE54" w14:textId="77777777" w:rsidR="00E17BC9" w:rsidRPr="00C35D79" w:rsidRDefault="00E17BC9" w:rsidP="00E17BC9">
      <w:pPr>
        <w:rPr>
          <w:rFonts w:cs="Times New Roman"/>
          <w:lang w:val="en-AU"/>
        </w:rPr>
      </w:pPr>
    </w:p>
    <w:p w14:paraId="3D95114F" w14:textId="1AC5DD51" w:rsidR="00E17BC9" w:rsidRPr="00C35D79" w:rsidRDefault="00E17BC9">
      <w:pPr>
        <w:rPr>
          <w:rStyle w:val="Titolo1Carattere"/>
          <w:rFonts w:cs="Times New Roman"/>
          <w:lang w:val="en-AU"/>
        </w:rPr>
      </w:pPr>
      <w:r w:rsidRPr="00C35D79">
        <w:rPr>
          <w:rStyle w:val="Titolo1Carattere"/>
          <w:rFonts w:cs="Times New Roman"/>
          <w:lang w:val="en-AU"/>
        </w:rPr>
        <w:br w:type="page"/>
      </w:r>
    </w:p>
    <w:p w14:paraId="7543C3A4" w14:textId="03A9D65A" w:rsidR="00DF4195" w:rsidRPr="00C35D79" w:rsidRDefault="00F2788F" w:rsidP="00D16AC8">
      <w:pPr>
        <w:spacing w:line="276" w:lineRule="auto"/>
        <w:rPr>
          <w:noProof/>
          <w:lang w:val="en-AU"/>
        </w:rPr>
      </w:pPr>
      <w:bookmarkStart w:id="4" w:name="_Toc202199955"/>
      <w:r w:rsidRPr="00C35D79">
        <w:rPr>
          <w:rStyle w:val="Titolo1Carattere"/>
          <w:rFonts w:cs="Times New Roman"/>
          <w:lang w:val="en-AU"/>
        </w:rPr>
        <w:lastRenderedPageBreak/>
        <w:t xml:space="preserve">Supplemental Figure </w:t>
      </w:r>
      <w:r w:rsidR="00057D2D" w:rsidRPr="00C35D79">
        <w:rPr>
          <w:rStyle w:val="Titolo1Carattere"/>
          <w:rFonts w:cs="Times New Roman"/>
          <w:lang w:val="en-AU"/>
        </w:rPr>
        <w:t>1</w:t>
      </w:r>
      <w:r w:rsidRPr="00C35D79">
        <w:rPr>
          <w:rStyle w:val="Titolo1Carattere"/>
          <w:rFonts w:cs="Times New Roman"/>
          <w:lang w:val="en-AU"/>
        </w:rPr>
        <w:t xml:space="preserve">. Distribution of gut microbiota diversity by patient age (in years). </w:t>
      </w:r>
      <w:r w:rsidR="00111D29" w:rsidRPr="00C35D79">
        <w:rPr>
          <w:rStyle w:val="Titolo1Carattere"/>
          <w:rFonts w:cs="Times New Roman"/>
          <w:b w:val="0"/>
          <w:bCs/>
          <w:lang w:val="en-AU"/>
        </w:rPr>
        <w:t>Scatter</w:t>
      </w:r>
      <w:r w:rsidRPr="00C35D79">
        <w:rPr>
          <w:rStyle w:val="Titolo1Carattere"/>
          <w:rFonts w:cs="Times New Roman"/>
          <w:b w:val="0"/>
          <w:bCs/>
          <w:lang w:val="en-AU"/>
        </w:rPr>
        <w:t xml:space="preserve"> </w:t>
      </w:r>
      <w:r w:rsidR="00111D29" w:rsidRPr="00C35D79">
        <w:rPr>
          <w:rStyle w:val="Titolo1Carattere"/>
          <w:rFonts w:cs="Times New Roman"/>
          <w:b w:val="0"/>
          <w:bCs/>
          <w:lang w:val="en-AU"/>
        </w:rPr>
        <w:t xml:space="preserve">plot showing </w:t>
      </w:r>
      <w:r w:rsidRPr="00C35D79">
        <w:rPr>
          <w:rStyle w:val="Titolo1Carattere"/>
          <w:rFonts w:cs="Times New Roman"/>
          <w:b w:val="0"/>
          <w:bCs/>
          <w:lang w:val="en-AU"/>
        </w:rPr>
        <w:t xml:space="preserve">data for samples collected before allo-HSCT </w:t>
      </w:r>
      <w:r w:rsidR="00111D29" w:rsidRPr="00C35D79">
        <w:rPr>
          <w:rStyle w:val="Titolo1Carattere"/>
          <w:rFonts w:cs="Times New Roman"/>
          <w:b w:val="0"/>
          <w:bCs/>
          <w:lang w:val="en-AU"/>
        </w:rPr>
        <w:t xml:space="preserve">(A) </w:t>
      </w:r>
      <w:r w:rsidRPr="00C35D79">
        <w:rPr>
          <w:rStyle w:val="Titolo1Carattere"/>
          <w:rFonts w:cs="Times New Roman"/>
          <w:b w:val="0"/>
          <w:bCs/>
          <w:lang w:val="en-AU"/>
        </w:rPr>
        <w:t>and for those collected at neutrophil engraftment</w:t>
      </w:r>
      <w:r w:rsidR="00111D29" w:rsidRPr="00C35D79">
        <w:rPr>
          <w:rStyle w:val="Titolo1Carattere"/>
          <w:rFonts w:cs="Times New Roman"/>
          <w:b w:val="0"/>
          <w:bCs/>
          <w:lang w:val="en-AU"/>
        </w:rPr>
        <w:t xml:space="preserve"> (B)</w:t>
      </w:r>
      <w:r w:rsidRPr="00C35D79">
        <w:rPr>
          <w:rStyle w:val="Titolo1Carattere"/>
          <w:rFonts w:cs="Times New Roman"/>
          <w:b w:val="0"/>
          <w:bCs/>
          <w:lang w:val="en-AU"/>
        </w:rPr>
        <w:t>.</w:t>
      </w:r>
      <w:r w:rsidR="000C18ED" w:rsidRPr="00C35D79">
        <w:rPr>
          <w:rStyle w:val="Titolo1Carattere"/>
          <w:rFonts w:cs="Times New Roman"/>
          <w:b w:val="0"/>
          <w:bCs/>
          <w:lang w:val="en-AU"/>
        </w:rPr>
        <w:t xml:space="preserve"> Gut microbiota diversity was computed using </w:t>
      </w:r>
      <w:r w:rsidR="00EF49D6" w:rsidRPr="00C35D79">
        <w:rPr>
          <w:rStyle w:val="Titolo1Carattere"/>
          <w:rFonts w:cs="Times New Roman"/>
          <w:b w:val="0"/>
          <w:bCs/>
          <w:lang w:val="en-AU"/>
        </w:rPr>
        <w:t>two metrics: Shannon entropy (left panels) and Faith’s Phylogenetic Diversity (Faith’s PD, right panels).</w:t>
      </w:r>
      <w:bookmarkEnd w:id="4"/>
      <w:r w:rsidR="00EF49D6" w:rsidRPr="00C35D79">
        <w:rPr>
          <w:rStyle w:val="Titolo1Carattere"/>
          <w:rFonts w:cs="Times New Roman"/>
          <w:bCs/>
          <w:lang w:val="en-AU"/>
        </w:rPr>
        <w:t xml:space="preserve"> </w:t>
      </w:r>
    </w:p>
    <w:p w14:paraId="0CE796B9" w14:textId="3988AF46" w:rsidR="006B6A8D" w:rsidRPr="00C35D79" w:rsidRDefault="00DF4195" w:rsidP="00DF4195">
      <w:pPr>
        <w:spacing w:line="276" w:lineRule="auto"/>
        <w:rPr>
          <w:rFonts w:eastAsiaTheme="majorEastAsia" w:cs="Times New Roman"/>
          <w:b/>
          <w:color w:val="000000" w:themeColor="text1"/>
          <w:szCs w:val="40"/>
          <w:lang w:val="en-AU"/>
        </w:rPr>
      </w:pPr>
      <w:r w:rsidRPr="00C35D79">
        <w:rPr>
          <w:noProof/>
          <w:lang w:val="en-AU"/>
        </w:rPr>
        <w:drawing>
          <wp:inline distT="0" distB="0" distL="0" distR="0" wp14:anchorId="30AB26F4" wp14:editId="3481E976">
            <wp:extent cx="6115945" cy="5314950"/>
            <wp:effectExtent l="0" t="0" r="0" b="0"/>
            <wp:docPr id="2" name="Immagine 1" descr="Immagine che contiene testo,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descr="Immagine che contiene testo, diagramma&#10;&#10;Il contenuto generato dall'IA potrebbe non essere corretto."/>
                    <pic:cNvPicPr>
                      <a:picLocks noChangeAspect="1" noChangeArrowheads="1"/>
                    </pic:cNvPicPr>
                  </pic:nvPicPr>
                  <pic:blipFill rotWithShape="1">
                    <a:blip r:embed="rId8">
                      <a:extLst>
                        <a:ext uri="{28A0092B-C50C-407E-A947-70E740481C1C}">
                          <a14:useLocalDpi xmlns:a14="http://schemas.microsoft.com/office/drawing/2010/main" val="0"/>
                        </a:ext>
                      </a:extLst>
                    </a:blip>
                    <a:srcRect b="38551"/>
                    <a:stretch/>
                  </pic:blipFill>
                  <pic:spPr bwMode="auto">
                    <a:xfrm>
                      <a:off x="0" y="0"/>
                      <a:ext cx="6116320" cy="5315276"/>
                    </a:xfrm>
                    <a:prstGeom prst="rect">
                      <a:avLst/>
                    </a:prstGeom>
                    <a:noFill/>
                    <a:ln>
                      <a:noFill/>
                    </a:ln>
                    <a:extLst>
                      <a:ext uri="{53640926-AAD7-44D8-BBD7-CCE9431645EC}">
                        <a14:shadowObscured xmlns:a14="http://schemas.microsoft.com/office/drawing/2010/main"/>
                      </a:ext>
                    </a:extLst>
                  </pic:spPr>
                </pic:pic>
              </a:graphicData>
            </a:graphic>
          </wp:inline>
        </w:drawing>
      </w:r>
    </w:p>
    <w:p w14:paraId="59F279E0" w14:textId="77777777" w:rsidR="00057D2D" w:rsidRPr="00C35D79" w:rsidRDefault="00057D2D" w:rsidP="00585AFE">
      <w:pPr>
        <w:spacing w:line="276" w:lineRule="auto"/>
        <w:rPr>
          <w:rStyle w:val="Titolo1Carattere"/>
          <w:rFonts w:cs="Times New Roman"/>
          <w:lang w:val="en-AU"/>
        </w:rPr>
      </w:pPr>
    </w:p>
    <w:p w14:paraId="682B18AA" w14:textId="77777777" w:rsidR="00F2788F" w:rsidRPr="00C35D79" w:rsidRDefault="00F2788F" w:rsidP="00585AFE">
      <w:pPr>
        <w:spacing w:line="276" w:lineRule="auto"/>
        <w:rPr>
          <w:rStyle w:val="Titolo1Carattere"/>
          <w:rFonts w:cs="Times New Roman"/>
          <w:lang w:val="en-AU"/>
        </w:rPr>
      </w:pPr>
    </w:p>
    <w:p w14:paraId="409B979B" w14:textId="77777777" w:rsidR="00744585" w:rsidRPr="00C35D79" w:rsidRDefault="00744585">
      <w:pPr>
        <w:rPr>
          <w:rStyle w:val="Titolo1Carattere"/>
          <w:rFonts w:cs="Times New Roman"/>
          <w:lang w:val="en-AU"/>
        </w:rPr>
      </w:pPr>
      <w:r w:rsidRPr="00C35D79">
        <w:rPr>
          <w:rStyle w:val="Titolo1Carattere"/>
          <w:rFonts w:cs="Times New Roman"/>
          <w:lang w:val="en-AU"/>
        </w:rPr>
        <w:br w:type="page"/>
      </w:r>
    </w:p>
    <w:p w14:paraId="248D32D3" w14:textId="61E9E644" w:rsidR="000508A0" w:rsidRPr="00C35D79" w:rsidRDefault="00585AFE" w:rsidP="00744585">
      <w:pPr>
        <w:spacing w:line="276" w:lineRule="auto"/>
        <w:rPr>
          <w:noProof/>
          <w:lang w:val="en-AU"/>
        </w:rPr>
      </w:pPr>
      <w:bookmarkStart w:id="5" w:name="_Toc202199956"/>
      <w:r w:rsidRPr="00C35D79">
        <w:rPr>
          <w:rStyle w:val="Titolo1Carattere"/>
          <w:rFonts w:cs="Times New Roman"/>
          <w:lang w:val="en-AU"/>
        </w:rPr>
        <w:lastRenderedPageBreak/>
        <w:t xml:space="preserve">Supplementary Figure </w:t>
      </w:r>
      <w:r w:rsidR="00003BF2" w:rsidRPr="00C35D79">
        <w:rPr>
          <w:rStyle w:val="Titolo1Carattere"/>
          <w:rFonts w:cs="Times New Roman"/>
          <w:lang w:val="en-AU"/>
        </w:rPr>
        <w:t>2</w:t>
      </w:r>
      <w:r w:rsidRPr="00C35D79">
        <w:rPr>
          <w:rStyle w:val="Titolo1Carattere"/>
          <w:rFonts w:cs="Times New Roman"/>
          <w:lang w:val="en-AU"/>
        </w:rPr>
        <w:t>: Gut microbiota phyla and families differentially represented before HSCT and at neutrophils engraftment in adults and pediatric patients.</w:t>
      </w:r>
      <w:bookmarkEnd w:id="5"/>
      <w:r w:rsidRPr="00C35D79">
        <w:rPr>
          <w:rFonts w:cs="Times New Roman"/>
          <w:b/>
          <w:bCs/>
          <w:lang w:val="en-AU"/>
        </w:rPr>
        <w:t xml:space="preserve"> </w:t>
      </w:r>
      <w:r w:rsidRPr="00C35D79">
        <w:rPr>
          <w:rFonts w:cs="Times New Roman"/>
          <w:lang w:val="en-AU"/>
        </w:rPr>
        <w:t>Boxplots showing the relative abundance (%) distribution of phyla (A) and families (B)</w:t>
      </w:r>
      <w:r w:rsidRPr="00C35D79">
        <w:rPr>
          <w:rFonts w:cs="Times New Roman"/>
          <w:b/>
          <w:bCs/>
          <w:lang w:val="en-AU"/>
        </w:rPr>
        <w:t xml:space="preserve"> </w:t>
      </w:r>
      <w:r w:rsidRPr="00C35D79">
        <w:rPr>
          <w:rFonts w:cs="Times New Roman"/>
          <w:lang w:val="en-AU"/>
        </w:rPr>
        <w:t xml:space="preserve">of the gut microbiota differentially represented in samples from patients greater than/equal to 15 years before HSCT (“PRE_AD”) or at neutrophils engraftment (“TAKE_AD”) and from patients less than 15 years of age before HSCT (“PRE_PED”) or at neutrophils engraftment (“TAKE_PED”). Wilcoxon test, * p value ≤ 0.05; ** p value ≤ 0.01; *** p value ≤ 0.001; **** p value ≤ 0.0001; ° p value ≤ 0.09. </w:t>
      </w:r>
    </w:p>
    <w:p w14:paraId="52BB0EF5" w14:textId="63242B3E" w:rsidR="00585AFE" w:rsidRPr="00C35D79" w:rsidRDefault="000D6646" w:rsidP="00744585">
      <w:pPr>
        <w:pStyle w:val="NormaleWeb"/>
        <w:jc w:val="center"/>
        <w:rPr>
          <w:lang w:val="en-AU"/>
        </w:rPr>
      </w:pPr>
      <w:r w:rsidRPr="00C35D79">
        <w:rPr>
          <w:noProof/>
          <w:lang w:val="en-AU"/>
        </w:rPr>
        <w:drawing>
          <wp:inline distT="0" distB="0" distL="0" distR="0" wp14:anchorId="2787CCC3" wp14:editId="10D443B6">
            <wp:extent cx="4597172" cy="7198468"/>
            <wp:effectExtent l="0" t="0" r="635" b="2540"/>
            <wp:docPr id="7" name="Immagine 6" descr="Immagine che contiene testo, diagramma, Piano,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6" descr="Immagine che contiene testo, diagramma, Piano, schermata&#10;&#10;Il contenuto generato dall'IA potrebbe non essere corretto."/>
                    <pic:cNvPicPr>
                      <a:picLocks noChangeAspect="1" noChangeArrowheads="1"/>
                    </pic:cNvPicPr>
                  </pic:nvPicPr>
                  <pic:blipFill rotWithShape="1">
                    <a:blip r:embed="rId9">
                      <a:extLst>
                        <a:ext uri="{28A0092B-C50C-407E-A947-70E740481C1C}">
                          <a14:useLocalDpi xmlns:a14="http://schemas.microsoft.com/office/drawing/2010/main" val="0"/>
                        </a:ext>
                      </a:extLst>
                    </a:blip>
                    <a:srcRect r="14895" b="5771"/>
                    <a:stretch/>
                  </pic:blipFill>
                  <pic:spPr bwMode="auto">
                    <a:xfrm>
                      <a:off x="0" y="0"/>
                      <a:ext cx="4636343" cy="7259805"/>
                    </a:xfrm>
                    <a:prstGeom prst="rect">
                      <a:avLst/>
                    </a:prstGeom>
                    <a:noFill/>
                    <a:ln>
                      <a:noFill/>
                    </a:ln>
                    <a:extLst>
                      <a:ext uri="{53640926-AAD7-44D8-BBD7-CCE9431645EC}">
                        <a14:shadowObscured xmlns:a14="http://schemas.microsoft.com/office/drawing/2010/main"/>
                      </a:ext>
                    </a:extLst>
                  </pic:spPr>
                </pic:pic>
              </a:graphicData>
            </a:graphic>
          </wp:inline>
        </w:drawing>
      </w:r>
      <w:r w:rsidR="00585AFE" w:rsidRPr="00C35D79">
        <w:rPr>
          <w:b/>
          <w:bCs/>
          <w:lang w:val="en-AU"/>
        </w:rPr>
        <w:br w:type="page"/>
      </w:r>
    </w:p>
    <w:p w14:paraId="14609719" w14:textId="35268038" w:rsidR="004D5122" w:rsidRPr="00C35D79" w:rsidRDefault="004125E4" w:rsidP="004D5122">
      <w:pPr>
        <w:spacing w:line="276" w:lineRule="auto"/>
        <w:rPr>
          <w:rFonts w:cs="Times New Roman"/>
          <w:b/>
          <w:bCs/>
          <w:lang w:val="en-AU"/>
        </w:rPr>
      </w:pPr>
      <w:bookmarkStart w:id="6" w:name="_Toc202199957"/>
      <w:r w:rsidRPr="00C35D79">
        <w:rPr>
          <w:rStyle w:val="Titolo1Carattere"/>
          <w:rFonts w:cs="Times New Roman"/>
          <w:lang w:val="en-AU"/>
        </w:rPr>
        <w:lastRenderedPageBreak/>
        <w:t xml:space="preserve">Supplementary Figure </w:t>
      </w:r>
      <w:r w:rsidR="00003BF2" w:rsidRPr="00C35D79">
        <w:rPr>
          <w:rStyle w:val="Titolo1Carattere"/>
          <w:rFonts w:cs="Times New Roman"/>
          <w:lang w:val="en-AU"/>
        </w:rPr>
        <w:t>3</w:t>
      </w:r>
      <w:r w:rsidRPr="00C35D79">
        <w:rPr>
          <w:rStyle w:val="Titolo1Carattere"/>
          <w:rFonts w:cs="Times New Roman"/>
          <w:lang w:val="en-AU"/>
        </w:rPr>
        <w:t>: Gut microbiota genera differentially represented before HSCT and at neutrophils engraftment in adults and pediatric patients.</w:t>
      </w:r>
      <w:bookmarkEnd w:id="6"/>
      <w:r w:rsidRPr="00C35D79">
        <w:rPr>
          <w:rFonts w:cs="Times New Roman"/>
          <w:b/>
          <w:bCs/>
          <w:lang w:val="en-AU"/>
        </w:rPr>
        <w:t xml:space="preserve"> </w:t>
      </w:r>
      <w:r w:rsidRPr="00C35D79">
        <w:rPr>
          <w:rFonts w:cs="Times New Roman"/>
          <w:lang w:val="en-AU"/>
        </w:rPr>
        <w:t>Boxplots showing the relative abundance (%) distribution of genera of the gut microbiota differentially represented in samples from patients greater than/equal to 15 years before HSCT (“PRE_AD”) or at neutrophils engraftment (“TAKE_AD”) and from patients less than 15 years of age before HSCT (“PRE_PED”) or at neutrophils engraftment (“TAKE_PED”). Wilcoxon test, * p value ≤ 0.05; ** p value ≤ 0.01; *** p value ≤ 0.001; **** p value ≤ 0.0001; ° p value ≤ 0.09.</w:t>
      </w:r>
    </w:p>
    <w:p w14:paraId="434D333D" w14:textId="50602B0E" w:rsidR="00750740" w:rsidRPr="00C35D79" w:rsidRDefault="00750740" w:rsidP="00744585">
      <w:pPr>
        <w:pStyle w:val="NormaleWeb"/>
        <w:jc w:val="center"/>
        <w:rPr>
          <w:lang w:val="en-AU"/>
        </w:rPr>
      </w:pPr>
      <w:r w:rsidRPr="00C35D79">
        <w:rPr>
          <w:noProof/>
          <w:lang w:val="en-AU"/>
        </w:rPr>
        <w:drawing>
          <wp:inline distT="0" distB="0" distL="0" distR="0" wp14:anchorId="03B3751E" wp14:editId="23BF095B">
            <wp:extent cx="5598063" cy="7092315"/>
            <wp:effectExtent l="0" t="0" r="3175" b="0"/>
            <wp:docPr id="8" name="Immagine 7" descr="Immagine che contiene testo, diagramma, schermata, Pian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magine 7" descr="Immagine che contiene testo, diagramma, schermata, Piano&#10;&#10;Il contenuto generato dall'IA potrebbe non essere corretto."/>
                    <pic:cNvPicPr>
                      <a:picLocks noChangeAspect="1" noChangeArrowheads="1"/>
                    </pic:cNvPicPr>
                  </pic:nvPicPr>
                  <pic:blipFill rotWithShape="1">
                    <a:blip r:embed="rId10">
                      <a:extLst>
                        <a:ext uri="{28A0092B-C50C-407E-A947-70E740481C1C}">
                          <a14:useLocalDpi xmlns:a14="http://schemas.microsoft.com/office/drawing/2010/main" val="0"/>
                        </a:ext>
                      </a:extLst>
                    </a:blip>
                    <a:srcRect b="10412"/>
                    <a:stretch/>
                  </pic:blipFill>
                  <pic:spPr bwMode="auto">
                    <a:xfrm>
                      <a:off x="0" y="0"/>
                      <a:ext cx="5601476" cy="7096639"/>
                    </a:xfrm>
                    <a:prstGeom prst="rect">
                      <a:avLst/>
                    </a:prstGeom>
                    <a:noFill/>
                    <a:ln>
                      <a:noFill/>
                    </a:ln>
                    <a:extLst>
                      <a:ext uri="{53640926-AAD7-44D8-BBD7-CCE9431645EC}">
                        <a14:shadowObscured xmlns:a14="http://schemas.microsoft.com/office/drawing/2010/main"/>
                      </a:ext>
                    </a:extLst>
                  </pic:spPr>
                </pic:pic>
              </a:graphicData>
            </a:graphic>
          </wp:inline>
        </w:drawing>
      </w:r>
    </w:p>
    <w:p w14:paraId="5AA9233C" w14:textId="77777777" w:rsidR="004D5122" w:rsidRPr="00C35D79" w:rsidRDefault="004D5122" w:rsidP="004D5122">
      <w:pPr>
        <w:pStyle w:val="NormaleWeb"/>
        <w:rPr>
          <w:noProof/>
          <w:lang w:val="en-AU"/>
        </w:rPr>
      </w:pPr>
    </w:p>
    <w:p w14:paraId="36937F37" w14:textId="3C105C13" w:rsidR="004D5122" w:rsidRPr="00C35D79" w:rsidRDefault="004D5122" w:rsidP="004D5122">
      <w:pPr>
        <w:pStyle w:val="NormaleWeb"/>
        <w:rPr>
          <w:lang w:val="en-AU"/>
        </w:rPr>
      </w:pPr>
      <w:r w:rsidRPr="00C35D79">
        <w:rPr>
          <w:noProof/>
          <w:lang w:val="en-AU"/>
        </w:rPr>
        <w:lastRenderedPageBreak/>
        <w:drawing>
          <wp:inline distT="0" distB="0" distL="0" distR="0" wp14:anchorId="5384205E" wp14:editId="41268578">
            <wp:extent cx="5835015" cy="6596875"/>
            <wp:effectExtent l="0" t="0" r="0" b="0"/>
            <wp:docPr id="10" name="Immagine 9" descr="Immagine che contiene testo, diagramma, Piano,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9" descr="Immagine che contiene testo, diagramma, Piano, schermata&#10;&#10;Il contenuto generato dall'IA potrebbe non essere corretto."/>
                    <pic:cNvPicPr>
                      <a:picLocks noChangeAspect="1" noChangeArrowheads="1"/>
                    </pic:cNvPicPr>
                  </pic:nvPicPr>
                  <pic:blipFill rotWithShape="1">
                    <a:blip r:embed="rId11">
                      <a:extLst>
                        <a:ext uri="{28A0092B-C50C-407E-A947-70E740481C1C}">
                          <a14:useLocalDpi xmlns:a14="http://schemas.microsoft.com/office/drawing/2010/main" val="0"/>
                        </a:ext>
                      </a:extLst>
                    </a:blip>
                    <a:srcRect b="20054"/>
                    <a:stretch/>
                  </pic:blipFill>
                  <pic:spPr bwMode="auto">
                    <a:xfrm>
                      <a:off x="0" y="0"/>
                      <a:ext cx="5846103" cy="6609411"/>
                    </a:xfrm>
                    <a:prstGeom prst="rect">
                      <a:avLst/>
                    </a:prstGeom>
                    <a:noFill/>
                    <a:ln>
                      <a:noFill/>
                    </a:ln>
                    <a:extLst>
                      <a:ext uri="{53640926-AAD7-44D8-BBD7-CCE9431645EC}">
                        <a14:shadowObscured xmlns:a14="http://schemas.microsoft.com/office/drawing/2010/main"/>
                      </a:ext>
                    </a:extLst>
                  </pic:spPr>
                </pic:pic>
              </a:graphicData>
            </a:graphic>
          </wp:inline>
        </w:drawing>
      </w:r>
    </w:p>
    <w:p w14:paraId="2F146541" w14:textId="51F548DF" w:rsidR="00585AFE" w:rsidRPr="00C35D79" w:rsidRDefault="00585AFE" w:rsidP="00C35D79">
      <w:pPr>
        <w:rPr>
          <w:lang w:val="en-AU"/>
        </w:rPr>
      </w:pPr>
    </w:p>
    <w:p w14:paraId="2E28F21D" w14:textId="5DD6062F" w:rsidR="004125E4" w:rsidRPr="00C35D79" w:rsidRDefault="004125E4" w:rsidP="00C35D79">
      <w:pPr>
        <w:rPr>
          <w:lang w:val="en-AU"/>
        </w:rPr>
      </w:pPr>
      <w:r w:rsidRPr="00C35D79">
        <w:rPr>
          <w:lang w:val="en-AU"/>
        </w:rPr>
        <w:br w:type="page"/>
      </w:r>
    </w:p>
    <w:p w14:paraId="687B4DBD" w14:textId="0013214A" w:rsidR="000F3591" w:rsidRPr="00C35D79" w:rsidRDefault="00040393" w:rsidP="000F3591">
      <w:pPr>
        <w:spacing w:line="276" w:lineRule="auto"/>
        <w:rPr>
          <w:rFonts w:cs="Times New Roman"/>
          <w:b/>
          <w:bCs/>
          <w:lang w:val="en-AU"/>
        </w:rPr>
      </w:pPr>
      <w:bookmarkStart w:id="7" w:name="_Toc202199958"/>
      <w:r w:rsidRPr="00C35D79">
        <w:rPr>
          <w:rStyle w:val="Titolo1Carattere"/>
          <w:lang w:val="en-AU"/>
        </w:rPr>
        <w:lastRenderedPageBreak/>
        <w:t>Supplementary Figure 4. Gut microbiota genera differentially represented before HSCT and at neutrophil engraftment in adult and pediatric patients, with or without antibiotic prophylaxis.</w:t>
      </w:r>
      <w:bookmarkEnd w:id="7"/>
      <w:r w:rsidRPr="00C35D79">
        <w:rPr>
          <w:rFonts w:eastAsiaTheme="majorEastAsia" w:cs="Times New Roman"/>
          <w:b/>
          <w:color w:val="000000" w:themeColor="text1"/>
          <w:szCs w:val="40"/>
          <w:lang w:val="en-AU"/>
        </w:rPr>
        <w:t xml:space="preserve"> </w:t>
      </w:r>
      <w:r w:rsidRPr="00C35D79">
        <w:rPr>
          <w:lang w:val="en-AU"/>
        </w:rPr>
        <w:t>Boxplots show the relative abundance (%) of gut microbiota genera differentially represented in samples from adult patients (≥15 years) before HSCT who received (“</w:t>
      </w:r>
      <w:proofErr w:type="spellStart"/>
      <w:r w:rsidRPr="00C35D79">
        <w:rPr>
          <w:lang w:val="en-AU"/>
        </w:rPr>
        <w:t>Ab_PRE_AD</w:t>
      </w:r>
      <w:proofErr w:type="spellEnd"/>
      <w:r w:rsidRPr="00C35D79">
        <w:rPr>
          <w:lang w:val="en-AU"/>
        </w:rPr>
        <w:t>”) or did not receive (“</w:t>
      </w:r>
      <w:proofErr w:type="spellStart"/>
      <w:r w:rsidRPr="00C35D79">
        <w:rPr>
          <w:lang w:val="en-AU"/>
        </w:rPr>
        <w:t>noAb_PRE_AD</w:t>
      </w:r>
      <w:proofErr w:type="spellEnd"/>
      <w:r w:rsidRPr="00C35D79">
        <w:rPr>
          <w:lang w:val="en-AU"/>
        </w:rPr>
        <w:t>”) antibiotic prophylaxis, and at neutrophil engraftment in those who received (“</w:t>
      </w:r>
      <w:proofErr w:type="spellStart"/>
      <w:r w:rsidRPr="00C35D79">
        <w:rPr>
          <w:lang w:val="en-AU"/>
        </w:rPr>
        <w:t>Ab_TAKE_AD</w:t>
      </w:r>
      <w:proofErr w:type="spellEnd"/>
      <w:r w:rsidRPr="00C35D79">
        <w:rPr>
          <w:lang w:val="en-AU"/>
        </w:rPr>
        <w:t>”) or did not receive (“</w:t>
      </w:r>
      <w:proofErr w:type="spellStart"/>
      <w:r w:rsidRPr="00C35D79">
        <w:rPr>
          <w:lang w:val="en-AU"/>
        </w:rPr>
        <w:t>noAb_TAKE_AD</w:t>
      </w:r>
      <w:proofErr w:type="spellEnd"/>
      <w:r w:rsidRPr="00C35D79">
        <w:rPr>
          <w:lang w:val="en-AU"/>
        </w:rPr>
        <w:t>”) antibiotic prophylaxis. Data from pediatric patients (&lt;15 years) are also shown, including samples collected before HSCT from those who received (“</w:t>
      </w:r>
      <w:proofErr w:type="spellStart"/>
      <w:r w:rsidRPr="00C35D79">
        <w:rPr>
          <w:lang w:val="en-AU"/>
        </w:rPr>
        <w:t>Ab_PRE_PED</w:t>
      </w:r>
      <w:proofErr w:type="spellEnd"/>
      <w:r w:rsidRPr="00C35D79">
        <w:rPr>
          <w:lang w:val="en-AU"/>
        </w:rPr>
        <w:t>”) or did not receive (“</w:t>
      </w:r>
      <w:proofErr w:type="spellStart"/>
      <w:r w:rsidRPr="00C35D79">
        <w:rPr>
          <w:lang w:val="en-AU"/>
        </w:rPr>
        <w:t>noAb_PRE_PED</w:t>
      </w:r>
      <w:proofErr w:type="spellEnd"/>
      <w:r w:rsidRPr="00C35D79">
        <w:rPr>
          <w:lang w:val="en-AU"/>
        </w:rPr>
        <w:t>”) antibiotic prophylaxis, and at neutrophil engraftment from those who received (“</w:t>
      </w:r>
      <w:proofErr w:type="spellStart"/>
      <w:r w:rsidRPr="00C35D79">
        <w:rPr>
          <w:lang w:val="en-AU"/>
        </w:rPr>
        <w:t>Ab_TAKE_PED</w:t>
      </w:r>
      <w:proofErr w:type="spellEnd"/>
      <w:r w:rsidRPr="00C35D79">
        <w:rPr>
          <w:lang w:val="en-AU"/>
        </w:rPr>
        <w:t>”) or did not receive (“</w:t>
      </w:r>
      <w:proofErr w:type="spellStart"/>
      <w:r w:rsidRPr="00C35D79">
        <w:rPr>
          <w:lang w:val="en-AU"/>
        </w:rPr>
        <w:t>noAb_TAKE_PED</w:t>
      </w:r>
      <w:proofErr w:type="spellEnd"/>
      <w:r w:rsidRPr="00C35D79">
        <w:rPr>
          <w:lang w:val="en-AU"/>
        </w:rPr>
        <w:t>”) antibiotic prophylaxis.</w:t>
      </w:r>
      <w:r w:rsidR="00EA74E6" w:rsidRPr="00C35D79">
        <w:rPr>
          <w:lang w:val="en-AU"/>
        </w:rPr>
        <w:t xml:space="preserve"> </w:t>
      </w:r>
      <w:r w:rsidR="000F3591" w:rsidRPr="00C35D79">
        <w:rPr>
          <w:lang w:val="en-AU"/>
        </w:rPr>
        <w:t>Wilcoxon test, * p value ≤ 0.05; ** p value ≤ 0.01; *** p value ≤ 0.001; **** p value ≤ 0.0001; ° p value ≤ 0.09.</w:t>
      </w:r>
    </w:p>
    <w:p w14:paraId="61B50512" w14:textId="77777777" w:rsidR="00F11BFE" w:rsidRPr="00C35D79" w:rsidRDefault="00F11BFE" w:rsidP="004125E4">
      <w:pPr>
        <w:spacing w:line="276" w:lineRule="auto"/>
        <w:rPr>
          <w:rStyle w:val="Titolo1Carattere"/>
          <w:lang w:val="en-AU"/>
        </w:rPr>
      </w:pPr>
    </w:p>
    <w:p w14:paraId="35362AEB" w14:textId="77777777" w:rsidR="00B82BC8" w:rsidRPr="00C35D79" w:rsidRDefault="00B82BC8" w:rsidP="00B82BC8">
      <w:pPr>
        <w:spacing w:line="276" w:lineRule="auto"/>
        <w:rPr>
          <w:rFonts w:eastAsiaTheme="majorEastAsia" w:cstheme="majorBidi"/>
          <w:b/>
          <w:color w:val="000000" w:themeColor="text1"/>
          <w:szCs w:val="40"/>
          <w:lang w:val="en-AU"/>
        </w:rPr>
      </w:pPr>
    </w:p>
    <w:p w14:paraId="7AC355B9" w14:textId="15032885" w:rsidR="00B82BC8" w:rsidRPr="00C35D79" w:rsidRDefault="00B82BC8" w:rsidP="00B82BC8">
      <w:pPr>
        <w:spacing w:line="276" w:lineRule="auto"/>
        <w:rPr>
          <w:rFonts w:eastAsiaTheme="majorEastAsia" w:cstheme="majorBidi"/>
          <w:b/>
          <w:color w:val="000000" w:themeColor="text1"/>
          <w:szCs w:val="40"/>
          <w:lang w:val="en-AU"/>
        </w:rPr>
      </w:pPr>
      <w:r w:rsidRPr="00C35D79">
        <w:rPr>
          <w:rFonts w:eastAsiaTheme="majorEastAsia" w:cstheme="majorBidi"/>
          <w:b/>
          <w:noProof/>
          <w:color w:val="000000" w:themeColor="text1"/>
          <w:szCs w:val="40"/>
          <w:lang w:val="en-AU"/>
        </w:rPr>
        <w:drawing>
          <wp:inline distT="0" distB="0" distL="0" distR="0" wp14:anchorId="4B4D97BF" wp14:editId="20025853">
            <wp:extent cx="6116320" cy="4356100"/>
            <wp:effectExtent l="0" t="0" r="0" b="6350"/>
            <wp:docPr id="1604955027" name="Immagine 2" descr="Immagine che contiene testo,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4955027" name="Immagine 2" descr="Immagine che contiene testo, diagramma&#10;&#10;Il contenuto generato dall'IA potrebbe non essere corretto."/>
                    <pic:cNvPicPr>
                      <a:picLocks noChangeAspect="1" noChangeArrowheads="1"/>
                    </pic:cNvPicPr>
                  </pic:nvPicPr>
                  <pic:blipFill rotWithShape="1">
                    <a:blip r:embed="rId12">
                      <a:extLst>
                        <a:ext uri="{28A0092B-C50C-407E-A947-70E740481C1C}">
                          <a14:useLocalDpi xmlns:a14="http://schemas.microsoft.com/office/drawing/2010/main" val="0"/>
                        </a:ext>
                      </a:extLst>
                    </a:blip>
                    <a:srcRect b="49636"/>
                    <a:stretch>
                      <a:fillRect/>
                    </a:stretch>
                  </pic:blipFill>
                  <pic:spPr bwMode="auto">
                    <a:xfrm>
                      <a:off x="0" y="0"/>
                      <a:ext cx="6116320" cy="4356100"/>
                    </a:xfrm>
                    <a:prstGeom prst="rect">
                      <a:avLst/>
                    </a:prstGeom>
                    <a:noFill/>
                    <a:ln>
                      <a:noFill/>
                    </a:ln>
                    <a:extLst>
                      <a:ext uri="{53640926-AAD7-44D8-BBD7-CCE9431645EC}">
                        <a14:shadowObscured xmlns:a14="http://schemas.microsoft.com/office/drawing/2010/main"/>
                      </a:ext>
                    </a:extLst>
                  </pic:spPr>
                </pic:pic>
              </a:graphicData>
            </a:graphic>
          </wp:inline>
        </w:drawing>
      </w:r>
    </w:p>
    <w:p w14:paraId="7B40865A" w14:textId="77777777" w:rsidR="008B4134" w:rsidRPr="00C35D79" w:rsidRDefault="008B4134" w:rsidP="008B4134">
      <w:pPr>
        <w:spacing w:line="276" w:lineRule="auto"/>
        <w:rPr>
          <w:rFonts w:eastAsiaTheme="majorEastAsia" w:cstheme="majorBidi"/>
          <w:b/>
          <w:color w:val="000000" w:themeColor="text1"/>
          <w:szCs w:val="40"/>
          <w:lang w:val="en-AU"/>
        </w:rPr>
      </w:pPr>
    </w:p>
    <w:p w14:paraId="757A8E07" w14:textId="77777777" w:rsidR="00780EB5" w:rsidRPr="00C35D79" w:rsidRDefault="00780EB5">
      <w:pPr>
        <w:jc w:val="left"/>
        <w:rPr>
          <w:rStyle w:val="Titolo1Carattere"/>
          <w:lang w:val="en-AU"/>
        </w:rPr>
      </w:pPr>
      <w:r w:rsidRPr="00C35D79">
        <w:rPr>
          <w:rStyle w:val="Titolo1Carattere"/>
          <w:lang w:val="en-AU"/>
        </w:rPr>
        <w:br w:type="page"/>
      </w:r>
    </w:p>
    <w:p w14:paraId="7F1B854E" w14:textId="2F96E5A6" w:rsidR="004125E4" w:rsidRPr="00C35D79" w:rsidRDefault="004125E4" w:rsidP="004125E4">
      <w:pPr>
        <w:spacing w:line="276" w:lineRule="auto"/>
        <w:rPr>
          <w:rFonts w:cs="Times New Roman"/>
          <w:lang w:val="en-AU"/>
        </w:rPr>
      </w:pPr>
      <w:bookmarkStart w:id="8" w:name="_Toc202199959"/>
      <w:r w:rsidRPr="00C35D79">
        <w:rPr>
          <w:rStyle w:val="Titolo1Carattere"/>
          <w:lang w:val="en-AU"/>
        </w:rPr>
        <w:lastRenderedPageBreak/>
        <w:t xml:space="preserve">Supplementary Figure </w:t>
      </w:r>
      <w:r w:rsidR="00780EB5" w:rsidRPr="00C35D79">
        <w:rPr>
          <w:rStyle w:val="Titolo1Carattere"/>
          <w:lang w:val="en-AU"/>
        </w:rPr>
        <w:t>5</w:t>
      </w:r>
      <w:r w:rsidRPr="00C35D79">
        <w:rPr>
          <w:rStyle w:val="Titolo1Carattere"/>
          <w:lang w:val="en-AU"/>
        </w:rPr>
        <w:t>: Silhouette analysis supported the use of K-means clustering with k = 6.</w:t>
      </w:r>
      <w:bookmarkEnd w:id="8"/>
      <w:r w:rsidRPr="00C35D79">
        <w:rPr>
          <w:rFonts w:cs="Times New Roman"/>
          <w:b/>
          <w:bCs/>
          <w:lang w:val="en-AU"/>
        </w:rPr>
        <w:t xml:space="preserve"> </w:t>
      </w:r>
      <w:r w:rsidRPr="00C35D79">
        <w:rPr>
          <w:lang w:val="en-AU"/>
        </w:rPr>
        <w:t>Silhouette analysis for K-means clustering with k equal to 6, the average silhouette width was 0.12 (above the chosen threshold of 0.10).</w:t>
      </w:r>
    </w:p>
    <w:p w14:paraId="058CA17A" w14:textId="77777777" w:rsidR="004125E4" w:rsidRPr="00C35D79" w:rsidRDefault="004125E4" w:rsidP="00585AFE">
      <w:pPr>
        <w:spacing w:line="276" w:lineRule="auto"/>
        <w:rPr>
          <w:rFonts w:cs="Times New Roman"/>
          <w:b/>
          <w:bCs/>
          <w:lang w:val="en-AU"/>
        </w:rPr>
      </w:pPr>
    </w:p>
    <w:p w14:paraId="7FCBF207" w14:textId="0ACDC556" w:rsidR="004125E4" w:rsidRPr="00C35D79" w:rsidRDefault="00585AFE" w:rsidP="00585AFE">
      <w:pPr>
        <w:spacing w:line="276" w:lineRule="auto"/>
        <w:rPr>
          <w:rFonts w:cs="Times New Roman"/>
          <w:b/>
          <w:bCs/>
          <w:lang w:val="en-AU"/>
        </w:rPr>
      </w:pPr>
      <w:r w:rsidRPr="00C35D79">
        <w:rPr>
          <w:rFonts w:cs="Times New Roman"/>
          <w:noProof/>
          <w:lang w:val="en-AU"/>
        </w:rPr>
        <w:drawing>
          <wp:inline distT="0" distB="0" distL="0" distR="0" wp14:anchorId="501778C7" wp14:editId="2F814555">
            <wp:extent cx="5474826" cy="3832151"/>
            <wp:effectExtent l="0" t="0" r="0" b="0"/>
            <wp:docPr id="971251297"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1251297" name=""/>
                    <pic:cNvPicPr/>
                  </pic:nvPicPr>
                  <pic:blipFill>
                    <a:blip r:embed="rId13">
                      <a:extLst>
                        <a:ext uri="{96DAC541-7B7A-43D3-8B79-37D633B846F1}">
                          <asvg:svgBlip xmlns:asvg="http://schemas.microsoft.com/office/drawing/2016/SVG/main" r:embed="rId14"/>
                        </a:ext>
                      </a:extLst>
                    </a:blip>
                    <a:stretch>
                      <a:fillRect/>
                    </a:stretch>
                  </pic:blipFill>
                  <pic:spPr>
                    <a:xfrm>
                      <a:off x="0" y="0"/>
                      <a:ext cx="5486178" cy="3840097"/>
                    </a:xfrm>
                    <a:prstGeom prst="rect">
                      <a:avLst/>
                    </a:prstGeom>
                  </pic:spPr>
                </pic:pic>
              </a:graphicData>
            </a:graphic>
          </wp:inline>
        </w:drawing>
      </w:r>
    </w:p>
    <w:p w14:paraId="13181B35" w14:textId="77777777" w:rsidR="004125E4" w:rsidRPr="00C35D79" w:rsidRDefault="004125E4">
      <w:pPr>
        <w:rPr>
          <w:rFonts w:cs="Times New Roman"/>
          <w:b/>
          <w:bCs/>
          <w:lang w:val="en-AU"/>
        </w:rPr>
      </w:pPr>
      <w:r w:rsidRPr="00C35D79">
        <w:rPr>
          <w:rFonts w:cs="Times New Roman"/>
          <w:b/>
          <w:bCs/>
          <w:lang w:val="en-AU"/>
        </w:rPr>
        <w:br w:type="page"/>
      </w:r>
    </w:p>
    <w:p w14:paraId="5AABD2A5" w14:textId="2F66CDB4" w:rsidR="00D27CFF" w:rsidRPr="00C35D79" w:rsidRDefault="004125E4" w:rsidP="00D27CFF">
      <w:pPr>
        <w:spacing w:line="276" w:lineRule="auto"/>
        <w:rPr>
          <w:rFonts w:cs="Times New Roman"/>
          <w:b/>
          <w:bCs/>
          <w:lang w:val="en-AU"/>
        </w:rPr>
      </w:pPr>
      <w:bookmarkStart w:id="9" w:name="_Toc202199960"/>
      <w:r w:rsidRPr="00C35D79">
        <w:rPr>
          <w:rStyle w:val="Titolo1Carattere"/>
          <w:rFonts w:cs="Times New Roman"/>
          <w:lang w:val="en-AU"/>
        </w:rPr>
        <w:lastRenderedPageBreak/>
        <w:t xml:space="preserve">Supplementary Figure </w:t>
      </w:r>
      <w:r w:rsidR="00780EB5" w:rsidRPr="00C35D79">
        <w:rPr>
          <w:rStyle w:val="Titolo1Carattere"/>
          <w:rFonts w:cs="Times New Roman"/>
          <w:lang w:val="en-AU"/>
        </w:rPr>
        <w:t>6</w:t>
      </w:r>
      <w:r w:rsidRPr="00C35D79">
        <w:rPr>
          <w:rStyle w:val="Titolo1Carattere"/>
          <w:rFonts w:cs="Times New Roman"/>
          <w:lang w:val="en-AU"/>
        </w:rPr>
        <w:t>: Gut microbiota genera characterizing the clusters obtained by applying K-means clustering.</w:t>
      </w:r>
      <w:bookmarkEnd w:id="9"/>
      <w:r w:rsidRPr="00C35D79">
        <w:rPr>
          <w:rFonts w:cs="Times New Roman"/>
          <w:b/>
          <w:bCs/>
          <w:lang w:val="en-AU"/>
        </w:rPr>
        <w:t xml:space="preserve"> </w:t>
      </w:r>
      <w:r w:rsidRPr="00C35D79">
        <w:rPr>
          <w:lang w:val="en-AU"/>
        </w:rPr>
        <w:t>Boxplots depicting the relative abundance (%) of gut microbiota genera identified by the Boruta feature selection algorithm as significant. These genera are differentially represented across six clusters derived from K-means clustering of samples collected either before HSCT or at neutrophil engraftment from patients greater than/equal to 15 years and from patients less than 15 years of age. Wilcoxon test, * p value ≤ 0.05; ** p value ≤ 0.01; *** p value ≤ 0.001; **** p value ≤ 0.0001; ° p value ≤ 0.09.</w:t>
      </w:r>
    </w:p>
    <w:p w14:paraId="1AA352E9" w14:textId="237500C9" w:rsidR="00D27CFF" w:rsidRPr="00C35D79" w:rsidRDefault="00D27CFF" w:rsidP="00D27CFF">
      <w:pPr>
        <w:pStyle w:val="NormaleWeb"/>
        <w:rPr>
          <w:lang w:val="en-AU"/>
        </w:rPr>
      </w:pPr>
      <w:r w:rsidRPr="00C35D79">
        <w:rPr>
          <w:noProof/>
          <w:lang w:val="en-AU"/>
        </w:rPr>
        <w:drawing>
          <wp:inline distT="0" distB="0" distL="0" distR="0" wp14:anchorId="06B07982" wp14:editId="7A3626AA">
            <wp:extent cx="5137965" cy="7330831"/>
            <wp:effectExtent l="0" t="0" r="5715" b="3810"/>
            <wp:docPr id="11" name="Immagine 10" descr="Immagine che contiene testo, diagramma, schizzo, Pian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0" descr="Immagine che contiene testo, diagramma, schizzo, Piano&#10;&#10;Il contenuto generato dall'IA potrebbe non essere corretto."/>
                    <pic:cNvPicPr>
                      <a:picLocks noChangeAspect="1" noChangeArrowheads="1"/>
                    </pic:cNvPicPr>
                  </pic:nvPicPr>
                  <pic:blipFill rotWithShape="1">
                    <a:blip r:embed="rId15">
                      <a:extLst>
                        <a:ext uri="{28A0092B-C50C-407E-A947-70E740481C1C}">
                          <a14:useLocalDpi xmlns:a14="http://schemas.microsoft.com/office/drawing/2010/main" val="0"/>
                        </a:ext>
                      </a:extLst>
                    </a:blip>
                    <a:srcRect r="6151" b="5325"/>
                    <a:stretch/>
                  </pic:blipFill>
                  <pic:spPr bwMode="auto">
                    <a:xfrm>
                      <a:off x="0" y="0"/>
                      <a:ext cx="5141196" cy="7335441"/>
                    </a:xfrm>
                    <a:prstGeom prst="rect">
                      <a:avLst/>
                    </a:prstGeom>
                    <a:noFill/>
                    <a:ln>
                      <a:noFill/>
                    </a:ln>
                    <a:extLst>
                      <a:ext uri="{53640926-AAD7-44D8-BBD7-CCE9431645EC}">
                        <a14:shadowObscured xmlns:a14="http://schemas.microsoft.com/office/drawing/2010/main"/>
                      </a:ext>
                    </a:extLst>
                  </pic:spPr>
                </pic:pic>
              </a:graphicData>
            </a:graphic>
          </wp:inline>
        </w:drawing>
      </w:r>
    </w:p>
    <w:p w14:paraId="4A990607" w14:textId="21CF5B86" w:rsidR="00585AFE" w:rsidRPr="00C35D79" w:rsidRDefault="00585AFE" w:rsidP="004125E4">
      <w:pPr>
        <w:spacing w:line="276" w:lineRule="auto"/>
        <w:rPr>
          <w:rFonts w:cs="Times New Roman"/>
          <w:b/>
          <w:bCs/>
          <w:lang w:val="en-AU"/>
        </w:rPr>
      </w:pPr>
    </w:p>
    <w:p w14:paraId="5C51BFA4" w14:textId="6F9F1FBE" w:rsidR="006827E0" w:rsidRPr="00C35D79" w:rsidRDefault="00003BF2" w:rsidP="006827E0">
      <w:pPr>
        <w:spacing w:line="276" w:lineRule="auto"/>
        <w:rPr>
          <w:rFonts w:eastAsiaTheme="majorEastAsia" w:cs="Times New Roman"/>
          <w:color w:val="000000" w:themeColor="text1"/>
          <w:szCs w:val="40"/>
          <w:lang w:val="en-AU"/>
        </w:rPr>
      </w:pPr>
      <w:bookmarkStart w:id="10" w:name="_Toc202199961"/>
      <w:r w:rsidRPr="00C35D79">
        <w:rPr>
          <w:rStyle w:val="Titolo1Carattere"/>
          <w:lang w:val="en-AU"/>
        </w:rPr>
        <w:t xml:space="preserve">Supplementary Figure </w:t>
      </w:r>
      <w:r w:rsidR="00780EB5" w:rsidRPr="00C35D79">
        <w:rPr>
          <w:rStyle w:val="Titolo1Carattere"/>
          <w:lang w:val="en-AU"/>
        </w:rPr>
        <w:t>7</w:t>
      </w:r>
      <w:r w:rsidRPr="00C35D79">
        <w:rPr>
          <w:rStyle w:val="Titolo1Carattere"/>
          <w:lang w:val="en-AU"/>
        </w:rPr>
        <w:t xml:space="preserve">: </w:t>
      </w:r>
      <w:r w:rsidR="00476AF0" w:rsidRPr="00C35D79">
        <w:rPr>
          <w:rStyle w:val="Titolo1Carattere"/>
          <w:lang w:val="en-AU"/>
        </w:rPr>
        <w:t xml:space="preserve">Gut microbiota families and genera differentially represented before HSCT in </w:t>
      </w:r>
      <w:r w:rsidR="0021676A" w:rsidRPr="00C35D79">
        <w:rPr>
          <w:rStyle w:val="Titolo1Carattere"/>
          <w:lang w:val="en-AU"/>
        </w:rPr>
        <w:t xml:space="preserve">adults and younger </w:t>
      </w:r>
      <w:r w:rsidR="00476AF0" w:rsidRPr="00C35D79">
        <w:rPr>
          <w:rStyle w:val="Titolo1Carattere"/>
          <w:lang w:val="en-AU"/>
        </w:rPr>
        <w:t>patients who developed no or low-grade aGvHD and clinically significant aGvHD.</w:t>
      </w:r>
      <w:bookmarkEnd w:id="10"/>
      <w:r w:rsidR="00476AF0" w:rsidRPr="00C35D79">
        <w:rPr>
          <w:rStyle w:val="Titolo1Carattere"/>
          <w:rFonts w:cs="Times New Roman"/>
          <w:b w:val="0"/>
          <w:lang w:val="en-AU"/>
        </w:rPr>
        <w:t xml:space="preserve"> </w:t>
      </w:r>
      <w:r w:rsidR="00476AF0" w:rsidRPr="00C35D79">
        <w:rPr>
          <w:lang w:val="en-AU"/>
        </w:rPr>
        <w:t xml:space="preserve">Boxplots showing the relative abundance (%) distribution of </w:t>
      </w:r>
      <w:r w:rsidR="006F07C6" w:rsidRPr="00C35D79">
        <w:rPr>
          <w:lang w:val="en-AU"/>
        </w:rPr>
        <w:t xml:space="preserve">families and </w:t>
      </w:r>
      <w:r w:rsidR="00476AF0" w:rsidRPr="00C35D79">
        <w:rPr>
          <w:lang w:val="en-AU"/>
        </w:rPr>
        <w:t xml:space="preserve">genera of the gut microbiota differentially represented between samples from </w:t>
      </w:r>
      <w:r w:rsidR="004513DB" w:rsidRPr="00C35D79">
        <w:rPr>
          <w:lang w:val="en-AU"/>
        </w:rPr>
        <w:t xml:space="preserve">adult </w:t>
      </w:r>
      <w:r w:rsidR="00476AF0" w:rsidRPr="00C35D79">
        <w:rPr>
          <w:lang w:val="en-AU"/>
        </w:rPr>
        <w:t xml:space="preserve">patients </w:t>
      </w:r>
      <w:r w:rsidR="00CF2698" w:rsidRPr="00C35D79">
        <w:rPr>
          <w:lang w:val="en-AU"/>
        </w:rPr>
        <w:t>who</w:t>
      </w:r>
      <w:r w:rsidR="00476AF0" w:rsidRPr="00C35D79">
        <w:rPr>
          <w:lang w:val="en-AU"/>
        </w:rPr>
        <w:t xml:space="preserve"> developed no or grade 1 aGvHD before HSCT (“GvHD[0-1]_</w:t>
      </w:r>
      <w:r w:rsidR="006F07C6" w:rsidRPr="00C35D79">
        <w:rPr>
          <w:lang w:val="en-AU"/>
        </w:rPr>
        <w:t>AD</w:t>
      </w:r>
      <w:r w:rsidR="00476AF0" w:rsidRPr="00C35D79">
        <w:rPr>
          <w:lang w:val="en-AU"/>
        </w:rPr>
        <w:t>”) and</w:t>
      </w:r>
      <w:r w:rsidR="004513DB" w:rsidRPr="00C35D79">
        <w:rPr>
          <w:lang w:val="en-AU"/>
        </w:rPr>
        <w:t xml:space="preserve"> with grade 2 to 4 aGvHD before HSCT (“GvHD[2-4]_AD”) </w:t>
      </w:r>
      <w:r w:rsidR="00476AF0" w:rsidRPr="00C35D79">
        <w:rPr>
          <w:lang w:val="en-AU"/>
        </w:rPr>
        <w:t xml:space="preserve"> and those from </w:t>
      </w:r>
      <w:r w:rsidR="004513DB" w:rsidRPr="00C35D79">
        <w:rPr>
          <w:lang w:val="en-AU"/>
        </w:rPr>
        <w:t xml:space="preserve">younger </w:t>
      </w:r>
      <w:r w:rsidR="00476AF0" w:rsidRPr="00C35D79">
        <w:rPr>
          <w:lang w:val="en-AU"/>
        </w:rPr>
        <w:t xml:space="preserve">patients with grade 2 to 4 aGvHD before HSCT </w:t>
      </w:r>
      <w:r w:rsidR="004513DB" w:rsidRPr="00C35D79">
        <w:rPr>
          <w:lang w:val="en-AU"/>
        </w:rPr>
        <w:t>before HSCT (“GvHD[0-1]_PED”) and with grade 2 to 4 aGvHD before HSCT (“GvHD[2-4]_PED”)</w:t>
      </w:r>
      <w:r w:rsidR="00476AF0" w:rsidRPr="00C35D79">
        <w:rPr>
          <w:lang w:val="en-AU"/>
        </w:rPr>
        <w:t>. Wilcoxon test, * p value ≤ 0.05; ** p value ≤ 0.01; *** p value ≤ 0.001; **** p value ≤ 0.0001; ° p value ≤ 0.09.</w:t>
      </w:r>
    </w:p>
    <w:p w14:paraId="4253DAE7" w14:textId="66BC2E86" w:rsidR="00287A52" w:rsidRPr="00187421" w:rsidRDefault="00287A52" w:rsidP="00287A52">
      <w:pPr>
        <w:pStyle w:val="NormaleWeb"/>
        <w:rPr>
          <w:lang w:val="en-AU"/>
        </w:rPr>
      </w:pPr>
      <w:r w:rsidRPr="00C35D79">
        <w:rPr>
          <w:noProof/>
          <w:lang w:val="en-AU"/>
        </w:rPr>
        <w:drawing>
          <wp:inline distT="0" distB="0" distL="0" distR="0" wp14:anchorId="2601A02B" wp14:editId="1DBC0899">
            <wp:extent cx="5784850" cy="6319415"/>
            <wp:effectExtent l="0" t="0" r="6350" b="5715"/>
            <wp:docPr id="3" name="Immagine 2" descr="Immagine che contiene testo, diagramma, schermata, design&#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descr="Immagine che contiene testo, diagramma, schermata, design&#10;&#10;Il contenuto generato dall'IA potrebbe non essere corretto."/>
                    <pic:cNvPicPr>
                      <a:picLocks noChangeAspect="1" noChangeArrowheads="1"/>
                    </pic:cNvPicPr>
                  </pic:nvPicPr>
                  <pic:blipFill rotWithShape="1">
                    <a:blip r:embed="rId16">
                      <a:extLst>
                        <a:ext uri="{28A0092B-C50C-407E-A947-70E740481C1C}">
                          <a14:useLocalDpi xmlns:a14="http://schemas.microsoft.com/office/drawing/2010/main" val="0"/>
                        </a:ext>
                      </a:extLst>
                    </a:blip>
                    <a:srcRect b="22759"/>
                    <a:stretch/>
                  </pic:blipFill>
                  <pic:spPr bwMode="auto">
                    <a:xfrm>
                      <a:off x="0" y="0"/>
                      <a:ext cx="5786974" cy="6321735"/>
                    </a:xfrm>
                    <a:prstGeom prst="rect">
                      <a:avLst/>
                    </a:prstGeom>
                    <a:noFill/>
                    <a:ln>
                      <a:noFill/>
                    </a:ln>
                    <a:extLst>
                      <a:ext uri="{53640926-AAD7-44D8-BBD7-CCE9431645EC}">
                        <a14:shadowObscured xmlns:a14="http://schemas.microsoft.com/office/drawing/2010/main"/>
                      </a:ext>
                    </a:extLst>
                  </pic:spPr>
                </pic:pic>
              </a:graphicData>
            </a:graphic>
          </wp:inline>
        </w:drawing>
      </w:r>
    </w:p>
    <w:p w14:paraId="45832AB0" w14:textId="1A66A49B" w:rsidR="00C35D79" w:rsidRDefault="00C35D79" w:rsidP="00C35D79">
      <w:pPr>
        <w:rPr>
          <w:rStyle w:val="Titolo1Carattere"/>
          <w:rFonts w:cs="Times New Roman"/>
          <w:b w:val="0"/>
          <w:lang w:val="en-AU"/>
        </w:rPr>
      </w:pPr>
    </w:p>
    <w:sectPr w:rsidR="00C35D79" w:rsidSect="00F44DB5">
      <w:footerReference w:type="even" r:id="rId17"/>
      <w:footerReference w:type="default" r:id="rId18"/>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206967" w14:textId="77777777" w:rsidR="00063EFE" w:rsidRDefault="00063EFE" w:rsidP="009773FD">
      <w:r>
        <w:separator/>
      </w:r>
    </w:p>
  </w:endnote>
  <w:endnote w:type="continuationSeparator" w:id="0">
    <w:p w14:paraId="22EB6E7F" w14:textId="77777777" w:rsidR="00063EFE" w:rsidRDefault="00063EFE" w:rsidP="009773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1566723057"/>
      <w:docPartObj>
        <w:docPartGallery w:val="Page Numbers (Bottom of Page)"/>
        <w:docPartUnique/>
      </w:docPartObj>
    </w:sdtPr>
    <w:sdtEndPr>
      <w:rPr>
        <w:rStyle w:val="Numeropagina"/>
      </w:rPr>
    </w:sdtEndPr>
    <w:sdtContent>
      <w:p w14:paraId="16EFDEB2" w14:textId="0C2061A6" w:rsidR="009773FD" w:rsidRDefault="009773FD" w:rsidP="00E24148">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41D802CA" w14:textId="77777777" w:rsidR="009773FD" w:rsidRDefault="009773FD" w:rsidP="009773FD">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1386105599"/>
      <w:docPartObj>
        <w:docPartGallery w:val="Page Numbers (Bottom of Page)"/>
        <w:docPartUnique/>
      </w:docPartObj>
    </w:sdtPr>
    <w:sdtEndPr>
      <w:rPr>
        <w:rStyle w:val="Numeropagina"/>
      </w:rPr>
    </w:sdtEndPr>
    <w:sdtContent>
      <w:p w14:paraId="649DE577" w14:textId="1D03C829" w:rsidR="009773FD" w:rsidRDefault="009773FD" w:rsidP="00E24148">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10</w:t>
        </w:r>
        <w:r>
          <w:rPr>
            <w:rStyle w:val="Numeropagina"/>
          </w:rPr>
          <w:fldChar w:fldCharType="end"/>
        </w:r>
      </w:p>
    </w:sdtContent>
  </w:sdt>
  <w:p w14:paraId="29455A17" w14:textId="77777777" w:rsidR="009773FD" w:rsidRDefault="009773FD" w:rsidP="009773FD">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729ECD" w14:textId="77777777" w:rsidR="00063EFE" w:rsidRDefault="00063EFE" w:rsidP="009773FD">
      <w:r>
        <w:separator/>
      </w:r>
    </w:p>
  </w:footnote>
  <w:footnote w:type="continuationSeparator" w:id="0">
    <w:p w14:paraId="2D962E3D" w14:textId="77777777" w:rsidR="00063EFE" w:rsidRDefault="00063EFE" w:rsidP="009773F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741B57"/>
    <w:multiLevelType w:val="hybridMultilevel"/>
    <w:tmpl w:val="420C39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1242548"/>
    <w:multiLevelType w:val="hybridMultilevel"/>
    <w:tmpl w:val="C5922F46"/>
    <w:lvl w:ilvl="0" w:tplc="AFCE091C">
      <w:start w:val="2"/>
      <w:numFmt w:val="bullet"/>
      <w:lvlText w:val="-"/>
      <w:lvlJc w:val="left"/>
      <w:pPr>
        <w:ind w:left="360" w:hanging="360"/>
      </w:pPr>
      <w:rPr>
        <w:rFonts w:ascii="Times New Roman" w:eastAsiaTheme="minorHAnsi" w:hAnsi="Times New Roman" w:cs="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171839419">
    <w:abstractNumId w:val="0"/>
  </w:num>
  <w:num w:numId="2" w16cid:durableId="6754213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5AFE"/>
    <w:rsid w:val="00003BF2"/>
    <w:rsid w:val="00025816"/>
    <w:rsid w:val="0003282A"/>
    <w:rsid w:val="00040393"/>
    <w:rsid w:val="00046953"/>
    <w:rsid w:val="000508A0"/>
    <w:rsid w:val="00057D2D"/>
    <w:rsid w:val="00063EFE"/>
    <w:rsid w:val="000851AD"/>
    <w:rsid w:val="000A18E6"/>
    <w:rsid w:val="000A24F5"/>
    <w:rsid w:val="000C18ED"/>
    <w:rsid w:val="000D6646"/>
    <w:rsid w:val="000F3591"/>
    <w:rsid w:val="001116D2"/>
    <w:rsid w:val="00111D29"/>
    <w:rsid w:val="00133060"/>
    <w:rsid w:val="001349BC"/>
    <w:rsid w:val="0013574B"/>
    <w:rsid w:val="00187421"/>
    <w:rsid w:val="001A3E58"/>
    <w:rsid w:val="001A638E"/>
    <w:rsid w:val="001C60E2"/>
    <w:rsid w:val="002155BE"/>
    <w:rsid w:val="0021676A"/>
    <w:rsid w:val="00222A86"/>
    <w:rsid w:val="0022421C"/>
    <w:rsid w:val="00287437"/>
    <w:rsid w:val="00287A52"/>
    <w:rsid w:val="002B4C62"/>
    <w:rsid w:val="00306638"/>
    <w:rsid w:val="0035037D"/>
    <w:rsid w:val="003762CA"/>
    <w:rsid w:val="003A0EE8"/>
    <w:rsid w:val="003B11B6"/>
    <w:rsid w:val="003D7608"/>
    <w:rsid w:val="0040197F"/>
    <w:rsid w:val="004125E4"/>
    <w:rsid w:val="00444C89"/>
    <w:rsid w:val="004513DB"/>
    <w:rsid w:val="00472733"/>
    <w:rsid w:val="00476AF0"/>
    <w:rsid w:val="004D5122"/>
    <w:rsid w:val="00506E25"/>
    <w:rsid w:val="00585AFE"/>
    <w:rsid w:val="005B23B8"/>
    <w:rsid w:val="005B6300"/>
    <w:rsid w:val="005B7B50"/>
    <w:rsid w:val="005C44F2"/>
    <w:rsid w:val="005F5E35"/>
    <w:rsid w:val="006615E1"/>
    <w:rsid w:val="00672E68"/>
    <w:rsid w:val="00676A3A"/>
    <w:rsid w:val="006827E0"/>
    <w:rsid w:val="00690B20"/>
    <w:rsid w:val="006A6D8F"/>
    <w:rsid w:val="006B0EF1"/>
    <w:rsid w:val="006B536D"/>
    <w:rsid w:val="006B6A8D"/>
    <w:rsid w:val="006F07C6"/>
    <w:rsid w:val="0074171F"/>
    <w:rsid w:val="00744585"/>
    <w:rsid w:val="00745CBD"/>
    <w:rsid w:val="00750740"/>
    <w:rsid w:val="00780EB5"/>
    <w:rsid w:val="00784FD8"/>
    <w:rsid w:val="007A3C1A"/>
    <w:rsid w:val="008213DA"/>
    <w:rsid w:val="008424A9"/>
    <w:rsid w:val="00851D41"/>
    <w:rsid w:val="0089366B"/>
    <w:rsid w:val="008A154A"/>
    <w:rsid w:val="008B4134"/>
    <w:rsid w:val="008C673B"/>
    <w:rsid w:val="0091584C"/>
    <w:rsid w:val="00943302"/>
    <w:rsid w:val="009773FD"/>
    <w:rsid w:val="009A6EB3"/>
    <w:rsid w:val="009C4DF8"/>
    <w:rsid w:val="009D019C"/>
    <w:rsid w:val="009E3030"/>
    <w:rsid w:val="00A32291"/>
    <w:rsid w:val="00A34097"/>
    <w:rsid w:val="00A518F4"/>
    <w:rsid w:val="00A75AE4"/>
    <w:rsid w:val="00AC1A14"/>
    <w:rsid w:val="00B0504B"/>
    <w:rsid w:val="00B622D2"/>
    <w:rsid w:val="00B74CDD"/>
    <w:rsid w:val="00B82BC8"/>
    <w:rsid w:val="00B87742"/>
    <w:rsid w:val="00B934F0"/>
    <w:rsid w:val="00C10114"/>
    <w:rsid w:val="00C35D79"/>
    <w:rsid w:val="00C94119"/>
    <w:rsid w:val="00C94FBB"/>
    <w:rsid w:val="00CE0039"/>
    <w:rsid w:val="00CF2698"/>
    <w:rsid w:val="00D16AC8"/>
    <w:rsid w:val="00D27CFF"/>
    <w:rsid w:val="00D54D6A"/>
    <w:rsid w:val="00D62078"/>
    <w:rsid w:val="00D929AD"/>
    <w:rsid w:val="00DF4195"/>
    <w:rsid w:val="00DF6F97"/>
    <w:rsid w:val="00E17BC9"/>
    <w:rsid w:val="00E721CE"/>
    <w:rsid w:val="00EA74E6"/>
    <w:rsid w:val="00EB0821"/>
    <w:rsid w:val="00EE2936"/>
    <w:rsid w:val="00EE5AFC"/>
    <w:rsid w:val="00EF1B54"/>
    <w:rsid w:val="00EF49D6"/>
    <w:rsid w:val="00F11BFE"/>
    <w:rsid w:val="00F2788F"/>
    <w:rsid w:val="00F43154"/>
    <w:rsid w:val="00F44DB5"/>
    <w:rsid w:val="00F90BEE"/>
    <w:rsid w:val="00FB222E"/>
    <w:rsid w:val="00FC708B"/>
    <w:rsid w:val="00FD0AC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20750EE"/>
  <w15:chartTrackingRefBased/>
  <w15:docId w15:val="{66108352-7D12-1D41-8C63-C107977325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F3591"/>
    <w:pPr>
      <w:jc w:val="both"/>
    </w:pPr>
    <w:rPr>
      <w:rFonts w:ascii="Times New Roman" w:hAnsi="Times New Roman"/>
    </w:rPr>
  </w:style>
  <w:style w:type="paragraph" w:styleId="Titolo1">
    <w:name w:val="heading 1"/>
    <w:aliases w:val="Capitoletto"/>
    <w:basedOn w:val="Normale"/>
    <w:next w:val="Normale"/>
    <w:link w:val="Titolo1Carattere"/>
    <w:uiPriority w:val="9"/>
    <w:qFormat/>
    <w:rsid w:val="004125E4"/>
    <w:pPr>
      <w:keepNext/>
      <w:keepLines/>
      <w:spacing w:before="360" w:after="80"/>
      <w:outlineLvl w:val="0"/>
    </w:pPr>
    <w:rPr>
      <w:rFonts w:eastAsiaTheme="majorEastAsia" w:cstheme="majorBidi"/>
      <w:b/>
      <w:color w:val="000000" w:themeColor="text1"/>
      <w:szCs w:val="40"/>
    </w:rPr>
  </w:style>
  <w:style w:type="paragraph" w:styleId="Titolo2">
    <w:name w:val="heading 2"/>
    <w:basedOn w:val="Normale"/>
    <w:next w:val="Normale"/>
    <w:link w:val="Titolo2Carattere"/>
    <w:uiPriority w:val="9"/>
    <w:unhideWhenUsed/>
    <w:qFormat/>
    <w:rsid w:val="00585AF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585AFE"/>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585AFE"/>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585AFE"/>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585AFE"/>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585AFE"/>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585AFE"/>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585AFE"/>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aliases w:val="Capitoletto Carattere"/>
    <w:basedOn w:val="Carpredefinitoparagrafo"/>
    <w:link w:val="Titolo1"/>
    <w:uiPriority w:val="9"/>
    <w:rsid w:val="004125E4"/>
    <w:rPr>
      <w:rFonts w:ascii="Times New Roman" w:eastAsiaTheme="majorEastAsia" w:hAnsi="Times New Roman" w:cstheme="majorBidi"/>
      <w:b/>
      <w:color w:val="000000" w:themeColor="text1"/>
      <w:szCs w:val="40"/>
    </w:rPr>
  </w:style>
  <w:style w:type="character" w:customStyle="1" w:styleId="Titolo2Carattere">
    <w:name w:val="Titolo 2 Carattere"/>
    <w:basedOn w:val="Carpredefinitoparagrafo"/>
    <w:link w:val="Titolo2"/>
    <w:uiPriority w:val="9"/>
    <w:rsid w:val="00585AFE"/>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585AFE"/>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585AFE"/>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585AFE"/>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585AFE"/>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585AFE"/>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585AFE"/>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585AFE"/>
    <w:rPr>
      <w:rFonts w:eastAsiaTheme="majorEastAsia" w:cstheme="majorBidi"/>
      <w:color w:val="272727" w:themeColor="text1" w:themeTint="D8"/>
    </w:rPr>
  </w:style>
  <w:style w:type="paragraph" w:styleId="Titolo">
    <w:name w:val="Title"/>
    <w:basedOn w:val="Normale"/>
    <w:next w:val="Normale"/>
    <w:link w:val="TitoloCarattere"/>
    <w:uiPriority w:val="10"/>
    <w:qFormat/>
    <w:rsid w:val="00585AFE"/>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585AFE"/>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585AFE"/>
    <w:pPr>
      <w:numPr>
        <w:ilvl w:val="1"/>
      </w:numPr>
      <w:spacing w:after="160"/>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585AFE"/>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585AFE"/>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585AFE"/>
    <w:rPr>
      <w:i/>
      <w:iCs/>
      <w:color w:val="404040" w:themeColor="text1" w:themeTint="BF"/>
    </w:rPr>
  </w:style>
  <w:style w:type="paragraph" w:styleId="Paragrafoelenco">
    <w:name w:val="List Paragraph"/>
    <w:basedOn w:val="Normale"/>
    <w:uiPriority w:val="34"/>
    <w:qFormat/>
    <w:rsid w:val="00585AFE"/>
    <w:pPr>
      <w:ind w:left="720"/>
      <w:contextualSpacing/>
    </w:pPr>
  </w:style>
  <w:style w:type="character" w:styleId="Enfasiintensa">
    <w:name w:val="Intense Emphasis"/>
    <w:basedOn w:val="Carpredefinitoparagrafo"/>
    <w:uiPriority w:val="21"/>
    <w:qFormat/>
    <w:rsid w:val="00585AFE"/>
    <w:rPr>
      <w:i/>
      <w:iCs/>
      <w:color w:val="0F4761" w:themeColor="accent1" w:themeShade="BF"/>
    </w:rPr>
  </w:style>
  <w:style w:type="paragraph" w:styleId="Citazioneintensa">
    <w:name w:val="Intense Quote"/>
    <w:basedOn w:val="Normale"/>
    <w:next w:val="Normale"/>
    <w:link w:val="CitazioneintensaCarattere"/>
    <w:uiPriority w:val="30"/>
    <w:qFormat/>
    <w:rsid w:val="00585AF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585AFE"/>
    <w:rPr>
      <w:i/>
      <w:iCs/>
      <w:color w:val="0F4761" w:themeColor="accent1" w:themeShade="BF"/>
    </w:rPr>
  </w:style>
  <w:style w:type="character" w:styleId="Riferimentointenso">
    <w:name w:val="Intense Reference"/>
    <w:basedOn w:val="Carpredefinitoparagrafo"/>
    <w:uiPriority w:val="32"/>
    <w:qFormat/>
    <w:rsid w:val="00585AFE"/>
    <w:rPr>
      <w:b/>
      <w:bCs/>
      <w:smallCaps/>
      <w:color w:val="0F4761" w:themeColor="accent1" w:themeShade="BF"/>
      <w:spacing w:val="5"/>
    </w:rPr>
  </w:style>
  <w:style w:type="paragraph" w:styleId="Titolosommario">
    <w:name w:val="TOC Heading"/>
    <w:basedOn w:val="Titolo1"/>
    <w:next w:val="Normale"/>
    <w:uiPriority w:val="39"/>
    <w:unhideWhenUsed/>
    <w:qFormat/>
    <w:rsid w:val="004125E4"/>
    <w:pPr>
      <w:spacing w:before="480" w:after="0" w:line="276" w:lineRule="auto"/>
      <w:jc w:val="left"/>
      <w:outlineLvl w:val="9"/>
    </w:pPr>
    <w:rPr>
      <w:rFonts w:asciiTheme="majorHAnsi" w:hAnsiTheme="majorHAnsi"/>
      <w:bCs/>
      <w:color w:val="0F4761" w:themeColor="accent1" w:themeShade="BF"/>
      <w:kern w:val="0"/>
      <w:sz w:val="28"/>
      <w:szCs w:val="28"/>
      <w:lang w:eastAsia="it-IT"/>
      <w14:ligatures w14:val="none"/>
    </w:rPr>
  </w:style>
  <w:style w:type="paragraph" w:styleId="Sommario1">
    <w:name w:val="toc 1"/>
    <w:basedOn w:val="Normale"/>
    <w:next w:val="Normale"/>
    <w:autoRedefine/>
    <w:uiPriority w:val="39"/>
    <w:unhideWhenUsed/>
    <w:rsid w:val="004125E4"/>
    <w:pPr>
      <w:spacing w:before="120"/>
    </w:pPr>
    <w:rPr>
      <w:b/>
      <w:bCs/>
      <w:i/>
      <w:iCs/>
    </w:rPr>
  </w:style>
  <w:style w:type="character" w:styleId="Collegamentoipertestuale">
    <w:name w:val="Hyperlink"/>
    <w:basedOn w:val="Carpredefinitoparagrafo"/>
    <w:uiPriority w:val="99"/>
    <w:unhideWhenUsed/>
    <w:rsid w:val="004125E4"/>
    <w:rPr>
      <w:color w:val="467886" w:themeColor="hyperlink"/>
      <w:u w:val="single"/>
    </w:rPr>
  </w:style>
  <w:style w:type="paragraph" w:styleId="Sommario2">
    <w:name w:val="toc 2"/>
    <w:basedOn w:val="Normale"/>
    <w:next w:val="Normale"/>
    <w:autoRedefine/>
    <w:uiPriority w:val="39"/>
    <w:semiHidden/>
    <w:unhideWhenUsed/>
    <w:rsid w:val="004125E4"/>
    <w:pPr>
      <w:spacing w:before="120"/>
      <w:ind w:left="240"/>
    </w:pPr>
    <w:rPr>
      <w:b/>
      <w:bCs/>
      <w:sz w:val="22"/>
      <w:szCs w:val="22"/>
    </w:rPr>
  </w:style>
  <w:style w:type="paragraph" w:styleId="Sommario3">
    <w:name w:val="toc 3"/>
    <w:basedOn w:val="Normale"/>
    <w:next w:val="Normale"/>
    <w:autoRedefine/>
    <w:uiPriority w:val="39"/>
    <w:semiHidden/>
    <w:unhideWhenUsed/>
    <w:rsid w:val="004125E4"/>
    <w:pPr>
      <w:ind w:left="480"/>
    </w:pPr>
    <w:rPr>
      <w:sz w:val="20"/>
      <w:szCs w:val="20"/>
    </w:rPr>
  </w:style>
  <w:style w:type="paragraph" w:styleId="Sommario4">
    <w:name w:val="toc 4"/>
    <w:basedOn w:val="Normale"/>
    <w:next w:val="Normale"/>
    <w:autoRedefine/>
    <w:uiPriority w:val="39"/>
    <w:semiHidden/>
    <w:unhideWhenUsed/>
    <w:rsid w:val="004125E4"/>
    <w:pPr>
      <w:ind w:left="720"/>
    </w:pPr>
    <w:rPr>
      <w:sz w:val="20"/>
      <w:szCs w:val="20"/>
    </w:rPr>
  </w:style>
  <w:style w:type="paragraph" w:styleId="Sommario5">
    <w:name w:val="toc 5"/>
    <w:basedOn w:val="Normale"/>
    <w:next w:val="Normale"/>
    <w:autoRedefine/>
    <w:uiPriority w:val="39"/>
    <w:semiHidden/>
    <w:unhideWhenUsed/>
    <w:rsid w:val="004125E4"/>
    <w:pPr>
      <w:ind w:left="960"/>
    </w:pPr>
    <w:rPr>
      <w:sz w:val="20"/>
      <w:szCs w:val="20"/>
    </w:rPr>
  </w:style>
  <w:style w:type="paragraph" w:styleId="Sommario6">
    <w:name w:val="toc 6"/>
    <w:basedOn w:val="Normale"/>
    <w:next w:val="Normale"/>
    <w:autoRedefine/>
    <w:uiPriority w:val="39"/>
    <w:semiHidden/>
    <w:unhideWhenUsed/>
    <w:rsid w:val="004125E4"/>
    <w:pPr>
      <w:ind w:left="1200"/>
    </w:pPr>
    <w:rPr>
      <w:sz w:val="20"/>
      <w:szCs w:val="20"/>
    </w:rPr>
  </w:style>
  <w:style w:type="paragraph" w:styleId="Sommario7">
    <w:name w:val="toc 7"/>
    <w:basedOn w:val="Normale"/>
    <w:next w:val="Normale"/>
    <w:autoRedefine/>
    <w:uiPriority w:val="39"/>
    <w:semiHidden/>
    <w:unhideWhenUsed/>
    <w:rsid w:val="004125E4"/>
    <w:pPr>
      <w:ind w:left="1440"/>
    </w:pPr>
    <w:rPr>
      <w:sz w:val="20"/>
      <w:szCs w:val="20"/>
    </w:rPr>
  </w:style>
  <w:style w:type="paragraph" w:styleId="Sommario8">
    <w:name w:val="toc 8"/>
    <w:basedOn w:val="Normale"/>
    <w:next w:val="Normale"/>
    <w:autoRedefine/>
    <w:uiPriority w:val="39"/>
    <w:semiHidden/>
    <w:unhideWhenUsed/>
    <w:rsid w:val="004125E4"/>
    <w:pPr>
      <w:ind w:left="1680"/>
    </w:pPr>
    <w:rPr>
      <w:sz w:val="20"/>
      <w:szCs w:val="20"/>
    </w:rPr>
  </w:style>
  <w:style w:type="paragraph" w:styleId="Sommario9">
    <w:name w:val="toc 9"/>
    <w:basedOn w:val="Normale"/>
    <w:next w:val="Normale"/>
    <w:autoRedefine/>
    <w:uiPriority w:val="39"/>
    <w:semiHidden/>
    <w:unhideWhenUsed/>
    <w:rsid w:val="004125E4"/>
    <w:pPr>
      <w:ind w:left="1920"/>
    </w:pPr>
    <w:rPr>
      <w:sz w:val="20"/>
      <w:szCs w:val="20"/>
    </w:rPr>
  </w:style>
  <w:style w:type="table" w:styleId="Grigliatabella">
    <w:name w:val="Table Grid"/>
    <w:basedOn w:val="Tabellanormale"/>
    <w:uiPriority w:val="39"/>
    <w:rsid w:val="006A6D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D62078"/>
    <w:rPr>
      <w:sz w:val="16"/>
      <w:szCs w:val="16"/>
    </w:rPr>
  </w:style>
  <w:style w:type="paragraph" w:styleId="Testocommento">
    <w:name w:val="annotation text"/>
    <w:basedOn w:val="Normale"/>
    <w:link w:val="TestocommentoCarattere"/>
    <w:uiPriority w:val="99"/>
    <w:unhideWhenUsed/>
    <w:rsid w:val="00D62078"/>
    <w:rPr>
      <w:sz w:val="20"/>
      <w:szCs w:val="20"/>
    </w:rPr>
  </w:style>
  <w:style w:type="character" w:customStyle="1" w:styleId="TestocommentoCarattere">
    <w:name w:val="Testo commento Carattere"/>
    <w:basedOn w:val="Carpredefinitoparagrafo"/>
    <w:link w:val="Testocommento"/>
    <w:uiPriority w:val="99"/>
    <w:rsid w:val="00D62078"/>
    <w:rPr>
      <w:sz w:val="20"/>
      <w:szCs w:val="20"/>
    </w:rPr>
  </w:style>
  <w:style w:type="paragraph" w:styleId="Soggettocommento">
    <w:name w:val="annotation subject"/>
    <w:basedOn w:val="Testocommento"/>
    <w:next w:val="Testocommento"/>
    <w:link w:val="SoggettocommentoCarattere"/>
    <w:uiPriority w:val="99"/>
    <w:semiHidden/>
    <w:unhideWhenUsed/>
    <w:rsid w:val="00D62078"/>
    <w:rPr>
      <w:b/>
      <w:bCs/>
    </w:rPr>
  </w:style>
  <w:style w:type="character" w:customStyle="1" w:styleId="SoggettocommentoCarattere">
    <w:name w:val="Soggetto commento Carattere"/>
    <w:basedOn w:val="TestocommentoCarattere"/>
    <w:link w:val="Soggettocommento"/>
    <w:uiPriority w:val="99"/>
    <w:semiHidden/>
    <w:rsid w:val="00D62078"/>
    <w:rPr>
      <w:b/>
      <w:bCs/>
      <w:sz w:val="20"/>
      <w:szCs w:val="20"/>
    </w:rPr>
  </w:style>
  <w:style w:type="paragraph" w:styleId="NormaleWeb">
    <w:name w:val="Normal (Web)"/>
    <w:basedOn w:val="Normale"/>
    <w:uiPriority w:val="99"/>
    <w:unhideWhenUsed/>
    <w:rsid w:val="006B6A8D"/>
    <w:pPr>
      <w:spacing w:before="100" w:beforeAutospacing="1" w:after="100" w:afterAutospacing="1"/>
    </w:pPr>
    <w:rPr>
      <w:rFonts w:eastAsia="Times New Roman" w:cs="Times New Roman"/>
      <w:kern w:val="0"/>
      <w:lang w:eastAsia="it-IT"/>
      <w14:ligatures w14:val="none"/>
    </w:rPr>
  </w:style>
  <w:style w:type="paragraph" w:styleId="Pidipagina">
    <w:name w:val="footer"/>
    <w:basedOn w:val="Normale"/>
    <w:link w:val="PidipaginaCarattere"/>
    <w:uiPriority w:val="99"/>
    <w:unhideWhenUsed/>
    <w:rsid w:val="009773FD"/>
    <w:pPr>
      <w:tabs>
        <w:tab w:val="center" w:pos="4819"/>
        <w:tab w:val="right" w:pos="9638"/>
      </w:tabs>
    </w:pPr>
  </w:style>
  <w:style w:type="character" w:customStyle="1" w:styleId="PidipaginaCarattere">
    <w:name w:val="Piè di pagina Carattere"/>
    <w:basedOn w:val="Carpredefinitoparagrafo"/>
    <w:link w:val="Pidipagina"/>
    <w:uiPriority w:val="99"/>
    <w:rsid w:val="009773FD"/>
    <w:rPr>
      <w:rFonts w:ascii="Times New Roman" w:hAnsi="Times New Roman"/>
    </w:rPr>
  </w:style>
  <w:style w:type="character" w:styleId="Numeropagina">
    <w:name w:val="page number"/>
    <w:basedOn w:val="Carpredefinitoparagrafo"/>
    <w:uiPriority w:val="99"/>
    <w:semiHidden/>
    <w:unhideWhenUsed/>
    <w:rsid w:val="009773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075060">
      <w:bodyDiv w:val="1"/>
      <w:marLeft w:val="0"/>
      <w:marRight w:val="0"/>
      <w:marTop w:val="0"/>
      <w:marBottom w:val="0"/>
      <w:divBdr>
        <w:top w:val="none" w:sz="0" w:space="0" w:color="auto"/>
        <w:left w:val="none" w:sz="0" w:space="0" w:color="auto"/>
        <w:bottom w:val="none" w:sz="0" w:space="0" w:color="auto"/>
        <w:right w:val="none" w:sz="0" w:space="0" w:color="auto"/>
      </w:divBdr>
    </w:div>
    <w:div w:id="308051243">
      <w:bodyDiv w:val="1"/>
      <w:marLeft w:val="0"/>
      <w:marRight w:val="0"/>
      <w:marTop w:val="0"/>
      <w:marBottom w:val="0"/>
      <w:divBdr>
        <w:top w:val="none" w:sz="0" w:space="0" w:color="auto"/>
        <w:left w:val="none" w:sz="0" w:space="0" w:color="auto"/>
        <w:bottom w:val="none" w:sz="0" w:space="0" w:color="auto"/>
        <w:right w:val="none" w:sz="0" w:space="0" w:color="auto"/>
      </w:divBdr>
    </w:div>
    <w:div w:id="546111703">
      <w:bodyDiv w:val="1"/>
      <w:marLeft w:val="0"/>
      <w:marRight w:val="0"/>
      <w:marTop w:val="0"/>
      <w:marBottom w:val="0"/>
      <w:divBdr>
        <w:top w:val="none" w:sz="0" w:space="0" w:color="auto"/>
        <w:left w:val="none" w:sz="0" w:space="0" w:color="auto"/>
        <w:bottom w:val="none" w:sz="0" w:space="0" w:color="auto"/>
        <w:right w:val="none" w:sz="0" w:space="0" w:color="auto"/>
      </w:divBdr>
    </w:div>
    <w:div w:id="774374092">
      <w:bodyDiv w:val="1"/>
      <w:marLeft w:val="0"/>
      <w:marRight w:val="0"/>
      <w:marTop w:val="0"/>
      <w:marBottom w:val="0"/>
      <w:divBdr>
        <w:top w:val="none" w:sz="0" w:space="0" w:color="auto"/>
        <w:left w:val="none" w:sz="0" w:space="0" w:color="auto"/>
        <w:bottom w:val="none" w:sz="0" w:space="0" w:color="auto"/>
        <w:right w:val="none" w:sz="0" w:space="0" w:color="auto"/>
      </w:divBdr>
    </w:div>
    <w:div w:id="813107200">
      <w:bodyDiv w:val="1"/>
      <w:marLeft w:val="0"/>
      <w:marRight w:val="0"/>
      <w:marTop w:val="0"/>
      <w:marBottom w:val="0"/>
      <w:divBdr>
        <w:top w:val="none" w:sz="0" w:space="0" w:color="auto"/>
        <w:left w:val="none" w:sz="0" w:space="0" w:color="auto"/>
        <w:bottom w:val="none" w:sz="0" w:space="0" w:color="auto"/>
        <w:right w:val="none" w:sz="0" w:space="0" w:color="auto"/>
      </w:divBdr>
    </w:div>
    <w:div w:id="1203905172">
      <w:bodyDiv w:val="1"/>
      <w:marLeft w:val="0"/>
      <w:marRight w:val="0"/>
      <w:marTop w:val="0"/>
      <w:marBottom w:val="0"/>
      <w:divBdr>
        <w:top w:val="none" w:sz="0" w:space="0" w:color="auto"/>
        <w:left w:val="none" w:sz="0" w:space="0" w:color="auto"/>
        <w:bottom w:val="none" w:sz="0" w:space="0" w:color="auto"/>
        <w:right w:val="none" w:sz="0" w:space="0" w:color="auto"/>
      </w:divBdr>
    </w:div>
    <w:div w:id="1241060864">
      <w:bodyDiv w:val="1"/>
      <w:marLeft w:val="0"/>
      <w:marRight w:val="0"/>
      <w:marTop w:val="0"/>
      <w:marBottom w:val="0"/>
      <w:divBdr>
        <w:top w:val="none" w:sz="0" w:space="0" w:color="auto"/>
        <w:left w:val="none" w:sz="0" w:space="0" w:color="auto"/>
        <w:bottom w:val="none" w:sz="0" w:space="0" w:color="auto"/>
        <w:right w:val="none" w:sz="0" w:space="0" w:color="auto"/>
      </w:divBdr>
    </w:div>
    <w:div w:id="1242370827">
      <w:bodyDiv w:val="1"/>
      <w:marLeft w:val="0"/>
      <w:marRight w:val="0"/>
      <w:marTop w:val="0"/>
      <w:marBottom w:val="0"/>
      <w:divBdr>
        <w:top w:val="none" w:sz="0" w:space="0" w:color="auto"/>
        <w:left w:val="none" w:sz="0" w:space="0" w:color="auto"/>
        <w:bottom w:val="none" w:sz="0" w:space="0" w:color="auto"/>
        <w:right w:val="none" w:sz="0" w:space="0" w:color="auto"/>
      </w:divBdr>
    </w:div>
    <w:div w:id="1345284988">
      <w:bodyDiv w:val="1"/>
      <w:marLeft w:val="0"/>
      <w:marRight w:val="0"/>
      <w:marTop w:val="0"/>
      <w:marBottom w:val="0"/>
      <w:divBdr>
        <w:top w:val="none" w:sz="0" w:space="0" w:color="auto"/>
        <w:left w:val="none" w:sz="0" w:space="0" w:color="auto"/>
        <w:bottom w:val="none" w:sz="0" w:space="0" w:color="auto"/>
        <w:right w:val="none" w:sz="0" w:space="0" w:color="auto"/>
      </w:divBdr>
    </w:div>
    <w:div w:id="1674843814">
      <w:bodyDiv w:val="1"/>
      <w:marLeft w:val="0"/>
      <w:marRight w:val="0"/>
      <w:marTop w:val="0"/>
      <w:marBottom w:val="0"/>
      <w:divBdr>
        <w:top w:val="none" w:sz="0" w:space="0" w:color="auto"/>
        <w:left w:val="none" w:sz="0" w:space="0" w:color="auto"/>
        <w:bottom w:val="none" w:sz="0" w:space="0" w:color="auto"/>
        <w:right w:val="none" w:sz="0" w:space="0" w:color="auto"/>
      </w:divBdr>
    </w:div>
    <w:div w:id="1715081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sv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B0071B-939C-EF4D-8EAA-8AAC1C2E9E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376</TotalTime>
  <Pages>13</Pages>
  <Words>2352</Words>
  <Characters>13412</Characters>
  <Application>Microsoft Office Word</Application>
  <DocSecurity>0</DocSecurity>
  <Lines>111</Lines>
  <Paragraphs>31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Davide Leardini - davide.leardini3@studio.unibo.it</dc:creator>
  <cp:keywords/>
  <dc:description/>
  <cp:lastModifiedBy>Sara Roggiani</cp:lastModifiedBy>
  <cp:revision>103</cp:revision>
  <dcterms:created xsi:type="dcterms:W3CDTF">2025-03-13T09:24:00Z</dcterms:created>
  <dcterms:modified xsi:type="dcterms:W3CDTF">2025-08-09T13:34:00Z</dcterms:modified>
</cp:coreProperties>
</file>