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35C69" w14:textId="77777777" w:rsidR="00541C04" w:rsidRPr="00044BF0" w:rsidRDefault="00541C04" w:rsidP="00541C04">
      <w:pPr>
        <w:autoSpaceDE w:val="0"/>
        <w:autoSpaceDN w:val="0"/>
        <w:adjustRightInd w:val="0"/>
        <w:rPr>
          <w:rFonts w:asciiTheme="majorBidi" w:hAnsiTheme="majorBidi" w:cstheme="majorBidi"/>
          <w:b/>
          <w:bCs/>
          <w:color w:val="2B2B2B"/>
          <w:lang w:val="en-US"/>
        </w:rPr>
      </w:pPr>
      <w:r w:rsidRPr="00044BF0">
        <w:rPr>
          <w:rFonts w:asciiTheme="majorBidi" w:hAnsiTheme="majorBidi" w:cstheme="majorBidi"/>
          <w:b/>
          <w:bCs/>
          <w:color w:val="2B2B2B"/>
          <w:lang w:val="en-US"/>
        </w:rPr>
        <w:t>“Heal the sick": health status and caregiving during the</w:t>
      </w:r>
      <w:r>
        <w:rPr>
          <w:rFonts w:asciiTheme="majorBidi" w:hAnsiTheme="majorBidi" w:cstheme="majorBidi"/>
          <w:b/>
          <w:bCs/>
          <w:color w:val="2B2B2B"/>
          <w:lang w:val="en-US"/>
        </w:rPr>
        <w:t xml:space="preserve"> </w:t>
      </w:r>
      <w:r w:rsidRPr="00044BF0">
        <w:rPr>
          <w:rFonts w:asciiTheme="majorBidi" w:hAnsiTheme="majorBidi" w:cstheme="majorBidi"/>
          <w:b/>
          <w:bCs/>
          <w:color w:val="2B2B2B"/>
          <w:lang w:val="en-US"/>
        </w:rPr>
        <w:t>17th–18th century in Northern Italy</w:t>
      </w:r>
      <w:r>
        <w:rPr>
          <w:rFonts w:asciiTheme="majorBidi" w:hAnsiTheme="majorBidi" w:cstheme="majorBidi"/>
          <w:b/>
          <w:bCs/>
          <w:color w:val="2B2B2B"/>
          <w:lang w:val="en-US"/>
        </w:rPr>
        <w:t xml:space="preserve"> </w:t>
      </w:r>
      <w:r w:rsidRPr="00044BF0">
        <w:rPr>
          <w:rFonts w:asciiTheme="majorBidi" w:hAnsiTheme="majorBidi" w:cstheme="majorBidi"/>
          <w:b/>
          <w:bCs/>
          <w:color w:val="2B2B2B"/>
          <w:lang w:val="en-US"/>
        </w:rPr>
        <w:t>(St. Biagio cemetery,</w:t>
      </w:r>
      <w:r>
        <w:rPr>
          <w:rFonts w:asciiTheme="majorBidi" w:hAnsiTheme="majorBidi" w:cstheme="majorBidi"/>
          <w:b/>
          <w:bCs/>
          <w:color w:val="2B2B2B"/>
          <w:lang w:val="en-US"/>
        </w:rPr>
        <w:t xml:space="preserve"> </w:t>
      </w:r>
      <w:r w:rsidRPr="00044BF0">
        <w:rPr>
          <w:rFonts w:asciiTheme="majorBidi" w:hAnsiTheme="majorBidi" w:cstheme="majorBidi"/>
          <w:b/>
          <w:bCs/>
          <w:color w:val="2B2B2B"/>
          <w:lang w:val="en-US"/>
        </w:rPr>
        <w:t>Ravenna)</w:t>
      </w:r>
    </w:p>
    <w:p w14:paraId="323CD973" w14:textId="77777777" w:rsidR="00541C04" w:rsidRDefault="00541C04" w:rsidP="00541C04">
      <w:pPr>
        <w:rPr>
          <w:rFonts w:ascii="Verdana-Bold" w:hAnsi="Verdana-Bold" w:cs="Verdana-Bold"/>
          <w:b/>
          <w:bCs/>
          <w:color w:val="2B2B2B"/>
          <w:lang w:val="en-US"/>
        </w:rPr>
      </w:pPr>
    </w:p>
    <w:p w14:paraId="636ED82F" w14:textId="7559A7D3" w:rsidR="00541C04" w:rsidRPr="00541C04" w:rsidRDefault="00541C04" w:rsidP="00541C04">
      <w:pPr>
        <w:jc w:val="center"/>
        <w:rPr>
          <w:rFonts w:asciiTheme="majorBidi" w:hAnsiTheme="majorBidi" w:cstheme="majorBidi"/>
          <w:b/>
          <w:lang w:val="en-US"/>
        </w:rPr>
      </w:pPr>
      <w:r w:rsidRPr="00541C04">
        <w:rPr>
          <w:rFonts w:asciiTheme="majorBidi" w:hAnsiTheme="majorBidi" w:cstheme="majorBidi"/>
          <w:b/>
          <w:lang w:val="en-US"/>
        </w:rPr>
        <w:t xml:space="preserve">Supplementary Material </w:t>
      </w:r>
      <w:r>
        <w:rPr>
          <w:rFonts w:asciiTheme="majorBidi" w:hAnsiTheme="majorBidi" w:cstheme="majorBidi"/>
          <w:b/>
          <w:lang w:val="en-US"/>
        </w:rPr>
        <w:t>2</w:t>
      </w:r>
    </w:p>
    <w:p w14:paraId="627CA609" w14:textId="77777777" w:rsidR="00541C04" w:rsidRDefault="00541C04" w:rsidP="00D5329D">
      <w:pPr>
        <w:autoSpaceDE w:val="0"/>
        <w:autoSpaceDN w:val="0"/>
        <w:adjustRightInd w:val="0"/>
        <w:spacing w:line="360" w:lineRule="auto"/>
        <w:jc w:val="both"/>
        <w:rPr>
          <w:rFonts w:ascii="Times New Roman" w:hAnsi="Times New Roman" w:cs="Times New Roman"/>
          <w:b/>
          <w:bCs/>
          <w:color w:val="000000"/>
          <w:kern w:val="0"/>
          <w:sz w:val="22"/>
          <w:szCs w:val="22"/>
          <w:lang w:val="en-US"/>
        </w:rPr>
      </w:pPr>
    </w:p>
    <w:p w14:paraId="3C136948" w14:textId="119CB09D" w:rsidR="00D5329D" w:rsidRPr="00D5329D" w:rsidRDefault="00541C04" w:rsidP="00D5329D">
      <w:pPr>
        <w:autoSpaceDE w:val="0"/>
        <w:autoSpaceDN w:val="0"/>
        <w:adjustRightInd w:val="0"/>
        <w:spacing w:line="360" w:lineRule="auto"/>
        <w:jc w:val="both"/>
        <w:rPr>
          <w:rFonts w:ascii="Times New Roman" w:hAnsi="Times New Roman" w:cs="Times New Roman"/>
          <w:b/>
          <w:bCs/>
          <w:color w:val="000000"/>
          <w:kern w:val="0"/>
          <w:sz w:val="22"/>
          <w:szCs w:val="22"/>
          <w:lang w:val="en-US"/>
        </w:rPr>
      </w:pPr>
      <w:r>
        <w:rPr>
          <w:rFonts w:ascii="Times New Roman" w:hAnsi="Times New Roman" w:cs="Times New Roman"/>
          <w:b/>
          <w:bCs/>
          <w:color w:val="000000"/>
          <w:kern w:val="0"/>
          <w:sz w:val="22"/>
          <w:szCs w:val="22"/>
          <w:lang w:val="en-US"/>
        </w:rPr>
        <w:t>D</w:t>
      </w:r>
      <w:r w:rsidR="00D5329D" w:rsidRPr="00D5329D">
        <w:rPr>
          <w:rFonts w:ascii="Times New Roman" w:hAnsi="Times New Roman" w:cs="Times New Roman"/>
          <w:b/>
          <w:bCs/>
          <w:color w:val="000000"/>
          <w:kern w:val="0"/>
          <w:sz w:val="22"/>
          <w:szCs w:val="22"/>
          <w:lang w:val="en-US"/>
        </w:rPr>
        <w:t xml:space="preserve">ifferential diagnosis </w:t>
      </w:r>
      <w:r>
        <w:rPr>
          <w:rFonts w:ascii="Times New Roman" w:hAnsi="Times New Roman" w:cs="Times New Roman"/>
          <w:b/>
          <w:bCs/>
          <w:color w:val="000000"/>
          <w:kern w:val="0"/>
          <w:sz w:val="22"/>
          <w:szCs w:val="22"/>
          <w:lang w:val="en-US"/>
        </w:rPr>
        <w:t>of Sk 207</w:t>
      </w:r>
    </w:p>
    <w:p w14:paraId="05A2770F" w14:textId="77777777" w:rsidR="00D5329D" w:rsidRPr="00D5329D" w:rsidRDefault="00D5329D" w:rsidP="00D5329D">
      <w:pPr>
        <w:autoSpaceDE w:val="0"/>
        <w:autoSpaceDN w:val="0"/>
        <w:adjustRightInd w:val="0"/>
        <w:spacing w:line="360" w:lineRule="auto"/>
        <w:jc w:val="both"/>
        <w:rPr>
          <w:rFonts w:ascii="Times New Roman" w:hAnsi="Times New Roman" w:cs="Times New Roman"/>
          <w:b/>
          <w:bCs/>
          <w:color w:val="000000"/>
          <w:kern w:val="0"/>
          <w:sz w:val="22"/>
          <w:szCs w:val="22"/>
          <w:lang w:val="en-US"/>
        </w:rPr>
      </w:pPr>
    </w:p>
    <w:p w14:paraId="0E35771A" w14:textId="463697F5" w:rsidR="00D5329D" w:rsidRPr="00D5329D" w:rsidRDefault="00DE4B77" w:rsidP="00D5329D">
      <w:pPr>
        <w:autoSpaceDE w:val="0"/>
        <w:autoSpaceDN w:val="0"/>
        <w:adjustRightInd w:val="0"/>
        <w:spacing w:line="360" w:lineRule="auto"/>
        <w:jc w:val="both"/>
        <w:rPr>
          <w:rFonts w:ascii="Times New Roman" w:hAnsi="Times New Roman" w:cs="Times New Roman"/>
          <w:color w:val="000000"/>
          <w:kern w:val="0"/>
          <w:sz w:val="22"/>
          <w:szCs w:val="22"/>
          <w:lang w:val="en-US"/>
        </w:rPr>
      </w:pPr>
      <w:r>
        <w:rPr>
          <w:rFonts w:ascii="Times New Roman" w:hAnsi="Times New Roman" w:cs="Times New Roman"/>
          <w:color w:val="000000"/>
          <w:kern w:val="0"/>
          <w:sz w:val="22"/>
          <w:szCs w:val="22"/>
          <w:lang w:val="en-US"/>
        </w:rPr>
        <w:t>The skeletal</w:t>
      </w:r>
      <w:r w:rsidR="00D5329D" w:rsidRPr="00D5329D">
        <w:rPr>
          <w:rFonts w:ascii="Times New Roman" w:hAnsi="Times New Roman" w:cs="Times New Roman"/>
          <w:color w:val="000000"/>
          <w:kern w:val="0"/>
          <w:sz w:val="22"/>
          <w:szCs w:val="22"/>
          <w:lang w:val="en-US"/>
        </w:rPr>
        <w:t xml:space="preserve"> remains of Individual 207 belonged to a young adult male (20-35 years of age) </w:t>
      </w:r>
      <w:r w:rsidR="00147B24">
        <w:rPr>
          <w:rFonts w:ascii="Times New Roman" w:hAnsi="Times New Roman" w:cs="Times New Roman"/>
          <w:color w:val="000000"/>
          <w:kern w:val="0"/>
          <w:sz w:val="22"/>
          <w:szCs w:val="22"/>
          <w:lang w:val="en-US"/>
        </w:rPr>
        <w:t xml:space="preserve">who </w:t>
      </w:r>
      <w:r w:rsidR="00D5329D" w:rsidRPr="00D5329D">
        <w:rPr>
          <w:rFonts w:ascii="Times New Roman" w:hAnsi="Times New Roman" w:cs="Times New Roman"/>
          <w:color w:val="000000"/>
          <w:kern w:val="0"/>
          <w:sz w:val="22"/>
          <w:szCs w:val="22"/>
          <w:lang w:val="en-US"/>
        </w:rPr>
        <w:t>present</w:t>
      </w:r>
      <w:r w:rsidR="00147B24">
        <w:rPr>
          <w:rFonts w:ascii="Times New Roman" w:hAnsi="Times New Roman" w:cs="Times New Roman"/>
          <w:color w:val="000000"/>
          <w:kern w:val="0"/>
          <w:sz w:val="22"/>
          <w:szCs w:val="22"/>
          <w:lang w:val="en-US"/>
        </w:rPr>
        <w:t>ed</w:t>
      </w:r>
      <w:r w:rsidR="00D5329D" w:rsidRPr="00D5329D">
        <w:rPr>
          <w:rFonts w:ascii="Times New Roman" w:hAnsi="Times New Roman" w:cs="Times New Roman"/>
          <w:color w:val="000000"/>
          <w:kern w:val="0"/>
          <w:sz w:val="22"/>
          <w:szCs w:val="22"/>
          <w:lang w:val="en-US"/>
        </w:rPr>
        <w:t xml:space="preserve"> a particular set of skeletal anomalies. This led us to hypothesize a </w:t>
      </w:r>
      <w:r w:rsidR="00541C04">
        <w:rPr>
          <w:rFonts w:ascii="Times New Roman" w:hAnsi="Times New Roman" w:cs="Times New Roman"/>
          <w:color w:val="000000"/>
          <w:kern w:val="0"/>
          <w:sz w:val="22"/>
          <w:szCs w:val="22"/>
          <w:lang w:val="en-US"/>
        </w:rPr>
        <w:t>syndrome</w:t>
      </w:r>
      <w:r w:rsidR="00D5329D" w:rsidRPr="00D5329D">
        <w:rPr>
          <w:rFonts w:ascii="Times New Roman" w:hAnsi="Times New Roman" w:cs="Times New Roman"/>
          <w:color w:val="000000"/>
          <w:kern w:val="0"/>
          <w:sz w:val="22"/>
          <w:szCs w:val="22"/>
          <w:lang w:val="en-US"/>
        </w:rPr>
        <w:t xml:space="preserve"> more than a casual </w:t>
      </w:r>
      <w:r w:rsidR="00147B24">
        <w:rPr>
          <w:rFonts w:ascii="Times New Roman" w:hAnsi="Times New Roman" w:cs="Times New Roman"/>
          <w:color w:val="000000"/>
          <w:kern w:val="0"/>
          <w:sz w:val="22"/>
          <w:szCs w:val="22"/>
          <w:lang w:val="en-US"/>
        </w:rPr>
        <w:t>occurrence</w:t>
      </w:r>
      <w:r w:rsidR="00147B24" w:rsidRPr="00D5329D">
        <w:rPr>
          <w:rFonts w:ascii="Times New Roman" w:hAnsi="Times New Roman" w:cs="Times New Roman"/>
          <w:color w:val="000000"/>
          <w:kern w:val="0"/>
          <w:sz w:val="22"/>
          <w:szCs w:val="22"/>
          <w:lang w:val="en-US"/>
        </w:rPr>
        <w:t xml:space="preserve"> </w:t>
      </w:r>
      <w:r w:rsidR="00D5329D" w:rsidRPr="00D5329D">
        <w:rPr>
          <w:rFonts w:ascii="Times New Roman" w:hAnsi="Times New Roman" w:cs="Times New Roman"/>
          <w:color w:val="000000"/>
          <w:kern w:val="0"/>
          <w:sz w:val="22"/>
          <w:szCs w:val="22"/>
          <w:lang w:val="en-US"/>
        </w:rPr>
        <w:t xml:space="preserve">of several unrelated features. </w:t>
      </w:r>
    </w:p>
    <w:p w14:paraId="3426E3CF" w14:textId="1783FA07" w:rsidR="00D5329D" w:rsidRPr="00D5329D" w:rsidRDefault="00D5329D" w:rsidP="00D5329D">
      <w:pPr>
        <w:autoSpaceDE w:val="0"/>
        <w:autoSpaceDN w:val="0"/>
        <w:adjustRightInd w:val="0"/>
        <w:spacing w:line="360" w:lineRule="auto"/>
        <w:jc w:val="both"/>
        <w:rPr>
          <w:rFonts w:ascii="Times New Roman" w:hAnsi="Times New Roman" w:cs="Times New Roman"/>
          <w:color w:val="000000"/>
          <w:kern w:val="0"/>
          <w:sz w:val="22"/>
          <w:szCs w:val="22"/>
          <w:lang w:val="en-US"/>
        </w:rPr>
      </w:pPr>
      <w:r w:rsidRPr="00D5329D">
        <w:rPr>
          <w:rFonts w:ascii="Times New Roman" w:hAnsi="Times New Roman" w:cs="Times New Roman"/>
          <w:color w:val="000000"/>
          <w:kern w:val="0"/>
          <w:sz w:val="22"/>
          <w:szCs w:val="22"/>
          <w:lang w:val="en-US"/>
        </w:rPr>
        <w:t xml:space="preserve">Cranial traits included probable microcephaly and marked occipital flattening, </w:t>
      </w:r>
      <w:r w:rsidR="00147B24">
        <w:rPr>
          <w:rFonts w:ascii="Times New Roman" w:hAnsi="Times New Roman" w:cs="Times New Roman"/>
          <w:color w:val="000000"/>
          <w:kern w:val="0"/>
          <w:sz w:val="22"/>
          <w:szCs w:val="22"/>
          <w:lang w:val="en-US"/>
        </w:rPr>
        <w:t>severe</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maxillary hypoplasia, and mandibular hyperplasia, diffused oral disorders such as an almost complete antemortem tooth loss</w:t>
      </w:r>
      <w:r w:rsidR="00DE4B77">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and severe mandibular ablution, external auditory exostosis and osteophyt</w:t>
      </w:r>
      <w:r w:rsidR="00541C04">
        <w:rPr>
          <w:rFonts w:ascii="Times New Roman" w:hAnsi="Times New Roman" w:cs="Times New Roman"/>
          <w:color w:val="000000"/>
          <w:kern w:val="0"/>
          <w:sz w:val="22"/>
          <w:szCs w:val="22"/>
          <w:lang w:val="en-US"/>
        </w:rPr>
        <w:t>es</w:t>
      </w:r>
      <w:r w:rsidRPr="00D5329D">
        <w:rPr>
          <w:rFonts w:ascii="Times New Roman" w:hAnsi="Times New Roman" w:cs="Times New Roman"/>
          <w:color w:val="000000"/>
          <w:kern w:val="0"/>
          <w:sz w:val="22"/>
          <w:szCs w:val="22"/>
          <w:lang w:val="en-US"/>
        </w:rPr>
        <w:t xml:space="preserve"> on the occipital condyles</w:t>
      </w:r>
      <w:r w:rsidR="00541C04">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w:t>
      </w:r>
      <w:r w:rsidR="00147B24">
        <w:rPr>
          <w:rFonts w:ascii="Times New Roman" w:hAnsi="Times New Roman" w:cs="Times New Roman"/>
          <w:color w:val="000000"/>
          <w:kern w:val="0"/>
          <w:sz w:val="22"/>
          <w:szCs w:val="22"/>
          <w:lang w:val="en-US"/>
        </w:rPr>
        <w:t xml:space="preserve">Postcranial skeletal </w:t>
      </w:r>
      <w:r w:rsidR="00541C04">
        <w:rPr>
          <w:rFonts w:ascii="Times New Roman" w:hAnsi="Times New Roman" w:cs="Times New Roman"/>
          <w:color w:val="000000"/>
          <w:kern w:val="0"/>
          <w:sz w:val="22"/>
          <w:szCs w:val="22"/>
          <w:lang w:val="en-US"/>
        </w:rPr>
        <w:t xml:space="preserve">anomalies </w:t>
      </w:r>
      <w:r w:rsidRPr="00D5329D">
        <w:rPr>
          <w:rFonts w:ascii="Times New Roman" w:hAnsi="Times New Roman" w:cs="Times New Roman"/>
          <w:color w:val="000000"/>
          <w:kern w:val="0"/>
          <w:sz w:val="22"/>
          <w:szCs w:val="22"/>
          <w:lang w:val="en-US"/>
        </w:rPr>
        <w:t xml:space="preserve">included localized and asymmetric osteoarthrosis, ossification defects </w:t>
      </w:r>
      <w:r w:rsidR="00147B24">
        <w:rPr>
          <w:rFonts w:ascii="Times New Roman" w:hAnsi="Times New Roman" w:cs="Times New Roman"/>
          <w:color w:val="000000"/>
          <w:kern w:val="0"/>
          <w:sz w:val="22"/>
          <w:szCs w:val="22"/>
          <w:lang w:val="en-US"/>
        </w:rPr>
        <w:t>of</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the sternum, asymmetry of the lower limbs and other features related to postural defects.</w:t>
      </w:r>
    </w:p>
    <w:p w14:paraId="52FE3AFD" w14:textId="33DD43C3" w:rsidR="00D5329D" w:rsidRPr="00D5329D" w:rsidRDefault="00D5329D" w:rsidP="00D5329D">
      <w:pPr>
        <w:autoSpaceDE w:val="0"/>
        <w:autoSpaceDN w:val="0"/>
        <w:adjustRightInd w:val="0"/>
        <w:spacing w:line="360" w:lineRule="auto"/>
        <w:jc w:val="both"/>
        <w:rPr>
          <w:rFonts w:ascii="Times New Roman" w:hAnsi="Times New Roman" w:cs="Times New Roman"/>
          <w:color w:val="000000"/>
          <w:kern w:val="0"/>
          <w:sz w:val="22"/>
          <w:szCs w:val="22"/>
          <w:lang w:val="en-US"/>
        </w:rPr>
      </w:pPr>
      <w:r w:rsidRPr="00D5329D">
        <w:rPr>
          <w:rFonts w:ascii="Times New Roman" w:hAnsi="Times New Roman" w:cs="Times New Roman"/>
          <w:color w:val="000000"/>
          <w:kern w:val="0"/>
          <w:sz w:val="22"/>
          <w:szCs w:val="22"/>
          <w:lang w:val="en-US"/>
        </w:rPr>
        <w:t xml:space="preserve">The differential diagnosis considered all syndromic diseases whose clinical manifestations include a craniofacial appearance compatible with the </w:t>
      </w:r>
      <w:r w:rsidR="00DE4B77" w:rsidRPr="00D5329D">
        <w:rPr>
          <w:rFonts w:ascii="Times New Roman" w:hAnsi="Times New Roman" w:cs="Times New Roman"/>
          <w:color w:val="000000"/>
          <w:kern w:val="0"/>
          <w:sz w:val="22"/>
          <w:szCs w:val="22"/>
          <w:lang w:val="en-US"/>
        </w:rPr>
        <w:t xml:space="preserve">observed </w:t>
      </w:r>
      <w:r w:rsidRPr="00D5329D">
        <w:rPr>
          <w:rFonts w:ascii="Times New Roman" w:hAnsi="Times New Roman" w:cs="Times New Roman"/>
          <w:color w:val="000000"/>
          <w:kern w:val="0"/>
          <w:sz w:val="22"/>
          <w:szCs w:val="22"/>
          <w:lang w:val="en-US"/>
        </w:rPr>
        <w:t>traits and mobility disorders.</w:t>
      </w:r>
    </w:p>
    <w:p w14:paraId="7E29DDFD" w14:textId="7429833F" w:rsidR="00D5329D" w:rsidRPr="00D5329D" w:rsidRDefault="00D5329D" w:rsidP="00D5329D">
      <w:pPr>
        <w:autoSpaceDE w:val="0"/>
        <w:autoSpaceDN w:val="0"/>
        <w:adjustRightInd w:val="0"/>
        <w:spacing w:line="360" w:lineRule="auto"/>
        <w:jc w:val="both"/>
        <w:rPr>
          <w:rFonts w:ascii="Times New Roman" w:hAnsi="Times New Roman" w:cs="Times New Roman"/>
          <w:color w:val="000000"/>
          <w:kern w:val="0"/>
          <w:sz w:val="22"/>
          <w:szCs w:val="22"/>
          <w:lang w:val="en-US"/>
        </w:rPr>
      </w:pPr>
      <w:r w:rsidRPr="00D5329D">
        <w:rPr>
          <w:rFonts w:ascii="Times New Roman" w:hAnsi="Times New Roman" w:cs="Times New Roman"/>
          <w:b/>
          <w:bCs/>
          <w:color w:val="000000"/>
          <w:kern w:val="0"/>
          <w:sz w:val="22"/>
          <w:szCs w:val="22"/>
          <w:lang w:val="en-US"/>
        </w:rPr>
        <w:t>Coffin-Siris syndrome</w:t>
      </w:r>
      <w:r w:rsidRPr="00D5329D">
        <w:rPr>
          <w:rFonts w:ascii="Times New Roman" w:hAnsi="Times New Roman" w:cs="Times New Roman"/>
          <w:color w:val="000000"/>
          <w:kern w:val="0"/>
          <w:sz w:val="22"/>
          <w:szCs w:val="22"/>
          <w:lang w:val="en-US"/>
        </w:rPr>
        <w:t xml:space="preserve"> appeared to be </w:t>
      </w:r>
      <w:r w:rsidR="00147B24">
        <w:rPr>
          <w:rFonts w:ascii="Times New Roman" w:hAnsi="Times New Roman" w:cs="Times New Roman"/>
          <w:color w:val="000000"/>
          <w:kern w:val="0"/>
          <w:sz w:val="22"/>
          <w:szCs w:val="22"/>
          <w:lang w:val="en-US"/>
        </w:rPr>
        <w:t>consistent</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with our findings</w:t>
      </w:r>
      <w:r w:rsidR="00147B24">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but was excluded </w:t>
      </w:r>
      <w:r w:rsidR="00541C04">
        <w:rPr>
          <w:rFonts w:ascii="Times New Roman" w:hAnsi="Times New Roman" w:cs="Times New Roman"/>
          <w:color w:val="000000"/>
          <w:kern w:val="0"/>
          <w:sz w:val="22"/>
          <w:szCs w:val="22"/>
          <w:lang w:val="en-US"/>
        </w:rPr>
        <w:t xml:space="preserve">as a </w:t>
      </w:r>
      <w:r w:rsidRPr="00D5329D">
        <w:rPr>
          <w:rFonts w:ascii="Times New Roman" w:hAnsi="Times New Roman" w:cs="Times New Roman"/>
          <w:color w:val="000000"/>
          <w:kern w:val="0"/>
          <w:sz w:val="22"/>
          <w:szCs w:val="22"/>
          <w:lang w:val="en-US"/>
        </w:rPr>
        <w:t>possible diagnos</w:t>
      </w:r>
      <w:r w:rsidR="00541C04">
        <w:rPr>
          <w:rFonts w:ascii="Times New Roman" w:hAnsi="Times New Roman" w:cs="Times New Roman"/>
          <w:color w:val="000000"/>
          <w:kern w:val="0"/>
          <w:sz w:val="22"/>
          <w:szCs w:val="22"/>
          <w:lang w:val="en-US"/>
        </w:rPr>
        <w:t>i</w:t>
      </w:r>
      <w:r w:rsidRPr="00D5329D">
        <w:rPr>
          <w:rFonts w:ascii="Times New Roman" w:hAnsi="Times New Roman" w:cs="Times New Roman"/>
          <w:color w:val="000000"/>
          <w:kern w:val="0"/>
          <w:sz w:val="22"/>
          <w:szCs w:val="22"/>
          <w:lang w:val="en-US"/>
        </w:rPr>
        <w:t xml:space="preserve">s due to the absence of hypoplasia or aplasia of the distal phalanx. </w:t>
      </w:r>
      <w:r w:rsidR="00541C04">
        <w:rPr>
          <w:rFonts w:ascii="Times New Roman" w:hAnsi="Times New Roman" w:cs="Times New Roman"/>
          <w:color w:val="000000"/>
          <w:kern w:val="0"/>
          <w:sz w:val="22"/>
          <w:szCs w:val="22"/>
          <w:lang w:val="en-US"/>
        </w:rPr>
        <w:t>In</w:t>
      </w:r>
      <w:r w:rsidR="00147B24">
        <w:rPr>
          <w:rFonts w:ascii="Times New Roman" w:hAnsi="Times New Roman" w:cs="Times New Roman"/>
          <w:color w:val="000000"/>
          <w:kern w:val="0"/>
          <w:sz w:val="22"/>
          <w:szCs w:val="22"/>
          <w:lang w:val="en-US"/>
        </w:rPr>
        <w:t xml:space="preserve"> the</w:t>
      </w:r>
      <w:r w:rsidR="00541C04">
        <w:rPr>
          <w:rFonts w:ascii="Times New Roman" w:hAnsi="Times New Roman" w:cs="Times New Roman"/>
          <w:color w:val="000000"/>
          <w:kern w:val="0"/>
          <w:sz w:val="22"/>
          <w:szCs w:val="22"/>
          <w:lang w:val="en-US"/>
        </w:rPr>
        <w:t xml:space="preserve"> </w:t>
      </w:r>
      <w:r w:rsidRPr="00D5329D">
        <w:rPr>
          <w:rFonts w:ascii="Times New Roman" w:hAnsi="Times New Roman" w:cs="Times New Roman"/>
          <w:b/>
          <w:bCs/>
          <w:color w:val="000000"/>
          <w:kern w:val="0"/>
          <w:sz w:val="22"/>
          <w:szCs w:val="22"/>
          <w:lang w:val="en-US"/>
        </w:rPr>
        <w:t>Smith-Magenis and Mowat-Wilson syndromes</w:t>
      </w:r>
      <w:r w:rsidR="00147B24" w:rsidRPr="0004714D">
        <w:rPr>
          <w:rFonts w:ascii="Times New Roman" w:hAnsi="Times New Roman" w:cs="Times New Roman"/>
          <w:color w:val="000000"/>
          <w:kern w:val="0"/>
          <w:sz w:val="22"/>
          <w:szCs w:val="22"/>
          <w:lang w:val="en-US"/>
        </w:rPr>
        <w:t>,</w:t>
      </w:r>
      <w:r w:rsidRPr="0004714D">
        <w:rPr>
          <w:rFonts w:ascii="Times New Roman" w:hAnsi="Times New Roman" w:cs="Times New Roman"/>
          <w:color w:val="000000"/>
          <w:kern w:val="0"/>
          <w:sz w:val="22"/>
          <w:szCs w:val="22"/>
          <w:lang w:val="en-US"/>
        </w:rPr>
        <w:t xml:space="preserve"> </w:t>
      </w:r>
      <w:r w:rsidR="00147B24" w:rsidRPr="0004714D">
        <w:rPr>
          <w:rFonts w:ascii="Times New Roman" w:hAnsi="Times New Roman" w:cs="Times New Roman"/>
          <w:color w:val="000000"/>
          <w:kern w:val="0"/>
          <w:sz w:val="22"/>
          <w:szCs w:val="22"/>
          <w:lang w:val="en-US"/>
        </w:rPr>
        <w:t>the</w:t>
      </w:r>
      <w:r w:rsidR="00147B24">
        <w:rPr>
          <w:rFonts w:ascii="Times New Roman" w:hAnsi="Times New Roman" w:cs="Times New Roman"/>
          <w:b/>
          <w:bCs/>
          <w:color w:val="000000"/>
          <w:kern w:val="0"/>
          <w:sz w:val="22"/>
          <w:szCs w:val="22"/>
          <w:lang w:val="en-US"/>
        </w:rPr>
        <w:t xml:space="preserve"> </w:t>
      </w:r>
      <w:r w:rsidRPr="00D5329D">
        <w:rPr>
          <w:rFonts w:ascii="Times New Roman" w:hAnsi="Times New Roman" w:cs="Times New Roman"/>
          <w:color w:val="000000"/>
          <w:kern w:val="0"/>
          <w:sz w:val="22"/>
          <w:szCs w:val="22"/>
          <w:lang w:val="en-US"/>
        </w:rPr>
        <w:t xml:space="preserve">craniofacial traits are only partially compatible with our case, </w:t>
      </w:r>
      <w:r w:rsidR="00147B24">
        <w:rPr>
          <w:rFonts w:ascii="Times New Roman" w:hAnsi="Times New Roman" w:cs="Times New Roman"/>
          <w:color w:val="000000"/>
          <w:kern w:val="0"/>
          <w:sz w:val="22"/>
          <w:szCs w:val="22"/>
          <w:lang w:val="en-US"/>
        </w:rPr>
        <w:t>as</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signs of brachycephaly, hypertelorism, depressed nasal saddle, brachydactyly, polydactyly clinodactyly</w:t>
      </w:r>
      <w:r w:rsidR="00DE4B77">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syndactyly, </w:t>
      </w:r>
      <w:r w:rsidR="00147B24">
        <w:rPr>
          <w:rFonts w:ascii="Times New Roman" w:hAnsi="Times New Roman" w:cs="Times New Roman"/>
          <w:color w:val="000000"/>
          <w:kern w:val="0"/>
          <w:sz w:val="22"/>
          <w:szCs w:val="22"/>
          <w:lang w:val="en-US"/>
        </w:rPr>
        <w:t xml:space="preserve">and </w:t>
      </w:r>
      <w:r w:rsidRPr="00D5329D">
        <w:rPr>
          <w:rFonts w:ascii="Times New Roman" w:hAnsi="Times New Roman" w:cs="Times New Roman"/>
          <w:color w:val="000000"/>
          <w:kern w:val="0"/>
          <w:sz w:val="22"/>
          <w:szCs w:val="22"/>
          <w:lang w:val="en-US"/>
        </w:rPr>
        <w:t xml:space="preserve">vertebral anomalies are absent. </w:t>
      </w:r>
      <w:r w:rsidR="00541C04">
        <w:rPr>
          <w:rFonts w:ascii="Times New Roman" w:hAnsi="Times New Roman" w:cs="Times New Roman"/>
          <w:color w:val="000000"/>
          <w:kern w:val="0"/>
          <w:sz w:val="22"/>
          <w:szCs w:val="22"/>
          <w:lang w:val="en-US"/>
        </w:rPr>
        <w:t>A d</w:t>
      </w:r>
      <w:r w:rsidRPr="00D5329D">
        <w:rPr>
          <w:rFonts w:ascii="Times New Roman" w:hAnsi="Times New Roman" w:cs="Times New Roman"/>
          <w:color w:val="000000"/>
          <w:kern w:val="0"/>
          <w:sz w:val="22"/>
          <w:szCs w:val="22"/>
          <w:lang w:val="en-US"/>
        </w:rPr>
        <w:t xml:space="preserve">iagnosis of </w:t>
      </w:r>
      <w:r w:rsidRPr="00D5329D">
        <w:rPr>
          <w:rFonts w:ascii="Times New Roman" w:hAnsi="Times New Roman" w:cs="Times New Roman"/>
          <w:b/>
          <w:bCs/>
          <w:color w:val="000000"/>
          <w:kern w:val="0"/>
          <w:sz w:val="22"/>
          <w:szCs w:val="22"/>
          <w:lang w:val="en-US"/>
        </w:rPr>
        <w:t>Prader Willi, Rett</w:t>
      </w:r>
      <w:r w:rsidR="00541C04">
        <w:rPr>
          <w:rFonts w:ascii="Times New Roman" w:hAnsi="Times New Roman" w:cs="Times New Roman"/>
          <w:b/>
          <w:bCs/>
          <w:color w:val="000000"/>
          <w:kern w:val="0"/>
          <w:sz w:val="22"/>
          <w:szCs w:val="22"/>
          <w:lang w:val="en-US"/>
        </w:rPr>
        <w:t xml:space="preserve">, or </w:t>
      </w:r>
      <w:r w:rsidRPr="00D5329D">
        <w:rPr>
          <w:rFonts w:ascii="Times New Roman" w:hAnsi="Times New Roman" w:cs="Times New Roman"/>
          <w:b/>
          <w:bCs/>
          <w:color w:val="000000"/>
          <w:kern w:val="0"/>
          <w:sz w:val="22"/>
          <w:szCs w:val="22"/>
          <w:lang w:val="en-US"/>
        </w:rPr>
        <w:t xml:space="preserve">Phelan-McDermid syndromes </w:t>
      </w:r>
      <w:r w:rsidR="00147B24">
        <w:rPr>
          <w:rFonts w:ascii="Times New Roman" w:hAnsi="Times New Roman" w:cs="Times New Roman"/>
          <w:color w:val="000000"/>
          <w:kern w:val="0"/>
          <w:sz w:val="22"/>
          <w:szCs w:val="22"/>
          <w:lang w:val="en-US"/>
        </w:rPr>
        <w:t>was ruled out</w:t>
      </w:r>
      <w:r w:rsidRPr="00D5329D">
        <w:rPr>
          <w:rFonts w:ascii="Times New Roman" w:hAnsi="Times New Roman" w:cs="Times New Roman"/>
          <w:color w:val="000000"/>
          <w:kern w:val="0"/>
          <w:sz w:val="22"/>
          <w:szCs w:val="22"/>
          <w:lang w:val="en-US"/>
        </w:rPr>
        <w:t xml:space="preserve"> </w:t>
      </w:r>
      <w:r w:rsidR="00147B24">
        <w:rPr>
          <w:rFonts w:ascii="Times New Roman" w:hAnsi="Times New Roman" w:cs="Times New Roman"/>
          <w:color w:val="000000"/>
          <w:kern w:val="0"/>
          <w:sz w:val="22"/>
          <w:szCs w:val="22"/>
          <w:lang w:val="en-US"/>
        </w:rPr>
        <w:t>as</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their typical features are not compatible with an osteological diagnosis</w:t>
      </w:r>
      <w:r w:rsidR="00FF678A">
        <w:rPr>
          <w:rFonts w:ascii="Times New Roman" w:hAnsi="Times New Roman" w:cs="Times New Roman"/>
          <w:color w:val="000000"/>
          <w:kern w:val="0"/>
          <w:sz w:val="22"/>
          <w:szCs w:val="22"/>
          <w:lang w:val="en-US"/>
        </w:rPr>
        <w:t xml:space="preserve"> </w:t>
      </w:r>
      <w:r w:rsidR="00FF678A">
        <w:rPr>
          <w:rFonts w:ascii="Times New Roman" w:hAnsi="Times New Roman" w:cs="Times New Roman"/>
          <w:color w:val="000000"/>
          <w:kern w:val="0"/>
          <w:sz w:val="22"/>
          <w:szCs w:val="22"/>
          <w:lang w:val="en-US"/>
        </w:rPr>
        <w:fldChar w:fldCharType="begin" w:fldLock="1"/>
      </w:r>
      <w:r w:rsidR="00FF678A">
        <w:rPr>
          <w:rFonts w:ascii="Times New Roman" w:hAnsi="Times New Roman" w:cs="Times New Roman"/>
          <w:color w:val="000000"/>
          <w:kern w:val="0"/>
          <w:sz w:val="22"/>
          <w:szCs w:val="22"/>
          <w:lang w:val="en-US"/>
        </w:rPr>
        <w:instrText>ADDIN CSL_CITATION {"citationItems":[{"id":"ITEM-1","itemData":{"author":[{"dropping-particle":"","family":"Winter","given":"RM","non-dropping-particle":"","parse-names":false,"suffix":""},{"dropping-particle":"","family":"Baraitser","given":"M","non-dropping-particle":"","parse-names":false,"suffix":""}],"id":"ITEM-1","issued":{"date-parts":[["1991"]]},"number-of-pages":"1430","publisher":"Springer","publisher-place":"New York","title":"Multiple Congenital Anomalies: A Diagnostic Compendium","type":"book"},"uris":["http://www.mendeley.com/documents/?uuid=cb15c699-351b-40d9-9c46-5dc36b51e929"]}],"mendeley":{"formattedCitation":"(Winter &amp; Baraitser, 1991)","plainTextFormattedCitation":"(Winter &amp; Baraitser, 1991)","previouslyFormattedCitation":"(Winter &amp; Baraitser, 1991)"},"properties":{"noteIndex":0},"schema":"https://github.com/citation-style-language/schema/raw/master/csl-citation.json"}</w:instrText>
      </w:r>
      <w:r w:rsidR="00FF678A">
        <w:rPr>
          <w:rFonts w:ascii="Times New Roman" w:hAnsi="Times New Roman" w:cs="Times New Roman"/>
          <w:color w:val="000000"/>
          <w:kern w:val="0"/>
          <w:sz w:val="22"/>
          <w:szCs w:val="22"/>
          <w:lang w:val="en-US"/>
        </w:rPr>
        <w:fldChar w:fldCharType="separate"/>
      </w:r>
      <w:r w:rsidR="00FF678A" w:rsidRPr="00FF678A">
        <w:rPr>
          <w:rFonts w:ascii="Times New Roman" w:hAnsi="Times New Roman" w:cs="Times New Roman"/>
          <w:noProof/>
          <w:color w:val="000000"/>
          <w:kern w:val="0"/>
          <w:sz w:val="22"/>
          <w:szCs w:val="22"/>
          <w:lang w:val="en-US"/>
        </w:rPr>
        <w:t>(Winter &amp; Baraitser, 1991)</w:t>
      </w:r>
      <w:r w:rsidR="00FF678A">
        <w:rPr>
          <w:rFonts w:ascii="Times New Roman" w:hAnsi="Times New Roman" w:cs="Times New Roman"/>
          <w:color w:val="000000"/>
          <w:kern w:val="0"/>
          <w:sz w:val="22"/>
          <w:szCs w:val="22"/>
          <w:lang w:val="en-US"/>
        </w:rPr>
        <w:fldChar w:fldCharType="end"/>
      </w:r>
      <w:r w:rsidRPr="00D5329D">
        <w:rPr>
          <w:rFonts w:ascii="Times New Roman" w:hAnsi="Times New Roman" w:cs="Times New Roman"/>
          <w:color w:val="000000"/>
          <w:kern w:val="0"/>
          <w:sz w:val="22"/>
          <w:szCs w:val="22"/>
          <w:lang w:val="en-US"/>
        </w:rPr>
        <w:t xml:space="preserve">. </w:t>
      </w:r>
    </w:p>
    <w:p w14:paraId="27362A33" w14:textId="3D0E3BD3" w:rsidR="00D5329D" w:rsidRPr="00D5329D" w:rsidRDefault="00D5329D" w:rsidP="00D5329D">
      <w:pPr>
        <w:autoSpaceDE w:val="0"/>
        <w:autoSpaceDN w:val="0"/>
        <w:adjustRightInd w:val="0"/>
        <w:spacing w:line="360" w:lineRule="auto"/>
        <w:jc w:val="both"/>
        <w:rPr>
          <w:rFonts w:ascii="Times New Roman" w:hAnsi="Times New Roman" w:cs="Times New Roman"/>
          <w:color w:val="000000"/>
          <w:kern w:val="0"/>
          <w:sz w:val="22"/>
          <w:szCs w:val="22"/>
          <w:lang w:val="en-US"/>
        </w:rPr>
      </w:pPr>
      <w:r w:rsidRPr="00D5329D">
        <w:rPr>
          <w:rFonts w:ascii="Times New Roman" w:hAnsi="Times New Roman" w:cs="Times New Roman"/>
          <w:b/>
          <w:bCs/>
          <w:color w:val="000000"/>
          <w:kern w:val="0"/>
          <w:sz w:val="22"/>
          <w:szCs w:val="22"/>
          <w:lang w:val="en-US"/>
        </w:rPr>
        <w:t xml:space="preserve">Angelman syndrome </w:t>
      </w:r>
      <w:r w:rsidRPr="00D5329D">
        <w:rPr>
          <w:rFonts w:ascii="Times New Roman" w:hAnsi="Times New Roman" w:cs="Times New Roman"/>
          <w:color w:val="000000"/>
          <w:kern w:val="0"/>
          <w:sz w:val="22"/>
          <w:szCs w:val="22"/>
          <w:lang w:val="en-US"/>
        </w:rPr>
        <w:t xml:space="preserve">is a </w:t>
      </w:r>
      <w:r w:rsidR="00147B24" w:rsidRPr="00D5329D">
        <w:rPr>
          <w:rFonts w:ascii="Times New Roman" w:hAnsi="Times New Roman" w:cs="Times New Roman"/>
          <w:color w:val="000000"/>
          <w:kern w:val="0"/>
          <w:sz w:val="22"/>
          <w:szCs w:val="22"/>
          <w:lang w:val="en-US"/>
        </w:rPr>
        <w:t xml:space="preserve">genetic </w:t>
      </w:r>
      <w:r w:rsidRPr="00D5329D">
        <w:rPr>
          <w:rFonts w:ascii="Times New Roman" w:hAnsi="Times New Roman" w:cs="Times New Roman"/>
          <w:color w:val="000000"/>
          <w:kern w:val="0"/>
          <w:sz w:val="22"/>
          <w:szCs w:val="22"/>
          <w:lang w:val="en-US"/>
        </w:rPr>
        <w:t xml:space="preserve">neurodevelopmental disorder whose incidence </w:t>
      </w:r>
      <w:r w:rsidR="00147B24">
        <w:rPr>
          <w:rFonts w:ascii="Times New Roman" w:hAnsi="Times New Roman" w:cs="Times New Roman"/>
          <w:color w:val="000000"/>
          <w:kern w:val="0"/>
          <w:sz w:val="22"/>
          <w:szCs w:val="22"/>
          <w:lang w:val="en-US"/>
        </w:rPr>
        <w:t>ranges</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from one in 1</w:t>
      </w:r>
      <w:r w:rsidR="00DE4B77">
        <w:rPr>
          <w:rFonts w:ascii="Times New Roman" w:hAnsi="Times New Roman" w:cs="Times New Roman"/>
          <w:color w:val="000000"/>
          <w:kern w:val="0"/>
          <w:sz w:val="22"/>
          <w:szCs w:val="22"/>
          <w:lang w:val="en-US"/>
        </w:rPr>
        <w:t>2</w:t>
      </w:r>
      <w:r w:rsidR="00147B24">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000 to 20</w:t>
      </w:r>
      <w:r w:rsidR="00147B24">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000 newborns </w:t>
      </w:r>
      <w:r w:rsidR="00FF678A">
        <w:rPr>
          <w:rFonts w:ascii="Times New Roman" w:hAnsi="Times New Roman" w:cs="Times New Roman"/>
          <w:color w:val="000000"/>
          <w:kern w:val="0"/>
          <w:sz w:val="22"/>
          <w:szCs w:val="22"/>
          <w:lang w:val="en-US"/>
        </w:rPr>
        <w:fldChar w:fldCharType="begin" w:fldLock="1"/>
      </w:r>
      <w:r w:rsidR="00DE4B77">
        <w:rPr>
          <w:rFonts w:ascii="Times New Roman" w:hAnsi="Times New Roman" w:cs="Times New Roman"/>
          <w:color w:val="000000"/>
          <w:kern w:val="0"/>
          <w:sz w:val="22"/>
          <w:szCs w:val="22"/>
          <w:lang w:val="en-US"/>
        </w:rPr>
        <w:instrText>ADDIN CSL_CITATION {"citationItems":[{"id":"ITEM-1","itemData":{"ISSN":"1933-7213","author":[{"dropping-particle":"","family":"Margolis","given":"Seth S","non-dropping-particle":"","parse-names":false,"suffix":""},{"dropping-particle":"","family":"Sell","given":"Gabrielle L","non-dropping-particle":"","parse-names":false,"suffix":""},{"dropping-particle":"","family":"Zbinden","given":"Mark A","non-dropping-particle":"","parse-names":false,"suffix":""},{"dropping-particle":"","family":"Bird","given":"Lynne M","non-dropping-particle":"","parse-names":false,"suffix":""}],"container-title":"Neurotherapeutics","id":"ITEM-1","issued":{"date-parts":[["2015"]]},"page":"641-650","publisher":"Springer","title":"Angelman syndrome","type":"article-journal","volume":"12"},"uris":["http://www.mendeley.com/documents/?uuid=d972b6bb-8da7-46a1-be86-2eb25d112048"]},{"id":"ITEM-2","itemData":{"DOI":"10.1002/ajmg.a.31074","ISSN":"1552-4825 (Print)","PMID":"16470747","abstract":"In 1995, a consensus statement was published for the purpose of summarizing the  salient clinical features of Angelman syndrome (AS) to assist the clinician in making a timely and accurate diagnosis. Considering the scientific advances made in the last 10 years, it is necessary now to review the validity of the original consensus criteria. As in the original consensus project, the methodology used for this review was to convene a group of scientists and clinicians, with experience in AS, to develop a concise consensus statement, supported by scientific publications where appropriate. It is hoped that this revised consensus document will facilitate further clinical study of individuals with proven AS, and assist in the evaluation of those who appear to have clinical features of AS but have normal laboratory diagnostic testing.","author":[{"dropping-particle":"","family":"Williams","given":"Charles A","non-dropping-particle":"","parse-names":false,"suffix":""},{"dropping-particle":"","family":"Beaudet","given":"Arthur L","non-dropping-particle":"","parse-names":false,"suffix":""},{"dropping-particle":"","family":"Clayton-Smith","given":"Jill","non-dropping-particle":"","parse-names":false,"suffix":""},{"dropping-particle":"","family":"Knoll","given":"Joan H","non-dropping-particle":"","parse-names":false,"suffix":""},{"dropping-particle":"","family":"Kyllerman","given":"Martin","non-dropping-particle":"","parse-names":false,"suffix":""},{"dropping-particle":"","family":"Laan","given":"Laura A","non-dropping-particle":"","parse-names":false,"suffix":""},{"dropping-particle":"","family":"Magenis","given":"R Ellen","non-dropping-particle":"","parse-names":false,"suffix":""},{"dropping-particle":"","family":"Moncla","given":"Ann","non-dropping-particle":"","parse-names":false,"suffix":""},{"dropping-particle":"","family":"Schinzel","given":"Albert A","non-dropping-particle":"","parse-names":false,"suffix":""},{"dropping-particle":"","family":"Summers","given":"Jane A","non-dropping-particle":"","parse-names":false,"suffix":""},{"dropping-particle":"","family":"Wagstaff","given":"Joseph","non-dropping-particle":"","parse-names":false,"suffix":""}],"container-title":"American journal of medical genetics. Part A","id":"ITEM-2","issue":"5","issued":{"date-parts":[["2006","3"]]},"language":"eng","page":"413-418","publisher-place":"United States","title":"Angelman syndrome 2005: updated consensus for diagnostic criteria.","type":"article-journal","volume":"140"},"uris":["http://www.mendeley.com/documents/?uuid=43edc968-6cb4-4722-85dd-150e48aaeaea"]},{"id":"ITEM-3","itemData":{"DOI":"10.1891/0730-0832.36.3.142","ISSN":"1539-2880 (Electronic)","PMID":"28494826","abstract":"Angelman syndrome (AS) is a neurobehavioral and genetically determined condition,  which affects approximately 1 in 15,000 individuals. It is caused by various genetic mutations and deletions of the maternally-inherited UBE3A gene, on the 15q11-13 chromosomal region. The UBE3A gene, which encodes E3 ubiquitin ligase, shows tissue-specific imprinting, being expressed entirely from the maternal allele.The diagnosis of AS is confirmed either by methylation test or by mutation analysis. A more severe clinical picture is linked with the deletion phenotype.Patients with AS have a behavioral and motor pattern defined as \"happy puppet\" because it is characterized by puppet-like ataxic jerky movements; a happy, sociable disposition; and paroxysms of laught</w:instrText>
      </w:r>
      <w:r w:rsidR="00DE4B77" w:rsidRPr="00541C04">
        <w:rPr>
          <w:rFonts w:ascii="Times New Roman" w:hAnsi="Times New Roman" w:cs="Times New Roman"/>
          <w:color w:val="000000"/>
          <w:kern w:val="0"/>
          <w:sz w:val="22"/>
          <w:szCs w:val="22"/>
          <w:lang w:val="de-DE"/>
        </w:rPr>
        <w:instrText>er. There is currently no cure for AS, and management is mainly symptomatic. Novel therapeutic options are directed toward the possibility of activating the silenced paternal copy of the UBE3A gene.","author":[{"dropping-particle":"","family":"Bonello","given":"Daniela","non-dropping-particle":"","parse-names":false,"suffix":""},{"dropping-particle":"","family":"Camilleri","given":"Francesca","non-dropping-particle":"","parse-names":false,"suffix":""},{"dropping-particle":"","family":"Calleja-Agius","given":"Jean","non-dropping-particle":"","parse-names":false,"suffix":""}],"container-title":"Neonatal network : NN","id":"ITEM-3","issue":"3","issued":{"date-parts":[["2017","5"]]},"language":"eng","page":"142-151","publisher-place":"United States","title":"Angelman Syndrome: Identification and Management.","type":"article-journal","volume":"36"},"uris":["http://www.mendeley.com/documents/?uuid=adfee139-98a3-4651-8251-f0ae2147ec02"]}],"mendeley":{"formattedCitation":"(Bonello, Camilleri, &amp; Calleja-Agius, 2017; Margolis, Sell, Zbinden, &amp; Bird, 2015; C. A. Williams et al., 2006)","plainTextFormattedCitation":"(Bonello, Camilleri, &amp; Calleja-Agius, 2017; Margolis, Sell, Zbinden, &amp; Bird, 2015; C. A. Williams et al., 2006)","previouslyFormattedCitation":"(Bonello, Camilleri, &amp; Calleja-Agius, 2017; Margolis, Sell, Zbinden, &amp; Bird, 2015; C. A. Williams et al., 2006)"},"properties":{"noteIndex":0},"schema":"https://github.com/citation-style-language/schema/raw/master/csl-citation.json"}</w:instrText>
      </w:r>
      <w:r w:rsidR="00FF678A">
        <w:rPr>
          <w:rFonts w:ascii="Times New Roman" w:hAnsi="Times New Roman" w:cs="Times New Roman"/>
          <w:color w:val="000000"/>
          <w:kern w:val="0"/>
          <w:sz w:val="22"/>
          <w:szCs w:val="22"/>
          <w:lang w:val="en-US"/>
        </w:rPr>
        <w:fldChar w:fldCharType="separate"/>
      </w:r>
      <w:r w:rsidR="00DE4B77" w:rsidRPr="00541C04">
        <w:rPr>
          <w:rFonts w:ascii="Times New Roman" w:hAnsi="Times New Roman" w:cs="Times New Roman"/>
          <w:noProof/>
          <w:color w:val="000000"/>
          <w:kern w:val="0"/>
          <w:sz w:val="22"/>
          <w:szCs w:val="22"/>
          <w:lang w:val="de-DE"/>
        </w:rPr>
        <w:t>(Bonello, Camilleri, &amp; Calleja-Agius, 2017; Margolis, Sell, Zbinden, &amp; Bird, 2015; C. A. Williams et al., 2006)</w:t>
      </w:r>
      <w:r w:rsidR="00FF678A">
        <w:rPr>
          <w:rFonts w:ascii="Times New Roman" w:hAnsi="Times New Roman" w:cs="Times New Roman"/>
          <w:color w:val="000000"/>
          <w:kern w:val="0"/>
          <w:sz w:val="22"/>
          <w:szCs w:val="22"/>
          <w:lang w:val="en-US"/>
        </w:rPr>
        <w:fldChar w:fldCharType="end"/>
      </w:r>
      <w:r w:rsidRPr="00541C04">
        <w:rPr>
          <w:rFonts w:ascii="Times New Roman" w:hAnsi="Times New Roman" w:cs="Times New Roman"/>
          <w:color w:val="000000"/>
          <w:kern w:val="0"/>
          <w:sz w:val="22"/>
          <w:szCs w:val="22"/>
          <w:lang w:val="de-DE"/>
        </w:rPr>
        <w:t xml:space="preserve">. </w:t>
      </w:r>
      <w:r w:rsidRPr="00D5329D">
        <w:rPr>
          <w:rFonts w:ascii="Times New Roman" w:hAnsi="Times New Roman" w:cs="Times New Roman"/>
          <w:color w:val="000000"/>
          <w:kern w:val="0"/>
          <w:sz w:val="22"/>
          <w:szCs w:val="22"/>
          <w:lang w:val="en-US"/>
        </w:rPr>
        <w:t xml:space="preserve">This condition </w:t>
      </w:r>
      <w:r w:rsidR="00147B24">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due to a deletion or mutation of the UBE3A gene on chromosome 15</w:t>
      </w:r>
      <w:r w:rsidR="00147B24">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 xml:space="preserve"> is characterized by typical traits such as severe developmental delay and malformations of the skull</w:t>
      </w:r>
      <w:r w:rsidR="00DE4B77">
        <w:rPr>
          <w:rFonts w:ascii="Times New Roman" w:hAnsi="Times New Roman" w:cs="Times New Roman"/>
          <w:color w:val="000000"/>
          <w:kern w:val="0"/>
          <w:sz w:val="22"/>
          <w:szCs w:val="22"/>
          <w:lang w:val="en-US"/>
        </w:rPr>
        <w:t xml:space="preserve">, </w:t>
      </w:r>
      <w:r w:rsidR="00541C04">
        <w:rPr>
          <w:rFonts w:ascii="Times New Roman" w:hAnsi="Times New Roman" w:cs="Times New Roman"/>
          <w:color w:val="000000"/>
          <w:kern w:val="0"/>
          <w:sz w:val="22"/>
          <w:szCs w:val="22"/>
          <w:lang w:val="en-US"/>
        </w:rPr>
        <w:t xml:space="preserve">which includes: </w:t>
      </w:r>
      <w:r w:rsidRPr="00D5329D">
        <w:rPr>
          <w:rFonts w:ascii="Times New Roman" w:hAnsi="Times New Roman" w:cs="Times New Roman"/>
          <w:color w:val="000000"/>
          <w:kern w:val="0"/>
          <w:sz w:val="22"/>
          <w:szCs w:val="22"/>
          <w:lang w:val="en-US"/>
        </w:rPr>
        <w:t>microcephaly (absolute or relative)</w:t>
      </w:r>
      <w:r w:rsidR="00AE4390">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disproportioned growth of the skull</w:t>
      </w:r>
      <w:r w:rsidR="00AE4390">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posterior </w:t>
      </w:r>
      <w:r w:rsidR="00147B24">
        <w:rPr>
          <w:rFonts w:ascii="Times New Roman" w:hAnsi="Times New Roman" w:cs="Times New Roman"/>
          <w:color w:val="000000"/>
          <w:kern w:val="0"/>
          <w:sz w:val="22"/>
          <w:szCs w:val="22"/>
          <w:lang w:val="en-US"/>
        </w:rPr>
        <w:t xml:space="preserve">head </w:t>
      </w:r>
      <w:r w:rsidRPr="00D5329D">
        <w:rPr>
          <w:rFonts w:ascii="Times New Roman" w:hAnsi="Times New Roman" w:cs="Times New Roman"/>
          <w:color w:val="000000"/>
          <w:kern w:val="0"/>
          <w:sz w:val="22"/>
          <w:szCs w:val="22"/>
          <w:lang w:val="en-US"/>
        </w:rPr>
        <w:t>flattening</w:t>
      </w:r>
      <w:r w:rsidR="00AE4390">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maxillary hypoplasia and prominent mandible</w:t>
      </w:r>
      <w:r w:rsidR="00AE4390">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frequent oral disorders </w:t>
      </w:r>
      <w:r w:rsidR="00147B24">
        <w:rPr>
          <w:rFonts w:ascii="Times New Roman" w:hAnsi="Times New Roman" w:cs="Times New Roman"/>
          <w:color w:val="000000"/>
          <w:kern w:val="0"/>
          <w:sz w:val="22"/>
          <w:szCs w:val="22"/>
          <w:lang w:val="en-US"/>
        </w:rPr>
        <w:t>related</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to excessive chewing behaviors</w:t>
      </w:r>
      <w:r w:rsidR="00AE4390">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developmental delay</w:t>
      </w:r>
      <w:r w:rsidR="00AE4390">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w:t>
      </w:r>
      <w:r w:rsidR="00147B24">
        <w:rPr>
          <w:rFonts w:ascii="Times New Roman" w:hAnsi="Times New Roman" w:cs="Times New Roman"/>
          <w:color w:val="000000"/>
          <w:kern w:val="0"/>
          <w:sz w:val="22"/>
          <w:szCs w:val="22"/>
          <w:lang w:val="en-US"/>
        </w:rPr>
        <w:t xml:space="preserve">and </w:t>
      </w:r>
      <w:r w:rsidRPr="00D5329D">
        <w:rPr>
          <w:rFonts w:ascii="Times New Roman" w:hAnsi="Times New Roman" w:cs="Times New Roman"/>
          <w:color w:val="000000"/>
          <w:kern w:val="0"/>
          <w:sz w:val="22"/>
          <w:szCs w:val="22"/>
          <w:lang w:val="en-US"/>
        </w:rPr>
        <w:t xml:space="preserve">movement </w:t>
      </w:r>
      <w:r w:rsidR="00AE4390">
        <w:rPr>
          <w:rFonts w:ascii="Times New Roman" w:hAnsi="Times New Roman" w:cs="Times New Roman"/>
          <w:color w:val="000000"/>
          <w:kern w:val="0"/>
          <w:sz w:val="22"/>
          <w:szCs w:val="22"/>
          <w:lang w:val="en-US"/>
        </w:rPr>
        <w:t>and/</w:t>
      </w:r>
      <w:r w:rsidRPr="00D5329D">
        <w:rPr>
          <w:rFonts w:ascii="Times New Roman" w:hAnsi="Times New Roman" w:cs="Times New Roman"/>
          <w:color w:val="000000"/>
          <w:kern w:val="0"/>
          <w:sz w:val="22"/>
          <w:szCs w:val="22"/>
          <w:lang w:val="en-US"/>
        </w:rPr>
        <w:t xml:space="preserve">or balance disorders </w:t>
      </w:r>
      <w:r w:rsidR="00FF678A">
        <w:rPr>
          <w:rFonts w:ascii="Times New Roman" w:hAnsi="Times New Roman" w:cs="Times New Roman"/>
          <w:color w:val="000000"/>
          <w:kern w:val="0"/>
          <w:sz w:val="22"/>
          <w:szCs w:val="22"/>
          <w:lang w:val="en-US"/>
        </w:rPr>
        <w:fldChar w:fldCharType="begin" w:fldLock="1"/>
      </w:r>
      <w:r w:rsidR="00DE4B77">
        <w:rPr>
          <w:rFonts w:ascii="Times New Roman" w:hAnsi="Times New Roman" w:cs="Times New Roman"/>
          <w:color w:val="000000"/>
          <w:kern w:val="0"/>
          <w:sz w:val="22"/>
          <w:szCs w:val="22"/>
          <w:lang w:val="en-US"/>
        </w:rPr>
        <w:instrText>ADDIN CSL_CITATION {"citationItems":[{"id":"ITEM-1","itemData":{"DOI":"10.1002/ajmg.a.31074","ISSN":"1552-4825 (Print)","PMID":"16470747","abstract":"In 1995, a consensus statement was published for the purpose of summarizing the  salient clinical features of Angelman syndrome (AS) to assist the clinician in making a timely and accurate diagnosis. Considering the scientific advances made in the last 10 years, it is necessary now to review the validity of the original consensus criteria. As in the original consensus project, the methodology used for this review was to convene a group of scientists and clinicians, with experience in AS, to develop a concise consensus statement, supported by scientific publications where appropriate. It is hoped that this revised consensus document will facilitate further clinical study of individuals with proven AS, and assist in the evaluation of those who appear to have clinical features of AS but have normal laboratory diagnostic testing.","author":[{"dropping-particle":"","family":"Williams","given":"Charles A","non-dropping-particle":"","parse-names":false,"suffix":""},{"dropping-particle":"","family":"Beaudet","given":"Arthur L","non-dropping-particle":"","parse-names":false,"suffix":""},{"dropping-particle":"","family":"Clayton-Smith","given":"Jill","non-dropping-particle":"","parse-names":false,"suffix":""},{"dropping-particle":"","family":"Knoll","given":"Joan H","non-dropping-particle":"","parse-names":false,"suffix":""},{"dropping-particle":"","family":"Kyllerman","given":"Martin","non-dropping-particle":"","parse-names":false,"suffix":""},{"dropping-particle":"","family":"Laan","given":"Laura A","non-dropping-particle":"","parse-names":false,"suffix":""},{"dropping-particle":"","family":"Magenis","given":"R Ellen","non-dropping-particle":"","parse-names":false,"suffix":""},{"dropping-particle":"","family":"Moncla","given":"Ann","non-dropping-particle":"","parse-names":false,"suffix":""},{"dropping-particle":"","family":"Schinzel","given":"Albert A","non-dropping-particle":"","parse-names":false,"suffix":""},{"dropping-particle":"","family":"Summers","given":"Jane A","non-dropping-particle":"","parse-names":false,"suffix":""},{"dropping-particle":"","family":"Wagstaff","given":"Joseph","non-dropping-particle":"","parse-names":false,"suffix":""}],"container-title":"American journal of medical genetics. Part A","id":"ITEM-1","issue":"5","issued":{"date-parts":[["2006","3"]]},"language":"eng","page":"413-418","publisher-place":"United States","title":"Angelman syndrome 2005: updated consensus for diagnostic criteria.","type":"article-journal","volume":"140"},"uris":["http://www.mendeley.com/documents/?uuid=43edc968-6cb4-4722-85dd-150e48aaeaea"]},{"id":"ITEM-2","itemData":{"author":[{"dropping-particle":"","family":"González-Serrano","given":"José","non-dropping-particle":"","parse-names":false,"suffix":""},{"dropping-particle":"","family":"Paredes-Rodríguez","given":"Víctor Manuel","non-dropping-particle":"","parse-names":false,"suffix":""},{"dropping-particle":"","family":"González-Serrano","given":"Carlos","non-dropping-particle":"","parse-names":false,"suffix":""},{"dropping-particle":"","family":"Gómez","given":"Gema Torrijos","non-dropping-particle":"","parse-names":false,"suffix":""},{"dropping-particle":"","family":"Cano-Durán","given":"Jorge A","non-dropping-particle":"","parse-names":false,"suffix":""},{"dropping-particle":"","family":"López-Pintor","given":"Rosa María","non-dropping-particle":"","parse-names":false,"suffix":""},{"dropping-particle":"","family":"Vallejo","given":"Gonzalo Hernández","non-dropping-particle":"","parse-names":false,"suffix":""}],"container-title":"IOSR Journal of Dental and Medical Sciences","id":"ITEM-2","issue":"5","issued":{"date-parts":[["2017"]]},"page":"73-77","publisher":"Citeseer","title":"Oral Manifestations in Angelman Syndrome: A Systematic Review of the Dental Literature","type":"article-journal","volume":"16"},"uris":["http://www.mendeley.com/documents/?uuid=2a67fe89-70b0-4974-b2c0-edd9e01a8dcf"]}],"mendeley":{"formattedCitation":"(González-Serrano et al., 2017; C. A. Williams et al., 2006)","plainTextFormattedCitation":"(González-Serrano et al., 2017; C. A. Williams et al., 2006)","previouslyFormattedCitation":"(González-Serrano et al., 2017; C. A. Williams et al., 2006)"},"properties":{"noteIndex":0},"schema":"https://github.com/citation-style-language/schema/raw/master/csl-citation.json"}</w:instrText>
      </w:r>
      <w:r w:rsidR="00FF678A">
        <w:rPr>
          <w:rFonts w:ascii="Times New Roman" w:hAnsi="Times New Roman" w:cs="Times New Roman"/>
          <w:color w:val="000000"/>
          <w:kern w:val="0"/>
          <w:sz w:val="22"/>
          <w:szCs w:val="22"/>
          <w:lang w:val="en-US"/>
        </w:rPr>
        <w:fldChar w:fldCharType="separate"/>
      </w:r>
      <w:r w:rsidR="00DE4B77" w:rsidRPr="00DE4B77">
        <w:rPr>
          <w:rFonts w:ascii="Times New Roman" w:hAnsi="Times New Roman" w:cs="Times New Roman"/>
          <w:noProof/>
          <w:color w:val="000000"/>
          <w:kern w:val="0"/>
          <w:sz w:val="22"/>
          <w:szCs w:val="22"/>
          <w:lang w:val="en-US"/>
        </w:rPr>
        <w:t>(González-Serrano et al., 2017; C. A. Williams et al., 2006)</w:t>
      </w:r>
      <w:r w:rsidR="00FF678A">
        <w:rPr>
          <w:rFonts w:ascii="Times New Roman" w:hAnsi="Times New Roman" w:cs="Times New Roman"/>
          <w:color w:val="000000"/>
          <w:kern w:val="0"/>
          <w:sz w:val="22"/>
          <w:szCs w:val="22"/>
          <w:lang w:val="en-US"/>
        </w:rPr>
        <w:fldChar w:fldCharType="end"/>
      </w:r>
      <w:r w:rsidRPr="00D5329D">
        <w:rPr>
          <w:rFonts w:ascii="Times New Roman" w:hAnsi="Times New Roman" w:cs="Times New Roman"/>
          <w:color w:val="000000"/>
          <w:kern w:val="0"/>
          <w:sz w:val="22"/>
          <w:szCs w:val="22"/>
          <w:lang w:val="en-US"/>
        </w:rPr>
        <w:t>. Individuals affected by this syndrome</w:t>
      </w:r>
      <w:r w:rsidR="00147B24">
        <w:rPr>
          <w:rFonts w:ascii="Times New Roman" w:hAnsi="Times New Roman" w:cs="Times New Roman"/>
          <w:color w:val="000000"/>
          <w:kern w:val="0"/>
          <w:sz w:val="22"/>
          <w:szCs w:val="22"/>
          <w:lang w:val="en-US"/>
        </w:rPr>
        <w:t>,</w:t>
      </w:r>
      <w:r w:rsidRPr="00D5329D">
        <w:rPr>
          <w:rFonts w:ascii="Times New Roman" w:hAnsi="Times New Roman" w:cs="Times New Roman"/>
          <w:color w:val="000000"/>
          <w:kern w:val="0"/>
          <w:sz w:val="22"/>
          <w:szCs w:val="22"/>
          <w:lang w:val="en-US"/>
        </w:rPr>
        <w:t xml:space="preserve"> </w:t>
      </w:r>
      <w:r w:rsidR="00541C04">
        <w:rPr>
          <w:rFonts w:ascii="Times New Roman" w:hAnsi="Times New Roman" w:cs="Times New Roman"/>
          <w:color w:val="000000"/>
          <w:kern w:val="0"/>
          <w:sz w:val="22"/>
          <w:szCs w:val="22"/>
          <w:lang w:val="en-US"/>
        </w:rPr>
        <w:t>if treated</w:t>
      </w:r>
      <w:r w:rsidR="00147B24">
        <w:rPr>
          <w:rFonts w:ascii="Times New Roman" w:hAnsi="Times New Roman" w:cs="Times New Roman"/>
          <w:color w:val="000000"/>
          <w:kern w:val="0"/>
          <w:sz w:val="22"/>
          <w:szCs w:val="22"/>
          <w:lang w:val="en-US"/>
        </w:rPr>
        <w:t>,</w:t>
      </w:r>
      <w:r w:rsidR="00541C04">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often reach adulthood, during which the typical phenotype becomes less striking because of facial coarsening, thoracic scoliosis, and mobility problems</w:t>
      </w:r>
      <w:r w:rsidR="00DE4B77">
        <w:rPr>
          <w:rFonts w:ascii="Times New Roman" w:hAnsi="Times New Roman" w:cs="Times New Roman"/>
          <w:color w:val="000000"/>
          <w:kern w:val="0"/>
          <w:sz w:val="22"/>
          <w:szCs w:val="22"/>
          <w:lang w:val="en-US"/>
        </w:rPr>
        <w:t xml:space="preserve"> </w:t>
      </w:r>
      <w:r w:rsidR="00DE4B77">
        <w:rPr>
          <w:rFonts w:ascii="Times New Roman" w:hAnsi="Times New Roman" w:cs="Times New Roman"/>
          <w:color w:val="000000"/>
          <w:kern w:val="0"/>
          <w:sz w:val="22"/>
          <w:szCs w:val="22"/>
          <w:lang w:val="en-US"/>
        </w:rPr>
        <w:fldChar w:fldCharType="begin" w:fldLock="1"/>
      </w:r>
      <w:r w:rsidR="00DE4B77">
        <w:rPr>
          <w:rFonts w:ascii="Times New Roman" w:hAnsi="Times New Roman" w:cs="Times New Roman"/>
          <w:color w:val="000000"/>
          <w:kern w:val="0"/>
          <w:sz w:val="22"/>
          <w:szCs w:val="22"/>
          <w:lang w:val="en-US"/>
        </w:rPr>
        <w:instrText>ADDIN CSL_CITATION {"citationItems":[{"id":"ITEM-1","itemData":{"ISSN":"1552-4825","author":[{"dropping-particle":"","family":"Larson","given":"Anna M","non-dropping-particle":"","parse-names":false,"suffix":""},{"dropping-particle":"","family":"Shinnick","given":"Julianna E","non-dropping-particle":"","parse-names":false,"suffix":""},{"dropping-particle":"","family":"Shaaya","given":"Elias A","non-dropping-particle":"","parse-names":false,"suffix":""},{"dropping-particle":"","family":"Thiele","given":"Elizabeth A","non-dropping-particle":"","parse-names":false,"suffix":""},{"dropping-particle":"","family":"Thibert","given":"Ronald L","non-dropping-particle":"","parse-names":false,"suffix":""}],"container-title":"American Journal of Medical Genetics Part A","id":"ITEM-1","issue":"2","issued":{"date-parts":[["2015"]]},"page":"331-344","publisher":"Wiley Online Library","title":"Angelman syndrome in adulthood","type":"article-journal","volume":"167"},"uris":["http://www.mendeley.com/documents/?uuid=410e1bd0-317e-4005-be0d-1f0dd2458304"]}],"mendeley":{"formattedCitation":"(Larson, Shinnick, Shaaya, Thiele, &amp; Thibert, 2015)","plainTextFormattedCitation":"(Larson, Shinnick, Shaaya, Thiele, &amp; Thibert, 2015)","previouslyFormattedCitation":"(Larson, Shinnick, Shaaya, Thiele, &amp; Thibert, 2015)"},"properties":{"noteIndex":0},"schema":"https://github.com/citation-style-language/schema/raw/master/csl-citation.json"}</w:instrText>
      </w:r>
      <w:r w:rsidR="00DE4B77">
        <w:rPr>
          <w:rFonts w:ascii="Times New Roman" w:hAnsi="Times New Roman" w:cs="Times New Roman"/>
          <w:color w:val="000000"/>
          <w:kern w:val="0"/>
          <w:sz w:val="22"/>
          <w:szCs w:val="22"/>
          <w:lang w:val="en-US"/>
        </w:rPr>
        <w:fldChar w:fldCharType="separate"/>
      </w:r>
      <w:r w:rsidR="00DE4B77" w:rsidRPr="00DE4B77">
        <w:rPr>
          <w:rFonts w:ascii="Times New Roman" w:hAnsi="Times New Roman" w:cs="Times New Roman"/>
          <w:noProof/>
          <w:color w:val="000000"/>
          <w:kern w:val="0"/>
          <w:sz w:val="22"/>
          <w:szCs w:val="22"/>
          <w:lang w:val="en-US"/>
        </w:rPr>
        <w:t>(Larson, Shinnick, Shaaya, Thiele, &amp; Thibert, 2015)</w:t>
      </w:r>
      <w:r w:rsidR="00DE4B77">
        <w:rPr>
          <w:rFonts w:ascii="Times New Roman" w:hAnsi="Times New Roman" w:cs="Times New Roman"/>
          <w:color w:val="000000"/>
          <w:kern w:val="0"/>
          <w:sz w:val="22"/>
          <w:szCs w:val="22"/>
          <w:lang w:val="en-US"/>
        </w:rPr>
        <w:fldChar w:fldCharType="end"/>
      </w:r>
      <w:r w:rsidRPr="00D5329D">
        <w:rPr>
          <w:rFonts w:ascii="Times New Roman" w:hAnsi="Times New Roman" w:cs="Times New Roman"/>
          <w:color w:val="000000"/>
          <w:kern w:val="0"/>
          <w:sz w:val="22"/>
          <w:szCs w:val="22"/>
          <w:lang w:val="en-US"/>
        </w:rPr>
        <w:t>.</w:t>
      </w:r>
    </w:p>
    <w:p w14:paraId="06C9EB87" w14:textId="1705A650" w:rsidR="00DE4B77" w:rsidRDefault="00D5329D" w:rsidP="00D5329D">
      <w:pPr>
        <w:autoSpaceDE w:val="0"/>
        <w:autoSpaceDN w:val="0"/>
        <w:adjustRightInd w:val="0"/>
        <w:spacing w:line="360" w:lineRule="auto"/>
        <w:jc w:val="both"/>
        <w:rPr>
          <w:rFonts w:ascii="Times New Roman" w:hAnsi="Times New Roman" w:cs="Times New Roman"/>
          <w:color w:val="000000"/>
          <w:kern w:val="0"/>
          <w:sz w:val="22"/>
          <w:szCs w:val="22"/>
          <w:lang w:val="en-US"/>
        </w:rPr>
      </w:pPr>
      <w:r w:rsidRPr="00D5329D">
        <w:rPr>
          <w:rFonts w:ascii="Times New Roman" w:hAnsi="Times New Roman" w:cs="Times New Roman"/>
          <w:color w:val="000000"/>
          <w:kern w:val="0"/>
          <w:sz w:val="22"/>
          <w:szCs w:val="22"/>
          <w:lang w:val="en-US"/>
        </w:rPr>
        <w:t xml:space="preserve">Considering all </w:t>
      </w:r>
      <w:r w:rsidR="00541C04">
        <w:rPr>
          <w:rFonts w:ascii="Times New Roman" w:hAnsi="Times New Roman" w:cs="Times New Roman"/>
          <w:color w:val="000000"/>
          <w:kern w:val="0"/>
          <w:sz w:val="22"/>
          <w:szCs w:val="22"/>
          <w:lang w:val="en-US"/>
        </w:rPr>
        <w:t xml:space="preserve">macroscopic skeletal </w:t>
      </w:r>
      <w:r w:rsidRPr="00D5329D">
        <w:rPr>
          <w:rFonts w:ascii="Times New Roman" w:hAnsi="Times New Roman" w:cs="Times New Roman"/>
          <w:color w:val="000000"/>
          <w:kern w:val="0"/>
          <w:sz w:val="22"/>
          <w:szCs w:val="22"/>
          <w:lang w:val="en-US"/>
        </w:rPr>
        <w:t xml:space="preserve">features, the condition of Individual 207 seems to be compatible with a </w:t>
      </w:r>
      <w:r w:rsidR="00541C04">
        <w:rPr>
          <w:rFonts w:ascii="Times New Roman" w:hAnsi="Times New Roman" w:cs="Times New Roman"/>
          <w:color w:val="000000"/>
          <w:kern w:val="0"/>
          <w:sz w:val="22"/>
          <w:szCs w:val="22"/>
          <w:lang w:val="en-US"/>
        </w:rPr>
        <w:t xml:space="preserve">possible </w:t>
      </w:r>
      <w:r w:rsidRPr="00D5329D">
        <w:rPr>
          <w:rFonts w:ascii="Times New Roman" w:hAnsi="Times New Roman" w:cs="Times New Roman"/>
          <w:color w:val="000000"/>
          <w:kern w:val="0"/>
          <w:sz w:val="22"/>
          <w:szCs w:val="22"/>
          <w:lang w:val="en-US"/>
        </w:rPr>
        <w:t>diagnosis of Angelman syndrome</w:t>
      </w:r>
      <w:r w:rsidR="0024369D">
        <w:rPr>
          <w:rFonts w:ascii="Times New Roman" w:hAnsi="Times New Roman" w:cs="Times New Roman"/>
          <w:color w:val="000000"/>
          <w:kern w:val="0"/>
          <w:sz w:val="22"/>
          <w:szCs w:val="22"/>
          <w:lang w:val="en-US"/>
        </w:rPr>
        <w:t xml:space="preserve"> (Fig. 2 SM)</w:t>
      </w:r>
      <w:r w:rsidRPr="00D5329D">
        <w:rPr>
          <w:rFonts w:ascii="Times New Roman" w:hAnsi="Times New Roman" w:cs="Times New Roman"/>
          <w:color w:val="000000"/>
          <w:kern w:val="0"/>
          <w:sz w:val="22"/>
          <w:szCs w:val="22"/>
          <w:lang w:val="en-US"/>
        </w:rPr>
        <w:t xml:space="preserve">. </w:t>
      </w:r>
    </w:p>
    <w:p w14:paraId="428E337F" w14:textId="26FEF02D" w:rsidR="00A528D3" w:rsidRPr="00D5329D" w:rsidRDefault="00D5329D" w:rsidP="00D5329D">
      <w:pPr>
        <w:spacing w:line="360" w:lineRule="auto"/>
        <w:rPr>
          <w:rFonts w:ascii="Times New Roman" w:hAnsi="Times New Roman" w:cs="Times New Roman"/>
          <w:color w:val="000000"/>
          <w:kern w:val="0"/>
          <w:sz w:val="22"/>
          <w:szCs w:val="22"/>
          <w:lang w:val="en-US"/>
        </w:rPr>
      </w:pPr>
      <w:r w:rsidRPr="00D5329D">
        <w:rPr>
          <w:rFonts w:ascii="Times New Roman" w:hAnsi="Times New Roman" w:cs="Times New Roman"/>
          <w:color w:val="000000"/>
          <w:kern w:val="0"/>
          <w:sz w:val="22"/>
          <w:szCs w:val="22"/>
          <w:lang w:val="en-US"/>
        </w:rPr>
        <w:t xml:space="preserve">Another interesting feature may be represented by the presence of </w:t>
      </w:r>
      <w:r w:rsidR="00DE4B77" w:rsidRPr="00D5329D">
        <w:rPr>
          <w:rFonts w:ascii="Times New Roman" w:hAnsi="Times New Roman" w:cs="Times New Roman"/>
          <w:color w:val="000000"/>
          <w:kern w:val="0"/>
          <w:sz w:val="22"/>
          <w:szCs w:val="22"/>
          <w:lang w:val="en-US"/>
        </w:rPr>
        <w:t xml:space="preserve">bilateral </w:t>
      </w:r>
      <w:r w:rsidRPr="00D5329D">
        <w:rPr>
          <w:rFonts w:ascii="Times New Roman" w:hAnsi="Times New Roman" w:cs="Times New Roman"/>
          <w:color w:val="000000"/>
          <w:kern w:val="0"/>
          <w:sz w:val="22"/>
          <w:szCs w:val="22"/>
          <w:lang w:val="en-US"/>
        </w:rPr>
        <w:t>auricular exostosis</w:t>
      </w:r>
      <w:r w:rsidR="0024369D">
        <w:rPr>
          <w:rFonts w:ascii="Times New Roman" w:hAnsi="Times New Roman" w:cs="Times New Roman"/>
          <w:color w:val="000000"/>
          <w:kern w:val="0"/>
          <w:sz w:val="22"/>
          <w:szCs w:val="22"/>
          <w:lang w:val="en-US"/>
        </w:rPr>
        <w:t xml:space="preserve"> (Fig. 2d SM)</w:t>
      </w:r>
      <w:r w:rsidRPr="00D5329D">
        <w:rPr>
          <w:rFonts w:ascii="Times New Roman" w:hAnsi="Times New Roman" w:cs="Times New Roman"/>
          <w:color w:val="000000"/>
          <w:kern w:val="0"/>
          <w:sz w:val="22"/>
          <w:szCs w:val="22"/>
          <w:lang w:val="en-US"/>
        </w:rPr>
        <w:t>, which is clinically associated with frequent immersion in cold water</w:t>
      </w:r>
      <w:r w:rsidR="00DE4B77">
        <w:rPr>
          <w:rFonts w:ascii="Times New Roman" w:hAnsi="Times New Roman" w:cs="Times New Roman"/>
          <w:color w:val="000000"/>
          <w:kern w:val="0"/>
          <w:sz w:val="22"/>
          <w:szCs w:val="22"/>
          <w:lang w:val="en-US"/>
        </w:rPr>
        <w:t xml:space="preserve"> </w:t>
      </w:r>
      <w:r w:rsidR="00DE4B77">
        <w:rPr>
          <w:rFonts w:ascii="Times New Roman" w:hAnsi="Times New Roman" w:cs="Times New Roman"/>
          <w:color w:val="000000"/>
          <w:kern w:val="0"/>
          <w:sz w:val="22"/>
          <w:szCs w:val="22"/>
          <w:lang w:val="en-US"/>
        </w:rPr>
        <w:fldChar w:fldCharType="begin" w:fldLock="1"/>
      </w:r>
      <w:r w:rsidR="00DE4B77">
        <w:rPr>
          <w:rFonts w:ascii="Times New Roman" w:hAnsi="Times New Roman" w:cs="Times New Roman"/>
          <w:color w:val="000000"/>
          <w:kern w:val="0"/>
          <w:sz w:val="22"/>
          <w:szCs w:val="22"/>
          <w:lang w:val="en-US"/>
        </w:rPr>
        <w:instrText>ADDIN CSL_CITATION {"citationItems":[{"id":"ITEM-1","itemData":{"ISSN":"0028-3886","author":[{"dropping-particle":"","family":"Patwari","given":"Sriram","non-dropping-particle":"","parse-names":false,"suffix":""},{"dropping-particle":"","family":"Joshi","given":"Saurabh","non-dropping-particle":"","parse-names":false,"suffix":""},{"dropping-particle":"","family":"Chadaga","given":"Harsha","non-dropping-particle":"","parse-names":false,"suffix":""}],"container-title":"Neurology India","id":"ITEM-1","issue":"5","issued":{"date-parts":[["2018"]]},"page":"1520-1521","publisher":"Medknow Publications &amp; Media Pvt. Ltd.","title":"Bilateral exostosis of the external auditory canal: Surfer's ear","type":"article-journal","volume":"66"},"uris":["http://www.mendeley.com/documents/?uuid=5097977d-77cd-468c-9a02-ae2818ca8022"]}],"mendeley":{"formattedCitation":"(Patwari, Joshi, &amp; Chadaga, 2018)","plainTextFormattedCitation":"(Patwari, Joshi, &amp; Chadaga, 2018)","previouslyFormattedCitation":"(Patwari, Joshi, &amp; Chadaga, 2018)"},"properties":{"noteIndex":0},"schema":"https://github.com/citation-style-language/schema/raw/master/csl-citation.json"}</w:instrText>
      </w:r>
      <w:r w:rsidR="00DE4B77">
        <w:rPr>
          <w:rFonts w:ascii="Times New Roman" w:hAnsi="Times New Roman" w:cs="Times New Roman"/>
          <w:color w:val="000000"/>
          <w:kern w:val="0"/>
          <w:sz w:val="22"/>
          <w:szCs w:val="22"/>
          <w:lang w:val="en-US"/>
        </w:rPr>
        <w:fldChar w:fldCharType="separate"/>
      </w:r>
      <w:r w:rsidR="00DE4B77" w:rsidRPr="00DE4B77">
        <w:rPr>
          <w:rFonts w:ascii="Times New Roman" w:hAnsi="Times New Roman" w:cs="Times New Roman"/>
          <w:noProof/>
          <w:color w:val="000000"/>
          <w:kern w:val="0"/>
          <w:sz w:val="22"/>
          <w:szCs w:val="22"/>
          <w:lang w:val="en-US"/>
        </w:rPr>
        <w:t>(Patwari, Joshi, &amp; Chadaga, 2018)</w:t>
      </w:r>
      <w:r w:rsidR="00DE4B77">
        <w:rPr>
          <w:rFonts w:ascii="Times New Roman" w:hAnsi="Times New Roman" w:cs="Times New Roman"/>
          <w:color w:val="000000"/>
          <w:kern w:val="0"/>
          <w:sz w:val="22"/>
          <w:szCs w:val="22"/>
          <w:lang w:val="en-US"/>
        </w:rPr>
        <w:fldChar w:fldCharType="end"/>
      </w:r>
      <w:r w:rsidRPr="00D5329D">
        <w:rPr>
          <w:rFonts w:ascii="Times New Roman" w:hAnsi="Times New Roman" w:cs="Times New Roman"/>
          <w:color w:val="000000"/>
          <w:kern w:val="0"/>
          <w:sz w:val="22"/>
          <w:szCs w:val="22"/>
          <w:lang w:val="en-US"/>
        </w:rPr>
        <w:t xml:space="preserve">; it is </w:t>
      </w:r>
      <w:r w:rsidR="00147B24">
        <w:rPr>
          <w:rFonts w:ascii="Times New Roman" w:hAnsi="Times New Roman" w:cs="Times New Roman"/>
          <w:color w:val="000000"/>
          <w:kern w:val="0"/>
          <w:sz w:val="22"/>
          <w:szCs w:val="22"/>
          <w:lang w:val="en-US"/>
        </w:rPr>
        <w:t>noteworthy</w:t>
      </w:r>
      <w:r w:rsidRPr="00D5329D">
        <w:rPr>
          <w:rFonts w:ascii="Times New Roman" w:hAnsi="Times New Roman" w:cs="Times New Roman"/>
          <w:color w:val="000000"/>
          <w:kern w:val="0"/>
          <w:sz w:val="22"/>
          <w:szCs w:val="22"/>
          <w:lang w:val="en-US"/>
        </w:rPr>
        <w:t xml:space="preserve"> that patients </w:t>
      </w:r>
      <w:r w:rsidR="00147B24">
        <w:rPr>
          <w:rFonts w:ascii="Times New Roman" w:hAnsi="Times New Roman" w:cs="Times New Roman"/>
          <w:color w:val="000000"/>
          <w:kern w:val="0"/>
          <w:sz w:val="22"/>
          <w:szCs w:val="22"/>
          <w:lang w:val="en-US"/>
        </w:rPr>
        <w:t>with</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 xml:space="preserve">Angelman syndrome are documented to be </w:t>
      </w:r>
      <w:r w:rsidR="00147B24">
        <w:rPr>
          <w:rFonts w:ascii="Times New Roman" w:hAnsi="Times New Roman" w:cs="Times New Roman"/>
          <w:color w:val="000000"/>
          <w:kern w:val="0"/>
          <w:sz w:val="22"/>
          <w:szCs w:val="22"/>
          <w:lang w:val="en-US"/>
        </w:rPr>
        <w:t>frequently</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 xml:space="preserve">attracted </w:t>
      </w:r>
      <w:r w:rsidR="00147B24">
        <w:rPr>
          <w:rFonts w:ascii="Times New Roman" w:hAnsi="Times New Roman" w:cs="Times New Roman"/>
          <w:color w:val="000000"/>
          <w:kern w:val="0"/>
          <w:sz w:val="22"/>
          <w:szCs w:val="22"/>
          <w:lang w:val="en-US"/>
        </w:rPr>
        <w:t>to</w:t>
      </w:r>
      <w:r w:rsidR="00147B24" w:rsidRPr="00D5329D">
        <w:rPr>
          <w:rFonts w:ascii="Times New Roman" w:hAnsi="Times New Roman" w:cs="Times New Roman"/>
          <w:color w:val="000000"/>
          <w:kern w:val="0"/>
          <w:sz w:val="22"/>
          <w:szCs w:val="22"/>
          <w:lang w:val="en-US"/>
        </w:rPr>
        <w:t xml:space="preserve"> </w:t>
      </w:r>
      <w:r w:rsidRPr="00D5329D">
        <w:rPr>
          <w:rFonts w:ascii="Times New Roman" w:hAnsi="Times New Roman" w:cs="Times New Roman"/>
          <w:color w:val="000000"/>
          <w:kern w:val="0"/>
          <w:sz w:val="22"/>
          <w:szCs w:val="22"/>
          <w:lang w:val="en-US"/>
        </w:rPr>
        <w:t xml:space="preserve">water </w:t>
      </w:r>
      <w:r w:rsidR="00DE4B77">
        <w:rPr>
          <w:rFonts w:ascii="Times New Roman" w:hAnsi="Times New Roman" w:cs="Times New Roman"/>
          <w:color w:val="000000"/>
          <w:kern w:val="0"/>
          <w:sz w:val="22"/>
          <w:szCs w:val="22"/>
          <w:lang w:val="en-US"/>
        </w:rPr>
        <w:lastRenderedPageBreak/>
        <w:fldChar w:fldCharType="begin" w:fldLock="1"/>
      </w:r>
      <w:r w:rsidR="00DE4B77">
        <w:rPr>
          <w:rFonts w:ascii="Times New Roman" w:hAnsi="Times New Roman" w:cs="Times New Roman"/>
          <w:color w:val="000000"/>
          <w:kern w:val="0"/>
          <w:sz w:val="22"/>
          <w:szCs w:val="22"/>
          <w:lang w:val="en-US"/>
        </w:rPr>
        <w:instrText>ADDIN CSL_CITATION {"citationItems":[{"id":"ITEM-1","itemData":{"ISSN":"1469-8749","author":[{"dropping-particle":"","family":"Clayton-Smith","given":"Jill","non-dropping-particle":"","parse-names":false,"suffix":""}],"container-title":"Developmental Medicine and Child Neurology","id":"ITEM-1","issue":"7","issued":{"date-parts":[["2001"]]},"page":"476-480","publisher":"Cambridge University Press","title":"Angelman syndrome: evolution of the phenotype in adolescents and adults","type":"article-journal","volume":"43"},"uris":["http://www.mendeley.com/documents/?uuid=1fa7f4d0-6318-4f2f-9442-817e7bb8f718"]},{"id":"ITEM-2","itemData":{"author":[{"dropping-particle":"","family":"Williams","given":"C","non-dropping-particle":"","parse-names":false,"suffix":""},{"dropping-particle":"","family":"Peters","given":"Sarika U","non-dropping-particle":"","parse-names":false,"suffix":""},{"dropping-particle":"","family":"Calculator","given":"Stephen N","non-dropping-particle":"","parse-names":false,"suffix":""}],"container-title":"Angelman Syndrome Foundation, Inc","id":"ITEM-2","issued":{"date-parts":[["2009"]]},"page":"1-30","title":"Facts about Angelman syndrome","type":"article-journal","volume":"7"},"uris":["http://www.mendeley.com/documents/?uuid=9ddb33e1-d0f6-4324-a649-2515e41245df"]},{"id":"ITEM-3","itemData":{"ISSN":"1366-8250","author":[{"dropping-particle":"","family":"Didden","given":"Robert","non-dropping-particle":"","parse-names":false,"suffix":""},{"dropping-particle":"","family":"Korzilius","given":"Hubert","non-dropping-particle":"","parse-names":false,"suffix":""},{"dropping-particle":"","family":"Sturmey","given":"Peter","non-dropping-particle":"","parse-names":false,"suffix":""},{"dropping-particle":"","family":"Lancioni","given":"Giulio E","non-dropping-particle":"","parse-names":false,"suffix":""},{"dropping-particle":"","family":"Curfs","given":"Leopold M G","non-dropping-particle":"","parse-names":false,"suffix":""}],"container-title":"Journal of Intellectual and Developmental Disability","id":"ITEM-3","issue":"1","issued":{"date-parts":[["2008"]]},"page":"59-64","publisher":"Taylor &amp; Francis","title":"Preference for water‐related items in Angelman syndrome, Down syndrome and non‐specific intellectual disability","type":"article-journal","volume":"33"},"uris":["http://www.mendeley.com/documents/?uuid=5d943885-9f87-465b-9758-edb0375d8007"]}],"mendeley":{"formattedCitation":"(Clayton-Smith, 2001; Didden, Korzilius, Sturmey, Lancioni, &amp; Curfs, 2008; C. Williams, Peters, &amp; Calculator, 2009)","plainTextFormattedCitation":"(Clayton-Smith, 2001; Didden, Korzilius, Sturmey, Lancioni, &amp; Curfs, 2008; C. Williams, Peters, &amp; Calculator, 2009)","previouslyFormattedCitation":"(Clayton-Smith, 2001; Didden, Korzilius, Sturmey, Lancioni, &amp; Curfs, 2008; C. Williams, Peters, &amp; Calculator, 2009)"},"properties":{"noteIndex":0},"schema":"https://github.com/citation-style-language/schema/raw/master/csl-citation.json"}</w:instrText>
      </w:r>
      <w:r w:rsidR="00DE4B77">
        <w:rPr>
          <w:rFonts w:ascii="Times New Roman" w:hAnsi="Times New Roman" w:cs="Times New Roman"/>
          <w:color w:val="000000"/>
          <w:kern w:val="0"/>
          <w:sz w:val="22"/>
          <w:szCs w:val="22"/>
          <w:lang w:val="en-US"/>
        </w:rPr>
        <w:fldChar w:fldCharType="separate"/>
      </w:r>
      <w:r w:rsidR="00DE4B77" w:rsidRPr="00DE4B77">
        <w:rPr>
          <w:rFonts w:ascii="Times New Roman" w:hAnsi="Times New Roman" w:cs="Times New Roman"/>
          <w:noProof/>
          <w:color w:val="000000"/>
          <w:kern w:val="0"/>
          <w:sz w:val="22"/>
          <w:szCs w:val="22"/>
          <w:lang w:val="en-US"/>
        </w:rPr>
        <w:t>(Clayton-Smith, 2001; Didden, Korzilius, Sturmey, Lancioni, &amp; Curfs, 2008; C. Williams, Peters, &amp; Calculator, 2009)</w:t>
      </w:r>
      <w:r w:rsidR="00DE4B77">
        <w:rPr>
          <w:rFonts w:ascii="Times New Roman" w:hAnsi="Times New Roman" w:cs="Times New Roman"/>
          <w:color w:val="000000"/>
          <w:kern w:val="0"/>
          <w:sz w:val="22"/>
          <w:szCs w:val="22"/>
          <w:lang w:val="en-US"/>
        </w:rPr>
        <w:fldChar w:fldCharType="end"/>
      </w:r>
      <w:r w:rsidR="00DE4B77">
        <w:rPr>
          <w:rFonts w:ascii="Times New Roman" w:hAnsi="Times New Roman" w:cs="Times New Roman"/>
          <w:color w:val="000000"/>
          <w:kern w:val="0"/>
          <w:sz w:val="22"/>
          <w:szCs w:val="22"/>
          <w:lang w:val="en-US"/>
        </w:rPr>
        <w:t>.</w:t>
      </w:r>
    </w:p>
    <w:p w14:paraId="5002E29D" w14:textId="77777777" w:rsidR="00D5329D" w:rsidRPr="00D5329D" w:rsidRDefault="00D5329D" w:rsidP="00D5329D">
      <w:pPr>
        <w:spacing w:line="360" w:lineRule="auto"/>
        <w:rPr>
          <w:rFonts w:ascii="Times New Roman" w:hAnsi="Times New Roman" w:cs="Times New Roman"/>
          <w:color w:val="000000"/>
          <w:kern w:val="0"/>
          <w:sz w:val="22"/>
          <w:szCs w:val="22"/>
          <w:lang w:val="en-US"/>
        </w:rPr>
      </w:pPr>
    </w:p>
    <w:tbl>
      <w:tblPr>
        <w:tblStyle w:val="Grigliatabella"/>
        <w:tblW w:w="0" w:type="auto"/>
        <w:tblLook w:val="04A0" w:firstRow="1" w:lastRow="0" w:firstColumn="1" w:lastColumn="0" w:noHBand="0" w:noVBand="1"/>
      </w:tblPr>
      <w:tblGrid>
        <w:gridCol w:w="4814"/>
        <w:gridCol w:w="4814"/>
      </w:tblGrid>
      <w:tr w:rsidR="00D5329D" w:rsidRPr="00D5329D" w14:paraId="1A1B1BED" w14:textId="77777777" w:rsidTr="00D5329D">
        <w:tc>
          <w:tcPr>
            <w:tcW w:w="4814" w:type="dxa"/>
            <w:vAlign w:val="center"/>
          </w:tcPr>
          <w:p w14:paraId="4DE15768" w14:textId="1F0EF06D" w:rsidR="00D5329D" w:rsidRPr="00D5329D" w:rsidRDefault="00D5329D" w:rsidP="00D5329D">
            <w:pPr>
              <w:pStyle w:val="NormaleWeb"/>
              <w:spacing w:before="0" w:beforeAutospacing="0" w:after="0" w:afterAutospacing="0"/>
              <w:jc w:val="center"/>
              <w:rPr>
                <w:b/>
                <w:bCs/>
                <w:color w:val="000000" w:themeColor="text1"/>
                <w:sz w:val="22"/>
                <w:szCs w:val="22"/>
              </w:rPr>
            </w:pPr>
            <w:r w:rsidRPr="00D5329D">
              <w:rPr>
                <w:b/>
                <w:bCs/>
                <w:color w:val="000000" w:themeColor="text1"/>
                <w:sz w:val="22"/>
                <w:szCs w:val="22"/>
              </w:rPr>
              <w:t xml:space="preserve">Paleopathological traits of </w:t>
            </w:r>
            <w:r w:rsidR="00541C04">
              <w:rPr>
                <w:b/>
                <w:bCs/>
                <w:color w:val="000000" w:themeColor="text1"/>
                <w:sz w:val="22"/>
                <w:szCs w:val="22"/>
              </w:rPr>
              <w:t xml:space="preserve">Sk </w:t>
            </w:r>
            <w:r w:rsidRPr="00D5329D">
              <w:rPr>
                <w:b/>
                <w:bCs/>
                <w:color w:val="000000" w:themeColor="text1"/>
                <w:sz w:val="22"/>
                <w:szCs w:val="22"/>
              </w:rPr>
              <w:t>207</w:t>
            </w:r>
          </w:p>
        </w:tc>
        <w:tc>
          <w:tcPr>
            <w:tcW w:w="4814" w:type="dxa"/>
            <w:vAlign w:val="center"/>
          </w:tcPr>
          <w:p w14:paraId="09C775C5" w14:textId="77777777" w:rsidR="00D5329D" w:rsidRDefault="00D5329D" w:rsidP="00D5329D">
            <w:pPr>
              <w:pStyle w:val="NormaleWeb"/>
              <w:spacing w:before="0" w:beforeAutospacing="0" w:after="0" w:afterAutospacing="0"/>
              <w:jc w:val="center"/>
              <w:rPr>
                <w:b/>
                <w:bCs/>
                <w:color w:val="000000" w:themeColor="text1"/>
                <w:sz w:val="22"/>
                <w:szCs w:val="22"/>
                <w:lang w:val="en-US"/>
              </w:rPr>
            </w:pPr>
            <w:r w:rsidRPr="00D5329D">
              <w:rPr>
                <w:b/>
                <w:bCs/>
                <w:color w:val="000000" w:themeColor="text1"/>
                <w:sz w:val="22"/>
                <w:szCs w:val="22"/>
                <w:lang w:val="en-US"/>
              </w:rPr>
              <w:t xml:space="preserve">Physical and developmental findings in Angelman syndrome patients </w:t>
            </w:r>
          </w:p>
          <w:p w14:paraId="58E3114A" w14:textId="77446294" w:rsidR="00D5329D" w:rsidRPr="00D5329D" w:rsidRDefault="00D5329D" w:rsidP="00D5329D">
            <w:pPr>
              <w:pStyle w:val="NormaleWeb"/>
              <w:spacing w:before="0" w:beforeAutospacing="0" w:after="0" w:afterAutospacing="0"/>
              <w:jc w:val="center"/>
              <w:rPr>
                <w:b/>
                <w:bCs/>
                <w:color w:val="000000" w:themeColor="text1"/>
                <w:sz w:val="22"/>
                <w:szCs w:val="22"/>
                <w:lang w:val="en-US"/>
              </w:rPr>
            </w:pPr>
            <w:r w:rsidRPr="00D5329D">
              <w:rPr>
                <w:b/>
                <w:bCs/>
                <w:color w:val="000000" w:themeColor="text1"/>
                <w:sz w:val="22"/>
                <w:szCs w:val="22"/>
                <w:lang w:val="en-US"/>
              </w:rPr>
              <w:t>(Williams et al, 200</w:t>
            </w:r>
            <w:r w:rsidR="00DE4B77">
              <w:rPr>
                <w:b/>
                <w:bCs/>
                <w:color w:val="000000" w:themeColor="text1"/>
                <w:sz w:val="22"/>
                <w:szCs w:val="22"/>
                <w:lang w:val="en-US"/>
              </w:rPr>
              <w:t>6</w:t>
            </w:r>
            <w:r w:rsidRPr="00D5329D">
              <w:rPr>
                <w:b/>
                <w:bCs/>
                <w:color w:val="000000" w:themeColor="text1"/>
                <w:sz w:val="22"/>
                <w:szCs w:val="22"/>
                <w:lang w:val="en-US"/>
              </w:rPr>
              <w:t>, 2009)</w:t>
            </w:r>
          </w:p>
        </w:tc>
      </w:tr>
      <w:tr w:rsidR="00D5329D" w:rsidRPr="0004714D" w14:paraId="6440D358" w14:textId="77777777" w:rsidTr="00D5329D">
        <w:tc>
          <w:tcPr>
            <w:tcW w:w="4814" w:type="dxa"/>
            <w:vAlign w:val="center"/>
          </w:tcPr>
          <w:p w14:paraId="1D0B16FC" w14:textId="7393D447"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rPr>
              <w:t>Microcephaly</w:t>
            </w:r>
          </w:p>
        </w:tc>
        <w:tc>
          <w:tcPr>
            <w:tcW w:w="4814" w:type="dxa"/>
            <w:vAlign w:val="center"/>
          </w:tcPr>
          <w:p w14:paraId="4D7D8AC0" w14:textId="1EA196FD" w:rsidR="00D5329D" w:rsidRPr="00D5329D" w:rsidRDefault="00D5329D" w:rsidP="00D5329D">
            <w:pPr>
              <w:pStyle w:val="NormaleWeb"/>
              <w:spacing w:before="0" w:beforeAutospacing="0" w:after="0" w:afterAutospacing="0"/>
              <w:rPr>
                <w:sz w:val="22"/>
                <w:szCs w:val="22"/>
                <w:lang w:val="en-US"/>
              </w:rPr>
            </w:pPr>
            <w:r w:rsidRPr="00D5329D">
              <w:rPr>
                <w:color w:val="4C4C4C"/>
                <w:sz w:val="22"/>
                <w:szCs w:val="22"/>
                <w:lang w:val="en-US"/>
              </w:rPr>
              <w:t>Frequent finding (recurrence over 80% of cases)</w:t>
            </w:r>
          </w:p>
        </w:tc>
      </w:tr>
      <w:tr w:rsidR="00D5329D" w:rsidRPr="00D5329D" w14:paraId="13CA3B9C" w14:textId="77777777" w:rsidTr="00D5329D">
        <w:tc>
          <w:tcPr>
            <w:tcW w:w="4814" w:type="dxa"/>
            <w:vAlign w:val="center"/>
          </w:tcPr>
          <w:p w14:paraId="25F8D0E1" w14:textId="09438D2D"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rPr>
              <w:t>Marked occipital flattening</w:t>
            </w:r>
          </w:p>
        </w:tc>
        <w:tc>
          <w:tcPr>
            <w:tcW w:w="4814" w:type="dxa"/>
            <w:vAlign w:val="center"/>
          </w:tcPr>
          <w:p w14:paraId="55720F85" w14:textId="65D2E9EE" w:rsidR="00D5329D" w:rsidRPr="00D5329D" w:rsidRDefault="00D5329D" w:rsidP="00D5329D">
            <w:pPr>
              <w:pStyle w:val="NormaleWeb"/>
              <w:spacing w:before="0" w:beforeAutospacing="0" w:after="0" w:afterAutospacing="0"/>
              <w:rPr>
                <w:sz w:val="22"/>
                <w:szCs w:val="22"/>
              </w:rPr>
            </w:pPr>
            <w:r w:rsidRPr="00D5329D">
              <w:rPr>
                <w:color w:val="4C4C4C"/>
                <w:sz w:val="22"/>
                <w:szCs w:val="22"/>
              </w:rPr>
              <w:t>Associated finding (recurrence 20-80%)</w:t>
            </w:r>
          </w:p>
        </w:tc>
      </w:tr>
      <w:tr w:rsidR="00D5329D" w:rsidRPr="00D5329D" w14:paraId="2B5B9D07" w14:textId="77777777" w:rsidTr="00D5329D">
        <w:tc>
          <w:tcPr>
            <w:tcW w:w="4814" w:type="dxa"/>
            <w:vAlign w:val="center"/>
          </w:tcPr>
          <w:p w14:paraId="384DAD36" w14:textId="7F8BA1AE"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rPr>
              <w:t>Maxillary hypoplasia</w:t>
            </w:r>
          </w:p>
        </w:tc>
        <w:tc>
          <w:tcPr>
            <w:tcW w:w="4814" w:type="dxa"/>
            <w:vAlign w:val="center"/>
          </w:tcPr>
          <w:p w14:paraId="16FAB76D" w14:textId="6DE3C61B" w:rsidR="00D5329D" w:rsidRPr="00D5329D" w:rsidRDefault="00D5329D" w:rsidP="00D5329D">
            <w:pPr>
              <w:pStyle w:val="NormaleWeb"/>
              <w:spacing w:before="0" w:beforeAutospacing="0" w:after="0" w:afterAutospacing="0"/>
              <w:rPr>
                <w:sz w:val="22"/>
                <w:szCs w:val="22"/>
              </w:rPr>
            </w:pPr>
            <w:r w:rsidRPr="00D5329D">
              <w:rPr>
                <w:color w:val="4C4C4C"/>
                <w:sz w:val="22"/>
                <w:szCs w:val="22"/>
              </w:rPr>
              <w:t>Associated finding (recurrence 20-80%)</w:t>
            </w:r>
          </w:p>
        </w:tc>
      </w:tr>
      <w:tr w:rsidR="00D5329D" w:rsidRPr="00D5329D" w14:paraId="7B023670" w14:textId="77777777" w:rsidTr="00D5329D">
        <w:tc>
          <w:tcPr>
            <w:tcW w:w="4814" w:type="dxa"/>
            <w:vAlign w:val="center"/>
          </w:tcPr>
          <w:p w14:paraId="3812FB7E" w14:textId="2AC6821B"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rPr>
              <w:t>Mandibular iperplasia</w:t>
            </w:r>
          </w:p>
        </w:tc>
        <w:tc>
          <w:tcPr>
            <w:tcW w:w="4814" w:type="dxa"/>
            <w:vAlign w:val="center"/>
          </w:tcPr>
          <w:p w14:paraId="4B46ED16" w14:textId="4C4DF9C4" w:rsidR="00D5329D" w:rsidRPr="00D5329D" w:rsidRDefault="00D5329D" w:rsidP="00D5329D">
            <w:pPr>
              <w:pStyle w:val="NormaleWeb"/>
              <w:spacing w:before="0" w:beforeAutospacing="0" w:after="0" w:afterAutospacing="0"/>
              <w:rPr>
                <w:sz w:val="22"/>
                <w:szCs w:val="22"/>
              </w:rPr>
            </w:pPr>
            <w:r w:rsidRPr="00D5329D">
              <w:rPr>
                <w:color w:val="4C4C4C"/>
                <w:sz w:val="22"/>
                <w:szCs w:val="22"/>
              </w:rPr>
              <w:t>Associated finding (recurrence 20-80%)</w:t>
            </w:r>
          </w:p>
        </w:tc>
      </w:tr>
      <w:tr w:rsidR="00D5329D" w:rsidRPr="00D5329D" w14:paraId="019D46AE" w14:textId="77777777" w:rsidTr="00D5329D">
        <w:tc>
          <w:tcPr>
            <w:tcW w:w="4814" w:type="dxa"/>
            <w:vAlign w:val="center"/>
          </w:tcPr>
          <w:p w14:paraId="527AC70D" w14:textId="1C79FCE2"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rPr>
              <w:t>Ante-mortem tooth loss</w:t>
            </w:r>
          </w:p>
        </w:tc>
        <w:tc>
          <w:tcPr>
            <w:tcW w:w="4814" w:type="dxa"/>
            <w:vMerge w:val="restart"/>
            <w:vAlign w:val="center"/>
          </w:tcPr>
          <w:p w14:paraId="4B331444" w14:textId="5C7E8E95" w:rsidR="00D5329D" w:rsidRPr="00D5329D" w:rsidRDefault="00D5329D" w:rsidP="00D5329D">
            <w:pPr>
              <w:pStyle w:val="NormaleWeb"/>
              <w:spacing w:before="0" w:beforeAutospacing="0" w:after="0" w:afterAutospacing="0"/>
              <w:rPr>
                <w:sz w:val="22"/>
                <w:szCs w:val="22"/>
              </w:rPr>
            </w:pPr>
            <w:r w:rsidRPr="00D5329D">
              <w:rPr>
                <w:color w:val="4C4C4C"/>
                <w:sz w:val="22"/>
                <w:szCs w:val="22"/>
                <w:lang w:val="en-US"/>
              </w:rPr>
              <w:t xml:space="preserve">Excessive chewing/mouthing behaviors; suck/swallowing disorders. </w:t>
            </w:r>
            <w:r w:rsidRPr="00D5329D">
              <w:rPr>
                <w:color w:val="4C4C4C"/>
                <w:sz w:val="22"/>
                <w:szCs w:val="22"/>
                <w:lang w:val="en-US"/>
              </w:rPr>
              <w:br/>
            </w:r>
            <w:r w:rsidRPr="00D5329D">
              <w:rPr>
                <w:color w:val="4C4C4C"/>
                <w:sz w:val="22"/>
                <w:szCs w:val="22"/>
              </w:rPr>
              <w:t>Associated finding (recurrence 20-80%).</w:t>
            </w:r>
          </w:p>
        </w:tc>
      </w:tr>
      <w:tr w:rsidR="00D5329D" w:rsidRPr="0004714D" w14:paraId="7C6E3CA9" w14:textId="77777777" w:rsidTr="00D5329D">
        <w:tc>
          <w:tcPr>
            <w:tcW w:w="4814" w:type="dxa"/>
            <w:vAlign w:val="center"/>
          </w:tcPr>
          <w:p w14:paraId="29E08287" w14:textId="0EE730FD"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lang w:val="en-US"/>
              </w:rPr>
              <w:t>Erosion of the mandibular arch</w:t>
            </w:r>
          </w:p>
        </w:tc>
        <w:tc>
          <w:tcPr>
            <w:tcW w:w="4814" w:type="dxa"/>
            <w:vMerge/>
            <w:vAlign w:val="center"/>
          </w:tcPr>
          <w:p w14:paraId="24FC419F" w14:textId="77777777" w:rsidR="00D5329D" w:rsidRPr="00D5329D" w:rsidRDefault="00D5329D" w:rsidP="00D5329D">
            <w:pPr>
              <w:spacing w:line="360" w:lineRule="auto"/>
              <w:rPr>
                <w:rFonts w:ascii="Times New Roman" w:hAnsi="Times New Roman" w:cs="Times New Roman"/>
                <w:b/>
                <w:bCs/>
                <w:sz w:val="22"/>
                <w:szCs w:val="22"/>
                <w:lang w:val="en-US"/>
              </w:rPr>
            </w:pPr>
          </w:p>
        </w:tc>
      </w:tr>
      <w:tr w:rsidR="00D5329D" w:rsidRPr="00D5329D" w14:paraId="429F8C71" w14:textId="77777777" w:rsidTr="00D5329D">
        <w:tc>
          <w:tcPr>
            <w:tcW w:w="4814" w:type="dxa"/>
            <w:vAlign w:val="center"/>
          </w:tcPr>
          <w:p w14:paraId="3E18BAE5" w14:textId="564F06F1"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rPr>
              <w:t>Vertebral anomalies</w:t>
            </w:r>
          </w:p>
        </w:tc>
        <w:tc>
          <w:tcPr>
            <w:tcW w:w="4814" w:type="dxa"/>
            <w:vAlign w:val="center"/>
          </w:tcPr>
          <w:p w14:paraId="55C6B1CB" w14:textId="49E45E6E" w:rsidR="00D5329D" w:rsidRPr="00541C04" w:rsidRDefault="00D5329D" w:rsidP="00D5329D">
            <w:pPr>
              <w:spacing w:line="360" w:lineRule="auto"/>
              <w:rPr>
                <w:rFonts w:ascii="Times New Roman" w:hAnsi="Times New Roman" w:cs="Times New Roman"/>
                <w:sz w:val="22"/>
                <w:szCs w:val="22"/>
                <w:lang w:val="en-US"/>
              </w:rPr>
            </w:pPr>
            <w:r w:rsidRPr="00541C04">
              <w:rPr>
                <w:rFonts w:ascii="Times New Roman" w:hAnsi="Times New Roman" w:cs="Times New Roman"/>
                <w:sz w:val="22"/>
                <w:szCs w:val="22"/>
              </w:rPr>
              <w:t>Associated finding (recurrence 20-80%)</w:t>
            </w:r>
          </w:p>
        </w:tc>
      </w:tr>
      <w:tr w:rsidR="00D5329D" w:rsidRPr="0004714D" w14:paraId="6D198498" w14:textId="77777777" w:rsidTr="00D5329D">
        <w:tc>
          <w:tcPr>
            <w:tcW w:w="4814" w:type="dxa"/>
            <w:vAlign w:val="center"/>
          </w:tcPr>
          <w:p w14:paraId="505D7E6D" w14:textId="30CA2BC3"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lang w:val="en-US"/>
              </w:rPr>
              <w:t>Enthesopathy of the left Achille’s tendon</w:t>
            </w:r>
          </w:p>
        </w:tc>
        <w:tc>
          <w:tcPr>
            <w:tcW w:w="4814" w:type="dxa"/>
            <w:vMerge w:val="restart"/>
            <w:vAlign w:val="center"/>
          </w:tcPr>
          <w:p w14:paraId="2DC802A0" w14:textId="3F9318E9" w:rsidR="00D5329D" w:rsidRPr="00D5329D" w:rsidRDefault="00D5329D" w:rsidP="00D5329D">
            <w:pPr>
              <w:pStyle w:val="NormaleWeb"/>
              <w:spacing w:before="0" w:beforeAutospacing="0" w:after="0" w:afterAutospacing="0"/>
              <w:rPr>
                <w:sz w:val="22"/>
                <w:szCs w:val="22"/>
                <w:lang w:val="en-US"/>
              </w:rPr>
            </w:pPr>
            <w:r w:rsidRPr="00D5329D">
              <w:rPr>
                <w:color w:val="4C4C4C"/>
                <w:sz w:val="22"/>
                <w:szCs w:val="22"/>
                <w:lang w:val="en-US"/>
              </w:rPr>
              <w:t>Mobility and balance disorder. Consistent finding (recurrence:100%).</w:t>
            </w:r>
          </w:p>
        </w:tc>
      </w:tr>
      <w:tr w:rsidR="00D5329D" w:rsidRPr="0004714D" w14:paraId="6DEAE86C" w14:textId="77777777" w:rsidTr="00D5329D">
        <w:tc>
          <w:tcPr>
            <w:tcW w:w="4814" w:type="dxa"/>
            <w:vAlign w:val="center"/>
          </w:tcPr>
          <w:p w14:paraId="1BC9C3AB" w14:textId="3E85F7F2"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lang w:val="en-US"/>
              </w:rPr>
              <w:t>Arthrosis on the right fem</w:t>
            </w:r>
            <w:r w:rsidR="00541C04">
              <w:rPr>
                <w:rFonts w:ascii="Times New Roman" w:hAnsi="Times New Roman" w:cs="Times New Roman"/>
                <w:color w:val="4C4C4C"/>
                <w:sz w:val="22"/>
                <w:szCs w:val="22"/>
                <w:lang w:val="en-US"/>
              </w:rPr>
              <w:t>o</w:t>
            </w:r>
            <w:r w:rsidRPr="00D5329D">
              <w:rPr>
                <w:rFonts w:ascii="Times New Roman" w:hAnsi="Times New Roman" w:cs="Times New Roman"/>
                <w:color w:val="4C4C4C"/>
                <w:sz w:val="22"/>
                <w:szCs w:val="22"/>
                <w:lang w:val="en-US"/>
              </w:rPr>
              <w:t>ral neck and head</w:t>
            </w:r>
          </w:p>
        </w:tc>
        <w:tc>
          <w:tcPr>
            <w:tcW w:w="4814" w:type="dxa"/>
            <w:vMerge/>
            <w:vAlign w:val="center"/>
          </w:tcPr>
          <w:p w14:paraId="266438FC" w14:textId="77777777" w:rsidR="00D5329D" w:rsidRPr="00D5329D" w:rsidRDefault="00D5329D" w:rsidP="00D5329D">
            <w:pPr>
              <w:spacing w:line="360" w:lineRule="auto"/>
              <w:jc w:val="center"/>
              <w:rPr>
                <w:rFonts w:ascii="Times New Roman" w:hAnsi="Times New Roman" w:cs="Times New Roman"/>
                <w:b/>
                <w:bCs/>
                <w:sz w:val="22"/>
                <w:szCs w:val="22"/>
                <w:lang w:val="en-US"/>
              </w:rPr>
            </w:pPr>
          </w:p>
        </w:tc>
      </w:tr>
      <w:tr w:rsidR="00D5329D" w:rsidRPr="0004714D" w14:paraId="2E90EF0C" w14:textId="77777777" w:rsidTr="00D5329D">
        <w:tc>
          <w:tcPr>
            <w:tcW w:w="4814" w:type="dxa"/>
            <w:vAlign w:val="center"/>
          </w:tcPr>
          <w:p w14:paraId="35830B54" w14:textId="5923E518" w:rsidR="00D5329D" w:rsidRPr="00D5329D" w:rsidRDefault="00D5329D" w:rsidP="00D5329D">
            <w:pPr>
              <w:spacing w:line="360" w:lineRule="auto"/>
              <w:rPr>
                <w:rFonts w:ascii="Times New Roman" w:hAnsi="Times New Roman" w:cs="Times New Roman"/>
                <w:b/>
                <w:bCs/>
                <w:sz w:val="22"/>
                <w:szCs w:val="22"/>
                <w:lang w:val="en-US"/>
              </w:rPr>
            </w:pPr>
            <w:r w:rsidRPr="00D5329D">
              <w:rPr>
                <w:rFonts w:ascii="Times New Roman" w:hAnsi="Times New Roman" w:cs="Times New Roman"/>
                <w:color w:val="4C4C4C"/>
                <w:sz w:val="22"/>
                <w:szCs w:val="22"/>
                <w:lang w:val="en-US"/>
              </w:rPr>
              <w:t>Asymmetry of lower limbs (femur and tibia)</w:t>
            </w:r>
          </w:p>
        </w:tc>
        <w:tc>
          <w:tcPr>
            <w:tcW w:w="4814" w:type="dxa"/>
            <w:vMerge/>
            <w:vAlign w:val="center"/>
          </w:tcPr>
          <w:p w14:paraId="7F565893" w14:textId="77777777" w:rsidR="00D5329D" w:rsidRPr="00D5329D" w:rsidRDefault="00D5329D" w:rsidP="00D5329D">
            <w:pPr>
              <w:spacing w:line="360" w:lineRule="auto"/>
              <w:jc w:val="center"/>
              <w:rPr>
                <w:rFonts w:ascii="Times New Roman" w:hAnsi="Times New Roman" w:cs="Times New Roman"/>
                <w:b/>
                <w:bCs/>
                <w:sz w:val="22"/>
                <w:szCs w:val="22"/>
                <w:lang w:val="en-US"/>
              </w:rPr>
            </w:pPr>
          </w:p>
        </w:tc>
      </w:tr>
    </w:tbl>
    <w:p w14:paraId="6E21BC49" w14:textId="77777777" w:rsidR="00D5329D" w:rsidRDefault="00D5329D" w:rsidP="00D5329D">
      <w:pPr>
        <w:spacing w:line="360" w:lineRule="auto"/>
        <w:rPr>
          <w:rFonts w:ascii="Times New Roman" w:hAnsi="Times New Roman" w:cs="Times New Roman"/>
          <w:b/>
          <w:bCs/>
          <w:sz w:val="22"/>
          <w:szCs w:val="22"/>
          <w:lang w:val="en-US"/>
        </w:rPr>
      </w:pPr>
    </w:p>
    <w:p w14:paraId="6B18264B" w14:textId="77777777" w:rsidR="00DE4B77" w:rsidRDefault="00DE4B77" w:rsidP="00DE4B77">
      <w:pPr>
        <w:widowControl w:val="0"/>
        <w:autoSpaceDE w:val="0"/>
        <w:autoSpaceDN w:val="0"/>
        <w:adjustRightInd w:val="0"/>
        <w:spacing w:line="360" w:lineRule="auto"/>
        <w:ind w:left="480" w:hanging="480"/>
        <w:rPr>
          <w:rFonts w:ascii="Times New Roman" w:hAnsi="Times New Roman" w:cs="Times New Roman"/>
          <w:b/>
          <w:bCs/>
          <w:sz w:val="22"/>
          <w:szCs w:val="22"/>
          <w:lang w:val="en-US"/>
        </w:rPr>
      </w:pPr>
    </w:p>
    <w:p w14:paraId="6045CEB1" w14:textId="53002436" w:rsidR="00185AE3" w:rsidRDefault="00185AE3" w:rsidP="00DE4B77">
      <w:pPr>
        <w:widowControl w:val="0"/>
        <w:autoSpaceDE w:val="0"/>
        <w:autoSpaceDN w:val="0"/>
        <w:adjustRightInd w:val="0"/>
        <w:spacing w:line="360" w:lineRule="auto"/>
        <w:ind w:left="480" w:hanging="480"/>
        <w:rPr>
          <w:rFonts w:ascii="Times New Roman" w:hAnsi="Times New Roman" w:cs="Times New Roman"/>
          <w:b/>
          <w:bCs/>
          <w:sz w:val="22"/>
          <w:szCs w:val="22"/>
          <w:lang w:val="en-US"/>
        </w:rPr>
      </w:pPr>
      <w:r>
        <w:rPr>
          <w:rFonts w:ascii="Times New Roman" w:hAnsi="Times New Roman" w:cs="Times New Roman"/>
          <w:b/>
          <w:bCs/>
          <w:noProof/>
          <w:sz w:val="22"/>
          <w:szCs w:val="22"/>
          <w:lang w:val="en-US"/>
        </w:rPr>
        <w:lastRenderedPageBreak/>
        <w:drawing>
          <wp:inline distT="0" distB="0" distL="0" distR="0" wp14:anchorId="477A095A" wp14:editId="4C42B90D">
            <wp:extent cx="5397500" cy="5041900"/>
            <wp:effectExtent l="0" t="0" r="0" b="0"/>
            <wp:docPr id="113275604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756044" name="Immagine 1132756044"/>
                    <pic:cNvPicPr/>
                  </pic:nvPicPr>
                  <pic:blipFill>
                    <a:blip r:embed="rId5" cstate="print">
                      <a:extLst>
                        <a:ext uri="{28A0092B-C50C-407E-A947-70E740481C1C}">
                          <a14:useLocalDpi xmlns:a14="http://schemas.microsoft.com/office/drawing/2010/main" val="0"/>
                        </a:ext>
                      </a:extLst>
                    </a:blip>
                    <a:stretch>
                      <a:fillRect/>
                    </a:stretch>
                  </pic:blipFill>
                  <pic:spPr>
                    <a:xfrm>
                      <a:off x="0" y="0"/>
                      <a:ext cx="5397500" cy="5041900"/>
                    </a:xfrm>
                    <a:prstGeom prst="rect">
                      <a:avLst/>
                    </a:prstGeom>
                  </pic:spPr>
                </pic:pic>
              </a:graphicData>
            </a:graphic>
          </wp:inline>
        </w:drawing>
      </w:r>
    </w:p>
    <w:p w14:paraId="4CF09568" w14:textId="77777777" w:rsidR="00185AE3" w:rsidRDefault="00185AE3" w:rsidP="00DE4B77">
      <w:pPr>
        <w:widowControl w:val="0"/>
        <w:autoSpaceDE w:val="0"/>
        <w:autoSpaceDN w:val="0"/>
        <w:adjustRightInd w:val="0"/>
        <w:spacing w:line="360" w:lineRule="auto"/>
        <w:ind w:left="480" w:hanging="480"/>
        <w:rPr>
          <w:rFonts w:ascii="Times New Roman" w:hAnsi="Times New Roman" w:cs="Times New Roman"/>
          <w:b/>
          <w:bCs/>
          <w:sz w:val="22"/>
          <w:szCs w:val="22"/>
          <w:lang w:val="en-US"/>
        </w:rPr>
      </w:pPr>
    </w:p>
    <w:p w14:paraId="5D2CA8B4" w14:textId="45B52EFB" w:rsidR="00185AE3" w:rsidRPr="00185AE3" w:rsidRDefault="00185AE3" w:rsidP="00DE4B77">
      <w:pPr>
        <w:widowControl w:val="0"/>
        <w:autoSpaceDE w:val="0"/>
        <w:autoSpaceDN w:val="0"/>
        <w:adjustRightInd w:val="0"/>
        <w:spacing w:line="360" w:lineRule="auto"/>
        <w:ind w:left="480" w:hanging="480"/>
        <w:rPr>
          <w:rFonts w:ascii="Times New Roman" w:hAnsi="Times New Roman" w:cs="Times New Roman"/>
          <w:sz w:val="22"/>
          <w:szCs w:val="22"/>
          <w:lang w:val="en-US"/>
        </w:rPr>
      </w:pPr>
      <w:r>
        <w:rPr>
          <w:rFonts w:ascii="Times New Roman" w:hAnsi="Times New Roman" w:cs="Times New Roman"/>
          <w:b/>
          <w:bCs/>
          <w:sz w:val="22"/>
          <w:szCs w:val="22"/>
          <w:lang w:val="en-US"/>
        </w:rPr>
        <w:t xml:space="preserve">Figure </w:t>
      </w:r>
      <w:r w:rsidR="00541C04">
        <w:rPr>
          <w:rFonts w:ascii="Times New Roman" w:hAnsi="Times New Roman" w:cs="Times New Roman"/>
          <w:b/>
          <w:bCs/>
          <w:sz w:val="22"/>
          <w:szCs w:val="22"/>
          <w:lang w:val="en-US"/>
        </w:rPr>
        <w:t>1</w:t>
      </w:r>
      <w:r>
        <w:rPr>
          <w:rFonts w:ascii="Times New Roman" w:hAnsi="Times New Roman" w:cs="Times New Roman"/>
          <w:b/>
          <w:bCs/>
          <w:sz w:val="22"/>
          <w:szCs w:val="22"/>
          <w:lang w:val="en-US"/>
        </w:rPr>
        <w:t xml:space="preserve"> SM</w:t>
      </w:r>
      <w:r w:rsidR="00541C04">
        <w:rPr>
          <w:rFonts w:ascii="Times New Roman" w:hAnsi="Times New Roman" w:cs="Times New Roman"/>
          <w:b/>
          <w:bCs/>
          <w:sz w:val="22"/>
          <w:szCs w:val="22"/>
          <w:lang w:val="en-US"/>
        </w:rPr>
        <w:t>2</w:t>
      </w:r>
      <w:r>
        <w:rPr>
          <w:rFonts w:ascii="Times New Roman" w:hAnsi="Times New Roman" w:cs="Times New Roman"/>
          <w:b/>
          <w:bCs/>
          <w:sz w:val="22"/>
          <w:szCs w:val="22"/>
          <w:lang w:val="en-US"/>
        </w:rPr>
        <w:t xml:space="preserve"> – S</w:t>
      </w:r>
      <w:r w:rsidR="00541C04">
        <w:rPr>
          <w:rFonts w:ascii="Times New Roman" w:hAnsi="Times New Roman" w:cs="Times New Roman"/>
          <w:b/>
          <w:bCs/>
          <w:sz w:val="22"/>
          <w:szCs w:val="22"/>
          <w:lang w:val="en-US"/>
        </w:rPr>
        <w:t>k</w:t>
      </w:r>
      <w:r>
        <w:rPr>
          <w:rFonts w:ascii="Times New Roman" w:hAnsi="Times New Roman" w:cs="Times New Roman"/>
          <w:b/>
          <w:bCs/>
          <w:sz w:val="22"/>
          <w:szCs w:val="22"/>
          <w:lang w:val="en-US"/>
        </w:rPr>
        <w:t xml:space="preserve"> 207, </w:t>
      </w:r>
      <w:r w:rsidR="00541C04">
        <w:rPr>
          <w:rFonts w:ascii="Times New Roman" w:hAnsi="Times New Roman" w:cs="Times New Roman"/>
          <w:b/>
          <w:bCs/>
          <w:sz w:val="22"/>
          <w:szCs w:val="22"/>
          <w:lang w:val="en-US"/>
        </w:rPr>
        <w:t xml:space="preserve">pathological </w:t>
      </w:r>
      <w:r>
        <w:rPr>
          <w:rFonts w:ascii="Times New Roman" w:hAnsi="Times New Roman" w:cs="Times New Roman"/>
          <w:b/>
          <w:bCs/>
          <w:sz w:val="22"/>
          <w:szCs w:val="22"/>
          <w:lang w:val="en-US"/>
        </w:rPr>
        <w:t>features</w:t>
      </w:r>
      <w:r w:rsidR="00541C04">
        <w:rPr>
          <w:rFonts w:ascii="Times New Roman" w:hAnsi="Times New Roman" w:cs="Times New Roman"/>
          <w:b/>
          <w:bCs/>
          <w:sz w:val="22"/>
          <w:szCs w:val="22"/>
          <w:lang w:val="en-US"/>
        </w:rPr>
        <w:t xml:space="preserve"> of the skull</w:t>
      </w:r>
      <w:r>
        <w:rPr>
          <w:rFonts w:ascii="Times New Roman" w:hAnsi="Times New Roman" w:cs="Times New Roman"/>
          <w:b/>
          <w:bCs/>
          <w:sz w:val="22"/>
          <w:szCs w:val="22"/>
          <w:lang w:val="en-US"/>
        </w:rPr>
        <w:t xml:space="preserve">. </w:t>
      </w:r>
      <w:r>
        <w:rPr>
          <w:rFonts w:ascii="Times New Roman" w:hAnsi="Times New Roman" w:cs="Times New Roman"/>
          <w:sz w:val="22"/>
          <w:szCs w:val="22"/>
          <w:lang w:val="en-US"/>
        </w:rPr>
        <w:t>A) Sk</w:t>
      </w:r>
      <w:r w:rsidR="00541C04">
        <w:rPr>
          <w:rFonts w:ascii="Times New Roman" w:hAnsi="Times New Roman" w:cs="Times New Roman"/>
          <w:sz w:val="22"/>
          <w:szCs w:val="22"/>
          <w:lang w:val="en-US"/>
        </w:rPr>
        <w:t xml:space="preserve"> </w:t>
      </w:r>
      <w:r>
        <w:rPr>
          <w:rFonts w:ascii="Times New Roman" w:hAnsi="Times New Roman" w:cs="Times New Roman"/>
          <w:sz w:val="22"/>
          <w:szCs w:val="22"/>
          <w:lang w:val="en-US"/>
        </w:rPr>
        <w:t xml:space="preserve">207, frontal view of the skull. B) Lateral view of the skull, occipital flattening. C) Maxillary bone with marked signs of resorption and ante-mortem tooth loss. D) Left auricular exostosis with marked bone spurs. </w:t>
      </w:r>
    </w:p>
    <w:p w14:paraId="3E7BD75F" w14:textId="77777777" w:rsidR="00185AE3" w:rsidRDefault="00185AE3" w:rsidP="00DE4B77">
      <w:pPr>
        <w:widowControl w:val="0"/>
        <w:autoSpaceDE w:val="0"/>
        <w:autoSpaceDN w:val="0"/>
        <w:adjustRightInd w:val="0"/>
        <w:spacing w:line="360" w:lineRule="auto"/>
        <w:ind w:left="480" w:hanging="480"/>
        <w:rPr>
          <w:rFonts w:ascii="Times New Roman" w:hAnsi="Times New Roman" w:cs="Times New Roman"/>
          <w:b/>
          <w:bCs/>
          <w:sz w:val="22"/>
          <w:szCs w:val="22"/>
          <w:lang w:val="en-US"/>
        </w:rPr>
      </w:pPr>
    </w:p>
    <w:p w14:paraId="4C85D469" w14:textId="34BAD3AB" w:rsidR="00DE4B77" w:rsidRPr="00541C04" w:rsidRDefault="00DE4B77" w:rsidP="00DE4B77">
      <w:pPr>
        <w:widowControl w:val="0"/>
        <w:autoSpaceDE w:val="0"/>
        <w:autoSpaceDN w:val="0"/>
        <w:adjustRightInd w:val="0"/>
        <w:spacing w:line="360" w:lineRule="auto"/>
        <w:ind w:left="480" w:hanging="480"/>
        <w:rPr>
          <w:rFonts w:ascii="Times New Roman" w:hAnsi="Times New Roman" w:cs="Times New Roman"/>
          <w:sz w:val="22"/>
          <w:szCs w:val="22"/>
          <w:lang w:val="en-US"/>
        </w:rPr>
      </w:pPr>
      <w:r w:rsidRPr="00541C04">
        <w:rPr>
          <w:rFonts w:ascii="Times New Roman" w:hAnsi="Times New Roman" w:cs="Times New Roman"/>
          <w:b/>
          <w:bCs/>
          <w:sz w:val="22"/>
          <w:szCs w:val="22"/>
          <w:lang w:val="en-US"/>
        </w:rPr>
        <w:t>References</w:t>
      </w:r>
    </w:p>
    <w:p w14:paraId="6CDA4911" w14:textId="1881F44C"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Pr>
          <w:rFonts w:ascii="Times New Roman" w:hAnsi="Times New Roman" w:cs="Times New Roman"/>
          <w:b/>
          <w:bCs/>
          <w:sz w:val="22"/>
          <w:szCs w:val="22"/>
          <w:lang w:val="en-US"/>
        </w:rPr>
        <w:fldChar w:fldCharType="begin" w:fldLock="1"/>
      </w:r>
      <w:r w:rsidRPr="00541C04">
        <w:rPr>
          <w:rFonts w:ascii="Times New Roman" w:hAnsi="Times New Roman" w:cs="Times New Roman"/>
          <w:b/>
          <w:bCs/>
          <w:sz w:val="22"/>
          <w:szCs w:val="22"/>
          <w:lang w:val="en-US"/>
        </w:rPr>
        <w:instrText xml:space="preserve">ADDIN Mendeley Bibliography CSL_BIBLIOGRAPHY </w:instrText>
      </w:r>
      <w:r>
        <w:rPr>
          <w:rFonts w:ascii="Times New Roman" w:hAnsi="Times New Roman" w:cs="Times New Roman"/>
          <w:b/>
          <w:bCs/>
          <w:sz w:val="22"/>
          <w:szCs w:val="22"/>
          <w:lang w:val="en-US"/>
        </w:rPr>
        <w:fldChar w:fldCharType="separate"/>
      </w:r>
      <w:r w:rsidRPr="00541C04">
        <w:rPr>
          <w:rFonts w:ascii="Times New Roman" w:hAnsi="Times New Roman" w:cs="Times New Roman"/>
          <w:noProof/>
          <w:kern w:val="0"/>
          <w:sz w:val="22"/>
          <w:lang w:val="en-US"/>
        </w:rPr>
        <w:t xml:space="preserve">Bonello, D., Camilleri, F., &amp; Calleja-Agius, J. (2017). </w:t>
      </w:r>
      <w:r w:rsidRPr="0024369D">
        <w:rPr>
          <w:rFonts w:ascii="Times New Roman" w:hAnsi="Times New Roman" w:cs="Times New Roman"/>
          <w:noProof/>
          <w:kern w:val="0"/>
          <w:sz w:val="22"/>
          <w:lang w:val="en-US"/>
        </w:rPr>
        <w:t xml:space="preserve">Angelman Syndrome: Identification and Management. </w:t>
      </w:r>
      <w:r w:rsidRPr="0024369D">
        <w:rPr>
          <w:rFonts w:ascii="Times New Roman" w:hAnsi="Times New Roman" w:cs="Times New Roman"/>
          <w:i/>
          <w:iCs/>
          <w:noProof/>
          <w:kern w:val="0"/>
          <w:sz w:val="22"/>
          <w:lang w:val="en-US"/>
        </w:rPr>
        <w:t>Neonatal Network : NN</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36</w:t>
      </w:r>
      <w:r w:rsidRPr="0024369D">
        <w:rPr>
          <w:rFonts w:ascii="Times New Roman" w:hAnsi="Times New Roman" w:cs="Times New Roman"/>
          <w:noProof/>
          <w:kern w:val="0"/>
          <w:sz w:val="22"/>
          <w:lang w:val="en-US"/>
        </w:rPr>
        <w:t>(3), 142–151. https://doi.org/10.1891/0730-0832.36.3.142</w:t>
      </w:r>
    </w:p>
    <w:p w14:paraId="0D31FDAD"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sidRPr="0024369D">
        <w:rPr>
          <w:rFonts w:ascii="Times New Roman" w:hAnsi="Times New Roman" w:cs="Times New Roman"/>
          <w:noProof/>
          <w:kern w:val="0"/>
          <w:sz w:val="22"/>
          <w:lang w:val="en-US"/>
        </w:rPr>
        <w:t xml:space="preserve">Clayton-Smith, J. (2001). Angelman syndrome: evolution of the phenotype in adolescents and adults. </w:t>
      </w:r>
      <w:r w:rsidRPr="0024369D">
        <w:rPr>
          <w:rFonts w:ascii="Times New Roman" w:hAnsi="Times New Roman" w:cs="Times New Roman"/>
          <w:i/>
          <w:iCs/>
          <w:noProof/>
          <w:kern w:val="0"/>
          <w:sz w:val="22"/>
          <w:lang w:val="en-US"/>
        </w:rPr>
        <w:t>Developmental Medicine and Child Neurology</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43</w:t>
      </w:r>
      <w:r w:rsidRPr="0024369D">
        <w:rPr>
          <w:rFonts w:ascii="Times New Roman" w:hAnsi="Times New Roman" w:cs="Times New Roman"/>
          <w:noProof/>
          <w:kern w:val="0"/>
          <w:sz w:val="22"/>
          <w:lang w:val="en-US"/>
        </w:rPr>
        <w:t>(7), 476–480.</w:t>
      </w:r>
    </w:p>
    <w:p w14:paraId="51DD89EC"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sidRPr="0024369D">
        <w:rPr>
          <w:rFonts w:ascii="Times New Roman" w:hAnsi="Times New Roman" w:cs="Times New Roman"/>
          <w:noProof/>
          <w:kern w:val="0"/>
          <w:sz w:val="22"/>
          <w:lang w:val="en-US"/>
        </w:rPr>
        <w:t xml:space="preserve">Didden, R., Korzilius, H., Sturmey, P., Lancioni, G. E., &amp; Curfs, L. M. G. (2008). Preference for water‐related items in Angelman syndrome, Down syndrome and non‐specific intellectual disability. </w:t>
      </w:r>
      <w:r w:rsidRPr="0024369D">
        <w:rPr>
          <w:rFonts w:ascii="Times New Roman" w:hAnsi="Times New Roman" w:cs="Times New Roman"/>
          <w:i/>
          <w:iCs/>
          <w:noProof/>
          <w:kern w:val="0"/>
          <w:sz w:val="22"/>
          <w:lang w:val="en-US"/>
        </w:rPr>
        <w:t>Journal of Intellectual and Developmental Disability</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33</w:t>
      </w:r>
      <w:r w:rsidRPr="0024369D">
        <w:rPr>
          <w:rFonts w:ascii="Times New Roman" w:hAnsi="Times New Roman" w:cs="Times New Roman"/>
          <w:noProof/>
          <w:kern w:val="0"/>
          <w:sz w:val="22"/>
          <w:lang w:val="en-US"/>
        </w:rPr>
        <w:t>(1), 59–64.</w:t>
      </w:r>
    </w:p>
    <w:p w14:paraId="3B0105CA"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sidRPr="0024369D">
        <w:rPr>
          <w:rFonts w:ascii="Times New Roman" w:hAnsi="Times New Roman" w:cs="Times New Roman"/>
          <w:noProof/>
          <w:kern w:val="0"/>
          <w:sz w:val="22"/>
          <w:lang w:val="en-US"/>
        </w:rPr>
        <w:t xml:space="preserve">González-Serrano, J., Paredes-Rodríguez, V. M., González-Serrano, C., Gómez, G. T., Cano-Durán, J. A., López-Pintor, R. M., &amp; Vallejo, G. H. (2017). Oral Manifestations in Angelman Syndrome: A Systematic Review of the Dental Literature. </w:t>
      </w:r>
      <w:r w:rsidRPr="0024369D">
        <w:rPr>
          <w:rFonts w:ascii="Times New Roman" w:hAnsi="Times New Roman" w:cs="Times New Roman"/>
          <w:i/>
          <w:iCs/>
          <w:noProof/>
          <w:kern w:val="0"/>
          <w:sz w:val="22"/>
          <w:lang w:val="en-US"/>
        </w:rPr>
        <w:t>IOSR Journal of Dental and Medical Sciences</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16</w:t>
      </w:r>
      <w:r w:rsidRPr="0024369D">
        <w:rPr>
          <w:rFonts w:ascii="Times New Roman" w:hAnsi="Times New Roman" w:cs="Times New Roman"/>
          <w:noProof/>
          <w:kern w:val="0"/>
          <w:sz w:val="22"/>
          <w:lang w:val="en-US"/>
        </w:rPr>
        <w:t>(5), 73–</w:t>
      </w:r>
      <w:r w:rsidRPr="0024369D">
        <w:rPr>
          <w:rFonts w:ascii="Times New Roman" w:hAnsi="Times New Roman" w:cs="Times New Roman"/>
          <w:noProof/>
          <w:kern w:val="0"/>
          <w:sz w:val="22"/>
          <w:lang w:val="en-US"/>
        </w:rPr>
        <w:lastRenderedPageBreak/>
        <w:t>77.</w:t>
      </w:r>
    </w:p>
    <w:p w14:paraId="3147F52B"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sidRPr="0024369D">
        <w:rPr>
          <w:rFonts w:ascii="Times New Roman" w:hAnsi="Times New Roman" w:cs="Times New Roman"/>
          <w:noProof/>
          <w:kern w:val="0"/>
          <w:sz w:val="22"/>
          <w:lang w:val="en-US"/>
        </w:rPr>
        <w:t xml:space="preserve">Larson, A. M., Shinnick, J. E., Shaaya, E. A., Thiele, E. A., &amp; Thibert, R. L. (2015). Angelman syndrome in adulthood. </w:t>
      </w:r>
      <w:r w:rsidRPr="0024369D">
        <w:rPr>
          <w:rFonts w:ascii="Times New Roman" w:hAnsi="Times New Roman" w:cs="Times New Roman"/>
          <w:i/>
          <w:iCs/>
          <w:noProof/>
          <w:kern w:val="0"/>
          <w:sz w:val="22"/>
          <w:lang w:val="en-US"/>
        </w:rPr>
        <w:t>American Journal of Medical Genetics Part A</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167</w:t>
      </w:r>
      <w:r w:rsidRPr="0024369D">
        <w:rPr>
          <w:rFonts w:ascii="Times New Roman" w:hAnsi="Times New Roman" w:cs="Times New Roman"/>
          <w:noProof/>
          <w:kern w:val="0"/>
          <w:sz w:val="22"/>
          <w:lang w:val="en-US"/>
        </w:rPr>
        <w:t>(2), 331–344.</w:t>
      </w:r>
    </w:p>
    <w:p w14:paraId="309543D8" w14:textId="77777777" w:rsidR="00DE4B77" w:rsidRPr="00541C04"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de-DE"/>
        </w:rPr>
      </w:pPr>
      <w:r w:rsidRPr="00541C04">
        <w:rPr>
          <w:rFonts w:ascii="Times New Roman" w:hAnsi="Times New Roman" w:cs="Times New Roman"/>
          <w:noProof/>
          <w:kern w:val="0"/>
          <w:sz w:val="22"/>
          <w:lang w:val="de-DE"/>
        </w:rPr>
        <w:t xml:space="preserve">Margolis, S. S., Sell, G. L., Zbinden, M. A., &amp; Bird, L. M. (2015). Angelman syndrome. </w:t>
      </w:r>
      <w:r w:rsidRPr="00541C04">
        <w:rPr>
          <w:rFonts w:ascii="Times New Roman" w:hAnsi="Times New Roman" w:cs="Times New Roman"/>
          <w:i/>
          <w:iCs/>
          <w:noProof/>
          <w:kern w:val="0"/>
          <w:sz w:val="22"/>
          <w:lang w:val="de-DE"/>
        </w:rPr>
        <w:t>Neurotherapeutics</w:t>
      </w:r>
      <w:r w:rsidRPr="00541C04">
        <w:rPr>
          <w:rFonts w:ascii="Times New Roman" w:hAnsi="Times New Roman" w:cs="Times New Roman"/>
          <w:noProof/>
          <w:kern w:val="0"/>
          <w:sz w:val="22"/>
          <w:lang w:val="de-DE"/>
        </w:rPr>
        <w:t xml:space="preserve">, </w:t>
      </w:r>
      <w:r w:rsidRPr="00541C04">
        <w:rPr>
          <w:rFonts w:ascii="Times New Roman" w:hAnsi="Times New Roman" w:cs="Times New Roman"/>
          <w:i/>
          <w:iCs/>
          <w:noProof/>
          <w:kern w:val="0"/>
          <w:sz w:val="22"/>
          <w:lang w:val="de-DE"/>
        </w:rPr>
        <w:t>12</w:t>
      </w:r>
      <w:r w:rsidRPr="00541C04">
        <w:rPr>
          <w:rFonts w:ascii="Times New Roman" w:hAnsi="Times New Roman" w:cs="Times New Roman"/>
          <w:noProof/>
          <w:kern w:val="0"/>
          <w:sz w:val="22"/>
          <w:lang w:val="de-DE"/>
        </w:rPr>
        <w:t>, 641–650.</w:t>
      </w:r>
    </w:p>
    <w:p w14:paraId="69588B69" w14:textId="77777777" w:rsidR="00DE4B77" w:rsidRPr="00541C04"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de-DE"/>
        </w:rPr>
      </w:pPr>
      <w:r w:rsidRPr="00541C04">
        <w:rPr>
          <w:rFonts w:ascii="Times New Roman" w:hAnsi="Times New Roman" w:cs="Times New Roman"/>
          <w:noProof/>
          <w:kern w:val="0"/>
          <w:sz w:val="22"/>
          <w:lang w:val="de-DE"/>
        </w:rPr>
        <w:t xml:space="preserve">Patwari, S., Joshi, S., &amp; Chadaga, H. (2018). Bilateral exostosis of the external auditory canal: Surfer’s ear. </w:t>
      </w:r>
      <w:r w:rsidRPr="00541C04">
        <w:rPr>
          <w:rFonts w:ascii="Times New Roman" w:hAnsi="Times New Roman" w:cs="Times New Roman"/>
          <w:i/>
          <w:iCs/>
          <w:noProof/>
          <w:kern w:val="0"/>
          <w:sz w:val="22"/>
          <w:lang w:val="de-DE"/>
        </w:rPr>
        <w:t>Neurology India</w:t>
      </w:r>
      <w:r w:rsidRPr="00541C04">
        <w:rPr>
          <w:rFonts w:ascii="Times New Roman" w:hAnsi="Times New Roman" w:cs="Times New Roman"/>
          <w:noProof/>
          <w:kern w:val="0"/>
          <w:sz w:val="22"/>
          <w:lang w:val="de-DE"/>
        </w:rPr>
        <w:t xml:space="preserve">, </w:t>
      </w:r>
      <w:r w:rsidRPr="00541C04">
        <w:rPr>
          <w:rFonts w:ascii="Times New Roman" w:hAnsi="Times New Roman" w:cs="Times New Roman"/>
          <w:i/>
          <w:iCs/>
          <w:noProof/>
          <w:kern w:val="0"/>
          <w:sz w:val="22"/>
          <w:lang w:val="de-DE"/>
        </w:rPr>
        <w:t>66</w:t>
      </w:r>
      <w:r w:rsidRPr="00541C04">
        <w:rPr>
          <w:rFonts w:ascii="Times New Roman" w:hAnsi="Times New Roman" w:cs="Times New Roman"/>
          <w:noProof/>
          <w:kern w:val="0"/>
          <w:sz w:val="22"/>
          <w:lang w:val="de-DE"/>
        </w:rPr>
        <w:t>(5), 1520–1521.</w:t>
      </w:r>
    </w:p>
    <w:p w14:paraId="04E9221A"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sidRPr="00541C04">
        <w:rPr>
          <w:rFonts w:ascii="Times New Roman" w:hAnsi="Times New Roman" w:cs="Times New Roman"/>
          <w:noProof/>
          <w:kern w:val="0"/>
          <w:sz w:val="22"/>
          <w:lang w:val="de-DE"/>
        </w:rPr>
        <w:t xml:space="preserve">Williams, C. A., Beaudet, A. L., Clayton-Smith, J., Knoll, J. H., Kyllerman, M., Laan, L. A., … </w:t>
      </w:r>
      <w:r w:rsidRPr="0024369D">
        <w:rPr>
          <w:rFonts w:ascii="Times New Roman" w:hAnsi="Times New Roman" w:cs="Times New Roman"/>
          <w:noProof/>
          <w:kern w:val="0"/>
          <w:sz w:val="22"/>
          <w:lang w:val="en-US"/>
        </w:rPr>
        <w:t xml:space="preserve">Wagstaff, J. (2006). Angelman syndrome 2005: updated consensus for diagnostic criteria. </w:t>
      </w:r>
      <w:r w:rsidRPr="0024369D">
        <w:rPr>
          <w:rFonts w:ascii="Times New Roman" w:hAnsi="Times New Roman" w:cs="Times New Roman"/>
          <w:i/>
          <w:iCs/>
          <w:noProof/>
          <w:kern w:val="0"/>
          <w:sz w:val="22"/>
          <w:lang w:val="en-US"/>
        </w:rPr>
        <w:t>American Journal of Medical Genetics. Part A</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140</w:t>
      </w:r>
      <w:r w:rsidRPr="0024369D">
        <w:rPr>
          <w:rFonts w:ascii="Times New Roman" w:hAnsi="Times New Roman" w:cs="Times New Roman"/>
          <w:noProof/>
          <w:kern w:val="0"/>
          <w:sz w:val="22"/>
          <w:lang w:val="en-US"/>
        </w:rPr>
        <w:t>(5), 413–418. https://doi.org/10.1002/ajmg.a.31074</w:t>
      </w:r>
    </w:p>
    <w:p w14:paraId="7ECDE295"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kern w:val="0"/>
          <w:sz w:val="22"/>
          <w:lang w:val="en-US"/>
        </w:rPr>
      </w:pPr>
      <w:r w:rsidRPr="0024369D">
        <w:rPr>
          <w:rFonts w:ascii="Times New Roman" w:hAnsi="Times New Roman" w:cs="Times New Roman"/>
          <w:noProof/>
          <w:kern w:val="0"/>
          <w:sz w:val="22"/>
          <w:lang w:val="en-US"/>
        </w:rPr>
        <w:t xml:space="preserve">Williams, C., Peters, S. U., &amp; Calculator, S. N. (2009). Facts about Angelman syndrome. </w:t>
      </w:r>
      <w:r w:rsidRPr="0024369D">
        <w:rPr>
          <w:rFonts w:ascii="Times New Roman" w:hAnsi="Times New Roman" w:cs="Times New Roman"/>
          <w:i/>
          <w:iCs/>
          <w:noProof/>
          <w:kern w:val="0"/>
          <w:sz w:val="22"/>
          <w:lang w:val="en-US"/>
        </w:rPr>
        <w:t>Angelman Syndrome Foundation, Inc</w:t>
      </w:r>
      <w:r w:rsidRPr="0024369D">
        <w:rPr>
          <w:rFonts w:ascii="Times New Roman" w:hAnsi="Times New Roman" w:cs="Times New Roman"/>
          <w:noProof/>
          <w:kern w:val="0"/>
          <w:sz w:val="22"/>
          <w:lang w:val="en-US"/>
        </w:rPr>
        <w:t xml:space="preserve">, </w:t>
      </w:r>
      <w:r w:rsidRPr="0024369D">
        <w:rPr>
          <w:rFonts w:ascii="Times New Roman" w:hAnsi="Times New Roman" w:cs="Times New Roman"/>
          <w:i/>
          <w:iCs/>
          <w:noProof/>
          <w:kern w:val="0"/>
          <w:sz w:val="22"/>
          <w:lang w:val="en-US"/>
        </w:rPr>
        <w:t>7</w:t>
      </w:r>
      <w:r w:rsidRPr="0024369D">
        <w:rPr>
          <w:rFonts w:ascii="Times New Roman" w:hAnsi="Times New Roman" w:cs="Times New Roman"/>
          <w:noProof/>
          <w:kern w:val="0"/>
          <w:sz w:val="22"/>
          <w:lang w:val="en-US"/>
        </w:rPr>
        <w:t>, 1–30.</w:t>
      </w:r>
    </w:p>
    <w:p w14:paraId="3B7A759A" w14:textId="77777777" w:rsidR="00DE4B77" w:rsidRPr="0024369D" w:rsidRDefault="00DE4B77" w:rsidP="00DE4B77">
      <w:pPr>
        <w:widowControl w:val="0"/>
        <w:autoSpaceDE w:val="0"/>
        <w:autoSpaceDN w:val="0"/>
        <w:adjustRightInd w:val="0"/>
        <w:spacing w:line="360" w:lineRule="auto"/>
        <w:ind w:left="480" w:hanging="480"/>
        <w:rPr>
          <w:rFonts w:ascii="Times New Roman" w:hAnsi="Times New Roman" w:cs="Times New Roman"/>
          <w:noProof/>
          <w:sz w:val="22"/>
          <w:lang w:val="en-US"/>
        </w:rPr>
      </w:pPr>
      <w:r w:rsidRPr="0024369D">
        <w:rPr>
          <w:rFonts w:ascii="Times New Roman" w:hAnsi="Times New Roman" w:cs="Times New Roman"/>
          <w:noProof/>
          <w:kern w:val="0"/>
          <w:sz w:val="22"/>
          <w:lang w:val="en-US"/>
        </w:rPr>
        <w:t xml:space="preserve">Winter, R., &amp; Baraitser, M. (1991). </w:t>
      </w:r>
      <w:r w:rsidRPr="0024369D">
        <w:rPr>
          <w:rFonts w:ascii="Times New Roman" w:hAnsi="Times New Roman" w:cs="Times New Roman"/>
          <w:i/>
          <w:iCs/>
          <w:noProof/>
          <w:kern w:val="0"/>
          <w:sz w:val="22"/>
          <w:lang w:val="en-US"/>
        </w:rPr>
        <w:t>Multiple Congenital Anomalies: A Diagnostic Compendium</w:t>
      </w:r>
      <w:r w:rsidRPr="0024369D">
        <w:rPr>
          <w:rFonts w:ascii="Times New Roman" w:hAnsi="Times New Roman" w:cs="Times New Roman"/>
          <w:noProof/>
          <w:kern w:val="0"/>
          <w:sz w:val="22"/>
          <w:lang w:val="en-US"/>
        </w:rPr>
        <w:t>. New York: Springer.</w:t>
      </w:r>
    </w:p>
    <w:p w14:paraId="671680CF" w14:textId="63FE5801" w:rsidR="00FF678A" w:rsidRPr="00D5329D" w:rsidRDefault="00DE4B77" w:rsidP="00D5329D">
      <w:pPr>
        <w:spacing w:line="360" w:lineRule="auto"/>
        <w:rPr>
          <w:rFonts w:ascii="Times New Roman" w:hAnsi="Times New Roman" w:cs="Times New Roman"/>
          <w:b/>
          <w:bCs/>
          <w:sz w:val="22"/>
          <w:szCs w:val="22"/>
          <w:lang w:val="en-US"/>
        </w:rPr>
      </w:pPr>
      <w:r>
        <w:rPr>
          <w:rFonts w:ascii="Times New Roman" w:hAnsi="Times New Roman" w:cs="Times New Roman"/>
          <w:b/>
          <w:bCs/>
          <w:sz w:val="22"/>
          <w:szCs w:val="22"/>
          <w:lang w:val="en-US"/>
        </w:rPr>
        <w:fldChar w:fldCharType="end"/>
      </w:r>
    </w:p>
    <w:sectPr w:rsidR="00FF678A" w:rsidRPr="00D5329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Bold">
    <w:altName w:val="Verdana"/>
    <w:panose1 w:val="020B0604020202020204"/>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UzNjSwMDU0szAwsjRS0lEKTi0uzszPAykwrAUARvmySSwAAAA="/>
  </w:docVars>
  <w:rsids>
    <w:rsidRoot w:val="00D5329D"/>
    <w:rsid w:val="0004714D"/>
    <w:rsid w:val="00147B24"/>
    <w:rsid w:val="00185AE3"/>
    <w:rsid w:val="0024369D"/>
    <w:rsid w:val="00541C04"/>
    <w:rsid w:val="007D4B30"/>
    <w:rsid w:val="00A528D3"/>
    <w:rsid w:val="00AE4390"/>
    <w:rsid w:val="00D5329D"/>
    <w:rsid w:val="00DE4B77"/>
    <w:rsid w:val="00FF678A"/>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1C7E6"/>
  <w15:chartTrackingRefBased/>
  <w15:docId w15:val="{ABD1B766-2968-9B42-A1EC-02BCFB8AE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D532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D5329D"/>
    <w:pPr>
      <w:spacing w:before="100" w:beforeAutospacing="1" w:after="100" w:afterAutospacing="1"/>
    </w:pPr>
    <w:rPr>
      <w:rFonts w:ascii="Times New Roman" w:eastAsia="Times New Roman" w:hAnsi="Times New Roman" w:cs="Times New Roman"/>
      <w:kern w:val="0"/>
      <w:lang w:eastAsia="it-IT"/>
      <w14:ligatures w14:val="none"/>
    </w:rPr>
  </w:style>
  <w:style w:type="paragraph" w:styleId="Revisione">
    <w:name w:val="Revision"/>
    <w:hidden/>
    <w:uiPriority w:val="99"/>
    <w:semiHidden/>
    <w:rsid w:val="00147B24"/>
  </w:style>
  <w:style w:type="character" w:styleId="Rimandocommento">
    <w:name w:val="annotation reference"/>
    <w:basedOn w:val="Carpredefinitoparagrafo"/>
    <w:uiPriority w:val="99"/>
    <w:semiHidden/>
    <w:unhideWhenUsed/>
    <w:rsid w:val="00147B24"/>
    <w:rPr>
      <w:sz w:val="16"/>
      <w:szCs w:val="16"/>
    </w:rPr>
  </w:style>
  <w:style w:type="paragraph" w:styleId="Testocommento">
    <w:name w:val="annotation text"/>
    <w:basedOn w:val="Normale"/>
    <w:link w:val="TestocommentoCarattere"/>
    <w:uiPriority w:val="99"/>
    <w:semiHidden/>
    <w:unhideWhenUsed/>
    <w:rsid w:val="00147B24"/>
    <w:rPr>
      <w:sz w:val="20"/>
      <w:szCs w:val="20"/>
    </w:rPr>
  </w:style>
  <w:style w:type="character" w:customStyle="1" w:styleId="TestocommentoCarattere">
    <w:name w:val="Testo commento Carattere"/>
    <w:basedOn w:val="Carpredefinitoparagrafo"/>
    <w:link w:val="Testocommento"/>
    <w:uiPriority w:val="99"/>
    <w:semiHidden/>
    <w:rsid w:val="00147B24"/>
    <w:rPr>
      <w:sz w:val="20"/>
      <w:szCs w:val="20"/>
    </w:rPr>
  </w:style>
  <w:style w:type="paragraph" w:styleId="Soggettocommento">
    <w:name w:val="annotation subject"/>
    <w:basedOn w:val="Testocommento"/>
    <w:next w:val="Testocommento"/>
    <w:link w:val="SoggettocommentoCarattere"/>
    <w:uiPriority w:val="99"/>
    <w:semiHidden/>
    <w:unhideWhenUsed/>
    <w:rsid w:val="00147B24"/>
    <w:rPr>
      <w:b/>
      <w:bCs/>
    </w:rPr>
  </w:style>
  <w:style w:type="character" w:customStyle="1" w:styleId="SoggettocommentoCarattere">
    <w:name w:val="Soggetto commento Carattere"/>
    <w:basedOn w:val="TestocommentoCarattere"/>
    <w:link w:val="Soggettocommento"/>
    <w:uiPriority w:val="99"/>
    <w:semiHidden/>
    <w:rsid w:val="00147B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511834">
      <w:bodyDiv w:val="1"/>
      <w:marLeft w:val="0"/>
      <w:marRight w:val="0"/>
      <w:marTop w:val="0"/>
      <w:marBottom w:val="0"/>
      <w:divBdr>
        <w:top w:val="none" w:sz="0" w:space="0" w:color="auto"/>
        <w:left w:val="none" w:sz="0" w:space="0" w:color="auto"/>
        <w:bottom w:val="none" w:sz="0" w:space="0" w:color="auto"/>
        <w:right w:val="none" w:sz="0" w:space="0" w:color="auto"/>
      </w:divBdr>
    </w:div>
    <w:div w:id="488837026">
      <w:bodyDiv w:val="1"/>
      <w:marLeft w:val="0"/>
      <w:marRight w:val="0"/>
      <w:marTop w:val="0"/>
      <w:marBottom w:val="0"/>
      <w:divBdr>
        <w:top w:val="none" w:sz="0" w:space="0" w:color="auto"/>
        <w:left w:val="none" w:sz="0" w:space="0" w:color="auto"/>
        <w:bottom w:val="none" w:sz="0" w:space="0" w:color="auto"/>
        <w:right w:val="none" w:sz="0" w:space="0" w:color="auto"/>
      </w:divBdr>
    </w:div>
    <w:div w:id="698628592">
      <w:bodyDiv w:val="1"/>
      <w:marLeft w:val="0"/>
      <w:marRight w:val="0"/>
      <w:marTop w:val="0"/>
      <w:marBottom w:val="0"/>
      <w:divBdr>
        <w:top w:val="none" w:sz="0" w:space="0" w:color="auto"/>
        <w:left w:val="none" w:sz="0" w:space="0" w:color="auto"/>
        <w:bottom w:val="none" w:sz="0" w:space="0" w:color="auto"/>
        <w:right w:val="none" w:sz="0" w:space="0" w:color="auto"/>
      </w:divBdr>
    </w:div>
    <w:div w:id="904877797">
      <w:bodyDiv w:val="1"/>
      <w:marLeft w:val="0"/>
      <w:marRight w:val="0"/>
      <w:marTop w:val="0"/>
      <w:marBottom w:val="0"/>
      <w:divBdr>
        <w:top w:val="none" w:sz="0" w:space="0" w:color="auto"/>
        <w:left w:val="none" w:sz="0" w:space="0" w:color="auto"/>
        <w:bottom w:val="none" w:sz="0" w:space="0" w:color="auto"/>
        <w:right w:val="none" w:sz="0" w:space="0" w:color="auto"/>
      </w:divBdr>
    </w:div>
    <w:div w:id="1136797702">
      <w:bodyDiv w:val="1"/>
      <w:marLeft w:val="0"/>
      <w:marRight w:val="0"/>
      <w:marTop w:val="0"/>
      <w:marBottom w:val="0"/>
      <w:divBdr>
        <w:top w:val="none" w:sz="0" w:space="0" w:color="auto"/>
        <w:left w:val="none" w:sz="0" w:space="0" w:color="auto"/>
        <w:bottom w:val="none" w:sz="0" w:space="0" w:color="auto"/>
        <w:right w:val="none" w:sz="0" w:space="0" w:color="auto"/>
      </w:divBdr>
    </w:div>
    <w:div w:id="1206405998">
      <w:bodyDiv w:val="1"/>
      <w:marLeft w:val="0"/>
      <w:marRight w:val="0"/>
      <w:marTop w:val="0"/>
      <w:marBottom w:val="0"/>
      <w:divBdr>
        <w:top w:val="none" w:sz="0" w:space="0" w:color="auto"/>
        <w:left w:val="none" w:sz="0" w:space="0" w:color="auto"/>
        <w:bottom w:val="none" w:sz="0" w:space="0" w:color="auto"/>
        <w:right w:val="none" w:sz="0" w:space="0" w:color="auto"/>
      </w:divBdr>
    </w:div>
    <w:div w:id="1795445228">
      <w:bodyDiv w:val="1"/>
      <w:marLeft w:val="0"/>
      <w:marRight w:val="0"/>
      <w:marTop w:val="0"/>
      <w:marBottom w:val="0"/>
      <w:divBdr>
        <w:top w:val="none" w:sz="0" w:space="0" w:color="auto"/>
        <w:left w:val="none" w:sz="0" w:space="0" w:color="auto"/>
        <w:bottom w:val="none" w:sz="0" w:space="0" w:color="auto"/>
        <w:right w:val="none" w:sz="0" w:space="0" w:color="auto"/>
      </w:divBdr>
    </w:div>
    <w:div w:id="1839496327">
      <w:bodyDiv w:val="1"/>
      <w:marLeft w:val="0"/>
      <w:marRight w:val="0"/>
      <w:marTop w:val="0"/>
      <w:marBottom w:val="0"/>
      <w:divBdr>
        <w:top w:val="none" w:sz="0" w:space="0" w:color="auto"/>
        <w:left w:val="none" w:sz="0" w:space="0" w:color="auto"/>
        <w:bottom w:val="none" w:sz="0" w:space="0" w:color="auto"/>
        <w:right w:val="none" w:sz="0" w:space="0" w:color="auto"/>
      </w:divBdr>
    </w:div>
    <w:div w:id="1978560983">
      <w:bodyDiv w:val="1"/>
      <w:marLeft w:val="0"/>
      <w:marRight w:val="0"/>
      <w:marTop w:val="0"/>
      <w:marBottom w:val="0"/>
      <w:divBdr>
        <w:top w:val="none" w:sz="0" w:space="0" w:color="auto"/>
        <w:left w:val="none" w:sz="0" w:space="0" w:color="auto"/>
        <w:bottom w:val="none" w:sz="0" w:space="0" w:color="auto"/>
        <w:right w:val="none" w:sz="0" w:space="0" w:color="auto"/>
      </w:divBdr>
    </w:div>
    <w:div w:id="2062745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D2DD6-1079-FF48-B853-45EB3E2A4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3472</Words>
  <Characters>19794</Characters>
  <Application>Microsoft Office Word</Application>
  <DocSecurity>0</DocSecurity>
  <Lines>164</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PASINI ALBA</dc:creator>
  <cp:keywords/>
  <dc:description/>
  <cp:lastModifiedBy>PASINI ALBA</cp:lastModifiedBy>
  <cp:revision>3</cp:revision>
  <dcterms:created xsi:type="dcterms:W3CDTF">2023-08-04T15:58:00Z</dcterms:created>
  <dcterms:modified xsi:type="dcterms:W3CDTF">2023-08-14T07:02:00Z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c1fa35c4-e52d-3a5d-8474-0a207dfc4780</vt:lpwstr>
  </property>
  <property fmtid="{D5CDD505-2E9C-101B-9397-08002B2CF9AE}" pid="4" name="Mendeley Citation Style_1">
    <vt:lpwstr>http://www.zotero.org/styles/american-journal-of-physical-anthropology</vt:lpwstr>
  </property>
  <property fmtid="{D5CDD505-2E9C-101B-9397-08002B2CF9AE}" pid="5" name="Mendeley Recent Style Id 0_1">
    <vt:lpwstr>http://www.zotero.org/styles/american-journal-of-physical-anthropology</vt:lpwstr>
  </property>
  <property fmtid="{D5CDD505-2E9C-101B-9397-08002B2CF9AE}" pid="6" name="Mendeley Recent Style Name 0_1">
    <vt:lpwstr>American Journal of Physical Anthropology</vt:lpwstr>
  </property>
  <property fmtid="{D5CDD505-2E9C-101B-9397-08002B2CF9AE}" pid="7" name="Mendeley Recent Style Id 1_1">
    <vt:lpwstr>http://www.zotero.org/styles/american-medical-association</vt:lpwstr>
  </property>
  <property fmtid="{D5CDD505-2E9C-101B-9397-08002B2CF9AE}" pid="8" name="Mendeley Recent Style Name 1_1">
    <vt:lpwstr>American Medical Association 11th edition</vt:lpwstr>
  </property>
  <property fmtid="{D5CDD505-2E9C-101B-9397-08002B2CF9AE}" pid="9" name="Mendeley Recent Style Id 2_1">
    <vt:lpwstr>http://www.zotero.org/styles/american-political-science-association</vt:lpwstr>
  </property>
  <property fmtid="{D5CDD505-2E9C-101B-9397-08002B2CF9AE}" pid="10" name="Mendeley Recent Style Name 2_1">
    <vt:lpwstr>American Political Science Association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http://www.zotero.org/styles/journal-of-archaeological-science</vt:lpwstr>
  </property>
  <property fmtid="{D5CDD505-2E9C-101B-9397-08002B2CF9AE}" pid="20" name="Mendeley Recent Style Name 7_1">
    <vt:lpwstr>Journal of Archaeological Science</vt:lpwstr>
  </property>
  <property fmtid="{D5CDD505-2E9C-101B-9397-08002B2CF9AE}" pid="21" name="Mendeley Recent Style Id 8_1">
    <vt:lpwstr>http://www.zotero.org/styles/journal-of-functional-morphology-and-kinesiology</vt:lpwstr>
  </property>
  <property fmtid="{D5CDD505-2E9C-101B-9397-08002B2CF9AE}" pid="22" name="Mendeley Recent Style Name 8_1">
    <vt:lpwstr>Journal of Functional Morphology and Kinesiology</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