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5F7C" w:rsidRPr="00A377B2" w:rsidRDefault="00565F7C" w:rsidP="00565F7C">
      <w:pPr>
        <w:rPr>
          <w:rFonts w:ascii="Arial" w:hAnsi="Arial" w:cs="Arial"/>
          <w:b/>
          <w:bCs/>
          <w:sz w:val="24"/>
          <w:szCs w:val="24"/>
        </w:rPr>
      </w:pPr>
      <w:r w:rsidRPr="00A377B2">
        <w:rPr>
          <w:rFonts w:ascii="Arial" w:hAnsi="Arial" w:cs="Arial"/>
          <w:b/>
          <w:bCs/>
          <w:sz w:val="24"/>
          <w:szCs w:val="24"/>
        </w:rPr>
        <w:t>SUPPLEMENTARY MATERIALS</w:t>
      </w:r>
    </w:p>
    <w:p w:rsidR="00565F7C" w:rsidRDefault="00565F7C" w:rsidP="00565F7C">
      <w:bookmarkStart w:id="0" w:name="_GoBack"/>
      <w:bookmarkEnd w:id="0"/>
    </w:p>
    <w:p w:rsidR="00565F7C" w:rsidRPr="00A377B2" w:rsidRDefault="00565F7C" w:rsidP="00565F7C">
      <w:pPr>
        <w:rPr>
          <w:rFonts w:ascii="Arial" w:hAnsi="Arial" w:cs="Arial"/>
          <w:b/>
          <w:bCs/>
        </w:rPr>
      </w:pPr>
      <w:r w:rsidRPr="00A377B2">
        <w:rPr>
          <w:rFonts w:ascii="Arial" w:hAnsi="Arial" w:cs="Arial"/>
          <w:b/>
          <w:bCs/>
        </w:rPr>
        <w:t xml:space="preserve">S1. Overview of pirtobrutinib-related treatment-emergent bleeding/bruising events </w:t>
      </w:r>
    </w:p>
    <w:tbl>
      <w:tblPr>
        <w:tblW w:w="9936" w:type="dxa"/>
        <w:tblBorders>
          <w:top w:val="single" w:sz="4" w:space="0" w:color="auto"/>
          <w:bottom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95"/>
        <w:gridCol w:w="2970"/>
        <w:gridCol w:w="2471"/>
      </w:tblGrid>
      <w:tr w:rsidR="00565F7C" w:rsidRPr="00AE71A0" w:rsidTr="00A652DC">
        <w:trPr>
          <w:trHeight w:val="20"/>
        </w:trPr>
        <w:tc>
          <w:tcPr>
            <w:tcW w:w="44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97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AT-E Cohort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(n=216)</w:t>
            </w:r>
          </w:p>
        </w:tc>
        <w:tc>
          <w:tcPr>
            <w:tcW w:w="2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AT-NE</w:t>
            </w: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 xml:space="preserve"> </w:t>
            </w:r>
            <w:r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Cohort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(n=557)</w:t>
            </w: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7" w:lineRule="auto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Bleeding/bruising, n (%)</w:t>
            </w:r>
          </w:p>
        </w:tc>
        <w:tc>
          <w:tcPr>
            <w:tcW w:w="2970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</w:p>
        </w:tc>
        <w:tc>
          <w:tcPr>
            <w:tcW w:w="2471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7" w:lineRule="auto"/>
              <w:ind w:left="532" w:hanging="86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Any grade</w:t>
            </w:r>
          </w:p>
        </w:tc>
        <w:tc>
          <w:tcPr>
            <w:tcW w:w="297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46 (21.3)</w:t>
            </w:r>
          </w:p>
        </w:tc>
        <w:tc>
          <w:tcPr>
            <w:tcW w:w="2471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103 (18.5)</w:t>
            </w: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7" w:lineRule="auto"/>
              <w:ind w:left="532" w:hanging="86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Grade ≥3</w:t>
            </w:r>
          </w:p>
        </w:tc>
        <w:tc>
          <w:tcPr>
            <w:tcW w:w="2970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2 (0.9)</w:t>
            </w:r>
          </w:p>
        </w:tc>
        <w:tc>
          <w:tcPr>
            <w:tcW w:w="2471" w:type="dxa"/>
            <w:tcBorders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4 (0.7)</w:t>
            </w: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Serious bleeding/bruising, n (%)</w:t>
            </w:r>
          </w:p>
        </w:tc>
        <w:tc>
          <w:tcPr>
            <w:tcW w:w="297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Theme="minorEastAsia" w:hAnsi="Arial" w:cs="Arial"/>
                <w:kern w:val="24"/>
                <w:sz w:val="18"/>
                <w:szCs w:val="18"/>
                <w:lang w:val="en-CA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  <w:lang w:val="en-CA"/>
              </w:rPr>
              <w:t>1 (0.5)</w:t>
            </w:r>
          </w:p>
        </w:tc>
        <w:tc>
          <w:tcPr>
            <w:tcW w:w="247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Theme="minorEastAsia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Theme="minorEastAsia" w:hAnsi="Arial" w:cs="Arial"/>
                <w:kern w:val="24"/>
                <w:sz w:val="18"/>
                <w:szCs w:val="18"/>
              </w:rPr>
              <w:t>3 (0.5)</w:t>
            </w: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ind w:left="720" w:hanging="720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Bleeding/bruising requiring</w:t>
            </w:r>
          </w:p>
        </w:tc>
        <w:tc>
          <w:tcPr>
            <w:tcW w:w="2970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</w:p>
        </w:tc>
        <w:tc>
          <w:tcPr>
            <w:tcW w:w="2471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tcBorders>
              <w:top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7" w:lineRule="auto"/>
              <w:ind w:left="532" w:hanging="86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Dose interruption, n (%)</w:t>
            </w:r>
          </w:p>
        </w:tc>
        <w:tc>
          <w:tcPr>
            <w:tcW w:w="2970" w:type="dxa"/>
            <w:tcBorders>
              <w:top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5 (2.3)</w:t>
            </w:r>
          </w:p>
        </w:tc>
        <w:tc>
          <w:tcPr>
            <w:tcW w:w="2471" w:type="dxa"/>
            <w:tcBorders>
              <w:top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7 (1.3)</w:t>
            </w: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ind w:left="533" w:hanging="86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Dose reduction, n (%)</w:t>
            </w:r>
          </w:p>
        </w:tc>
        <w:tc>
          <w:tcPr>
            <w:tcW w:w="297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0</w:t>
            </w:r>
          </w:p>
        </w:tc>
        <w:tc>
          <w:tcPr>
            <w:tcW w:w="2471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1 (0.2)</w:t>
            </w: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ind w:left="533" w:hanging="86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Dose discontinuation, n (%)</w:t>
            </w:r>
          </w:p>
        </w:tc>
        <w:tc>
          <w:tcPr>
            <w:tcW w:w="297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0</w:t>
            </w:r>
          </w:p>
        </w:tc>
        <w:tc>
          <w:tcPr>
            <w:tcW w:w="2471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0</w:t>
            </w:r>
          </w:p>
        </w:tc>
      </w:tr>
      <w:tr w:rsidR="00565F7C" w:rsidRPr="00AE71A0" w:rsidTr="00A652DC">
        <w:trPr>
          <w:trHeight w:val="20"/>
        </w:trPr>
        <w:tc>
          <w:tcPr>
            <w:tcW w:w="44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7" w:lineRule="auto"/>
              <w:ind w:left="532" w:hanging="86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Hospitalization</w:t>
            </w: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vertAlign w:val="superscript"/>
                <w:lang w:val="en-IE"/>
              </w:rPr>
              <w:t>a</w:t>
            </w: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, n (%)</w:t>
            </w:r>
          </w:p>
        </w:tc>
        <w:tc>
          <w:tcPr>
            <w:tcW w:w="297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1 (0.5)</w:t>
            </w:r>
          </w:p>
        </w:tc>
        <w:tc>
          <w:tcPr>
            <w:tcW w:w="2471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kern w:val="24"/>
                <w:sz w:val="18"/>
                <w:szCs w:val="18"/>
                <w:lang w:val="en-IE"/>
              </w:rPr>
              <w:t>3 (0.5)</w:t>
            </w:r>
          </w:p>
        </w:tc>
      </w:tr>
    </w:tbl>
    <w:p w:rsidR="00565F7C" w:rsidRDefault="00565F7C" w:rsidP="00565F7C">
      <w:pPr>
        <w:jc w:val="both"/>
        <w:rPr>
          <w:rFonts w:ascii="Arial" w:hAnsi="Arial" w:cs="Arial"/>
          <w:sz w:val="16"/>
          <w:szCs w:val="16"/>
          <w:vertAlign w:val="superscript"/>
        </w:rPr>
      </w:pPr>
    </w:p>
    <w:p w:rsidR="00565F7C" w:rsidRPr="002907C9" w:rsidRDefault="00565F7C" w:rsidP="00565F7C">
      <w:pPr>
        <w:jc w:val="both"/>
        <w:rPr>
          <w:rFonts w:ascii="Arial" w:hAnsi="Arial" w:cs="Arial"/>
          <w:sz w:val="16"/>
          <w:szCs w:val="16"/>
        </w:rPr>
      </w:pPr>
      <w:r w:rsidRPr="002907C9">
        <w:rPr>
          <w:rFonts w:ascii="Arial" w:hAnsi="Arial" w:cs="Arial"/>
          <w:sz w:val="16"/>
          <w:szCs w:val="16"/>
          <w:vertAlign w:val="superscript"/>
        </w:rPr>
        <w:t>a</w:t>
      </w:r>
      <w:r w:rsidRPr="002907C9">
        <w:rPr>
          <w:rFonts w:ascii="Arial" w:hAnsi="Arial" w:cs="Arial"/>
          <w:sz w:val="16"/>
          <w:szCs w:val="16"/>
        </w:rPr>
        <w:t>Including prolonged hospitalization</w:t>
      </w:r>
    </w:p>
    <w:p w:rsidR="00565F7C" w:rsidRDefault="00565F7C" w:rsidP="00565F7C">
      <w:pPr>
        <w:spacing w:after="0" w:line="240" w:lineRule="auto"/>
        <w:rPr>
          <w:rFonts w:ascii="Arial" w:eastAsia="Tahoma" w:hAnsi="Arial" w:cs="Arial"/>
          <w:color w:val="000000"/>
          <w:kern w:val="24"/>
          <w:sz w:val="16"/>
          <w:szCs w:val="16"/>
        </w:rPr>
        <w:sectPr w:rsidR="00565F7C" w:rsidSect="00565F7C">
          <w:footerReference w:type="default" r:id="rId4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>
        <w:rPr>
          <w:rFonts w:ascii="Arial" w:eastAsia="Tahoma" w:hAnsi="Arial" w:cs="Arial"/>
          <w:color w:val="000000"/>
          <w:kern w:val="24"/>
          <w:sz w:val="16"/>
          <w:szCs w:val="16"/>
        </w:rPr>
        <w:t>AT-E, antithrombotic exposed; AT-NE, antithrombotic non-exposed.</w:t>
      </w:r>
    </w:p>
    <w:p w:rsidR="00565F7C" w:rsidRPr="00A377B2" w:rsidRDefault="00565F7C" w:rsidP="00565F7C">
      <w:pPr>
        <w:rPr>
          <w:rFonts w:ascii="Arial" w:hAnsi="Arial" w:cs="Arial"/>
          <w:b/>
          <w:bCs/>
          <w:lang w:eastAsia="en-AU"/>
        </w:rPr>
      </w:pPr>
      <w:bookmarkStart w:id="1" w:name="S3"/>
      <w:bookmarkStart w:id="2" w:name="S2"/>
      <w:r w:rsidRPr="00A377B2">
        <w:rPr>
          <w:rFonts w:ascii="Arial" w:hAnsi="Arial" w:cs="Arial"/>
          <w:b/>
          <w:bCs/>
          <w:lang w:eastAsia="en-AU"/>
        </w:rPr>
        <w:lastRenderedPageBreak/>
        <w:t>S2. Pirtobrutinib-related treatment-emergent bleeding/bruising events by antithrombotic therapy</w:t>
      </w:r>
    </w:p>
    <w:bookmarkEnd w:id="1"/>
    <w:bookmarkEnd w:id="2"/>
    <w:tbl>
      <w:tblPr>
        <w:tblW w:w="13717" w:type="dxa"/>
        <w:tblBorders>
          <w:top w:val="single" w:sz="4" w:space="0" w:color="auto"/>
          <w:bottom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58"/>
        <w:gridCol w:w="1088"/>
        <w:gridCol w:w="1095"/>
        <w:gridCol w:w="1087"/>
        <w:gridCol w:w="1095"/>
        <w:gridCol w:w="1087"/>
        <w:gridCol w:w="1095"/>
        <w:gridCol w:w="1087"/>
        <w:gridCol w:w="1095"/>
        <w:gridCol w:w="1126"/>
        <w:gridCol w:w="1104"/>
      </w:tblGrid>
      <w:tr w:rsidR="00565F7C" w:rsidRPr="00AE71A0" w:rsidTr="00A652DC">
        <w:trPr>
          <w:trHeight w:val="19"/>
        </w:trPr>
        <w:tc>
          <w:tcPr>
            <w:tcW w:w="2758" w:type="dxa"/>
            <w:tcBorders>
              <w:bottom w:val="nil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hideMark/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59" w:type="dxa"/>
            <w:gridSpan w:val="10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FC3458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Antithrombotic Agents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  <w:vertAlign w:val="superscript"/>
              </w:rPr>
              <w:t>a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Events</w:t>
            </w:r>
          </w:p>
        </w:tc>
        <w:tc>
          <w:tcPr>
            <w:tcW w:w="218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Direct 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F</w:t>
            </w: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actor Xa 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I</w:t>
            </w: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nhibitors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(n=79)</w:t>
            </w:r>
          </w:p>
        </w:tc>
        <w:tc>
          <w:tcPr>
            <w:tcW w:w="218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Heparins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(n=40)</w:t>
            </w:r>
          </w:p>
        </w:tc>
        <w:tc>
          <w:tcPr>
            <w:tcW w:w="218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Platelet 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A</w:t>
            </w: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ggregation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I</w:t>
            </w: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nhibitors (n=112)</w:t>
            </w:r>
          </w:p>
        </w:tc>
        <w:tc>
          <w:tcPr>
            <w:tcW w:w="218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FC3458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Salicylic 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A</w:t>
            </w: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cid and 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D</w:t>
            </w: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erivatives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  <w:vertAlign w:val="superscript"/>
              </w:rPr>
              <w:t>b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(n=12)</w:t>
            </w:r>
          </w:p>
        </w:tc>
        <w:tc>
          <w:tcPr>
            <w:tcW w:w="223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FC3458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vertAlign w:val="superscript"/>
              </w:rPr>
            </w:pP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Thrombolytics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  <w:vertAlign w:val="superscript"/>
              </w:rPr>
              <w:t>c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(n=5)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hideMark/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All Grades n (%)</w:t>
            </w:r>
          </w:p>
        </w:tc>
        <w:tc>
          <w:tcPr>
            <w:tcW w:w="1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Grade ≥3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 (%)</w:t>
            </w:r>
          </w:p>
        </w:tc>
        <w:tc>
          <w:tcPr>
            <w:tcW w:w="108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All Grades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 (%)</w:t>
            </w:r>
          </w:p>
        </w:tc>
        <w:tc>
          <w:tcPr>
            <w:tcW w:w="1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Grade ≥3 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 (%)</w:t>
            </w:r>
          </w:p>
        </w:tc>
        <w:tc>
          <w:tcPr>
            <w:tcW w:w="108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All Grades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 (%)</w:t>
            </w:r>
          </w:p>
        </w:tc>
        <w:tc>
          <w:tcPr>
            <w:tcW w:w="1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Grade ≥3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 (%)</w:t>
            </w:r>
          </w:p>
        </w:tc>
        <w:tc>
          <w:tcPr>
            <w:tcW w:w="108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All Grades n (%)</w:t>
            </w:r>
          </w:p>
        </w:tc>
        <w:tc>
          <w:tcPr>
            <w:tcW w:w="109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Grade ≥3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 (%)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All Grades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 (%)</w:t>
            </w:r>
          </w:p>
        </w:tc>
        <w:tc>
          <w:tcPr>
            <w:tcW w:w="110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 xml:space="preserve">Grade ≥3 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n (%)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hideMark/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Bleeding/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b</w:t>
            </w: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ruising</w:t>
            </w:r>
          </w:p>
        </w:tc>
        <w:tc>
          <w:tcPr>
            <w:tcW w:w="1088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18 (22.8)</w:t>
            </w:r>
          </w:p>
        </w:tc>
        <w:tc>
          <w:tcPr>
            <w:tcW w:w="10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 (1.3)</w:t>
            </w:r>
          </w:p>
        </w:tc>
        <w:tc>
          <w:tcPr>
            <w:tcW w:w="1087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11 (27.5)</w:t>
            </w:r>
          </w:p>
        </w:tc>
        <w:tc>
          <w:tcPr>
            <w:tcW w:w="10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24 (21.4)</w:t>
            </w:r>
          </w:p>
        </w:tc>
        <w:tc>
          <w:tcPr>
            <w:tcW w:w="10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 (0.9)</w:t>
            </w:r>
          </w:p>
        </w:tc>
        <w:tc>
          <w:tcPr>
            <w:tcW w:w="1087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 (16.7)</w:t>
            </w:r>
          </w:p>
        </w:tc>
        <w:tc>
          <w:tcPr>
            <w:tcW w:w="10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 (20.0)</w:t>
            </w:r>
          </w:p>
        </w:tc>
        <w:tc>
          <w:tcPr>
            <w:tcW w:w="1104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Hematuria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(0.9)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Epistaxis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(0.9)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Gingival bleeding 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(1.3)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Hemoptysis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(0.9)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371DE9">
              <w:rPr>
                <w:rFonts w:ascii="Arial" w:eastAsia="Calibri" w:hAnsi="Arial" w:cs="Arial"/>
                <w:kern w:val="24"/>
                <w:sz w:val="18"/>
                <w:szCs w:val="18"/>
              </w:rPr>
              <w:t>Hemarthrosis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(1.3)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(1.3)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166E1F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E9482F">
              <w:rPr>
                <w:rFonts w:ascii="Arial" w:eastAsia="Calibri" w:hAnsi="Arial" w:cs="Arial"/>
                <w:kern w:val="24"/>
                <w:sz w:val="18"/>
                <w:szCs w:val="18"/>
              </w:rPr>
              <w:t>Hematochezia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kern w:val="24"/>
                <w:sz w:val="18"/>
                <w:szCs w:val="18"/>
              </w:rPr>
              <w:t>Blood loss anemia</w:t>
            </w:r>
          </w:p>
        </w:tc>
        <w:tc>
          <w:tcPr>
            <w:tcW w:w="1088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2907C9" w:rsidTr="00A652DC">
        <w:trPr>
          <w:trHeight w:val="19"/>
        </w:trPr>
        <w:tc>
          <w:tcPr>
            <w:tcW w:w="13717" w:type="dxa"/>
            <w:gridSpan w:val="11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Bleeding/</w:t>
            </w:r>
            <w:r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b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rui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  <w:shd w:val="clear" w:color="auto" w:fill="D9D9D9" w:themeFill="background1" w:themeFillShade="D9"/>
              </w:rPr>
              <w:t>sing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  <w:shd w:val="clear" w:color="auto" w:fill="D9D9D9" w:themeFill="background1" w:themeFillShade="D9"/>
                <w:vertAlign w:val="superscript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  <w:shd w:val="clear" w:color="auto" w:fill="D9D9D9" w:themeFill="background1" w:themeFillShade="D9"/>
              </w:rPr>
              <w:t>s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  <w:shd w:val="clear" w:color="auto" w:fill="D9D9D9" w:themeFill="background1" w:themeFillShade="D9"/>
              </w:rPr>
              <w:t>ubcategories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hideMark/>
          </w:tcPr>
          <w:p w:rsidR="00565F7C" w:rsidRPr="00AE71A0" w:rsidRDefault="00565F7C" w:rsidP="00A652DC">
            <w:pPr>
              <w:spacing w:after="0" w:line="240" w:lineRule="auto"/>
              <w:ind w:left="374" w:hanging="86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Bruising</w:t>
            </w:r>
            <w:r>
              <w:rPr>
                <w:rFonts w:ascii="Arial" w:eastAsia="Calibri" w:hAnsi="Arial" w:cs="Arial"/>
                <w:b/>
                <w:bCs/>
                <w:kern w:val="24"/>
                <w:position w:val="6"/>
                <w:sz w:val="18"/>
                <w:szCs w:val="18"/>
                <w:vertAlign w:val="superscript"/>
              </w:rPr>
              <w:t>d</w:t>
            </w:r>
          </w:p>
        </w:tc>
        <w:tc>
          <w:tcPr>
            <w:tcW w:w="1088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14 (17.7)</w:t>
            </w:r>
          </w:p>
        </w:tc>
        <w:tc>
          <w:tcPr>
            <w:tcW w:w="10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8 (20.0)</w:t>
            </w:r>
          </w:p>
        </w:tc>
        <w:tc>
          <w:tcPr>
            <w:tcW w:w="10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18 (16.1)</w:t>
            </w:r>
          </w:p>
        </w:tc>
        <w:tc>
          <w:tcPr>
            <w:tcW w:w="10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 (16.7)</w:t>
            </w:r>
          </w:p>
        </w:tc>
        <w:tc>
          <w:tcPr>
            <w:tcW w:w="1095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 (20.0)</w:t>
            </w:r>
          </w:p>
        </w:tc>
        <w:tc>
          <w:tcPr>
            <w:tcW w:w="1104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Contusion 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13 (16.5)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7 (17.5)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16 (14.3)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(8.3)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(20.0)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Petechiae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(1.3)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(2.5)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(1.8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(8.3)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Ecchymosis                                             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(0.9)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Increased tendency to bruise</w:t>
            </w:r>
          </w:p>
        </w:tc>
        <w:tc>
          <w:tcPr>
            <w:tcW w:w="10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200"/>
        </w:trPr>
        <w:tc>
          <w:tcPr>
            <w:tcW w:w="2758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hideMark/>
          </w:tcPr>
          <w:p w:rsidR="00565F7C" w:rsidRPr="00AE71A0" w:rsidRDefault="00565F7C" w:rsidP="00A652DC">
            <w:pPr>
              <w:spacing w:after="0" w:line="240" w:lineRule="auto"/>
              <w:ind w:left="374" w:hanging="86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Hemorrhage/</w:t>
            </w:r>
            <w:r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h</w:t>
            </w:r>
            <w:r w:rsidRPr="00AE71A0">
              <w:rPr>
                <w:rFonts w:ascii="Arial" w:eastAsia="Calibri" w:hAnsi="Arial" w:cs="Arial"/>
                <w:b/>
                <w:bCs/>
                <w:sz w:val="18"/>
                <w:szCs w:val="18"/>
              </w:rPr>
              <w:t>ematoma</w:t>
            </w:r>
            <w:r>
              <w:rPr>
                <w:rFonts w:ascii="Arial" w:eastAsia="Calibri" w:hAnsi="Arial" w:cs="Arial"/>
                <w:b/>
                <w:bCs/>
                <w:kern w:val="24"/>
                <w:position w:val="6"/>
                <w:sz w:val="18"/>
                <w:szCs w:val="18"/>
                <w:vertAlign w:val="superscript"/>
              </w:rPr>
              <w:t>d</w:t>
            </w:r>
          </w:p>
        </w:tc>
        <w:tc>
          <w:tcPr>
            <w:tcW w:w="1088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5 (6.3)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 (10.0)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6 (5.4)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 (0.9)</w:t>
            </w:r>
          </w:p>
        </w:tc>
        <w:tc>
          <w:tcPr>
            <w:tcW w:w="1087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 (8.3)</w:t>
            </w:r>
          </w:p>
        </w:tc>
        <w:tc>
          <w:tcPr>
            <w:tcW w:w="1095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Hematoma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3 (7.5)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(0.9)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(8.3)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Conjunctival hemorrhage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(2.5)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(0.9)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Upper gastrointestinal</w:t>
            </w:r>
          </w:p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hemorrhage 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(1.8)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(0.9)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Vitreous hemorrhage 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(1.3)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(0.9)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kern w:val="24"/>
                <w:sz w:val="18"/>
                <w:szCs w:val="18"/>
              </w:rPr>
              <w:t>Hemorrhage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(1.3)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kern w:val="24"/>
                <w:sz w:val="18"/>
                <w:szCs w:val="18"/>
              </w:rPr>
              <w:t>Gastrointestinal hemorrhage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kern w:val="24"/>
                <w:sz w:val="18"/>
                <w:szCs w:val="18"/>
              </w:rPr>
              <w:t>Post procedural hemorrhage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F128C3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Subdural hematoma                      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316883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Pulmonary hemorrhage                   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75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316883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DE4357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Subarachnoid hemorrhage                </w:t>
            </w:r>
          </w:p>
        </w:tc>
        <w:tc>
          <w:tcPr>
            <w:tcW w:w="10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8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095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04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</w:tbl>
    <w:p w:rsidR="00565F7C" w:rsidRPr="00092DCF" w:rsidRDefault="00565F7C" w:rsidP="00565F7C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</w:t>
      </w:r>
    </w:p>
    <w:p w:rsidR="00565F7C" w:rsidRDefault="00565F7C" w:rsidP="00565F7C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092DCF">
        <w:rPr>
          <w:rFonts w:ascii="Arial" w:hAnsi="Arial" w:cs="Arial"/>
          <w:sz w:val="16"/>
          <w:szCs w:val="16"/>
          <w:vertAlign w:val="superscript"/>
        </w:rPr>
        <w:t>a</w:t>
      </w:r>
      <w:r w:rsidRPr="00092DCF">
        <w:rPr>
          <w:rFonts w:ascii="Arial" w:hAnsi="Arial" w:cs="Arial"/>
          <w:sz w:val="16"/>
          <w:szCs w:val="16"/>
        </w:rPr>
        <w:t>Patients may have received more than one type/subtype of concomitant antithrombotic therapy.</w:t>
      </w:r>
    </w:p>
    <w:p w:rsidR="00565F7C" w:rsidRDefault="00565F7C" w:rsidP="00565F7C">
      <w:pPr>
        <w:spacing w:after="0" w:line="240" w:lineRule="auto"/>
        <w:rPr>
          <w:rFonts w:ascii="Arial" w:eastAsia="Tahoma" w:hAnsi="Arial" w:cs="Arial"/>
          <w:color w:val="000000"/>
          <w:kern w:val="24"/>
          <w:sz w:val="16"/>
          <w:szCs w:val="16"/>
        </w:rPr>
      </w:pPr>
      <w:r>
        <w:rPr>
          <w:rFonts w:ascii="Arial" w:hAnsi="Arial" w:cs="Arial"/>
          <w:sz w:val="16"/>
          <w:szCs w:val="16"/>
          <w:vertAlign w:val="superscript"/>
        </w:rPr>
        <w:lastRenderedPageBreak/>
        <w:t>b</w:t>
      </w:r>
      <w:r w:rsidRPr="00A44714">
        <w:rPr>
          <w:rFonts w:ascii="Arial" w:hAnsi="Arial" w:cs="Arial"/>
          <w:sz w:val="16"/>
          <w:szCs w:val="16"/>
        </w:rPr>
        <w:t xml:space="preserve">Patients were taking salicylic acid and derivatives for indications besides platelet aggregation </w:t>
      </w:r>
      <w:r>
        <w:rPr>
          <w:rFonts w:ascii="Arial" w:hAnsi="Arial" w:cs="Arial"/>
          <w:sz w:val="16"/>
          <w:szCs w:val="16"/>
        </w:rPr>
        <w:t xml:space="preserve">inhibition </w:t>
      </w:r>
      <w:r w:rsidRPr="00A44714">
        <w:rPr>
          <w:rFonts w:ascii="Arial" w:hAnsi="Arial" w:cs="Arial"/>
          <w:sz w:val="16"/>
          <w:szCs w:val="16"/>
        </w:rPr>
        <w:t>including pain management, fever, and other uses.</w:t>
      </w:r>
      <w:r>
        <w:rPr>
          <w:rFonts w:ascii="Arial" w:eastAsia="Times New Roman" w:hAnsi="Arial" w:cs="Arial"/>
          <w:sz w:val="16"/>
          <w:szCs w:val="16"/>
        </w:rPr>
        <w:t xml:space="preserve"> </w:t>
      </w:r>
      <w:r w:rsidRPr="00A61644">
        <w:rPr>
          <w:rFonts w:ascii="Arial" w:hAnsi="Arial" w:cs="Arial"/>
          <w:sz w:val="16"/>
          <w:szCs w:val="16"/>
          <w:vertAlign w:val="superscript"/>
        </w:rPr>
        <w:t>c</w:t>
      </w:r>
      <w:r w:rsidRPr="008F792D">
        <w:rPr>
          <w:rFonts w:ascii="Arial" w:hAnsi="Arial" w:cs="Arial"/>
          <w:sz w:val="16"/>
          <w:szCs w:val="16"/>
        </w:rPr>
        <w:t>Among the 5 patients reported to have received thrombolytics, 3 appeared to have been for prevention or treatment of central venous catheter occlusions and 2 were for unknown reasons.</w:t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eastAsia="Tahoma" w:hAnsi="Arial" w:cs="Arial"/>
          <w:color w:val="000000"/>
          <w:kern w:val="24"/>
          <w:position w:val="6"/>
          <w:sz w:val="16"/>
          <w:szCs w:val="16"/>
          <w:vertAlign w:val="superscript"/>
        </w:rPr>
        <w:t>d</w:t>
      </w:r>
      <w:r w:rsidRPr="00092DCF">
        <w:rPr>
          <w:rFonts w:ascii="Arial" w:eastAsia="Tahoma" w:hAnsi="Arial" w:cs="Arial"/>
          <w:color w:val="000000"/>
          <w:kern w:val="24"/>
          <w:sz w:val="16"/>
          <w:szCs w:val="16"/>
        </w:rPr>
        <w:t xml:space="preserve">Bruising and </w:t>
      </w:r>
      <w:r>
        <w:rPr>
          <w:rFonts w:ascii="Arial" w:eastAsia="Tahoma" w:hAnsi="Arial" w:cs="Arial"/>
          <w:color w:val="000000"/>
          <w:kern w:val="24"/>
          <w:sz w:val="16"/>
          <w:szCs w:val="16"/>
        </w:rPr>
        <w:t>h</w:t>
      </w:r>
      <w:r w:rsidRPr="00092DCF">
        <w:rPr>
          <w:rFonts w:ascii="Arial" w:eastAsia="Tahoma" w:hAnsi="Arial" w:cs="Arial"/>
          <w:color w:val="000000"/>
          <w:kern w:val="24"/>
          <w:sz w:val="16"/>
          <w:szCs w:val="16"/>
        </w:rPr>
        <w:t xml:space="preserve">emorrhage/hematoma </w:t>
      </w:r>
      <w:r>
        <w:rPr>
          <w:rFonts w:ascii="Arial" w:eastAsia="Tahoma" w:hAnsi="Arial" w:cs="Arial"/>
          <w:color w:val="000000"/>
          <w:kern w:val="24"/>
          <w:sz w:val="16"/>
          <w:szCs w:val="16"/>
        </w:rPr>
        <w:t>are subcategories</w:t>
      </w:r>
      <w:r w:rsidRPr="00092DCF">
        <w:rPr>
          <w:rFonts w:ascii="Arial" w:eastAsia="Tahoma" w:hAnsi="Arial" w:cs="Arial"/>
          <w:color w:val="000000"/>
          <w:kern w:val="24"/>
          <w:sz w:val="16"/>
          <w:szCs w:val="16"/>
        </w:rPr>
        <w:t xml:space="preserve"> of bleeding/bruising. </w:t>
      </w:r>
    </w:p>
    <w:p w:rsidR="00565F7C" w:rsidRDefault="00565F7C" w:rsidP="00565F7C">
      <w:pPr>
        <w:rPr>
          <w:rFonts w:ascii="Arial" w:eastAsia="Tahoma" w:hAnsi="Arial" w:cs="Arial"/>
          <w:color w:val="000000"/>
          <w:kern w:val="24"/>
          <w:sz w:val="16"/>
          <w:szCs w:val="16"/>
        </w:rPr>
      </w:pPr>
    </w:p>
    <w:p w:rsidR="00565F7C" w:rsidRDefault="00565F7C" w:rsidP="00565F7C">
      <w:pPr>
        <w:rPr>
          <w:rFonts w:ascii="Arial" w:eastAsia="Tahoma" w:hAnsi="Arial" w:cs="Arial"/>
          <w:color w:val="000000"/>
          <w:kern w:val="24"/>
          <w:sz w:val="16"/>
          <w:szCs w:val="16"/>
        </w:rPr>
      </w:pPr>
      <w:r>
        <w:rPr>
          <w:rFonts w:ascii="Arial" w:eastAsia="Tahoma" w:hAnsi="Arial" w:cs="Arial"/>
          <w:color w:val="000000"/>
          <w:kern w:val="24"/>
          <w:sz w:val="16"/>
          <w:szCs w:val="16"/>
        </w:rPr>
        <w:br w:type="page"/>
      </w:r>
    </w:p>
    <w:p w:rsidR="00565F7C" w:rsidRPr="00F97787" w:rsidRDefault="00565F7C" w:rsidP="00565F7C">
      <w:pPr>
        <w:rPr>
          <w:rFonts w:ascii="Arial" w:hAnsi="Arial" w:cs="Arial"/>
          <w:b/>
          <w:bCs/>
        </w:rPr>
      </w:pPr>
      <w:r w:rsidRPr="00F97787">
        <w:rPr>
          <w:rFonts w:ascii="Arial" w:hAnsi="Arial" w:cs="Arial"/>
          <w:b/>
          <w:bCs/>
        </w:rPr>
        <w:lastRenderedPageBreak/>
        <w:t>S3. Treatment-emergent bleeding/bruising events by antithrombotic cohorts and baseline thrombocytopenia status</w:t>
      </w:r>
    </w:p>
    <w:tbl>
      <w:tblPr>
        <w:tblW w:w="12950" w:type="dxa"/>
        <w:tblBorders>
          <w:top w:val="single" w:sz="4" w:space="0" w:color="auto"/>
          <w:bottom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8"/>
        <w:gridCol w:w="1237"/>
        <w:gridCol w:w="1260"/>
        <w:gridCol w:w="1260"/>
        <w:gridCol w:w="1350"/>
        <w:gridCol w:w="1260"/>
        <w:gridCol w:w="1260"/>
        <w:gridCol w:w="1170"/>
        <w:gridCol w:w="1165"/>
      </w:tblGrid>
      <w:tr w:rsidR="00565F7C" w:rsidRPr="00AE71A0" w:rsidTr="00A652DC">
        <w:trPr>
          <w:trHeight w:val="19"/>
        </w:trPr>
        <w:tc>
          <w:tcPr>
            <w:tcW w:w="2988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</w:pPr>
          </w:p>
        </w:tc>
        <w:tc>
          <w:tcPr>
            <w:tcW w:w="510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AT-E Cohort</w:t>
            </w:r>
          </w:p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(N=216)</w:t>
            </w:r>
          </w:p>
        </w:tc>
        <w:tc>
          <w:tcPr>
            <w:tcW w:w="485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AT-NE</w:t>
            </w: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 xml:space="preserve"> </w:t>
            </w:r>
            <w:r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Cohort</w:t>
            </w:r>
          </w:p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(N=557)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vMerge w:val="restart"/>
            <w:tcBorders>
              <w:top w:val="nil"/>
              <w:bottom w:val="nil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Events</w:t>
            </w:r>
          </w:p>
        </w:tc>
        <w:tc>
          <w:tcPr>
            <w:tcW w:w="249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With Baseline Thrombocytopenia</w:t>
            </w:r>
          </w:p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(n=34)</w:t>
            </w:r>
          </w:p>
        </w:tc>
        <w:tc>
          <w:tcPr>
            <w:tcW w:w="261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Without Baseline Thrombocytopenia</w:t>
            </w:r>
          </w:p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(n=182)</w:t>
            </w:r>
          </w:p>
        </w:tc>
        <w:tc>
          <w:tcPr>
            <w:tcW w:w="2520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With Baseline Thrombocytopenia</w:t>
            </w:r>
          </w:p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(n=95)</w:t>
            </w:r>
          </w:p>
        </w:tc>
        <w:tc>
          <w:tcPr>
            <w:tcW w:w="2335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Without Baseline Thrombocytopenia</w:t>
            </w:r>
          </w:p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(n=462)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vMerge/>
            <w:tcBorders>
              <w:top w:val="nil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 xml:space="preserve">All Grades 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n (%)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Grade ≥3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n (%)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 xml:space="preserve">All Grades 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n (%)</w:t>
            </w:r>
          </w:p>
        </w:tc>
        <w:tc>
          <w:tcPr>
            <w:tcW w:w="135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 xml:space="preserve">Grade ≥3 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n (%)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 xml:space="preserve">All Grades 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n (%)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Grade ≥3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n (%)</w:t>
            </w:r>
          </w:p>
        </w:tc>
        <w:tc>
          <w:tcPr>
            <w:tcW w:w="117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 xml:space="preserve">All Grades 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n (%)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 xml:space="preserve">Grade ≥3 </w:t>
            </w:r>
          </w:p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</w:pPr>
            <w:r w:rsidRPr="00AE71A0">
              <w:rPr>
                <w:rFonts w:ascii="Arial" w:eastAsia="Tahoma" w:hAnsi="Arial" w:cs="Arial"/>
                <w:b/>
                <w:bCs/>
                <w:kern w:val="24"/>
                <w:sz w:val="18"/>
                <w:szCs w:val="18"/>
                <w:lang w:val="en-IE"/>
              </w:rPr>
              <w:t>n (%)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5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vertAlign w:val="superscript"/>
              </w:rPr>
            </w:pP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Bleeding/</w:t>
            </w:r>
            <w:r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b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ruising</w:t>
            </w:r>
          </w:p>
        </w:tc>
        <w:tc>
          <w:tcPr>
            <w:tcW w:w="1237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19 (55.9)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 (2.9)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78 (42.9)</w:t>
            </w: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5 (2.7)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39 (41.1)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 (3.2)</w:t>
            </w:r>
          </w:p>
        </w:tc>
        <w:tc>
          <w:tcPr>
            <w:tcW w:w="1170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142 (30.7)</w:t>
            </w:r>
          </w:p>
        </w:tc>
        <w:tc>
          <w:tcPr>
            <w:tcW w:w="116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8 (1.7)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Hematuria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(5.9)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10 (5.5)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3 (3.2)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12 (2.6)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Epistaxis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4 (11.8)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7 (3.8)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5 (5.3)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14 (3.0)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Gingival bleeding 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3 (1.6)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(2.1)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Hemoptysis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(2.9)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(1.1)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371DE9">
              <w:rPr>
                <w:rFonts w:ascii="Arial" w:eastAsia="Calibri" w:hAnsi="Arial" w:cs="Arial"/>
                <w:kern w:val="24"/>
                <w:sz w:val="18"/>
                <w:szCs w:val="18"/>
              </w:rPr>
              <w:t>Hemarthrosis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(2.9)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(0.5)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(0.5)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 (0.4)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E9482F">
              <w:rPr>
                <w:rFonts w:ascii="Arial" w:eastAsia="Calibri" w:hAnsi="Arial" w:cs="Arial"/>
                <w:kern w:val="24"/>
                <w:sz w:val="18"/>
                <w:szCs w:val="18"/>
              </w:rPr>
              <w:t>Hematochezia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 (1.1)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(0.5)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288" w:hanging="8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kern w:val="24"/>
                <w:sz w:val="18"/>
                <w:szCs w:val="18"/>
              </w:rPr>
              <w:t>Blood loss anemia</w:t>
            </w:r>
          </w:p>
        </w:tc>
        <w:tc>
          <w:tcPr>
            <w:tcW w:w="1237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(0.5)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  <w:tc>
          <w:tcPr>
            <w:tcW w:w="116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</w:tr>
      <w:tr w:rsidR="00565F7C" w:rsidRPr="002907C9" w:rsidTr="00A652DC">
        <w:trPr>
          <w:trHeight w:val="19"/>
        </w:trPr>
        <w:tc>
          <w:tcPr>
            <w:tcW w:w="12950" w:type="dxa"/>
            <w:gridSpan w:val="9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Bleeding/</w:t>
            </w:r>
            <w:r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b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ruising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  <w:vertAlign w:val="superscript"/>
              </w:rPr>
              <w:t xml:space="preserve"> </w:t>
            </w:r>
            <w:r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s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ubcategories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374" w:hanging="86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 xml:space="preserve"> Bruising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237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12 (35.3)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48 (26.4)</w:t>
            </w:r>
          </w:p>
        </w:tc>
        <w:tc>
          <w:tcPr>
            <w:tcW w:w="1350" w:type="dxa"/>
            <w:tcBorders>
              <w:top w:val="single" w:sz="4" w:space="0" w:color="auto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29 (30.5)</w:t>
            </w:r>
          </w:p>
        </w:tc>
        <w:tc>
          <w:tcPr>
            <w:tcW w:w="1260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94 (20.3)</w:t>
            </w:r>
          </w:p>
        </w:tc>
        <w:tc>
          <w:tcPr>
            <w:tcW w:w="1165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Contusion 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7 (20.6)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42 (23.1)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22 (23.</w:t>
            </w:r>
            <w:r>
              <w:rPr>
                <w:rFonts w:ascii="Arial" w:eastAsia="Times New Roman" w:hAnsi="Arial" w:cs="Arial"/>
                <w:sz w:val="18"/>
                <w:szCs w:val="18"/>
              </w:rPr>
              <w:t>2</w:t>
            </w: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79 (17.1)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Petechiae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3 (8.8)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5 (2.7)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7 (7.4)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20 (4.3)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Ecchymosis</w:t>
            </w:r>
          </w:p>
        </w:tc>
        <w:tc>
          <w:tcPr>
            <w:tcW w:w="1237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(2.9)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3 (1.6)</w:t>
            </w:r>
          </w:p>
        </w:tc>
        <w:tc>
          <w:tcPr>
            <w:tcW w:w="1350" w:type="dxa"/>
            <w:tcBorders>
              <w:top w:val="nil"/>
              <w:bottom w:val="nil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(1.1)</w:t>
            </w:r>
          </w:p>
        </w:tc>
        <w:tc>
          <w:tcPr>
            <w:tcW w:w="126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5 (1.1)</w:t>
            </w:r>
          </w:p>
        </w:tc>
        <w:tc>
          <w:tcPr>
            <w:tcW w:w="1165" w:type="dxa"/>
            <w:tcBorders>
              <w:top w:val="nil"/>
              <w:bottom w:val="nil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Increased tendency to bruise </w:t>
            </w:r>
          </w:p>
        </w:tc>
        <w:tc>
          <w:tcPr>
            <w:tcW w:w="1237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(2.9)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(1.1)</w:t>
            </w:r>
          </w:p>
        </w:tc>
        <w:tc>
          <w:tcPr>
            <w:tcW w:w="1350" w:type="dxa"/>
            <w:tcBorders>
              <w:top w:val="nil"/>
              <w:bottom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(2.1)</w:t>
            </w:r>
          </w:p>
        </w:tc>
        <w:tc>
          <w:tcPr>
            <w:tcW w:w="126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(0.4)</w:t>
            </w:r>
          </w:p>
        </w:tc>
        <w:tc>
          <w:tcPr>
            <w:tcW w:w="1165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45"/>
        </w:trPr>
        <w:tc>
          <w:tcPr>
            <w:tcW w:w="2988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57" w:lineRule="auto"/>
              <w:ind w:left="374" w:hanging="86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 xml:space="preserve"> Hemorrhage/</w:t>
            </w:r>
            <w:r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h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</w:rPr>
              <w:t>ematoma</w:t>
            </w:r>
            <w:r w:rsidRPr="00AE71A0">
              <w:rPr>
                <w:rFonts w:ascii="Arial" w:eastAsia="Calibri" w:hAnsi="Arial" w:cs="Arial"/>
                <w:b/>
                <w:bCs/>
                <w:kern w:val="24"/>
                <w:sz w:val="18"/>
                <w:szCs w:val="18"/>
                <w:vertAlign w:val="superscript"/>
              </w:rPr>
              <w:t>a</w:t>
            </w:r>
          </w:p>
        </w:tc>
        <w:tc>
          <w:tcPr>
            <w:tcW w:w="1237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7 (20.6)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 (2.9)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27 (14.8)</w:t>
            </w:r>
          </w:p>
        </w:tc>
        <w:tc>
          <w:tcPr>
            <w:tcW w:w="1350" w:type="dxa"/>
            <w:tcBorders>
              <w:top w:val="single" w:sz="4" w:space="0" w:color="auto"/>
            </w:tcBorders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 (1.6)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14 (14.7)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3 (3.2)</w:t>
            </w:r>
          </w:p>
        </w:tc>
        <w:tc>
          <w:tcPr>
            <w:tcW w:w="1170" w:type="dxa"/>
            <w:tcBorders>
              <w:top w:val="single" w:sz="4" w:space="0" w:color="auto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40 (8.7)</w:t>
            </w:r>
          </w:p>
        </w:tc>
        <w:tc>
          <w:tcPr>
            <w:tcW w:w="1165" w:type="dxa"/>
            <w:tcBorders>
              <w:top w:val="single" w:sz="4" w:space="0" w:color="auto"/>
            </w:tcBorders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7 (1.5)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>Hematoma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3 (8.8)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4 (2.2)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(2.1)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(1.1)</w:t>
            </w:r>
          </w:p>
        </w:tc>
        <w:tc>
          <w:tcPr>
            <w:tcW w:w="1170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8 (1.7)</w:t>
            </w:r>
          </w:p>
        </w:tc>
        <w:tc>
          <w:tcPr>
            <w:tcW w:w="1165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Conjunctival hemorrhage 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(2.9)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3 (1.6)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(1.1)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5 (1.1)</w:t>
            </w:r>
          </w:p>
        </w:tc>
        <w:tc>
          <w:tcPr>
            <w:tcW w:w="1165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Upper gastrointestinal hemorrhage 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3 (1.6)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(1.1)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(1.1)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(1.1)</w:t>
            </w:r>
          </w:p>
        </w:tc>
        <w:tc>
          <w:tcPr>
            <w:tcW w:w="1170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(0.4)</w:t>
            </w:r>
          </w:p>
        </w:tc>
        <w:tc>
          <w:tcPr>
            <w:tcW w:w="1165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  <w:hideMark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Vitreous hemorrhage 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(2.9)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(1.1)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  <w:tc>
          <w:tcPr>
            <w:tcW w:w="1165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kern w:val="24"/>
                <w:sz w:val="18"/>
                <w:szCs w:val="18"/>
              </w:rPr>
              <w:t>Hemorrhage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(0.5)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 (2.1)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3 (0.6)</w:t>
            </w:r>
          </w:p>
        </w:tc>
        <w:tc>
          <w:tcPr>
            <w:tcW w:w="1165" w:type="dxa"/>
            <w:shd w:val="clear" w:color="auto" w:fill="auto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kern w:val="24"/>
                <w:sz w:val="18"/>
                <w:szCs w:val="18"/>
              </w:rPr>
              <w:t>Gastrointestinal hemorrhage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(0.5)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 (0.4)</w:t>
            </w:r>
          </w:p>
        </w:tc>
        <w:tc>
          <w:tcPr>
            <w:tcW w:w="1165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2 (0.4)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kern w:val="24"/>
                <w:sz w:val="18"/>
                <w:szCs w:val="18"/>
              </w:rPr>
              <w:t>Post procedural hemorrhage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(2.9)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(2.9)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  <w:tc>
          <w:tcPr>
            <w:tcW w:w="1165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F128C3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Subdural hematoma                      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 w:rsidRPr="00AE71A0">
              <w:rPr>
                <w:rFonts w:ascii="Arial" w:eastAsia="Times New Roman" w:hAnsi="Arial" w:cs="Arial"/>
                <w:sz w:val="18"/>
                <w:szCs w:val="18"/>
              </w:rPr>
              <w:t>2 (1.1)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(0.5)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316883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Pulmonary hemorrhage                   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(1.1)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(1.1)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</w:tr>
      <w:tr w:rsidR="00565F7C" w:rsidRPr="00AE71A0" w:rsidTr="00A652DC">
        <w:trPr>
          <w:trHeight w:val="19"/>
        </w:trPr>
        <w:tc>
          <w:tcPr>
            <w:tcW w:w="2988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316883" w:rsidRDefault="00565F7C" w:rsidP="00A652DC">
            <w:pPr>
              <w:spacing w:after="0" w:line="240" w:lineRule="auto"/>
              <w:ind w:left="576"/>
              <w:rPr>
                <w:rFonts w:ascii="Arial" w:eastAsia="Calibri" w:hAnsi="Arial" w:cs="Arial"/>
                <w:kern w:val="24"/>
                <w:sz w:val="18"/>
                <w:szCs w:val="18"/>
              </w:rPr>
            </w:pPr>
            <w:r w:rsidRPr="00DE4357">
              <w:rPr>
                <w:rFonts w:ascii="Arial" w:eastAsia="Calibri" w:hAnsi="Arial" w:cs="Arial"/>
                <w:kern w:val="24"/>
                <w:sz w:val="18"/>
                <w:szCs w:val="18"/>
              </w:rPr>
              <w:t xml:space="preserve">Subarachnoid hemorrhage                </w:t>
            </w:r>
          </w:p>
        </w:tc>
        <w:tc>
          <w:tcPr>
            <w:tcW w:w="1237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shd w:val="clear" w:color="auto" w:fill="auto"/>
            <w:tcMar>
              <w:top w:w="15" w:type="dxa"/>
              <w:left w:w="90" w:type="dxa"/>
              <w:bottom w:w="0" w:type="dxa"/>
              <w:right w:w="90" w:type="dxa"/>
            </w:tcMar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26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0</w:t>
            </w:r>
          </w:p>
        </w:tc>
        <w:tc>
          <w:tcPr>
            <w:tcW w:w="1170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  <w:tc>
          <w:tcPr>
            <w:tcW w:w="1165" w:type="dxa"/>
            <w:shd w:val="clear" w:color="auto" w:fill="auto"/>
            <w:vAlign w:val="center"/>
          </w:tcPr>
          <w:p w:rsidR="00565F7C" w:rsidRPr="00AE71A0" w:rsidRDefault="00565F7C" w:rsidP="00A652DC">
            <w:pPr>
              <w:spacing w:after="0" w:line="256" w:lineRule="auto"/>
              <w:jc w:val="center"/>
              <w:rPr>
                <w:rFonts w:ascii="Arial" w:eastAsia="Times New Roman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1 (0.2)</w:t>
            </w:r>
          </w:p>
        </w:tc>
      </w:tr>
    </w:tbl>
    <w:p w:rsidR="00565F7C" w:rsidRDefault="00565F7C" w:rsidP="00565F7C">
      <w:pPr>
        <w:spacing w:after="0" w:line="240" w:lineRule="auto"/>
        <w:rPr>
          <w:rFonts w:ascii="Arial" w:eastAsia="Tahoma" w:hAnsi="Arial" w:cs="Arial"/>
          <w:color w:val="000000"/>
          <w:kern w:val="24"/>
          <w:sz w:val="16"/>
          <w:szCs w:val="16"/>
          <w:vertAlign w:val="superscript"/>
        </w:rPr>
      </w:pPr>
    </w:p>
    <w:p w:rsidR="00565F7C" w:rsidRPr="001065E3" w:rsidRDefault="00565F7C" w:rsidP="00565F7C">
      <w:pPr>
        <w:spacing w:after="0" w:line="240" w:lineRule="auto"/>
        <w:rPr>
          <w:rFonts w:ascii="Arial" w:eastAsiaTheme="majorEastAsia" w:hAnsi="Arial" w:cstheme="majorBidi"/>
          <w:b/>
          <w:sz w:val="24"/>
          <w:szCs w:val="32"/>
        </w:rPr>
      </w:pPr>
      <w:r w:rsidRPr="00092DCF">
        <w:rPr>
          <w:rFonts w:ascii="Arial" w:eastAsia="Tahoma" w:hAnsi="Arial" w:cs="Arial"/>
          <w:color w:val="000000"/>
          <w:kern w:val="24"/>
          <w:sz w:val="16"/>
          <w:szCs w:val="16"/>
          <w:vertAlign w:val="superscript"/>
        </w:rPr>
        <w:t>a</w:t>
      </w:r>
      <w:r w:rsidRPr="00092DCF">
        <w:rPr>
          <w:rFonts w:ascii="Arial" w:eastAsia="Tahoma" w:hAnsi="Arial" w:cs="Arial"/>
          <w:color w:val="000000"/>
          <w:kern w:val="24"/>
          <w:sz w:val="16"/>
          <w:szCs w:val="16"/>
        </w:rPr>
        <w:t xml:space="preserve">Bruising and </w:t>
      </w:r>
      <w:r>
        <w:rPr>
          <w:rFonts w:ascii="Arial" w:eastAsia="Tahoma" w:hAnsi="Arial" w:cs="Arial"/>
          <w:color w:val="000000"/>
          <w:kern w:val="24"/>
          <w:sz w:val="16"/>
          <w:szCs w:val="16"/>
        </w:rPr>
        <w:t>h</w:t>
      </w:r>
      <w:r w:rsidRPr="00092DCF">
        <w:rPr>
          <w:rFonts w:ascii="Arial" w:eastAsia="Tahoma" w:hAnsi="Arial" w:cs="Arial"/>
          <w:color w:val="000000"/>
          <w:kern w:val="24"/>
          <w:sz w:val="16"/>
          <w:szCs w:val="16"/>
        </w:rPr>
        <w:t xml:space="preserve">emorrhage/hematoma </w:t>
      </w:r>
      <w:r>
        <w:rPr>
          <w:rFonts w:ascii="Arial" w:eastAsia="Tahoma" w:hAnsi="Arial" w:cs="Arial"/>
          <w:color w:val="000000"/>
          <w:kern w:val="24"/>
          <w:sz w:val="16"/>
          <w:szCs w:val="16"/>
        </w:rPr>
        <w:t>are subcategories</w:t>
      </w:r>
      <w:r w:rsidRPr="00092DCF">
        <w:rPr>
          <w:rFonts w:ascii="Arial" w:eastAsia="Tahoma" w:hAnsi="Arial" w:cs="Arial"/>
          <w:color w:val="000000"/>
          <w:kern w:val="24"/>
          <w:sz w:val="16"/>
          <w:szCs w:val="16"/>
        </w:rPr>
        <w:t xml:space="preserve"> of bleeding/bruising. </w:t>
      </w:r>
      <w:r>
        <w:rPr>
          <w:rFonts w:ascii="Arial" w:eastAsia="Tahoma" w:hAnsi="Arial" w:cs="Arial"/>
          <w:color w:val="000000"/>
          <w:kern w:val="24"/>
          <w:sz w:val="16"/>
          <w:szCs w:val="16"/>
        </w:rPr>
        <w:t>AT-E, antithrombotic exposed; AT-NE, antithrombotic non-exposed.</w:t>
      </w:r>
    </w:p>
    <w:p w:rsidR="00565F7C" w:rsidRDefault="00565F7C"/>
    <w:sectPr w:rsidR="00565F7C" w:rsidSect="00191B87">
      <w:type w:val="continuous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07D8" w:rsidRPr="0097278C" w:rsidRDefault="00565F7C" w:rsidP="0063368C">
    <w:pPr>
      <w:pStyle w:val="Footer"/>
      <w:rPr>
        <w:sz w:val="20"/>
        <w:szCs w:val="2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5F7C"/>
    <w:rsid w:val="00565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390B02"/>
  <w15:chartTrackingRefBased/>
  <w15:docId w15:val="{4EF68FCC-DBB0-49F9-B0FE-01A77AD77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65F7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565F7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5F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746</Words>
  <Characters>4254</Characters>
  <Application>Microsoft Office Word</Application>
  <DocSecurity>0</DocSecurity>
  <Lines>35</Lines>
  <Paragraphs>9</Paragraphs>
  <ScaleCrop>false</ScaleCrop>
  <Company/>
  <LinksUpToDate>false</LinksUpToDate>
  <CharactersWithSpaces>4991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Pallavi Rathore</dc:creator>
  <cp:keywords/>
  <dc:description/>
  <cp:lastModifiedBy>Pallavi Rathore</cp:lastModifiedBy>
  <cp:revision>1</cp:revision>
  <dcterms:created xsi:type="dcterms:W3CDTF">2024-09-10T13:13:00Z</dcterms:created>
  <dcterms:modified xsi:type="dcterms:W3CDTF">2024-09-10T13:14:00Z</dcterms:modified>
</cp:coreProperties>
</file>