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8FE02" w14:textId="65815B9E" w:rsidR="001E43EB" w:rsidRPr="001E43EB" w:rsidRDefault="001E43EB" w:rsidP="001E43EB">
      <w:pPr>
        <w:rPr>
          <w:rFonts w:ascii="Times New Roman" w:hAnsi="Times New Roman" w:cs="Times New Roman"/>
          <w:sz w:val="24"/>
          <w:szCs w:val="24"/>
        </w:rPr>
      </w:pPr>
      <w:r w:rsidRPr="001E43EB">
        <w:rPr>
          <w:rFonts w:ascii="Times New Roman" w:hAnsi="Times New Roman" w:cs="Times New Roman"/>
          <w:b/>
          <w:bCs/>
          <w:i/>
          <w:iCs/>
          <w:sz w:val="24"/>
          <w:szCs w:val="24"/>
        </w:rPr>
        <w:t>The Journals of Gerontology, Series B: Psychological Sciences and Social Sciences</w:t>
      </w:r>
      <w:r w:rsidRPr="002664E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E43EB">
        <w:rPr>
          <w:rFonts w:ascii="Times New Roman" w:hAnsi="Times New Roman" w:cs="Times New Roman"/>
          <w:b/>
          <w:sz w:val="24"/>
          <w:szCs w:val="24"/>
        </w:rPr>
        <w:t>Supplementary Material</w:t>
      </w:r>
      <w:r w:rsidRPr="001E43EB">
        <w:rPr>
          <w:rFonts w:ascii="Times New Roman" w:hAnsi="Times New Roman" w:cs="Times New Roman"/>
          <w:b/>
          <w:sz w:val="24"/>
          <w:szCs w:val="24"/>
        </w:rPr>
        <w:t xml:space="preserve">: Aiello et al. </w:t>
      </w:r>
      <w:r w:rsidRPr="001E43EB">
        <w:rPr>
          <w:rFonts w:ascii="Times New Roman" w:hAnsi="Times New Roman" w:cs="Times New Roman"/>
          <w:b/>
          <w:sz w:val="24"/>
          <w:szCs w:val="24"/>
        </w:rPr>
        <w:t>Food</w:t>
      </w:r>
      <w:r w:rsidRPr="00DF783C">
        <w:rPr>
          <w:rFonts w:ascii="Times New Roman" w:hAnsi="Times New Roman" w:cs="Times New Roman"/>
          <w:b/>
          <w:sz w:val="24"/>
          <w:szCs w:val="24"/>
        </w:rPr>
        <w:t xml:space="preserve"> Inhibitory control and reward responsiveness in healthy ageing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A0543E2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709EE93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Self-report Liking and wanting </w:t>
      </w:r>
      <w:r w:rsidRPr="00E251F6">
        <w:rPr>
          <w:rFonts w:ascii="Times New Roman" w:hAnsi="Times New Roman" w:cs="Times New Roman"/>
          <w:i/>
          <w:sz w:val="24"/>
          <w:szCs w:val="24"/>
        </w:rPr>
        <w:t>Bayesian analyses</w:t>
      </w:r>
    </w:p>
    <w:p w14:paraId="23123D18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When we ran the Bayesian </w:t>
      </w:r>
      <w:proofErr w:type="spellStart"/>
      <w:r>
        <w:rPr>
          <w:rFonts w:ascii="Times New Roman" w:hAnsi="Times New Roman" w:cs="Times New Roman"/>
          <w:sz w:val="24"/>
          <w:szCs w:val="24"/>
        </w:rPr>
        <w:t>Ancova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we observed that for liking high-calorie (HC) and low-calorie (LC) foods, </w:t>
      </w:r>
      <w:r w:rsidRPr="00DA763A">
        <w:rPr>
          <w:rFonts w:ascii="Times New Roman" w:hAnsi="Times New Roman" w:cs="Times New Roman"/>
          <w:sz w:val="24"/>
          <w:szCs w:val="24"/>
        </w:rPr>
        <w:t>there was more evidence for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63A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group</w:t>
      </w:r>
      <w:r w:rsidRPr="00DA763A">
        <w:rPr>
          <w:rFonts w:ascii="Times New Roman" w:hAnsi="Times New Roman" w:cs="Times New Roman"/>
          <w:sz w:val="24"/>
          <w:szCs w:val="24"/>
        </w:rPr>
        <w:t>” model than for the</w:t>
      </w:r>
      <w:r>
        <w:rPr>
          <w:rFonts w:ascii="Times New Roman" w:hAnsi="Times New Roman" w:cs="Times New Roman"/>
          <w:sz w:val="24"/>
          <w:szCs w:val="24"/>
        </w:rPr>
        <w:t xml:space="preserve"> “</w:t>
      </w:r>
      <w:r w:rsidRPr="00DA763A">
        <w:rPr>
          <w:rFonts w:ascii="Times New Roman" w:hAnsi="Times New Roman" w:cs="Times New Roman"/>
          <w:sz w:val="24"/>
          <w:szCs w:val="24"/>
        </w:rPr>
        <w:t>null model</w:t>
      </w:r>
      <w:r>
        <w:rPr>
          <w:rFonts w:ascii="Times New Roman" w:hAnsi="Times New Roman" w:cs="Times New Roman"/>
          <w:sz w:val="24"/>
          <w:szCs w:val="24"/>
        </w:rPr>
        <w:t xml:space="preserve">” (including the covariate), with Bayes </w:t>
      </w:r>
      <w:r w:rsidRPr="00DA763A">
        <w:rPr>
          <w:rFonts w:ascii="Times New Roman" w:hAnsi="Times New Roman" w:cs="Times New Roman"/>
          <w:sz w:val="24"/>
          <w:szCs w:val="24"/>
        </w:rPr>
        <w:t xml:space="preserve">factors (BF10) of </w:t>
      </w:r>
      <w:r>
        <w:rPr>
          <w:rFonts w:ascii="Times New Roman" w:hAnsi="Times New Roman" w:cs="Times New Roman"/>
          <w:sz w:val="24"/>
          <w:szCs w:val="24"/>
        </w:rPr>
        <w:t>198601.8</w:t>
      </w:r>
      <w:r w:rsidRPr="00DA763A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HC</w:t>
      </w:r>
      <w:r w:rsidRPr="00DA763A">
        <w:rPr>
          <w:rFonts w:ascii="Times New Roman" w:hAnsi="Times New Roman" w:cs="Times New Roman"/>
          <w:sz w:val="24"/>
          <w:szCs w:val="24"/>
        </w:rPr>
        <w:t xml:space="preserve">) and </w:t>
      </w:r>
      <w:r>
        <w:rPr>
          <w:rFonts w:ascii="Times New Roman" w:hAnsi="Times New Roman" w:cs="Times New Roman"/>
          <w:sz w:val="24"/>
          <w:szCs w:val="24"/>
        </w:rPr>
        <w:t>15380.9</w:t>
      </w:r>
      <w:r w:rsidRPr="00DA763A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LC), suggesting </w:t>
      </w:r>
      <w:r w:rsidRPr="00DA763A">
        <w:rPr>
          <w:rFonts w:ascii="Times New Roman" w:hAnsi="Times New Roman" w:cs="Times New Roman"/>
          <w:sz w:val="24"/>
          <w:szCs w:val="24"/>
        </w:rPr>
        <w:t xml:space="preserve">that the data under the </w:t>
      </w:r>
      <w:r>
        <w:rPr>
          <w:rFonts w:ascii="Times New Roman" w:hAnsi="Times New Roman" w:cs="Times New Roman"/>
          <w:sz w:val="24"/>
          <w:szCs w:val="24"/>
        </w:rPr>
        <w:t xml:space="preserve">group model is more plausible than </w:t>
      </w:r>
      <w:r w:rsidRPr="00DA763A">
        <w:rPr>
          <w:rFonts w:ascii="Times New Roman" w:hAnsi="Times New Roman" w:cs="Times New Roman"/>
          <w:sz w:val="24"/>
          <w:szCs w:val="24"/>
        </w:rPr>
        <w:t xml:space="preserve">under the </w:t>
      </w:r>
      <w:r>
        <w:rPr>
          <w:rFonts w:ascii="Times New Roman" w:hAnsi="Times New Roman" w:cs="Times New Roman"/>
          <w:sz w:val="24"/>
          <w:szCs w:val="24"/>
        </w:rPr>
        <w:t xml:space="preserve">null </w:t>
      </w:r>
      <w:r w:rsidRPr="00DA763A">
        <w:rPr>
          <w:rFonts w:ascii="Times New Roman" w:hAnsi="Times New Roman" w:cs="Times New Roman"/>
          <w:sz w:val="24"/>
          <w:szCs w:val="24"/>
        </w:rPr>
        <w:t>model.</w:t>
      </w:r>
      <w:r>
        <w:rPr>
          <w:rFonts w:ascii="Times New Roman" w:hAnsi="Times New Roman" w:cs="Times New Roman"/>
          <w:sz w:val="24"/>
          <w:szCs w:val="24"/>
        </w:rPr>
        <w:t xml:space="preserve"> Similarly, for wanting HC and LC foods,</w:t>
      </w:r>
      <w:r w:rsidRPr="00632918">
        <w:t xml:space="preserve"> </w:t>
      </w:r>
      <w:r w:rsidRPr="00632918">
        <w:rPr>
          <w:rFonts w:ascii="Times New Roman" w:hAnsi="Times New Roman" w:cs="Times New Roman"/>
          <w:sz w:val="24"/>
          <w:szCs w:val="24"/>
        </w:rPr>
        <w:t>there was more evidence for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2918">
        <w:rPr>
          <w:rFonts w:ascii="Times New Roman" w:hAnsi="Times New Roman" w:cs="Times New Roman"/>
          <w:sz w:val="24"/>
          <w:szCs w:val="24"/>
        </w:rPr>
        <w:t xml:space="preserve">“group” model than for the null model, with Bayes factors (BF10) of </w:t>
      </w:r>
      <w:r>
        <w:rPr>
          <w:rFonts w:ascii="Times New Roman" w:hAnsi="Times New Roman" w:cs="Times New Roman"/>
          <w:sz w:val="24"/>
          <w:szCs w:val="24"/>
        </w:rPr>
        <w:t>2039e+8</w:t>
      </w:r>
      <w:r w:rsidRPr="00632918">
        <w:rPr>
          <w:rFonts w:ascii="Times New Roman" w:hAnsi="Times New Roman" w:cs="Times New Roman"/>
          <w:sz w:val="24"/>
          <w:szCs w:val="24"/>
        </w:rPr>
        <w:t xml:space="preserve"> (HC) and </w:t>
      </w:r>
      <w:r>
        <w:rPr>
          <w:rFonts w:ascii="Times New Roman" w:hAnsi="Times New Roman" w:cs="Times New Roman"/>
          <w:sz w:val="24"/>
          <w:szCs w:val="24"/>
        </w:rPr>
        <w:t>64772.73</w:t>
      </w:r>
      <w:r w:rsidRPr="00632918">
        <w:rPr>
          <w:rFonts w:ascii="Times New Roman" w:hAnsi="Times New Roman" w:cs="Times New Roman"/>
          <w:sz w:val="24"/>
          <w:szCs w:val="24"/>
        </w:rPr>
        <w:t xml:space="preserve"> (LC), suggesting that the data under the group model is more plausible than under the null model.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BE8455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E776B6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Self-report perceived healthiness </w:t>
      </w:r>
    </w:p>
    <w:p w14:paraId="2AC2090C" w14:textId="77777777" w:rsidR="001E43EB" w:rsidRPr="00E251F6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difference emerged in perceived healthiness for high-calorie foods between older adults and young adults (U=1187.5, Z=1.20, </w:t>
      </w:r>
      <w:r w:rsidRPr="00E251F6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=.23). O</w:t>
      </w:r>
      <w:r w:rsidRPr="009A7EEA">
        <w:rPr>
          <w:rFonts w:ascii="Times New Roman" w:hAnsi="Times New Roman" w:cs="Times New Roman"/>
          <w:sz w:val="24"/>
          <w:szCs w:val="24"/>
        </w:rPr>
        <w:t>lder adults rated low-calorie food healthier than young adults did</w:t>
      </w:r>
      <w:r>
        <w:rPr>
          <w:rFonts w:ascii="Times New Roman" w:hAnsi="Times New Roman" w:cs="Times New Roman"/>
          <w:sz w:val="24"/>
          <w:szCs w:val="24"/>
        </w:rPr>
        <w:t xml:space="preserve"> (U=934</w:t>
      </w:r>
      <w:r w:rsidRPr="009A7EEA">
        <w:rPr>
          <w:rFonts w:ascii="Times New Roman" w:hAnsi="Times New Roman" w:cs="Times New Roman"/>
          <w:sz w:val="24"/>
          <w:szCs w:val="24"/>
        </w:rPr>
        <w:t>.5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A7EEA">
        <w:rPr>
          <w:rFonts w:ascii="Times New Roman" w:hAnsi="Times New Roman" w:cs="Times New Roman"/>
          <w:sz w:val="24"/>
          <w:szCs w:val="24"/>
        </w:rPr>
        <w:t xml:space="preserve"> Z=</w:t>
      </w:r>
      <w:r>
        <w:rPr>
          <w:rFonts w:ascii="Times New Roman" w:hAnsi="Times New Roman" w:cs="Times New Roman"/>
          <w:sz w:val="24"/>
          <w:szCs w:val="24"/>
        </w:rPr>
        <w:t>-2.82,</w:t>
      </w:r>
      <w:r w:rsidRPr="009A7EEA">
        <w:rPr>
          <w:rFonts w:ascii="Times New Roman" w:hAnsi="Times New Roman" w:cs="Times New Roman"/>
          <w:sz w:val="24"/>
          <w:szCs w:val="24"/>
        </w:rPr>
        <w:t xml:space="preserve"> </w:t>
      </w:r>
      <w:r w:rsidRPr="009A7EEA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=.004</w:t>
      </w:r>
      <w:r w:rsidRPr="009A7EE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E1DE88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4230B0F" w14:textId="77777777" w:rsidR="001E43EB" w:rsidRPr="00431B39" w:rsidRDefault="001E43EB" w:rsidP="001E43EB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31B39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 Table 1</w:t>
      </w:r>
    </w:p>
    <w:tbl>
      <w:tblPr>
        <w:tblpPr w:leftFromText="180" w:rightFromText="180" w:vertAnchor="text" w:horzAnchor="margin" w:tblpY="229"/>
        <w:tblW w:w="886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60"/>
        <w:gridCol w:w="47"/>
        <w:gridCol w:w="530"/>
        <w:gridCol w:w="50"/>
        <w:gridCol w:w="1060"/>
        <w:gridCol w:w="177"/>
        <w:gridCol w:w="1222"/>
        <w:gridCol w:w="96"/>
        <w:gridCol w:w="1485"/>
        <w:gridCol w:w="120"/>
        <w:gridCol w:w="1572"/>
        <w:gridCol w:w="23"/>
        <w:gridCol w:w="23"/>
      </w:tblGrid>
      <w:tr w:rsidR="001E43EB" w:rsidRPr="00E9022A" w14:paraId="620EC3D1" w14:textId="77777777" w:rsidTr="00047A8B">
        <w:trPr>
          <w:trHeight w:val="20"/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6F6BF77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  </w:t>
            </w:r>
          </w:p>
        </w:tc>
        <w:tc>
          <w:tcPr>
            <w:tcW w:w="53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1C01993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  </w:t>
            </w:r>
          </w:p>
        </w:tc>
        <w:tc>
          <w:tcPr>
            <w:tcW w:w="1287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045F14D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Liking HC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4EB04C3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Liking LC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5C696D7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Wanting HC 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14:paraId="539A507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  <w:t xml:space="preserve">Wanting LC </w:t>
            </w:r>
          </w:p>
        </w:tc>
      </w:tr>
      <w:tr w:rsidR="001E43EB" w:rsidRPr="00E9022A" w14:paraId="473913F3" w14:textId="77777777" w:rsidTr="00047A8B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B252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Old Adults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D4F8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F048A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201671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9DCD8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6A249C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0B3BDA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040977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BEA07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DF98B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DB0BA9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5B14C8" w14:textId="77777777" w:rsidR="001E43EB" w:rsidRPr="00E9022A" w:rsidRDefault="001E43EB" w:rsidP="00047A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22D8470F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BF1C34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BMI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A9E94F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683D42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030AB5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BE93A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33359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C16C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23D01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F250D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-.053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13AC6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C8FD7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-.112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B1DF8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269D327D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AD334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F55A0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8C1DE7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 xml:space="preserve">p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6412D0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32A4F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F00ED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76506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77AB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CF0D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040E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66746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.415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8C336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623AA4A1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A6BC19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Hunger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B115A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2596B7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3CF56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05DC7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.429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E7092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582F0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103EF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4C380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.427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0EA05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A6E2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.376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D1B5D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3120CE1E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CAA5AA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4265F1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4D99B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0E6F59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D284F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3FD8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62F3C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2FB05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C4A7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1FA7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C39B4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.005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27BA4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1DAEA9C5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01676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Hours from last meal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BA843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6FC3B2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B34BA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6ACE5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79C22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1B46D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7A523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B00DB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0A6C1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E15C9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.141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9C31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6E9881BE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B39E91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6FCC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ABA7BE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4F1B3D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4A65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FE0D6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55124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B93F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58914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CAE24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57BD8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.310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0F721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14829DE0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B6485D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BDI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02F8D1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104C75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51F8E0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C5711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9005F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41148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BCF29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B3F84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49A1F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6CA6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.034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1FDD8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392ECD1F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EF4A54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035BF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EB2E41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5A373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4733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.985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C5276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8652A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.729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1D59C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0B3A2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C3EAB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0FB5C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.810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BCC06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675BCD18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7FE897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MOCA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0AC9E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EFEBE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3A8A4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D7EC4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-.270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90776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40630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-.302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241CD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737CE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8AD1F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54E0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-.339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AFABB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79736C75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7F958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8586D3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22F0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 xml:space="preserve">p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2332B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5CF35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F0232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8255A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1BEAF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12BC2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C938F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9BB59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.011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931AA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459FD4FB" w14:textId="77777777" w:rsidTr="00047A8B">
        <w:trPr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14D065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Age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8B915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306CC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8C4A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DD475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05793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0812D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C69B9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4CBF02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489BE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9291A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.081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EAF40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2BA44341" w14:textId="77777777" w:rsidTr="00047A8B">
        <w:trPr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A7C86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7E44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0CD865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 xml:space="preserve">p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D696C7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62FBF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697BA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BAEEE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CA16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7A070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6C5A02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C5B69F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.556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FBDEE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5E1D7C17" w14:textId="77777777" w:rsidTr="00047A8B">
        <w:trPr>
          <w:gridAfter w:val="1"/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B4D294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i/>
                <w:lang w:eastAsia="en-GB"/>
              </w:rPr>
              <w:t>Young Adults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F59EC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98AA0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7F871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2B222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38AD3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59581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96418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5CAE9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2827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3DE22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1E43EB" w:rsidRPr="00E9022A" w14:paraId="75B56DB7" w14:textId="77777777" w:rsidTr="00047A8B">
        <w:trPr>
          <w:gridAfter w:val="1"/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E71F9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BMI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D71B5A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410085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BDCA5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07D47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6E3B1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DE7A4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-.171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05350E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D1365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1DD8A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0C8775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-.188</w:t>
            </w:r>
          </w:p>
        </w:tc>
      </w:tr>
      <w:tr w:rsidR="001E43EB" w:rsidRPr="00E9022A" w14:paraId="4B372954" w14:textId="77777777" w:rsidTr="00047A8B">
        <w:trPr>
          <w:gridAfter w:val="1"/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3EF9FE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9707F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2D8F34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DB9A47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BA6E3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22CDF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4F12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E4061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C963B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02398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6664D6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.189</w:t>
            </w:r>
          </w:p>
        </w:tc>
      </w:tr>
      <w:tr w:rsidR="001E43EB" w:rsidRPr="00E9022A" w14:paraId="6611AE8F" w14:textId="77777777" w:rsidTr="00047A8B">
        <w:trPr>
          <w:gridAfter w:val="1"/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394F37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Hunger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A0A057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33D54B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4DC0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D59EB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375FE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67C17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5DF2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FF9F3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8C8B20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C22BA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.202</w:t>
            </w:r>
          </w:p>
        </w:tc>
      </w:tr>
      <w:tr w:rsidR="001E43EB" w:rsidRPr="00E9022A" w14:paraId="1AFED4BC" w14:textId="77777777" w:rsidTr="00047A8B">
        <w:trPr>
          <w:gridAfter w:val="1"/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29EAE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6E6749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D087A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BB0990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6A999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937CF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CF4DA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BA3E17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ECCB9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4BA53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0E19C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.158</w:t>
            </w:r>
          </w:p>
        </w:tc>
      </w:tr>
      <w:tr w:rsidR="001E43EB" w:rsidRPr="00E9022A" w14:paraId="425CC775" w14:textId="77777777" w:rsidTr="00047A8B">
        <w:trPr>
          <w:gridAfter w:val="1"/>
          <w:trHeight w:val="2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33FF0C" w14:textId="77777777" w:rsidR="001E43EB" w:rsidRPr="008E5400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en-GB"/>
              </w:rPr>
            </w:pPr>
            <w:r w:rsidRPr="008E5400">
              <w:rPr>
                <w:rFonts w:ascii="Times New Roman" w:eastAsia="Times New Roman" w:hAnsi="Times New Roman" w:cs="Times New Roman"/>
                <w:bCs/>
                <w:lang w:eastAsia="en-GB"/>
              </w:rPr>
              <w:t xml:space="preserve">Hours from last meal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CC458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942189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 xml:space="preserve">rho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D76846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C827A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65D4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545EC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C5D6A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C8D25D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.302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AD96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B33749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.212</w:t>
            </w:r>
          </w:p>
        </w:tc>
      </w:tr>
      <w:tr w:rsidR="001E43EB" w:rsidRPr="00E9022A" w14:paraId="35B1CFEC" w14:textId="77777777" w:rsidTr="00047A8B">
        <w:trPr>
          <w:gridAfter w:val="1"/>
          <w:trHeight w:val="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CA878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B8030D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59BC26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i/>
                <w:lang w:eastAsia="en-GB"/>
              </w:rPr>
              <w:t>p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3E102" w14:textId="77777777" w:rsidR="001E43EB" w:rsidRPr="00E9022A" w:rsidRDefault="001E43EB" w:rsidP="00047A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2BF673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9A62C2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B832C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73E888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AC7011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53FAAB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43854" w14:textId="77777777" w:rsidR="001E43EB" w:rsidRPr="00E9022A" w:rsidRDefault="001E43EB" w:rsidP="00047A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E9022A">
              <w:rPr>
                <w:rFonts w:ascii="Times New Roman" w:eastAsia="Times New Roman" w:hAnsi="Times New Roman" w:cs="Times New Roman"/>
                <w:lang w:eastAsia="en-GB"/>
              </w:rPr>
              <w:t>.102</w:t>
            </w:r>
          </w:p>
        </w:tc>
      </w:tr>
    </w:tbl>
    <w:p w14:paraId="01826FAC" w14:textId="77777777" w:rsidR="001E43EB" w:rsidRDefault="001E43EB" w:rsidP="001E43EB"/>
    <w:p w14:paraId="0402D249" w14:textId="77777777" w:rsidR="001E43EB" w:rsidRPr="00231ABA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31ABA">
        <w:rPr>
          <w:rFonts w:ascii="Times New Roman" w:hAnsi="Times New Roman" w:cs="Times New Roman"/>
          <w:i/>
          <w:sz w:val="24"/>
          <w:szCs w:val="24"/>
        </w:rPr>
        <w:t>Affective priming task</w:t>
      </w:r>
    </w:p>
    <w:p w14:paraId="7B49E1DB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Older adults</w:t>
      </w:r>
      <w:r w:rsidRPr="00DA6A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young adults </w:t>
      </w:r>
      <w:r w:rsidRPr="00DA6AF6">
        <w:rPr>
          <w:rFonts w:ascii="Times New Roman" w:hAnsi="Times New Roman" w:cs="Times New Roman"/>
          <w:sz w:val="24"/>
          <w:szCs w:val="24"/>
        </w:rPr>
        <w:t>did not differ on affective priming sco</w:t>
      </w:r>
      <w:r>
        <w:rPr>
          <w:rFonts w:ascii="Times New Roman" w:hAnsi="Times New Roman" w:cs="Times New Roman"/>
          <w:sz w:val="24"/>
          <w:szCs w:val="24"/>
        </w:rPr>
        <w:t xml:space="preserve">res associated </w:t>
      </w:r>
      <w:r w:rsidRPr="00DA6AF6">
        <w:rPr>
          <w:rFonts w:ascii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hAnsi="Times New Roman" w:cs="Times New Roman"/>
          <w:sz w:val="24"/>
          <w:szCs w:val="24"/>
        </w:rPr>
        <w:t>high-calorie</w:t>
      </w:r>
      <w:r w:rsidRPr="00DA6AF6">
        <w:rPr>
          <w:rFonts w:ascii="Times New Roman" w:hAnsi="Times New Roman" w:cs="Times New Roman"/>
          <w:sz w:val="24"/>
          <w:szCs w:val="24"/>
        </w:rPr>
        <w:t xml:space="preserve"> foods </w:t>
      </w:r>
      <w:r>
        <w:rPr>
          <w:rFonts w:ascii="Times New Roman" w:hAnsi="Times New Roman" w:cs="Times New Roman"/>
          <w:sz w:val="24"/>
          <w:szCs w:val="24"/>
        </w:rPr>
        <w:t xml:space="preserve">(U = 1143, Z = -1.02, </w:t>
      </w:r>
      <w:r w:rsidRPr="00482DFE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.30) and low-calorie foods (U = 1250, Z = 0.31, </w:t>
      </w:r>
      <w:r w:rsidRPr="007C7349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.75). No differences between priming scores for HC and LC foods emerged in both older adults (</w:t>
      </w:r>
      <w:r w:rsidRPr="0052666C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.45) and young adults (</w:t>
      </w:r>
      <w:r w:rsidRPr="0052666C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.25). </w:t>
      </w:r>
    </w:p>
    <w:p w14:paraId="5C6A81C1" w14:textId="77777777" w:rsidR="001E43EB" w:rsidRDefault="001E43EB" w:rsidP="001E43EB"/>
    <w:p w14:paraId="7D00B8FA" w14:textId="77777777" w:rsidR="001E43EB" w:rsidRDefault="001E43EB" w:rsidP="001E43EB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2F04">
        <w:rPr>
          <w:rFonts w:ascii="Times New Roman" w:hAnsi="Times New Roman" w:cs="Times New Roman"/>
          <w:i/>
          <w:sz w:val="24"/>
          <w:szCs w:val="24"/>
        </w:rPr>
        <w:t>Go/</w:t>
      </w:r>
      <w:r>
        <w:rPr>
          <w:rFonts w:ascii="Times New Roman" w:hAnsi="Times New Roman" w:cs="Times New Roman"/>
          <w:i/>
          <w:sz w:val="24"/>
          <w:szCs w:val="24"/>
        </w:rPr>
        <w:t>No-Go</w:t>
      </w:r>
      <w:r w:rsidRPr="00252F04">
        <w:rPr>
          <w:rFonts w:ascii="Times New Roman" w:hAnsi="Times New Roman" w:cs="Times New Roman"/>
          <w:i/>
          <w:sz w:val="24"/>
          <w:szCs w:val="24"/>
        </w:rPr>
        <w:t xml:space="preserve"> task</w:t>
      </w:r>
    </w:p>
    <w:p w14:paraId="1FC5564B" w14:textId="77777777" w:rsidR="001E43EB" w:rsidRDefault="001E43EB" w:rsidP="001E43EB">
      <w:pPr>
        <w:spacing w:after="0" w:line="480" w:lineRule="auto"/>
      </w:pPr>
      <w:r w:rsidRPr="001E5BB5">
        <w:rPr>
          <w:rFonts w:ascii="Times New Roman" w:hAnsi="Times New Roman" w:cs="Times New Roman"/>
          <w:sz w:val="24"/>
          <w:szCs w:val="24"/>
        </w:rPr>
        <w:t>No differences between groups emerged</w:t>
      </w:r>
      <w:r>
        <w:rPr>
          <w:rFonts w:ascii="Times New Roman" w:hAnsi="Times New Roman" w:cs="Times New Roman"/>
          <w:sz w:val="24"/>
          <w:szCs w:val="24"/>
        </w:rPr>
        <w:t xml:space="preserve"> when considering false alarms for food (U = 1218, Z = -.86,</w:t>
      </w:r>
      <w:r w:rsidRPr="001E5BB5">
        <w:rPr>
          <w:rFonts w:ascii="Times New Roman" w:hAnsi="Times New Roman" w:cs="Times New Roman"/>
          <w:sz w:val="24"/>
          <w:szCs w:val="24"/>
        </w:rPr>
        <w:t xml:space="preserve"> </w:t>
      </w:r>
      <w:r w:rsidRPr="001E5BB5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.4) and for non-food (U = 1218, Z = -.86,</w:t>
      </w:r>
      <w:r w:rsidRPr="001E5BB5">
        <w:rPr>
          <w:rFonts w:ascii="Times New Roman" w:hAnsi="Times New Roman" w:cs="Times New Roman"/>
          <w:sz w:val="24"/>
          <w:szCs w:val="24"/>
        </w:rPr>
        <w:t xml:space="preserve"> </w:t>
      </w:r>
      <w:r w:rsidRPr="001E5BB5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.4). No difference in omission for non-food stimuli emerged between groups</w:t>
      </w:r>
      <w:r w:rsidRPr="001E5B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(U=1091</w:t>
      </w:r>
      <w:r w:rsidRPr="001E5BB5">
        <w:rPr>
          <w:rFonts w:ascii="Times New Roman" w:hAnsi="Times New Roman" w:cs="Times New Roman"/>
          <w:sz w:val="24"/>
          <w:szCs w:val="24"/>
        </w:rPr>
        <w:t>,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5BB5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>1.68 -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Pr="001E5B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5BB5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.09</w:t>
      </w:r>
      <w:r w:rsidRPr="001E5BB5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708C3E4E" w14:textId="77777777" w:rsidR="001E43EB" w:rsidRPr="00DF783C" w:rsidRDefault="001E43EB" w:rsidP="001E43E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29E169" w14:textId="77777777" w:rsidR="00115443" w:rsidRDefault="00115443"/>
    <w:sectPr w:rsidR="00115443" w:rsidSect="001E43EB">
      <w:footerReference w:type="default" r:id="rId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1465646"/>
      <w:docPartObj>
        <w:docPartGallery w:val="Page Numbers (Bottom of Page)"/>
        <w:docPartUnique/>
      </w:docPartObj>
    </w:sdtPr>
    <w:sdtContent>
      <w:p w14:paraId="4F3F25FA" w14:textId="77777777" w:rsidR="00000000" w:rsidRDefault="00000000">
        <w:pPr>
          <w:pStyle w:val="Footer"/>
          <w:jc w:val="center"/>
        </w:pPr>
        <w:r>
          <w:fldChar w:fldCharType="begin"/>
        </w:r>
        <w:r>
          <w:instrText xml:space="preserve">PAGE   </w:instrText>
        </w:r>
        <w:r>
          <w:instrText>\* MERGEFORMAT</w:instrText>
        </w:r>
        <w:r>
          <w:fldChar w:fldCharType="separate"/>
        </w:r>
        <w:r w:rsidRPr="00502E4F">
          <w:rPr>
            <w:noProof/>
            <w:lang w:val="it-IT"/>
          </w:rPr>
          <w:t>1</w:t>
        </w:r>
        <w:r>
          <w:fldChar w:fldCharType="end"/>
        </w:r>
      </w:p>
    </w:sdtContent>
  </w:sdt>
  <w:p w14:paraId="44A0DA89" w14:textId="77777777" w:rsidR="00000000" w:rsidRDefault="00000000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A1MLc0MzC1MDQxNLBQ0lEKTi0uzszPAykwrAUANUK7viwAAAA="/>
  </w:docVars>
  <w:rsids>
    <w:rsidRoot w:val="001E43EB"/>
    <w:rsid w:val="00115443"/>
    <w:rsid w:val="001E43EB"/>
    <w:rsid w:val="002607F3"/>
    <w:rsid w:val="00431B39"/>
    <w:rsid w:val="004B1CB9"/>
    <w:rsid w:val="00795F54"/>
    <w:rsid w:val="00981195"/>
    <w:rsid w:val="00990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9DBC1C"/>
  <w15:chartTrackingRefBased/>
  <w15:docId w15:val="{111D8CA1-B8AF-4244-99A6-D2C11EE25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3EB"/>
    <w:pPr>
      <w:spacing w:line="259" w:lineRule="auto"/>
    </w:pPr>
    <w:rPr>
      <w:kern w:val="0"/>
      <w:sz w:val="22"/>
      <w:szCs w:val="22"/>
      <w:lang w:val="en-GB"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E43E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ko-KR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E43E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ko-KR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43E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US" w:eastAsia="ko-KR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43E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val="en-US" w:eastAsia="ko-KR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43E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val="en-US" w:eastAsia="ko-KR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43E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en-US" w:eastAsia="ko-KR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43E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val="en-US" w:eastAsia="ko-KR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43E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val="en-US" w:eastAsia="ko-KR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43E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val="en-US" w:eastAsia="ko-KR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43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E43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43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43E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43E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43E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43E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43E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43E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43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ko-KR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E43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43E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 w:eastAsia="ko-KR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E43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43EB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:lang w:val="en-US" w:eastAsia="ko-KR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E43E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43EB"/>
    <w:pPr>
      <w:spacing w:line="278" w:lineRule="auto"/>
      <w:ind w:left="720"/>
      <w:contextualSpacing/>
    </w:pPr>
    <w:rPr>
      <w:kern w:val="2"/>
      <w:sz w:val="24"/>
      <w:szCs w:val="24"/>
      <w:lang w:val="en-US" w:eastAsia="ko-KR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E43E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43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:lang w:val="en-US" w:eastAsia="ko-KR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43E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43EB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1E43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43EB"/>
    <w:rPr>
      <w:kern w:val="0"/>
      <w:sz w:val="22"/>
      <w:szCs w:val="22"/>
      <w:lang w:val="en-GB"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440</Words>
  <Characters>2086</Characters>
  <Application>Microsoft Office Word</Application>
  <DocSecurity>0</DocSecurity>
  <Lines>298</Lines>
  <Paragraphs>148</Paragraphs>
  <ScaleCrop>false</ScaleCrop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Jung</dc:creator>
  <cp:keywords/>
  <dc:description/>
  <cp:lastModifiedBy>Karen Jung</cp:lastModifiedBy>
  <cp:revision>2</cp:revision>
  <dcterms:created xsi:type="dcterms:W3CDTF">2025-04-30T17:32:00Z</dcterms:created>
  <dcterms:modified xsi:type="dcterms:W3CDTF">2025-04-30T17:42:00Z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9a520692-5fbc-417f-b29a-121bb0e40f0f</vt:lpwstr>
  </property>
</Properties>
</file>