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4B112" w14:textId="3B426A5D" w:rsidR="00E972C2" w:rsidRPr="004568F8" w:rsidRDefault="00E972C2" w:rsidP="00E972C2">
      <w:pPr>
        <w:pStyle w:val="Title"/>
        <w:rPr>
          <w:rFonts w:ascii="Arial" w:eastAsia="Arial" w:hAnsi="Arial" w:cs="Arial"/>
        </w:rPr>
      </w:pPr>
      <w:r w:rsidRPr="004568F8">
        <w:rPr>
          <w:rFonts w:ascii="Arial" w:eastAsia="Arial" w:hAnsi="Arial" w:cs="Arial"/>
        </w:rPr>
        <w:t xml:space="preserve">Supplementary </w:t>
      </w:r>
      <w:r w:rsidRPr="004568F8">
        <w:rPr>
          <w:rFonts w:ascii="Arial" w:eastAsia="Arial" w:hAnsi="Arial" w:cs="Arial"/>
        </w:rPr>
        <w:t>Methods</w:t>
      </w:r>
    </w:p>
    <w:p w14:paraId="0829DE7A" w14:textId="77777777" w:rsidR="00E972C2" w:rsidRPr="004568F8" w:rsidRDefault="00E972C2" w:rsidP="00E972C2">
      <w:pPr>
        <w:pStyle w:val="Subtitle"/>
        <w:rPr>
          <w:rFonts w:ascii="Arial" w:eastAsia="Arial" w:hAnsi="Arial" w:cs="Arial"/>
          <w:color w:val="auto"/>
        </w:rPr>
      </w:pPr>
      <w:r w:rsidRPr="004568F8">
        <w:rPr>
          <w:rFonts w:ascii="Arial" w:eastAsia="Arial" w:hAnsi="Arial" w:cs="Arial"/>
          <w:color w:val="auto"/>
        </w:rPr>
        <w:t xml:space="preserve">Exploring the use of wild cereals at </w:t>
      </w:r>
      <w:proofErr w:type="spellStart"/>
      <w:r w:rsidRPr="004568F8">
        <w:rPr>
          <w:rFonts w:ascii="Arial" w:eastAsia="Arial" w:hAnsi="Arial" w:cs="Arial"/>
          <w:color w:val="auto"/>
        </w:rPr>
        <w:t>Takarkori</w:t>
      </w:r>
      <w:proofErr w:type="spellEnd"/>
      <w:r w:rsidRPr="004568F8">
        <w:rPr>
          <w:rFonts w:ascii="Arial" w:eastAsia="Arial" w:hAnsi="Arial" w:cs="Arial"/>
          <w:color w:val="auto"/>
        </w:rPr>
        <w:t xml:space="preserve"> (Central Sahara, southwestern Libya) through stable carbon and nitrogen isotope analysis of prehistoric desiccated seeds</w:t>
      </w:r>
    </w:p>
    <w:p w14:paraId="49092BCB" w14:textId="5BCDE90C" w:rsidR="00E972C2" w:rsidRPr="004568F8" w:rsidRDefault="00E972C2" w:rsidP="004568F8">
      <w:pPr>
        <w:pStyle w:val="Heading1"/>
        <w:rPr>
          <w:rFonts w:ascii="Arial" w:hAnsi="Arial" w:cs="Arial"/>
          <w:color w:val="auto"/>
        </w:rPr>
      </w:pPr>
      <w:r w:rsidRPr="004568F8">
        <w:rPr>
          <w:rFonts w:ascii="Arial" w:hAnsi="Arial" w:cs="Arial"/>
          <w:color w:val="auto"/>
        </w:rPr>
        <w:t>Carbon and nitrogen stable isotope analysis</w:t>
      </w:r>
    </w:p>
    <w:p w14:paraId="56D8EB22" w14:textId="2CF3B61D" w:rsidR="00E972C2" w:rsidRPr="004568F8" w:rsidRDefault="00E972C2" w:rsidP="00E972C2">
      <w:pPr>
        <w:spacing w:before="240" w:after="240" w:line="360" w:lineRule="auto"/>
        <w:rPr>
          <w:rFonts w:ascii="Arial" w:hAnsi="Arial" w:cs="Arial"/>
        </w:rPr>
      </w:pPr>
      <w:r w:rsidRPr="004568F8">
        <w:rPr>
          <w:rFonts w:ascii="Arial" w:hAnsi="Arial" w:cs="Arial"/>
        </w:rPr>
        <w:t xml:space="preserve">Seeds were treated following </w:t>
      </w:r>
      <w:r w:rsidRPr="004568F8">
        <w:rPr>
          <w:rFonts w:ascii="Arial" w:hAnsi="Arial" w:cs="Arial"/>
        </w:rPr>
        <w:t xml:space="preserve">an acid-base-acid (ABA) modified protocol based on </w:t>
      </w:r>
      <w:hyperlink r:id="rId4">
        <w:r w:rsidRPr="004568F8">
          <w:rPr>
            <w:rFonts w:ascii="Arial" w:hAnsi="Arial" w:cs="Arial"/>
          </w:rPr>
          <w:t>Fraser et al. (2013)</w:t>
        </w:r>
      </w:hyperlink>
      <w:r w:rsidRPr="004568F8">
        <w:rPr>
          <w:rFonts w:ascii="Arial" w:hAnsi="Arial" w:cs="Arial"/>
        </w:rPr>
        <w:t xml:space="preserve"> and </w:t>
      </w:r>
      <w:hyperlink r:id="rId5">
        <w:proofErr w:type="spellStart"/>
        <w:r w:rsidRPr="004568F8">
          <w:rPr>
            <w:rFonts w:ascii="Arial" w:hAnsi="Arial" w:cs="Arial"/>
          </w:rPr>
          <w:t>Vaiglova</w:t>
        </w:r>
        <w:proofErr w:type="spellEnd"/>
        <w:r w:rsidRPr="004568F8">
          <w:rPr>
            <w:rFonts w:ascii="Arial" w:hAnsi="Arial" w:cs="Arial"/>
          </w:rPr>
          <w:t xml:space="preserve"> et al. (2014b)</w:t>
        </w:r>
      </w:hyperlink>
      <w:r w:rsidRPr="004568F8">
        <w:rPr>
          <w:rFonts w:ascii="Arial" w:hAnsi="Arial" w:cs="Arial"/>
        </w:rPr>
        <w:t xml:space="preserve">. </w:t>
      </w:r>
      <w:r w:rsidRPr="004568F8">
        <w:rPr>
          <w:rFonts w:ascii="Arial" w:hAnsi="Arial" w:cs="Arial"/>
        </w:rPr>
        <w:t xml:space="preserve">In brief, 0.5 M HCl was added to each </w:t>
      </w:r>
      <w:proofErr w:type="gramStart"/>
      <w:r w:rsidRPr="004568F8">
        <w:rPr>
          <w:rFonts w:ascii="Arial" w:hAnsi="Arial" w:cs="Arial"/>
        </w:rPr>
        <w:t>sample</w:t>
      </w:r>
      <w:proofErr w:type="gramEnd"/>
      <w:r w:rsidRPr="004568F8">
        <w:rPr>
          <w:rFonts w:ascii="Arial" w:hAnsi="Arial" w:cs="Arial"/>
        </w:rPr>
        <w:t xml:space="preserve"> and these were heated at 70°C for 30 minutes, then neutralised by rinsing them 5 times with distilled water. Next, 0.1 M NaOH was </w:t>
      </w:r>
      <w:proofErr w:type="gramStart"/>
      <w:r w:rsidRPr="004568F8">
        <w:rPr>
          <w:rFonts w:ascii="Arial" w:hAnsi="Arial" w:cs="Arial"/>
        </w:rPr>
        <w:t>used</w:t>
      </w:r>
      <w:proofErr w:type="gramEnd"/>
      <w:r w:rsidRPr="004568F8">
        <w:rPr>
          <w:rFonts w:ascii="Arial" w:hAnsi="Arial" w:cs="Arial"/>
        </w:rPr>
        <w:t xml:space="preserve"> and the sample heated at 70°C for 60 minutes and rinsed again at least 5 times with distilled water. Samples were then immersed again in 0.5 M HCl at 70°C for 30 minutes and rinsed to reach neutralisation. Finally, samples were dried at 65°C for 18 hours, and 1-2 mg were weighted for the analysis. The chemical treatment was performed at the Laboratory of </w:t>
      </w:r>
      <w:proofErr w:type="spellStart"/>
      <w:r w:rsidRPr="004568F8">
        <w:rPr>
          <w:rFonts w:ascii="Arial" w:hAnsi="Arial" w:cs="Arial"/>
        </w:rPr>
        <w:t>Paleoanthropology</w:t>
      </w:r>
      <w:proofErr w:type="spellEnd"/>
      <w:r w:rsidRPr="004568F8">
        <w:rPr>
          <w:rFonts w:ascii="Arial" w:hAnsi="Arial" w:cs="Arial"/>
        </w:rPr>
        <w:t xml:space="preserve"> and Bioarchaeology, Sapienza University of Rome. The treated samples were then measured for carbon and nitrogen stable isotopes at Iso-Analytical Limited (Crewe, UK) by Elemental Analysis – Isotope Ratio Mass Spectrometry (EA-IRMS) with a Europa Scientific 20–20 IRMS. Using the calculation suggested by </w:t>
      </w:r>
      <w:hyperlink r:id="rId6">
        <w:r w:rsidRPr="004568F8">
          <w:rPr>
            <w:rFonts w:ascii="Arial" w:hAnsi="Arial" w:cs="Arial"/>
          </w:rPr>
          <w:t>Szpak et al. (2017)</w:t>
        </w:r>
      </w:hyperlink>
      <w:r w:rsidRPr="004568F8">
        <w:rPr>
          <w:rFonts w:ascii="Arial" w:hAnsi="Arial" w:cs="Arial"/>
        </w:rPr>
        <w:t>, measurement uncertainty was monitored using three in-house standards with well-characterised isotopic composition: IA-R001 (wheat flour, δ</w:t>
      </w:r>
      <w:r w:rsidRPr="004568F8">
        <w:rPr>
          <w:rFonts w:ascii="Arial" w:hAnsi="Arial" w:cs="Arial"/>
          <w:vertAlign w:val="superscript"/>
        </w:rPr>
        <w:t>13</w:t>
      </w:r>
      <w:r w:rsidRPr="004568F8">
        <w:rPr>
          <w:rFonts w:ascii="Arial" w:hAnsi="Arial" w:cs="Arial"/>
        </w:rPr>
        <w:t>C</w:t>
      </w:r>
      <w:r w:rsidRPr="004568F8">
        <w:rPr>
          <w:rFonts w:ascii="Arial" w:hAnsi="Arial" w:cs="Arial"/>
          <w:vertAlign w:val="subscript"/>
        </w:rPr>
        <w:t>V-PDB</w:t>
      </w:r>
      <w:r w:rsidRPr="004568F8">
        <w:rPr>
          <w:rFonts w:ascii="Arial" w:hAnsi="Arial" w:cs="Arial"/>
        </w:rPr>
        <w:t xml:space="preserve"> = -26.43 ± 0.08 ‰, δ</w:t>
      </w:r>
      <w:r w:rsidRPr="004568F8">
        <w:rPr>
          <w:rFonts w:ascii="Arial" w:hAnsi="Arial" w:cs="Arial"/>
          <w:vertAlign w:val="superscript"/>
        </w:rPr>
        <w:t>15</w:t>
      </w:r>
      <w:r w:rsidRPr="004568F8">
        <w:rPr>
          <w:rFonts w:ascii="Arial" w:hAnsi="Arial" w:cs="Arial"/>
        </w:rPr>
        <w:t>N</w:t>
      </w:r>
      <w:r w:rsidRPr="004568F8">
        <w:rPr>
          <w:rFonts w:ascii="Arial" w:hAnsi="Arial" w:cs="Arial"/>
          <w:vertAlign w:val="subscript"/>
        </w:rPr>
        <w:t>AIR</w:t>
      </w:r>
      <w:r w:rsidRPr="004568F8">
        <w:rPr>
          <w:rFonts w:ascii="Arial" w:hAnsi="Arial" w:cs="Arial"/>
        </w:rPr>
        <w:t xml:space="preserve"> = +2.55 ± 0.22 ‰); IA-R005/IA-R045 (beet sugar plus ammonium sulphate, δ</w:t>
      </w:r>
      <w:r w:rsidRPr="004568F8">
        <w:rPr>
          <w:rFonts w:ascii="Arial" w:hAnsi="Arial" w:cs="Arial"/>
          <w:vertAlign w:val="superscript"/>
        </w:rPr>
        <w:t>13</w:t>
      </w:r>
      <w:r w:rsidRPr="004568F8">
        <w:rPr>
          <w:rFonts w:ascii="Arial" w:hAnsi="Arial" w:cs="Arial"/>
        </w:rPr>
        <w:t>C</w:t>
      </w:r>
      <w:r w:rsidRPr="004568F8">
        <w:rPr>
          <w:rFonts w:ascii="Arial" w:hAnsi="Arial" w:cs="Arial"/>
          <w:vertAlign w:val="subscript"/>
        </w:rPr>
        <w:t>V-PDB</w:t>
      </w:r>
      <w:r w:rsidRPr="004568F8">
        <w:rPr>
          <w:rFonts w:ascii="Arial" w:hAnsi="Arial" w:cs="Arial"/>
        </w:rPr>
        <w:t xml:space="preserve"> = -26.03 ± 0.11 ‰, δ</w:t>
      </w:r>
      <w:r w:rsidRPr="004568F8">
        <w:rPr>
          <w:rFonts w:ascii="Arial" w:hAnsi="Arial" w:cs="Arial"/>
          <w:vertAlign w:val="superscript"/>
        </w:rPr>
        <w:t>15</w:t>
      </w:r>
      <w:r w:rsidRPr="004568F8">
        <w:rPr>
          <w:rFonts w:ascii="Arial" w:hAnsi="Arial" w:cs="Arial"/>
        </w:rPr>
        <w:t>N</w:t>
      </w:r>
      <w:r w:rsidRPr="004568F8">
        <w:rPr>
          <w:rFonts w:ascii="Arial" w:hAnsi="Arial" w:cs="Arial"/>
          <w:vertAlign w:val="subscript"/>
        </w:rPr>
        <w:t>AIR</w:t>
      </w:r>
      <w:r w:rsidRPr="004568F8">
        <w:rPr>
          <w:rFonts w:ascii="Arial" w:hAnsi="Arial" w:cs="Arial"/>
        </w:rPr>
        <w:t xml:space="preserve"> = -4.71 ± 0.07 ‰) and IA-R006/IA-R046 (cane sugar plus ammonium sulphate, δ</w:t>
      </w:r>
      <w:r w:rsidRPr="004568F8">
        <w:rPr>
          <w:rFonts w:ascii="Arial" w:hAnsi="Arial" w:cs="Arial"/>
          <w:vertAlign w:val="superscript"/>
        </w:rPr>
        <w:t>13</w:t>
      </w:r>
      <w:r w:rsidRPr="004568F8">
        <w:rPr>
          <w:rFonts w:ascii="Arial" w:hAnsi="Arial" w:cs="Arial"/>
        </w:rPr>
        <w:t>C</w:t>
      </w:r>
      <w:r w:rsidRPr="004568F8">
        <w:rPr>
          <w:rFonts w:ascii="Arial" w:hAnsi="Arial" w:cs="Arial"/>
          <w:vertAlign w:val="subscript"/>
        </w:rPr>
        <w:t>V-PDB</w:t>
      </w:r>
      <w:r w:rsidRPr="004568F8">
        <w:rPr>
          <w:rFonts w:ascii="Arial" w:hAnsi="Arial" w:cs="Arial"/>
        </w:rPr>
        <w:t xml:space="preserve"> = -11.64 ± 0.03  ‰, δ</w:t>
      </w:r>
      <w:r w:rsidRPr="004568F8">
        <w:rPr>
          <w:rFonts w:ascii="Arial" w:hAnsi="Arial" w:cs="Arial"/>
          <w:vertAlign w:val="superscript"/>
        </w:rPr>
        <w:t>15</w:t>
      </w:r>
      <w:r w:rsidRPr="004568F8">
        <w:rPr>
          <w:rFonts w:ascii="Arial" w:hAnsi="Arial" w:cs="Arial"/>
        </w:rPr>
        <w:t>N</w:t>
      </w:r>
      <w:r w:rsidRPr="004568F8">
        <w:rPr>
          <w:rFonts w:ascii="Arial" w:hAnsi="Arial" w:cs="Arial"/>
          <w:vertAlign w:val="subscript"/>
        </w:rPr>
        <w:t>AIR</w:t>
      </w:r>
      <w:r w:rsidRPr="004568F8">
        <w:rPr>
          <w:rFonts w:ascii="Arial" w:hAnsi="Arial" w:cs="Arial"/>
        </w:rPr>
        <w:t xml:space="preserve"> = 22.04 ± 0.06 ‰). IA-R001 is calibrated against and traceable to IAEA-CH-6 (sucrose, δ</w:t>
      </w:r>
      <w:r w:rsidRPr="004568F8">
        <w:rPr>
          <w:rFonts w:ascii="Arial" w:hAnsi="Arial" w:cs="Arial"/>
          <w:vertAlign w:val="superscript"/>
        </w:rPr>
        <w:t>13</w:t>
      </w:r>
      <w:r w:rsidRPr="004568F8">
        <w:rPr>
          <w:rFonts w:ascii="Arial" w:hAnsi="Arial" w:cs="Arial"/>
        </w:rPr>
        <w:t>C</w:t>
      </w:r>
      <w:r w:rsidRPr="004568F8">
        <w:rPr>
          <w:rFonts w:ascii="Arial" w:hAnsi="Arial" w:cs="Arial"/>
          <w:vertAlign w:val="subscript"/>
        </w:rPr>
        <w:t>V-PDB</w:t>
      </w:r>
      <w:r w:rsidRPr="004568F8">
        <w:rPr>
          <w:rFonts w:ascii="Arial" w:hAnsi="Arial" w:cs="Arial"/>
        </w:rPr>
        <w:t xml:space="preserve"> = -10.449 ‰) and IAEA-N-1 (ammonium sulphate, δ</w:t>
      </w:r>
      <w:r w:rsidRPr="004568F8">
        <w:rPr>
          <w:rFonts w:ascii="Arial" w:hAnsi="Arial" w:cs="Arial"/>
          <w:vertAlign w:val="superscript"/>
        </w:rPr>
        <w:t>15</w:t>
      </w:r>
      <w:r w:rsidRPr="004568F8">
        <w:rPr>
          <w:rFonts w:ascii="Arial" w:hAnsi="Arial" w:cs="Arial"/>
        </w:rPr>
        <w:t>N</w:t>
      </w:r>
      <w:r w:rsidRPr="004568F8">
        <w:rPr>
          <w:rFonts w:ascii="Arial" w:hAnsi="Arial" w:cs="Arial"/>
          <w:vertAlign w:val="subscript"/>
        </w:rPr>
        <w:t>AIR</w:t>
      </w:r>
      <w:r w:rsidRPr="004568F8">
        <w:rPr>
          <w:rFonts w:ascii="Arial" w:hAnsi="Arial" w:cs="Arial"/>
        </w:rPr>
        <w:t xml:space="preserve"> = 0.40 ‰). IA-R005 and IA-R006 are calibrated against and traceable to IAEA-CH-6. IA-R045 and IA-R046 are calibrated against and traceable to IAEA-N-1. IAEA-CH-6 and IAEA-N-1 are inter-laboratory comparison standards distributed by the International Atomic Energy Agency, Vienna. Across the three runs, the wheat flour standard (n=22) was measured as containing 1.870 ± 0.025 </w:t>
      </w:r>
      <w:proofErr w:type="spellStart"/>
      <w:r w:rsidRPr="004568F8">
        <w:rPr>
          <w:rFonts w:ascii="Arial" w:hAnsi="Arial" w:cs="Arial"/>
        </w:rPr>
        <w:t>wt</w:t>
      </w:r>
      <w:proofErr w:type="spellEnd"/>
      <w:r w:rsidRPr="004568F8">
        <w:rPr>
          <w:rFonts w:ascii="Arial" w:hAnsi="Arial" w:cs="Arial"/>
        </w:rPr>
        <w:t xml:space="preserve">% N and 40.69 ± 0.73 </w:t>
      </w:r>
      <w:proofErr w:type="spellStart"/>
      <w:r w:rsidRPr="004568F8">
        <w:rPr>
          <w:rFonts w:ascii="Arial" w:hAnsi="Arial" w:cs="Arial"/>
        </w:rPr>
        <w:t>wt</w:t>
      </w:r>
      <w:proofErr w:type="spellEnd"/>
      <w:r w:rsidRPr="004568F8">
        <w:rPr>
          <w:rFonts w:ascii="Arial" w:hAnsi="Arial" w:cs="Arial"/>
        </w:rPr>
        <w:t xml:space="preserve">% C, with 95% confidence intervals being 1.82 to 1.92 </w:t>
      </w:r>
      <w:proofErr w:type="spellStart"/>
      <w:r w:rsidRPr="004568F8">
        <w:rPr>
          <w:rFonts w:ascii="Arial" w:hAnsi="Arial" w:cs="Arial"/>
        </w:rPr>
        <w:t>wt</w:t>
      </w:r>
      <w:proofErr w:type="spellEnd"/>
      <w:r w:rsidRPr="004568F8">
        <w:rPr>
          <w:rFonts w:ascii="Arial" w:hAnsi="Arial" w:cs="Arial"/>
        </w:rPr>
        <w:t xml:space="preserve">% N and 39.2 to 42.1 </w:t>
      </w:r>
      <w:proofErr w:type="spellStart"/>
      <w:r w:rsidRPr="004568F8">
        <w:rPr>
          <w:rFonts w:ascii="Arial" w:hAnsi="Arial" w:cs="Arial"/>
        </w:rPr>
        <w:t>wt</w:t>
      </w:r>
      <w:proofErr w:type="spellEnd"/>
      <w:r w:rsidRPr="004568F8">
        <w:rPr>
          <w:rFonts w:ascii="Arial" w:hAnsi="Arial" w:cs="Arial"/>
        </w:rPr>
        <w:t xml:space="preserve">% C. Samples with low nitrogen content (i.e., &lt; 10 </w:t>
      </w:r>
      <w:proofErr w:type="spellStart"/>
      <w:r w:rsidRPr="004568F8">
        <w:rPr>
          <w:rFonts w:ascii="Arial" w:hAnsi="Arial" w:cs="Arial"/>
        </w:rPr>
        <w:t>μg</w:t>
      </w:r>
      <w:proofErr w:type="spellEnd"/>
      <w:r w:rsidRPr="004568F8">
        <w:rPr>
          <w:rFonts w:ascii="Arial" w:hAnsi="Arial" w:cs="Arial"/>
        </w:rPr>
        <w:t xml:space="preserve">) were excluded from the data analysis. We observed that the samples that were preferentially lost during chemical treatment and/or have low nitrogen content are from the earliest phase, namely LA2. </w:t>
      </w:r>
    </w:p>
    <w:p w14:paraId="10F5A4FC" w14:textId="77777777" w:rsidR="003D39B4" w:rsidRPr="004568F8" w:rsidRDefault="003D39B4">
      <w:pPr>
        <w:rPr>
          <w:rFonts w:ascii="Arial" w:hAnsi="Arial" w:cs="Arial"/>
        </w:rPr>
      </w:pPr>
    </w:p>
    <w:sectPr w:rsidR="003D39B4" w:rsidRPr="004568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C7"/>
    <w:rsid w:val="00353B0D"/>
    <w:rsid w:val="003D39B4"/>
    <w:rsid w:val="004568F8"/>
    <w:rsid w:val="00BD6BB9"/>
    <w:rsid w:val="00C602C7"/>
    <w:rsid w:val="00E9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A9048"/>
  <w15:chartTrackingRefBased/>
  <w15:docId w15:val="{7E5D190F-4D19-4BF6-8578-0B2883E73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2C2"/>
    <w:rPr>
      <w:rFonts w:ascii="Calibri" w:eastAsia="Calibri" w:hAnsi="Calibri" w:cs="Calibri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02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02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2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2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2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2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2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2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2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2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02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2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2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2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2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2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2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2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02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2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02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02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2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02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2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2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perpile.com/c/ZAXd1D/3Wg5e" TargetMode="External"/><Relationship Id="rId5" Type="http://schemas.openxmlformats.org/officeDocument/2006/relationships/hyperlink" Target="https://paperpile.com/c/ZAXd1D/Axkf" TargetMode="External"/><Relationship Id="rId4" Type="http://schemas.openxmlformats.org/officeDocument/2006/relationships/hyperlink" Target="https://paperpile.com/c/ZAXd1D/WiT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Soncin</dc:creator>
  <cp:keywords/>
  <dc:description/>
  <cp:lastModifiedBy>Silvia Soncin</cp:lastModifiedBy>
  <cp:revision>3</cp:revision>
  <dcterms:created xsi:type="dcterms:W3CDTF">2024-05-03T08:52:00Z</dcterms:created>
  <dcterms:modified xsi:type="dcterms:W3CDTF">2024-05-03T09:16:00Z</dcterms:modified>
</cp:coreProperties>
</file>