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A72516" w:rsidRDefault="00000000" w:rsidP="00087D3F">
      <w:pPr>
        <w:spacing w:after="240" w:line="360" w:lineRule="auto"/>
        <w:rPr>
          <w:rFonts w:ascii="Arial" w:eastAsia="Arial" w:hAnsi="Arial" w:cs="Arial"/>
          <w:sz w:val="32"/>
          <w:szCs w:val="32"/>
        </w:rPr>
      </w:pPr>
      <w:bookmarkStart w:id="0" w:name="_Hlk165626014"/>
      <w:r>
        <w:rPr>
          <w:rFonts w:ascii="Arial" w:eastAsia="Arial" w:hAnsi="Arial" w:cs="Arial"/>
          <w:sz w:val="32"/>
          <w:szCs w:val="32"/>
        </w:rPr>
        <w:t>Supplementary Information (SI)</w:t>
      </w:r>
    </w:p>
    <w:p w14:paraId="00000002" w14:textId="29A217F0" w:rsidR="00A72516" w:rsidRDefault="00000000" w:rsidP="00087D3F">
      <w:pPr>
        <w:spacing w:after="240" w:line="360" w:lineRule="auto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Exploring the use of wild cereals </w:t>
      </w:r>
      <w:r w:rsidR="00CA5239">
        <w:rPr>
          <w:rFonts w:ascii="Arial" w:eastAsia="Arial" w:hAnsi="Arial" w:cs="Arial"/>
          <w:sz w:val="28"/>
          <w:szCs w:val="28"/>
        </w:rPr>
        <w:t>at</w:t>
      </w:r>
      <w:r>
        <w:rPr>
          <w:rFonts w:ascii="Arial" w:eastAsia="Arial" w:hAnsi="Arial" w:cs="Arial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sz w:val="28"/>
          <w:szCs w:val="28"/>
        </w:rPr>
        <w:t>Takarkori</w:t>
      </w:r>
      <w:proofErr w:type="spellEnd"/>
      <w:r>
        <w:rPr>
          <w:rFonts w:ascii="Arial" w:eastAsia="Arial" w:hAnsi="Arial" w:cs="Arial"/>
          <w:sz w:val="28"/>
          <w:szCs w:val="28"/>
        </w:rPr>
        <w:t xml:space="preserve"> (Central Sahara, southwestern Libya) through stable carbon and nitrogen isotope analysis of prehistoric desiccated seeds</w:t>
      </w:r>
    </w:p>
    <w:bookmarkEnd w:id="0"/>
    <w:p w14:paraId="65821E0D" w14:textId="77777777" w:rsidR="003F19C9" w:rsidRDefault="003F19C9" w:rsidP="00087D3F">
      <w:pPr>
        <w:spacing w:after="240" w:line="360" w:lineRule="auto"/>
        <w:rPr>
          <w:rFonts w:ascii="Arial" w:eastAsia="Arial" w:hAnsi="Arial" w:cs="Arial"/>
          <w:b/>
          <w:color w:val="222222"/>
          <w:highlight w:val="white"/>
        </w:rPr>
      </w:pPr>
    </w:p>
    <w:p w14:paraId="4B281E45" w14:textId="1BCB68D9" w:rsidR="003F7FE8" w:rsidRDefault="003F7FE8" w:rsidP="00087D3F">
      <w:pPr>
        <w:spacing w:after="240" w:line="360" w:lineRule="auto"/>
        <w:rPr>
          <w:rFonts w:ascii="Arial" w:eastAsia="Arial" w:hAnsi="Arial" w:cs="Arial"/>
          <w:b/>
          <w:color w:val="222222"/>
          <w:highlight w:val="white"/>
        </w:rPr>
      </w:pPr>
      <w:r>
        <w:rPr>
          <w:rFonts w:ascii="Arial" w:eastAsia="Arial" w:hAnsi="Arial" w:cs="Arial"/>
          <w:b/>
          <w:color w:val="222222"/>
          <w:highlight w:val="white"/>
        </w:rPr>
        <w:t>Supplementary Methods (.</w:t>
      </w:r>
      <w:r w:rsidRPr="003F7FE8">
        <w:rPr>
          <w:rFonts w:ascii="Arial" w:eastAsia="Arial" w:hAnsi="Arial" w:cs="Arial"/>
          <w:b/>
          <w:color w:val="222222"/>
        </w:rPr>
        <w:t>docx</w:t>
      </w:r>
      <w:r>
        <w:rPr>
          <w:rFonts w:ascii="Arial" w:eastAsia="Arial" w:hAnsi="Arial" w:cs="Arial"/>
          <w:b/>
          <w:color w:val="222222"/>
        </w:rPr>
        <w:t xml:space="preserve">). </w:t>
      </w:r>
      <w:r w:rsidRPr="003F7FE8">
        <w:rPr>
          <w:rFonts w:ascii="Arial" w:eastAsia="Arial" w:hAnsi="Arial" w:cs="Arial"/>
          <w:bCs/>
          <w:color w:val="222222"/>
        </w:rPr>
        <w:t>This file contains detailed description of the carbon and nitrogen stable isotope analysis</w:t>
      </w:r>
    </w:p>
    <w:p w14:paraId="0000000D" w14:textId="2EB0AEA1" w:rsidR="00A72516" w:rsidRDefault="00000000" w:rsidP="00087D3F">
      <w:pPr>
        <w:spacing w:after="240" w:line="360" w:lineRule="auto"/>
        <w:rPr>
          <w:rFonts w:ascii="Arial" w:eastAsia="Arial" w:hAnsi="Arial" w:cs="Arial"/>
          <w:b/>
          <w:color w:val="222222"/>
          <w:highlight w:val="white"/>
        </w:rPr>
      </w:pPr>
      <w:r>
        <w:rPr>
          <w:rFonts w:ascii="Arial" w:eastAsia="Arial" w:hAnsi="Arial" w:cs="Arial"/>
          <w:b/>
          <w:color w:val="222222"/>
          <w:highlight w:val="white"/>
        </w:rPr>
        <w:t>Supplementary Tables (.</w:t>
      </w:r>
      <w:proofErr w:type="spellStart"/>
      <w:r>
        <w:rPr>
          <w:rFonts w:ascii="Arial" w:eastAsia="Arial" w:hAnsi="Arial" w:cs="Arial"/>
          <w:b/>
          <w:color w:val="222222"/>
          <w:highlight w:val="white"/>
        </w:rPr>
        <w:t>xslx</w:t>
      </w:r>
      <w:proofErr w:type="spellEnd"/>
      <w:r>
        <w:rPr>
          <w:rFonts w:ascii="Arial" w:eastAsia="Arial" w:hAnsi="Arial" w:cs="Arial"/>
          <w:b/>
          <w:color w:val="222222"/>
          <w:highlight w:val="white"/>
        </w:rPr>
        <w:t xml:space="preserve"> file attached in the submission</w:t>
      </w:r>
      <w:r w:rsidR="00CA5239">
        <w:rPr>
          <w:rFonts w:ascii="Arial" w:eastAsia="Arial" w:hAnsi="Arial" w:cs="Arial"/>
          <w:b/>
          <w:color w:val="222222"/>
          <w:highlight w:val="white"/>
        </w:rPr>
        <w:t>: “</w:t>
      </w:r>
      <w:r w:rsidR="00CA5239" w:rsidRPr="00CA5239">
        <w:rPr>
          <w:rFonts w:ascii="Arial" w:eastAsia="Arial" w:hAnsi="Arial" w:cs="Arial"/>
          <w:b/>
          <w:color w:val="222222"/>
        </w:rPr>
        <w:t xml:space="preserve">Supplementary </w:t>
      </w:r>
      <w:proofErr w:type="spellStart"/>
      <w:r w:rsidR="00CA5239" w:rsidRPr="00CA5239">
        <w:rPr>
          <w:rFonts w:ascii="Arial" w:eastAsia="Arial" w:hAnsi="Arial" w:cs="Arial"/>
          <w:b/>
          <w:color w:val="222222"/>
        </w:rPr>
        <w:t>Tables</w:t>
      </w:r>
      <w:r w:rsidR="00CA5239">
        <w:rPr>
          <w:rFonts w:ascii="Arial" w:eastAsia="Arial" w:hAnsi="Arial" w:cs="Arial"/>
          <w:b/>
          <w:color w:val="222222"/>
        </w:rPr>
        <w:t>.xslx</w:t>
      </w:r>
      <w:proofErr w:type="spellEnd"/>
      <w:r w:rsidR="00CA5239">
        <w:rPr>
          <w:rFonts w:ascii="Arial" w:eastAsia="Arial" w:hAnsi="Arial" w:cs="Arial"/>
          <w:b/>
          <w:color w:val="222222"/>
        </w:rPr>
        <w:t>”</w:t>
      </w:r>
      <w:r>
        <w:rPr>
          <w:rFonts w:ascii="Arial" w:eastAsia="Arial" w:hAnsi="Arial" w:cs="Arial"/>
          <w:b/>
          <w:color w:val="222222"/>
          <w:highlight w:val="white"/>
        </w:rPr>
        <w:t>)</w:t>
      </w:r>
    </w:p>
    <w:p w14:paraId="0000000E" w14:textId="77777777" w:rsidR="00A72516" w:rsidRDefault="00000000" w:rsidP="00087D3F">
      <w:pPr>
        <w:spacing w:after="240" w:line="360" w:lineRule="auto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b/>
          <w:color w:val="222222"/>
          <w:highlight w:val="white"/>
        </w:rPr>
        <w:t>Supplementary Table 1</w:t>
      </w:r>
      <w:r>
        <w:rPr>
          <w:rFonts w:ascii="Arial" w:eastAsia="Arial" w:hAnsi="Arial" w:cs="Arial"/>
          <w:color w:val="222222"/>
          <w:highlight w:val="white"/>
        </w:rPr>
        <w:t xml:space="preserve">. Information and elemental and isotopic composition of the seeds from </w:t>
      </w:r>
      <w:proofErr w:type="spellStart"/>
      <w:r>
        <w:rPr>
          <w:rFonts w:ascii="Arial" w:eastAsia="Arial" w:hAnsi="Arial" w:cs="Arial"/>
          <w:color w:val="222222"/>
          <w:highlight w:val="white"/>
        </w:rPr>
        <w:t>Takarkori</w:t>
      </w:r>
      <w:proofErr w:type="spellEnd"/>
      <w:r>
        <w:rPr>
          <w:rFonts w:ascii="Arial" w:eastAsia="Arial" w:hAnsi="Arial" w:cs="Arial"/>
          <w:color w:val="222222"/>
          <w:highlight w:val="white"/>
        </w:rPr>
        <w:t>.</w:t>
      </w:r>
    </w:p>
    <w:p w14:paraId="0000000F" w14:textId="77777777" w:rsidR="00A72516" w:rsidRDefault="00000000" w:rsidP="00087D3F">
      <w:pPr>
        <w:spacing w:after="240" w:line="360" w:lineRule="auto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b/>
          <w:color w:val="222222"/>
          <w:highlight w:val="white"/>
        </w:rPr>
        <w:t>Supplementary Table 2</w:t>
      </w:r>
      <w:r>
        <w:rPr>
          <w:rFonts w:ascii="Arial" w:eastAsia="Arial" w:hAnsi="Arial" w:cs="Arial"/>
          <w:color w:val="222222"/>
          <w:highlight w:val="white"/>
        </w:rPr>
        <w:t>. δ</w:t>
      </w:r>
      <w:r>
        <w:rPr>
          <w:rFonts w:ascii="Arial" w:eastAsia="Arial" w:hAnsi="Arial" w:cs="Arial"/>
          <w:color w:val="222222"/>
          <w:highlight w:val="white"/>
          <w:vertAlign w:val="superscript"/>
        </w:rPr>
        <w:t>13</w:t>
      </w:r>
      <w:r>
        <w:rPr>
          <w:rFonts w:ascii="Arial" w:eastAsia="Arial" w:hAnsi="Arial" w:cs="Arial"/>
          <w:color w:val="222222"/>
          <w:highlight w:val="white"/>
        </w:rPr>
        <w:t>C mean values of atmospheric CO</w:t>
      </w:r>
      <w:r>
        <w:rPr>
          <w:rFonts w:ascii="Arial" w:eastAsia="Arial" w:hAnsi="Arial" w:cs="Arial"/>
          <w:color w:val="222222"/>
          <w:highlight w:val="white"/>
          <w:vertAlign w:val="subscript"/>
        </w:rPr>
        <w:t>2</w:t>
      </w:r>
      <w:r>
        <w:rPr>
          <w:rFonts w:ascii="Arial" w:eastAsia="Arial" w:hAnsi="Arial" w:cs="Arial"/>
          <w:color w:val="222222"/>
          <w:highlight w:val="white"/>
        </w:rPr>
        <w:t xml:space="preserve"> in the considered phases derived from Ferrio et al. 2005 and used to calculate relative Δ</w:t>
      </w:r>
      <w:r>
        <w:rPr>
          <w:rFonts w:ascii="Arial" w:eastAsia="Arial" w:hAnsi="Arial" w:cs="Arial"/>
          <w:color w:val="222222"/>
          <w:highlight w:val="white"/>
          <w:vertAlign w:val="superscript"/>
        </w:rPr>
        <w:t>13</w:t>
      </w:r>
      <w:r>
        <w:rPr>
          <w:rFonts w:ascii="Arial" w:eastAsia="Arial" w:hAnsi="Arial" w:cs="Arial"/>
          <w:color w:val="222222"/>
          <w:highlight w:val="white"/>
        </w:rPr>
        <w:t>C values.</w:t>
      </w:r>
    </w:p>
    <w:p w14:paraId="00000010" w14:textId="77777777" w:rsidR="00A72516" w:rsidRDefault="00000000" w:rsidP="00087D3F">
      <w:pPr>
        <w:spacing w:after="240" w:line="360" w:lineRule="auto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b/>
          <w:color w:val="222222"/>
          <w:highlight w:val="white"/>
        </w:rPr>
        <w:t>Supplementary Table 3</w:t>
      </w:r>
      <w:r>
        <w:rPr>
          <w:rFonts w:ascii="Arial" w:eastAsia="Arial" w:hAnsi="Arial" w:cs="Arial"/>
          <w:color w:val="222222"/>
          <w:highlight w:val="white"/>
        </w:rPr>
        <w:t>. Descriptive statistics of the isotopic (δ</w:t>
      </w:r>
      <w:r>
        <w:rPr>
          <w:rFonts w:ascii="Arial" w:eastAsia="Arial" w:hAnsi="Arial" w:cs="Arial"/>
          <w:color w:val="222222"/>
          <w:highlight w:val="white"/>
          <w:vertAlign w:val="superscript"/>
        </w:rPr>
        <w:t>13</w:t>
      </w:r>
      <w:r>
        <w:rPr>
          <w:rFonts w:ascii="Arial" w:eastAsia="Arial" w:hAnsi="Arial" w:cs="Arial"/>
          <w:color w:val="222222"/>
          <w:highlight w:val="white"/>
        </w:rPr>
        <w:t>C and δ</w:t>
      </w:r>
      <w:r>
        <w:rPr>
          <w:rFonts w:ascii="Arial" w:eastAsia="Arial" w:hAnsi="Arial" w:cs="Arial"/>
          <w:color w:val="222222"/>
          <w:highlight w:val="white"/>
          <w:vertAlign w:val="superscript"/>
        </w:rPr>
        <w:t>15</w:t>
      </w:r>
      <w:r>
        <w:rPr>
          <w:rFonts w:ascii="Arial" w:eastAsia="Arial" w:hAnsi="Arial" w:cs="Arial"/>
          <w:color w:val="222222"/>
          <w:highlight w:val="white"/>
        </w:rPr>
        <w:t>N) and elemental (</w:t>
      </w:r>
      <w:proofErr w:type="spellStart"/>
      <w:r>
        <w:rPr>
          <w:rFonts w:ascii="Arial" w:eastAsia="Arial" w:hAnsi="Arial" w:cs="Arial"/>
          <w:color w:val="222222"/>
          <w:highlight w:val="white"/>
        </w:rPr>
        <w:t>wt</w:t>
      </w:r>
      <w:proofErr w:type="spellEnd"/>
      <w:r>
        <w:rPr>
          <w:rFonts w:ascii="Arial" w:eastAsia="Arial" w:hAnsi="Arial" w:cs="Arial"/>
          <w:color w:val="222222"/>
          <w:highlight w:val="white"/>
        </w:rPr>
        <w:t xml:space="preserve">% N, </w:t>
      </w:r>
      <w:proofErr w:type="spellStart"/>
      <w:r>
        <w:rPr>
          <w:rFonts w:ascii="Arial" w:eastAsia="Arial" w:hAnsi="Arial" w:cs="Arial"/>
          <w:color w:val="222222"/>
          <w:highlight w:val="white"/>
        </w:rPr>
        <w:t>wt</w:t>
      </w:r>
      <w:proofErr w:type="spellEnd"/>
      <w:r>
        <w:rPr>
          <w:rFonts w:ascii="Arial" w:eastAsia="Arial" w:hAnsi="Arial" w:cs="Arial"/>
          <w:color w:val="222222"/>
          <w:highlight w:val="white"/>
        </w:rPr>
        <w:t>% C and C:N) of seeds by species and seeds and/or glumes content.</w:t>
      </w:r>
    </w:p>
    <w:p w14:paraId="00000011" w14:textId="77777777" w:rsidR="00A72516" w:rsidRDefault="00000000" w:rsidP="00087D3F">
      <w:pPr>
        <w:spacing w:after="240" w:line="360" w:lineRule="auto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b/>
          <w:color w:val="222222"/>
          <w:highlight w:val="white"/>
        </w:rPr>
        <w:t>Supplementary Table 4</w:t>
      </w:r>
      <w:r>
        <w:rPr>
          <w:rFonts w:ascii="Arial" w:eastAsia="Arial" w:hAnsi="Arial" w:cs="Arial"/>
          <w:color w:val="222222"/>
          <w:highlight w:val="white"/>
        </w:rPr>
        <w:t>. Statistical tests used to observe differences of δ</w:t>
      </w:r>
      <w:r>
        <w:rPr>
          <w:rFonts w:ascii="Arial" w:eastAsia="Arial" w:hAnsi="Arial" w:cs="Arial"/>
          <w:color w:val="222222"/>
          <w:highlight w:val="white"/>
          <w:vertAlign w:val="superscript"/>
        </w:rPr>
        <w:t>13</w:t>
      </w:r>
      <w:r>
        <w:rPr>
          <w:rFonts w:ascii="Arial" w:eastAsia="Arial" w:hAnsi="Arial" w:cs="Arial"/>
          <w:color w:val="222222"/>
          <w:highlight w:val="white"/>
        </w:rPr>
        <w:t>C, δ</w:t>
      </w:r>
      <w:r>
        <w:rPr>
          <w:rFonts w:ascii="Arial" w:eastAsia="Arial" w:hAnsi="Arial" w:cs="Arial"/>
          <w:color w:val="222222"/>
          <w:highlight w:val="white"/>
          <w:vertAlign w:val="superscript"/>
        </w:rPr>
        <w:t>15</w:t>
      </w:r>
      <w:r>
        <w:rPr>
          <w:rFonts w:ascii="Arial" w:eastAsia="Arial" w:hAnsi="Arial" w:cs="Arial"/>
          <w:color w:val="222222"/>
          <w:highlight w:val="white"/>
        </w:rPr>
        <w:t xml:space="preserve">N, </w:t>
      </w:r>
      <w:proofErr w:type="spellStart"/>
      <w:r>
        <w:rPr>
          <w:rFonts w:ascii="Arial" w:eastAsia="Arial" w:hAnsi="Arial" w:cs="Arial"/>
          <w:color w:val="222222"/>
          <w:highlight w:val="white"/>
        </w:rPr>
        <w:t>wt</w:t>
      </w:r>
      <w:proofErr w:type="spellEnd"/>
      <w:r>
        <w:rPr>
          <w:rFonts w:ascii="Arial" w:eastAsia="Arial" w:hAnsi="Arial" w:cs="Arial"/>
          <w:color w:val="222222"/>
          <w:highlight w:val="white"/>
        </w:rPr>
        <w:t xml:space="preserve">% C and </w:t>
      </w:r>
      <w:proofErr w:type="spellStart"/>
      <w:r>
        <w:rPr>
          <w:rFonts w:ascii="Arial" w:eastAsia="Arial" w:hAnsi="Arial" w:cs="Arial"/>
          <w:color w:val="222222"/>
          <w:highlight w:val="white"/>
        </w:rPr>
        <w:t>wt</w:t>
      </w:r>
      <w:proofErr w:type="spellEnd"/>
      <w:r>
        <w:rPr>
          <w:rFonts w:ascii="Arial" w:eastAsia="Arial" w:hAnsi="Arial" w:cs="Arial"/>
          <w:color w:val="222222"/>
          <w:highlight w:val="white"/>
        </w:rPr>
        <w:t xml:space="preserve">% N according to sample composition of the </w:t>
      </w:r>
      <w:proofErr w:type="spellStart"/>
      <w:r>
        <w:rPr>
          <w:rFonts w:ascii="Arial" w:eastAsia="Arial" w:hAnsi="Arial" w:cs="Arial"/>
          <w:i/>
          <w:color w:val="222222"/>
          <w:highlight w:val="white"/>
        </w:rPr>
        <w:t>Urochloa</w:t>
      </w:r>
      <w:proofErr w:type="spellEnd"/>
      <w:r>
        <w:rPr>
          <w:rFonts w:ascii="Arial" w:eastAsia="Arial" w:hAnsi="Arial" w:cs="Arial"/>
          <w:color w:val="222222"/>
          <w:highlight w:val="white"/>
        </w:rPr>
        <w:t xml:space="preserve"> group (seeds, seeds and glumes and glumes and seeds).</w:t>
      </w:r>
    </w:p>
    <w:p w14:paraId="00000012" w14:textId="77777777" w:rsidR="00A72516" w:rsidRDefault="00000000" w:rsidP="00087D3F">
      <w:pPr>
        <w:spacing w:after="240" w:line="360" w:lineRule="auto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b/>
          <w:color w:val="222222"/>
          <w:highlight w:val="white"/>
        </w:rPr>
        <w:t>Supplementary Table 5a</w:t>
      </w:r>
      <w:r>
        <w:rPr>
          <w:rFonts w:ascii="Arial" w:eastAsia="Arial" w:hAnsi="Arial" w:cs="Arial"/>
          <w:color w:val="222222"/>
          <w:highlight w:val="white"/>
        </w:rPr>
        <w:t>.</w:t>
      </w:r>
      <w:r>
        <w:t xml:space="preserve"> </w:t>
      </w:r>
      <w:r>
        <w:rPr>
          <w:rFonts w:ascii="Arial" w:eastAsia="Arial" w:hAnsi="Arial" w:cs="Arial"/>
          <w:color w:val="222222"/>
          <w:highlight w:val="white"/>
        </w:rPr>
        <w:t>p-values of the Wilcoxon signed-rank test for δ</w:t>
      </w:r>
      <w:r>
        <w:rPr>
          <w:rFonts w:ascii="Arial" w:eastAsia="Arial" w:hAnsi="Arial" w:cs="Arial"/>
          <w:color w:val="222222"/>
          <w:highlight w:val="white"/>
          <w:vertAlign w:val="superscript"/>
        </w:rPr>
        <w:t>13</w:t>
      </w:r>
      <w:r>
        <w:rPr>
          <w:rFonts w:ascii="Arial" w:eastAsia="Arial" w:hAnsi="Arial" w:cs="Arial"/>
          <w:color w:val="222222"/>
          <w:highlight w:val="white"/>
        </w:rPr>
        <w:t xml:space="preserve">C values applied to the seeds from </w:t>
      </w:r>
      <w:proofErr w:type="spellStart"/>
      <w:r>
        <w:rPr>
          <w:rFonts w:ascii="Arial" w:eastAsia="Arial" w:hAnsi="Arial" w:cs="Arial"/>
          <w:color w:val="222222"/>
          <w:highlight w:val="white"/>
        </w:rPr>
        <w:t>Takarkori</w:t>
      </w:r>
      <w:proofErr w:type="spellEnd"/>
      <w:r>
        <w:rPr>
          <w:rFonts w:ascii="Arial" w:eastAsia="Arial" w:hAnsi="Arial" w:cs="Arial"/>
          <w:color w:val="222222"/>
          <w:highlight w:val="white"/>
        </w:rPr>
        <w:t xml:space="preserve"> according to species and cultural phase.</w:t>
      </w:r>
    </w:p>
    <w:p w14:paraId="00000013" w14:textId="77777777" w:rsidR="00A72516" w:rsidRDefault="00000000" w:rsidP="00087D3F">
      <w:pPr>
        <w:spacing w:after="240" w:line="360" w:lineRule="auto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b/>
          <w:color w:val="222222"/>
          <w:highlight w:val="white"/>
        </w:rPr>
        <w:t>Supplementary Table 5b</w:t>
      </w:r>
      <w:r>
        <w:rPr>
          <w:rFonts w:ascii="Arial" w:eastAsia="Arial" w:hAnsi="Arial" w:cs="Arial"/>
          <w:color w:val="222222"/>
          <w:highlight w:val="white"/>
        </w:rPr>
        <w:t>. p-values of the Wilcoxon signed-rank test for δ</w:t>
      </w:r>
      <w:r w:rsidRPr="00CA5239">
        <w:rPr>
          <w:rFonts w:ascii="Arial" w:eastAsia="Arial" w:hAnsi="Arial" w:cs="Arial"/>
          <w:color w:val="222222"/>
          <w:highlight w:val="white"/>
          <w:vertAlign w:val="superscript"/>
        </w:rPr>
        <w:t>15</w:t>
      </w:r>
      <w:r>
        <w:rPr>
          <w:rFonts w:ascii="Arial" w:eastAsia="Arial" w:hAnsi="Arial" w:cs="Arial"/>
          <w:color w:val="222222"/>
          <w:highlight w:val="white"/>
        </w:rPr>
        <w:t xml:space="preserve">N values applied to the seeds from </w:t>
      </w:r>
      <w:proofErr w:type="spellStart"/>
      <w:r>
        <w:rPr>
          <w:rFonts w:ascii="Arial" w:eastAsia="Arial" w:hAnsi="Arial" w:cs="Arial"/>
          <w:color w:val="222222"/>
          <w:highlight w:val="white"/>
        </w:rPr>
        <w:t>Takarkori</w:t>
      </w:r>
      <w:proofErr w:type="spellEnd"/>
      <w:r>
        <w:rPr>
          <w:rFonts w:ascii="Arial" w:eastAsia="Arial" w:hAnsi="Arial" w:cs="Arial"/>
          <w:color w:val="222222"/>
          <w:highlight w:val="white"/>
        </w:rPr>
        <w:t xml:space="preserve"> according to species and cultural phase.</w:t>
      </w:r>
    </w:p>
    <w:p w14:paraId="00000014" w14:textId="77777777" w:rsidR="00A72516" w:rsidRDefault="00000000" w:rsidP="00087D3F">
      <w:pPr>
        <w:spacing w:after="240" w:line="360" w:lineRule="auto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b/>
          <w:color w:val="222222"/>
          <w:highlight w:val="white"/>
        </w:rPr>
        <w:t>Supplementary Table 6</w:t>
      </w:r>
      <w:r>
        <w:rPr>
          <w:rFonts w:ascii="Arial" w:eastAsia="Arial" w:hAnsi="Arial" w:cs="Arial"/>
          <w:color w:val="222222"/>
          <w:highlight w:val="white"/>
        </w:rPr>
        <w:t xml:space="preserve">. Statistical tests used to observe differences in </w:t>
      </w:r>
      <w:proofErr w:type="spellStart"/>
      <w:r>
        <w:rPr>
          <w:rFonts w:ascii="Arial" w:eastAsia="Arial" w:hAnsi="Arial" w:cs="Arial"/>
          <w:color w:val="222222"/>
          <w:highlight w:val="white"/>
        </w:rPr>
        <w:t>wt</w:t>
      </w:r>
      <w:proofErr w:type="spellEnd"/>
      <w:r>
        <w:rPr>
          <w:rFonts w:ascii="Arial" w:eastAsia="Arial" w:hAnsi="Arial" w:cs="Arial"/>
          <w:color w:val="222222"/>
          <w:highlight w:val="white"/>
        </w:rPr>
        <w:t>% N, C:N and δ</w:t>
      </w:r>
      <w:r w:rsidRPr="00CA5239">
        <w:rPr>
          <w:rFonts w:ascii="Arial" w:eastAsia="Arial" w:hAnsi="Arial" w:cs="Arial"/>
          <w:color w:val="222222"/>
          <w:highlight w:val="white"/>
          <w:vertAlign w:val="superscript"/>
        </w:rPr>
        <w:t>15</w:t>
      </w:r>
      <w:r>
        <w:rPr>
          <w:rFonts w:ascii="Arial" w:eastAsia="Arial" w:hAnsi="Arial" w:cs="Arial"/>
          <w:color w:val="222222"/>
          <w:highlight w:val="white"/>
        </w:rPr>
        <w:t>N values of phase LA3 from the other phases.</w:t>
      </w:r>
    </w:p>
    <w:p w14:paraId="00000015" w14:textId="4E29434C" w:rsidR="00A72516" w:rsidRDefault="00000000" w:rsidP="00087D3F">
      <w:pPr>
        <w:spacing w:after="240" w:line="360" w:lineRule="auto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b/>
          <w:color w:val="222222"/>
          <w:highlight w:val="white"/>
        </w:rPr>
        <w:t>Supplementary Table 7a</w:t>
      </w:r>
      <w:r>
        <w:rPr>
          <w:rFonts w:ascii="Arial" w:eastAsia="Arial" w:hAnsi="Arial" w:cs="Arial"/>
          <w:color w:val="222222"/>
          <w:highlight w:val="white"/>
        </w:rPr>
        <w:t>. p-values of the Wilcoxon signed-rank test for δ</w:t>
      </w:r>
      <w:r>
        <w:rPr>
          <w:rFonts w:ascii="Arial" w:eastAsia="Arial" w:hAnsi="Arial" w:cs="Arial"/>
          <w:color w:val="222222"/>
          <w:highlight w:val="white"/>
          <w:vertAlign w:val="superscript"/>
        </w:rPr>
        <w:t>13</w:t>
      </w:r>
      <w:r>
        <w:rPr>
          <w:rFonts w:ascii="Arial" w:eastAsia="Arial" w:hAnsi="Arial" w:cs="Arial"/>
          <w:color w:val="222222"/>
          <w:highlight w:val="white"/>
        </w:rPr>
        <w:t xml:space="preserve">C values applied to the seeds from </w:t>
      </w:r>
      <w:proofErr w:type="spellStart"/>
      <w:r>
        <w:rPr>
          <w:rFonts w:ascii="Arial" w:eastAsia="Arial" w:hAnsi="Arial" w:cs="Arial"/>
          <w:color w:val="222222"/>
          <w:highlight w:val="white"/>
        </w:rPr>
        <w:t>Takarkori</w:t>
      </w:r>
      <w:proofErr w:type="spellEnd"/>
      <w:r>
        <w:rPr>
          <w:rFonts w:ascii="Arial" w:eastAsia="Arial" w:hAnsi="Arial" w:cs="Arial"/>
          <w:color w:val="222222"/>
          <w:highlight w:val="white"/>
        </w:rPr>
        <w:t xml:space="preserve"> according to species and whether they were recovered from spots or mixes</w:t>
      </w:r>
      <w:r w:rsidR="00CA5239">
        <w:rPr>
          <w:rFonts w:ascii="Arial" w:eastAsia="Arial" w:hAnsi="Arial" w:cs="Arial"/>
          <w:color w:val="222222"/>
          <w:highlight w:val="white"/>
        </w:rPr>
        <w:t>.</w:t>
      </w:r>
    </w:p>
    <w:p w14:paraId="00000016" w14:textId="200789A9" w:rsidR="00A72516" w:rsidRDefault="00000000" w:rsidP="00087D3F">
      <w:pPr>
        <w:spacing w:after="240" w:line="360" w:lineRule="auto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b/>
          <w:color w:val="222222"/>
          <w:highlight w:val="white"/>
        </w:rPr>
        <w:t>Supplementary Table 7b</w:t>
      </w:r>
      <w:r>
        <w:rPr>
          <w:rFonts w:ascii="Arial" w:eastAsia="Arial" w:hAnsi="Arial" w:cs="Arial"/>
          <w:color w:val="222222"/>
          <w:highlight w:val="white"/>
        </w:rPr>
        <w:t>. p-values of the Wilcoxon signed-rank test for δ</w:t>
      </w:r>
      <w:r>
        <w:rPr>
          <w:rFonts w:ascii="Arial" w:eastAsia="Arial" w:hAnsi="Arial" w:cs="Arial"/>
          <w:color w:val="222222"/>
          <w:highlight w:val="white"/>
          <w:vertAlign w:val="superscript"/>
        </w:rPr>
        <w:t>15</w:t>
      </w:r>
      <w:r>
        <w:rPr>
          <w:rFonts w:ascii="Arial" w:eastAsia="Arial" w:hAnsi="Arial" w:cs="Arial"/>
          <w:color w:val="222222"/>
          <w:highlight w:val="white"/>
        </w:rPr>
        <w:t xml:space="preserve">N values applied to the seeds from </w:t>
      </w:r>
      <w:proofErr w:type="spellStart"/>
      <w:r>
        <w:rPr>
          <w:rFonts w:ascii="Arial" w:eastAsia="Arial" w:hAnsi="Arial" w:cs="Arial"/>
          <w:color w:val="222222"/>
          <w:highlight w:val="white"/>
        </w:rPr>
        <w:t>Takarkori</w:t>
      </w:r>
      <w:proofErr w:type="spellEnd"/>
      <w:r>
        <w:rPr>
          <w:rFonts w:ascii="Arial" w:eastAsia="Arial" w:hAnsi="Arial" w:cs="Arial"/>
          <w:color w:val="222222"/>
          <w:highlight w:val="white"/>
        </w:rPr>
        <w:t xml:space="preserve"> according to species and whether they were recovered from spots or mixes</w:t>
      </w:r>
      <w:r w:rsidR="00CA5239">
        <w:rPr>
          <w:rFonts w:ascii="Arial" w:eastAsia="Arial" w:hAnsi="Arial" w:cs="Arial"/>
          <w:color w:val="222222"/>
          <w:highlight w:val="white"/>
        </w:rPr>
        <w:t>.</w:t>
      </w:r>
    </w:p>
    <w:p w14:paraId="00000017" w14:textId="5C38E412" w:rsidR="00A72516" w:rsidRDefault="00000000" w:rsidP="00087D3F">
      <w:pPr>
        <w:spacing w:after="240" w:line="360" w:lineRule="auto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b/>
          <w:color w:val="222222"/>
          <w:highlight w:val="white"/>
        </w:rPr>
        <w:lastRenderedPageBreak/>
        <w:t>Supplementary Table 8a</w:t>
      </w:r>
      <w:r>
        <w:rPr>
          <w:rFonts w:ascii="Arial" w:eastAsia="Arial" w:hAnsi="Arial" w:cs="Arial"/>
          <w:color w:val="222222"/>
          <w:highlight w:val="white"/>
        </w:rPr>
        <w:t>. p-values of the Wilcoxon signed-rank test for δ</w:t>
      </w:r>
      <w:r w:rsidRPr="00CA5239">
        <w:rPr>
          <w:rFonts w:ascii="Arial" w:eastAsia="Arial" w:hAnsi="Arial" w:cs="Arial"/>
          <w:color w:val="222222"/>
          <w:highlight w:val="white"/>
          <w:vertAlign w:val="superscript"/>
        </w:rPr>
        <w:t>13</w:t>
      </w:r>
      <w:r>
        <w:rPr>
          <w:rFonts w:ascii="Arial" w:eastAsia="Arial" w:hAnsi="Arial" w:cs="Arial"/>
          <w:color w:val="222222"/>
          <w:highlight w:val="white"/>
        </w:rPr>
        <w:t xml:space="preserve">C values applied to the seeds from </w:t>
      </w:r>
      <w:proofErr w:type="spellStart"/>
      <w:r>
        <w:rPr>
          <w:rFonts w:ascii="Arial" w:eastAsia="Arial" w:hAnsi="Arial" w:cs="Arial"/>
          <w:color w:val="222222"/>
          <w:highlight w:val="white"/>
        </w:rPr>
        <w:t>Takarkori</w:t>
      </w:r>
      <w:proofErr w:type="spellEnd"/>
      <w:r>
        <w:rPr>
          <w:rFonts w:ascii="Arial" w:eastAsia="Arial" w:hAnsi="Arial" w:cs="Arial"/>
          <w:color w:val="222222"/>
          <w:highlight w:val="white"/>
        </w:rPr>
        <w:t xml:space="preserve"> according to stratigraphy</w:t>
      </w:r>
      <w:r w:rsidR="00CA5239">
        <w:rPr>
          <w:rFonts w:ascii="Arial" w:eastAsia="Arial" w:hAnsi="Arial" w:cs="Arial"/>
          <w:color w:val="222222"/>
          <w:highlight w:val="white"/>
        </w:rPr>
        <w:t>.</w:t>
      </w:r>
    </w:p>
    <w:p w14:paraId="00000018" w14:textId="0D9271EA" w:rsidR="00A72516" w:rsidRDefault="00000000" w:rsidP="00087D3F">
      <w:pPr>
        <w:spacing w:after="240" w:line="360" w:lineRule="auto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b/>
          <w:color w:val="222222"/>
          <w:highlight w:val="white"/>
        </w:rPr>
        <w:t>Supplementary Table 8b</w:t>
      </w:r>
      <w:r>
        <w:rPr>
          <w:rFonts w:ascii="Arial" w:eastAsia="Arial" w:hAnsi="Arial" w:cs="Arial"/>
          <w:color w:val="222222"/>
          <w:highlight w:val="white"/>
        </w:rPr>
        <w:t>. p-values of the Wilcoxon signed-rank test for δ</w:t>
      </w:r>
      <w:r w:rsidRPr="00CA5239">
        <w:rPr>
          <w:rFonts w:ascii="Arial" w:eastAsia="Arial" w:hAnsi="Arial" w:cs="Arial"/>
          <w:color w:val="222222"/>
          <w:highlight w:val="white"/>
          <w:vertAlign w:val="superscript"/>
        </w:rPr>
        <w:t>15</w:t>
      </w:r>
      <w:r>
        <w:rPr>
          <w:rFonts w:ascii="Arial" w:eastAsia="Arial" w:hAnsi="Arial" w:cs="Arial"/>
          <w:color w:val="222222"/>
          <w:highlight w:val="white"/>
        </w:rPr>
        <w:t xml:space="preserve">N values applied to the seeds from </w:t>
      </w:r>
      <w:proofErr w:type="spellStart"/>
      <w:r>
        <w:rPr>
          <w:rFonts w:ascii="Arial" w:eastAsia="Arial" w:hAnsi="Arial" w:cs="Arial"/>
          <w:color w:val="222222"/>
          <w:highlight w:val="white"/>
        </w:rPr>
        <w:t>Takarkori</w:t>
      </w:r>
      <w:proofErr w:type="spellEnd"/>
      <w:r>
        <w:rPr>
          <w:rFonts w:ascii="Arial" w:eastAsia="Arial" w:hAnsi="Arial" w:cs="Arial"/>
          <w:color w:val="222222"/>
          <w:highlight w:val="white"/>
        </w:rPr>
        <w:t xml:space="preserve"> according to stratigraphy</w:t>
      </w:r>
      <w:r w:rsidR="00CA5239">
        <w:rPr>
          <w:rFonts w:ascii="Arial" w:eastAsia="Arial" w:hAnsi="Arial" w:cs="Arial"/>
          <w:color w:val="222222"/>
          <w:highlight w:val="white"/>
        </w:rPr>
        <w:t>.</w:t>
      </w:r>
    </w:p>
    <w:p w14:paraId="00000019" w14:textId="3D0A9CCB" w:rsidR="00A72516" w:rsidRDefault="00000000" w:rsidP="00087D3F">
      <w:pPr>
        <w:spacing w:after="240" w:line="360" w:lineRule="auto"/>
        <w:rPr>
          <w:rFonts w:ascii="Arial" w:eastAsia="Arial" w:hAnsi="Arial" w:cs="Arial"/>
          <w:b/>
          <w:color w:val="222222"/>
          <w:highlight w:val="white"/>
        </w:rPr>
      </w:pPr>
      <w:r>
        <w:rPr>
          <w:rFonts w:ascii="Arial" w:eastAsia="Arial" w:hAnsi="Arial" w:cs="Arial"/>
          <w:b/>
          <w:color w:val="222222"/>
          <w:highlight w:val="white"/>
        </w:rPr>
        <w:t xml:space="preserve">Supplementary Figures </w:t>
      </w:r>
      <w:r w:rsidR="00CA54DB">
        <w:rPr>
          <w:rFonts w:ascii="Arial" w:eastAsia="Arial" w:hAnsi="Arial" w:cs="Arial"/>
          <w:b/>
          <w:color w:val="222222"/>
          <w:highlight w:val="white"/>
        </w:rPr>
        <w:t>(</w:t>
      </w:r>
      <w:r>
        <w:rPr>
          <w:rFonts w:ascii="Arial" w:eastAsia="Arial" w:hAnsi="Arial" w:cs="Arial"/>
          <w:b/>
          <w:color w:val="222222"/>
          <w:highlight w:val="white"/>
        </w:rPr>
        <w:t>files attached in the submission)</w:t>
      </w:r>
    </w:p>
    <w:p w14:paraId="0000001A" w14:textId="60A04808" w:rsidR="00A72516" w:rsidRDefault="00000000" w:rsidP="00087D3F">
      <w:pPr>
        <w:spacing w:after="240" w:line="360" w:lineRule="auto"/>
        <w:rPr>
          <w:rFonts w:ascii="Arial" w:eastAsia="Arial" w:hAnsi="Arial" w:cs="Arial"/>
          <w:b/>
          <w:color w:val="222222"/>
          <w:highlight w:val="white"/>
        </w:rPr>
      </w:pPr>
      <w:r>
        <w:rPr>
          <w:rFonts w:ascii="Arial" w:eastAsia="Arial" w:hAnsi="Arial" w:cs="Arial"/>
          <w:b/>
          <w:color w:val="222222"/>
          <w:highlight w:val="white"/>
        </w:rPr>
        <w:t xml:space="preserve">Supplementary Figure 1. </w:t>
      </w:r>
      <w:r w:rsidR="00087D3F" w:rsidRPr="00087D3F">
        <w:rPr>
          <w:rFonts w:ascii="Arial" w:eastAsia="Arial" w:hAnsi="Arial" w:cs="Arial"/>
          <w:bCs/>
          <w:color w:val="222222"/>
          <w:highlight w:val="white"/>
        </w:rPr>
        <w:t xml:space="preserve">Mean and </w:t>
      </w:r>
      <w:r w:rsidR="00087D3F" w:rsidRPr="00087D3F">
        <w:rPr>
          <w:rFonts w:ascii="Arial" w:eastAsia="Arial" w:hAnsi="Arial" w:cs="Arial"/>
          <w:bCs/>
          <w:color w:val="222222"/>
        </w:rPr>
        <w:t xml:space="preserve">lower and upper confidence limits of </w:t>
      </w:r>
      <w:proofErr w:type="spellStart"/>
      <w:r w:rsidR="00087D3F" w:rsidRPr="00087D3F">
        <w:rPr>
          <w:rFonts w:ascii="Arial" w:eastAsia="Arial" w:hAnsi="Arial" w:cs="Arial"/>
          <w:bCs/>
          <w:color w:val="222222"/>
        </w:rPr>
        <w:t>wt</w:t>
      </w:r>
      <w:proofErr w:type="spellEnd"/>
      <w:r w:rsidR="00087D3F" w:rsidRPr="00087D3F">
        <w:rPr>
          <w:rFonts w:ascii="Arial" w:eastAsia="Arial" w:hAnsi="Arial" w:cs="Arial"/>
          <w:bCs/>
          <w:color w:val="222222"/>
        </w:rPr>
        <w:t>% C (</w:t>
      </w:r>
      <w:r w:rsidR="00087D3F" w:rsidRPr="00087D3F">
        <w:rPr>
          <w:rFonts w:ascii="Arial" w:eastAsia="Arial" w:hAnsi="Arial" w:cs="Arial"/>
          <w:b/>
          <w:color w:val="222222"/>
        </w:rPr>
        <w:t>a</w:t>
      </w:r>
      <w:r w:rsidR="00087D3F" w:rsidRPr="00087D3F">
        <w:rPr>
          <w:rFonts w:ascii="Arial" w:eastAsia="Arial" w:hAnsi="Arial" w:cs="Arial"/>
          <w:bCs/>
          <w:color w:val="222222"/>
        </w:rPr>
        <w:t xml:space="preserve">), </w:t>
      </w:r>
      <w:proofErr w:type="spellStart"/>
      <w:r w:rsidR="00087D3F" w:rsidRPr="00087D3F">
        <w:rPr>
          <w:rFonts w:ascii="Arial" w:eastAsia="Arial" w:hAnsi="Arial" w:cs="Arial"/>
          <w:bCs/>
          <w:color w:val="222222"/>
        </w:rPr>
        <w:t>wt</w:t>
      </w:r>
      <w:proofErr w:type="spellEnd"/>
      <w:r w:rsidR="00087D3F" w:rsidRPr="00087D3F">
        <w:rPr>
          <w:rFonts w:ascii="Arial" w:eastAsia="Arial" w:hAnsi="Arial" w:cs="Arial"/>
          <w:bCs/>
          <w:color w:val="222222"/>
        </w:rPr>
        <w:t>% N (</w:t>
      </w:r>
      <w:r w:rsidR="00087D3F" w:rsidRPr="00087D3F">
        <w:rPr>
          <w:rFonts w:ascii="Arial" w:eastAsia="Arial" w:hAnsi="Arial" w:cs="Arial"/>
          <w:b/>
          <w:color w:val="222222"/>
        </w:rPr>
        <w:t>b</w:t>
      </w:r>
      <w:r w:rsidR="00087D3F" w:rsidRPr="00087D3F">
        <w:rPr>
          <w:rFonts w:ascii="Arial" w:eastAsia="Arial" w:hAnsi="Arial" w:cs="Arial"/>
          <w:bCs/>
          <w:color w:val="222222"/>
        </w:rPr>
        <w:t xml:space="preserve">), </w:t>
      </w:r>
      <w:r w:rsidR="00087D3F" w:rsidRPr="00087D3F">
        <w:rPr>
          <w:rFonts w:ascii="Arial" w:eastAsia="Arial" w:hAnsi="Arial" w:cs="Arial"/>
          <w:bCs/>
          <w:color w:val="222222"/>
          <w:highlight w:val="white"/>
        </w:rPr>
        <w:t>δ</w:t>
      </w:r>
      <w:r w:rsidR="00087D3F" w:rsidRPr="00087D3F">
        <w:rPr>
          <w:rFonts w:ascii="Arial" w:eastAsia="Arial" w:hAnsi="Arial" w:cs="Arial"/>
          <w:bCs/>
          <w:color w:val="222222"/>
          <w:highlight w:val="white"/>
          <w:vertAlign w:val="superscript"/>
        </w:rPr>
        <w:t>13</w:t>
      </w:r>
      <w:r w:rsidR="00087D3F" w:rsidRPr="00087D3F">
        <w:rPr>
          <w:rFonts w:ascii="Arial" w:eastAsia="Arial" w:hAnsi="Arial" w:cs="Arial"/>
          <w:bCs/>
          <w:color w:val="222222"/>
          <w:highlight w:val="white"/>
        </w:rPr>
        <w:t>C (</w:t>
      </w:r>
      <w:r w:rsidR="00087D3F" w:rsidRPr="00087D3F">
        <w:rPr>
          <w:rFonts w:ascii="Arial" w:eastAsia="Arial" w:hAnsi="Arial" w:cs="Arial"/>
          <w:b/>
          <w:color w:val="222222"/>
          <w:highlight w:val="white"/>
        </w:rPr>
        <w:t>c</w:t>
      </w:r>
      <w:r w:rsidR="00087D3F" w:rsidRPr="00087D3F">
        <w:rPr>
          <w:rFonts w:ascii="Arial" w:eastAsia="Arial" w:hAnsi="Arial" w:cs="Arial"/>
          <w:bCs/>
          <w:color w:val="222222"/>
          <w:highlight w:val="white"/>
        </w:rPr>
        <w:t>) and δ</w:t>
      </w:r>
      <w:r w:rsidR="00087D3F" w:rsidRPr="00087D3F">
        <w:rPr>
          <w:rFonts w:ascii="Arial" w:eastAsia="Arial" w:hAnsi="Arial" w:cs="Arial"/>
          <w:bCs/>
          <w:color w:val="222222"/>
          <w:highlight w:val="white"/>
          <w:vertAlign w:val="superscript"/>
        </w:rPr>
        <w:t>15</w:t>
      </w:r>
      <w:r w:rsidR="00087D3F" w:rsidRPr="00087D3F">
        <w:rPr>
          <w:rFonts w:ascii="Arial" w:eastAsia="Arial" w:hAnsi="Arial" w:cs="Arial"/>
          <w:bCs/>
          <w:color w:val="222222"/>
          <w:highlight w:val="white"/>
        </w:rPr>
        <w:t>N (</w:t>
      </w:r>
      <w:r w:rsidR="00087D3F" w:rsidRPr="00087D3F">
        <w:rPr>
          <w:rFonts w:ascii="Arial" w:eastAsia="Arial" w:hAnsi="Arial" w:cs="Arial"/>
          <w:b/>
          <w:color w:val="222222"/>
          <w:highlight w:val="white"/>
        </w:rPr>
        <w:t>d</w:t>
      </w:r>
      <w:r w:rsidR="00087D3F" w:rsidRPr="00087D3F">
        <w:rPr>
          <w:rFonts w:ascii="Arial" w:eastAsia="Arial" w:hAnsi="Arial" w:cs="Arial"/>
          <w:bCs/>
          <w:color w:val="222222"/>
          <w:highlight w:val="white"/>
        </w:rPr>
        <w:t>)</w:t>
      </w:r>
      <w:r w:rsidR="00087D3F">
        <w:rPr>
          <w:rFonts w:ascii="Arial" w:eastAsia="Arial" w:hAnsi="Arial" w:cs="Arial"/>
          <w:bCs/>
          <w:color w:val="222222"/>
          <w:highlight w:val="white"/>
        </w:rPr>
        <w:t xml:space="preserve"> for </w:t>
      </w:r>
      <w:proofErr w:type="spellStart"/>
      <w:r w:rsidR="00087D3F" w:rsidRPr="00087D3F">
        <w:rPr>
          <w:rFonts w:ascii="Arial" w:eastAsia="Arial" w:hAnsi="Arial" w:cs="Arial"/>
          <w:bCs/>
          <w:i/>
          <w:iCs/>
          <w:color w:val="222222"/>
          <w:highlight w:val="white"/>
        </w:rPr>
        <w:t>Urochloa</w:t>
      </w:r>
      <w:proofErr w:type="spellEnd"/>
      <w:r w:rsidR="00087D3F">
        <w:rPr>
          <w:rFonts w:ascii="Arial" w:eastAsia="Arial" w:hAnsi="Arial" w:cs="Arial"/>
          <w:bCs/>
          <w:color w:val="222222"/>
          <w:highlight w:val="white"/>
        </w:rPr>
        <w:t xml:space="preserve"> samples composed of glumes and seeds, seeds and seeds and glumes.</w:t>
      </w:r>
    </w:p>
    <w:p w14:paraId="0000001B" w14:textId="17ED22B5" w:rsidR="00A72516" w:rsidRDefault="00000000" w:rsidP="00087D3F">
      <w:pPr>
        <w:spacing w:after="240" w:line="360" w:lineRule="auto"/>
        <w:rPr>
          <w:rFonts w:ascii="Arial" w:eastAsia="Arial" w:hAnsi="Arial" w:cs="Arial"/>
          <w:b/>
          <w:color w:val="222222"/>
          <w:highlight w:val="white"/>
        </w:rPr>
      </w:pPr>
      <w:r>
        <w:rPr>
          <w:rFonts w:ascii="Arial" w:eastAsia="Arial" w:hAnsi="Arial" w:cs="Arial"/>
          <w:b/>
          <w:color w:val="222222"/>
          <w:highlight w:val="white"/>
        </w:rPr>
        <w:t>Supplementary Figure 2.</w:t>
      </w:r>
      <w:r w:rsidR="00087D3F">
        <w:rPr>
          <w:rFonts w:ascii="Arial" w:eastAsia="Arial" w:hAnsi="Arial" w:cs="Arial"/>
          <w:b/>
          <w:color w:val="222222"/>
          <w:highlight w:val="white"/>
        </w:rPr>
        <w:t xml:space="preserve"> </w:t>
      </w:r>
      <w:proofErr w:type="spellStart"/>
      <w:r w:rsidR="00087D3F" w:rsidRPr="00C66A73">
        <w:rPr>
          <w:rFonts w:ascii="Arial" w:hAnsi="Arial" w:cs="Arial"/>
        </w:rPr>
        <w:t>wt</w:t>
      </w:r>
      <w:proofErr w:type="spellEnd"/>
      <w:r w:rsidR="00087D3F" w:rsidRPr="00C66A73">
        <w:rPr>
          <w:rFonts w:ascii="Arial" w:hAnsi="Arial" w:cs="Arial"/>
        </w:rPr>
        <w:t>% N values and δ</w:t>
      </w:r>
      <w:r w:rsidR="00087D3F" w:rsidRPr="00C66A73">
        <w:rPr>
          <w:rFonts w:ascii="Arial" w:hAnsi="Arial" w:cs="Arial"/>
          <w:vertAlign w:val="superscript"/>
        </w:rPr>
        <w:t>15</w:t>
      </w:r>
      <w:r w:rsidR="00087D3F" w:rsidRPr="00C66A73">
        <w:rPr>
          <w:rFonts w:ascii="Arial" w:hAnsi="Arial" w:cs="Arial"/>
        </w:rPr>
        <w:t>N values explored according to</w:t>
      </w:r>
      <w:r w:rsidR="00087D3F">
        <w:rPr>
          <w:rFonts w:ascii="Arial" w:hAnsi="Arial" w:cs="Arial"/>
        </w:rPr>
        <w:t xml:space="preserve"> species and</w:t>
      </w:r>
      <w:r w:rsidR="00087D3F" w:rsidRPr="00C66A73">
        <w:rPr>
          <w:rFonts w:ascii="Arial" w:hAnsi="Arial" w:cs="Arial"/>
        </w:rPr>
        <w:t xml:space="preserve"> type of deposition</w:t>
      </w:r>
      <w:r w:rsidR="00087D3F">
        <w:rPr>
          <w:rFonts w:ascii="Arial" w:hAnsi="Arial" w:cs="Arial"/>
        </w:rPr>
        <w:t>.</w:t>
      </w:r>
    </w:p>
    <w:p w14:paraId="0000001C" w14:textId="2F73D570" w:rsidR="00A72516" w:rsidRDefault="00000000" w:rsidP="00087D3F">
      <w:pPr>
        <w:spacing w:after="240" w:line="360" w:lineRule="auto"/>
        <w:rPr>
          <w:rFonts w:ascii="Arial" w:eastAsia="Arial" w:hAnsi="Arial" w:cs="Arial"/>
          <w:b/>
          <w:color w:val="222222"/>
          <w:highlight w:val="white"/>
        </w:rPr>
      </w:pPr>
      <w:r>
        <w:rPr>
          <w:rFonts w:ascii="Arial" w:eastAsia="Arial" w:hAnsi="Arial" w:cs="Arial"/>
          <w:b/>
          <w:color w:val="222222"/>
          <w:highlight w:val="white"/>
        </w:rPr>
        <w:t xml:space="preserve">Supplementary Figure 3. </w:t>
      </w:r>
      <w:r w:rsidR="00087D3F" w:rsidRPr="00C66A73">
        <w:rPr>
          <w:rFonts w:ascii="Arial" w:hAnsi="Arial" w:cs="Arial"/>
        </w:rPr>
        <w:t>C:N (</w:t>
      </w:r>
      <w:r w:rsidR="00087D3F">
        <w:rPr>
          <w:rFonts w:ascii="Arial" w:hAnsi="Arial" w:cs="Arial"/>
          <w:b/>
        </w:rPr>
        <w:t>a</w:t>
      </w:r>
      <w:r w:rsidR="00087D3F" w:rsidRPr="00C66A73">
        <w:rPr>
          <w:rFonts w:ascii="Arial" w:hAnsi="Arial" w:cs="Arial"/>
        </w:rPr>
        <w:t xml:space="preserve">) and </w:t>
      </w:r>
      <w:proofErr w:type="spellStart"/>
      <w:r w:rsidR="00087D3F" w:rsidRPr="00C66A73">
        <w:rPr>
          <w:rFonts w:ascii="Arial" w:hAnsi="Arial" w:cs="Arial"/>
        </w:rPr>
        <w:t>wt</w:t>
      </w:r>
      <w:proofErr w:type="spellEnd"/>
      <w:r w:rsidR="00087D3F" w:rsidRPr="00C66A73">
        <w:rPr>
          <w:rFonts w:ascii="Arial" w:hAnsi="Arial" w:cs="Arial"/>
        </w:rPr>
        <w:t>% C (</w:t>
      </w:r>
      <w:r w:rsidR="00087D3F">
        <w:rPr>
          <w:rFonts w:ascii="Arial" w:hAnsi="Arial" w:cs="Arial"/>
          <w:b/>
        </w:rPr>
        <w:t>b</w:t>
      </w:r>
      <w:r w:rsidR="00087D3F" w:rsidRPr="00C66A73">
        <w:rPr>
          <w:rFonts w:ascii="Arial" w:hAnsi="Arial" w:cs="Arial"/>
        </w:rPr>
        <w:t>)</w:t>
      </w:r>
      <w:r w:rsidR="00087D3F">
        <w:rPr>
          <w:rFonts w:ascii="Arial" w:hAnsi="Arial" w:cs="Arial"/>
        </w:rPr>
        <w:t xml:space="preserve"> against </w:t>
      </w:r>
      <w:r w:rsidR="00087D3F" w:rsidRPr="00087D3F">
        <w:rPr>
          <w:rFonts w:ascii="Arial" w:eastAsia="Arial" w:hAnsi="Arial" w:cs="Arial"/>
          <w:bCs/>
          <w:color w:val="222222"/>
          <w:highlight w:val="white"/>
        </w:rPr>
        <w:t>δ</w:t>
      </w:r>
      <w:r w:rsidR="00087D3F" w:rsidRPr="00087D3F">
        <w:rPr>
          <w:rFonts w:ascii="Arial" w:eastAsia="Arial" w:hAnsi="Arial" w:cs="Arial"/>
          <w:bCs/>
          <w:color w:val="222222"/>
          <w:highlight w:val="white"/>
          <w:vertAlign w:val="superscript"/>
        </w:rPr>
        <w:t>13</w:t>
      </w:r>
      <w:r w:rsidR="00087D3F" w:rsidRPr="00087D3F">
        <w:rPr>
          <w:rFonts w:ascii="Arial" w:eastAsia="Arial" w:hAnsi="Arial" w:cs="Arial"/>
          <w:bCs/>
          <w:color w:val="222222"/>
          <w:highlight w:val="white"/>
        </w:rPr>
        <w:t>C</w:t>
      </w:r>
      <w:r w:rsidR="00087D3F" w:rsidRPr="00C66A73">
        <w:rPr>
          <w:rFonts w:ascii="Arial" w:hAnsi="Arial" w:cs="Arial"/>
        </w:rPr>
        <w:t xml:space="preserve"> </w:t>
      </w:r>
      <w:r w:rsidR="00087D3F">
        <w:rPr>
          <w:rFonts w:ascii="Arial" w:hAnsi="Arial" w:cs="Arial"/>
        </w:rPr>
        <w:t>by species and cultural phase.</w:t>
      </w:r>
    </w:p>
    <w:p w14:paraId="0000001D" w14:textId="6FFA8616" w:rsidR="00A72516" w:rsidRDefault="00000000" w:rsidP="00087D3F">
      <w:pPr>
        <w:spacing w:after="240" w:line="360" w:lineRule="auto"/>
        <w:rPr>
          <w:rFonts w:ascii="Arial" w:eastAsia="Arial" w:hAnsi="Arial" w:cs="Arial"/>
          <w:b/>
          <w:color w:val="222222"/>
          <w:highlight w:val="white"/>
        </w:rPr>
      </w:pPr>
      <w:r>
        <w:rPr>
          <w:rFonts w:ascii="Arial" w:eastAsia="Arial" w:hAnsi="Arial" w:cs="Arial"/>
          <w:b/>
          <w:color w:val="222222"/>
          <w:highlight w:val="white"/>
        </w:rPr>
        <w:t>Supplementary Figure 4.</w:t>
      </w:r>
      <w:r w:rsidR="00087D3F">
        <w:rPr>
          <w:rFonts w:ascii="Arial" w:eastAsia="Arial" w:hAnsi="Arial" w:cs="Arial"/>
          <w:b/>
          <w:color w:val="222222"/>
          <w:highlight w:val="white"/>
        </w:rPr>
        <w:t xml:space="preserve"> </w:t>
      </w:r>
      <w:r w:rsidR="00087D3F" w:rsidRPr="00C66A73">
        <w:rPr>
          <w:rFonts w:ascii="Arial" w:hAnsi="Arial" w:cs="Arial"/>
          <w:sz w:val="21"/>
          <w:szCs w:val="21"/>
          <w:highlight w:val="white"/>
        </w:rPr>
        <w:t>δ</w:t>
      </w:r>
      <w:r w:rsidR="00087D3F" w:rsidRPr="00C66A73">
        <w:rPr>
          <w:rFonts w:ascii="Arial" w:hAnsi="Arial" w:cs="Arial"/>
          <w:vertAlign w:val="superscript"/>
        </w:rPr>
        <w:t>13</w:t>
      </w:r>
      <w:r w:rsidR="00087D3F" w:rsidRPr="00C66A73">
        <w:rPr>
          <w:rFonts w:ascii="Arial" w:hAnsi="Arial" w:cs="Arial"/>
        </w:rPr>
        <w:t>C and δ</w:t>
      </w:r>
      <w:r w:rsidR="00087D3F" w:rsidRPr="00C66A73">
        <w:rPr>
          <w:rFonts w:ascii="Arial" w:hAnsi="Arial" w:cs="Arial"/>
          <w:vertAlign w:val="superscript"/>
        </w:rPr>
        <w:t>15</w:t>
      </w:r>
      <w:r w:rsidR="00087D3F" w:rsidRPr="00C66A73">
        <w:rPr>
          <w:rFonts w:ascii="Arial" w:hAnsi="Arial" w:cs="Arial"/>
        </w:rPr>
        <w:t>N values according to the type of accumulation</w:t>
      </w:r>
      <w:r w:rsidR="00087D3F">
        <w:rPr>
          <w:rFonts w:ascii="Arial" w:hAnsi="Arial" w:cs="Arial"/>
        </w:rPr>
        <w:t xml:space="preserve"> and species. </w:t>
      </w:r>
      <w:r w:rsidR="00087D3F" w:rsidRPr="00087D3F">
        <w:rPr>
          <w:rFonts w:ascii="Arial" w:hAnsi="Arial" w:cs="Arial"/>
        </w:rPr>
        <w:t>The number of samples composing each group is indicated next to the mean value; where this is not indicated, the symbol represents one sample.</w:t>
      </w:r>
    </w:p>
    <w:p w14:paraId="00000023" w14:textId="2E18B007" w:rsidR="00A72516" w:rsidRDefault="00000000" w:rsidP="00CA54DB">
      <w:pPr>
        <w:spacing w:after="240" w:line="360" w:lineRule="auto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b/>
          <w:color w:val="222222"/>
          <w:highlight w:val="white"/>
        </w:rPr>
        <w:t>Supplementary Figure 5.</w:t>
      </w:r>
      <w:r w:rsidR="00087D3F">
        <w:rPr>
          <w:rFonts w:ascii="Arial" w:eastAsia="Arial" w:hAnsi="Arial" w:cs="Arial"/>
          <w:b/>
          <w:color w:val="222222"/>
          <w:highlight w:val="white"/>
        </w:rPr>
        <w:t xml:space="preserve"> </w:t>
      </w:r>
      <w:r w:rsidR="00087D3F" w:rsidRPr="00C66A73">
        <w:rPr>
          <w:rFonts w:ascii="Arial" w:hAnsi="Arial" w:cs="Arial"/>
          <w:sz w:val="21"/>
          <w:szCs w:val="21"/>
          <w:highlight w:val="white"/>
        </w:rPr>
        <w:t>δ</w:t>
      </w:r>
      <w:r w:rsidR="00087D3F" w:rsidRPr="00C66A73">
        <w:rPr>
          <w:rFonts w:ascii="Arial" w:hAnsi="Arial" w:cs="Arial"/>
          <w:vertAlign w:val="superscript"/>
        </w:rPr>
        <w:t>13</w:t>
      </w:r>
      <w:r w:rsidR="00087D3F" w:rsidRPr="00C66A73">
        <w:rPr>
          <w:rFonts w:ascii="Arial" w:hAnsi="Arial" w:cs="Arial"/>
        </w:rPr>
        <w:t>C and δ</w:t>
      </w:r>
      <w:r w:rsidR="00087D3F" w:rsidRPr="00C66A73">
        <w:rPr>
          <w:rFonts w:ascii="Arial" w:hAnsi="Arial" w:cs="Arial"/>
          <w:vertAlign w:val="superscript"/>
        </w:rPr>
        <w:t>15</w:t>
      </w:r>
      <w:r w:rsidR="00087D3F" w:rsidRPr="00C66A73">
        <w:rPr>
          <w:rFonts w:ascii="Arial" w:hAnsi="Arial" w:cs="Arial"/>
        </w:rPr>
        <w:t xml:space="preserve">N values according to </w:t>
      </w:r>
      <w:r w:rsidR="00087D3F">
        <w:rPr>
          <w:rFonts w:ascii="Arial" w:hAnsi="Arial" w:cs="Arial"/>
        </w:rPr>
        <w:t xml:space="preserve">different stratigraphic contexts. </w:t>
      </w:r>
      <w:r w:rsidR="00087D3F" w:rsidRPr="00087D3F">
        <w:rPr>
          <w:rFonts w:ascii="Arial" w:hAnsi="Arial" w:cs="Arial"/>
        </w:rPr>
        <w:t>The number of samples composing each group is indicated next to the mean value; where this is not indicated, the symbol represents one sample.</w:t>
      </w:r>
      <w:r>
        <w:rPr>
          <w:rFonts w:ascii="Arial" w:eastAsia="Arial" w:hAnsi="Arial" w:cs="Arial"/>
          <w:b/>
          <w:color w:val="222222"/>
          <w:highlight w:val="white"/>
        </w:rPr>
        <w:br/>
      </w:r>
    </w:p>
    <w:p w14:paraId="00000024" w14:textId="77777777" w:rsidR="00A72516" w:rsidRDefault="00A72516" w:rsidP="00087D3F">
      <w:pPr>
        <w:spacing w:after="240" w:line="360" w:lineRule="auto"/>
        <w:rPr>
          <w:rFonts w:ascii="Arial" w:eastAsia="Arial" w:hAnsi="Arial" w:cs="Arial"/>
        </w:rPr>
      </w:pPr>
    </w:p>
    <w:sectPr w:rsidR="00A72516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0B24E6" w14:textId="77777777" w:rsidR="00A81D3B" w:rsidRDefault="00A81D3B" w:rsidP="00635A37">
      <w:pPr>
        <w:spacing w:after="0" w:line="240" w:lineRule="auto"/>
      </w:pPr>
      <w:r>
        <w:separator/>
      </w:r>
    </w:p>
  </w:endnote>
  <w:endnote w:type="continuationSeparator" w:id="0">
    <w:p w14:paraId="16DCC570" w14:textId="77777777" w:rsidR="00A81D3B" w:rsidRDefault="00A81D3B" w:rsidP="00635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5AACD0" w14:textId="77777777" w:rsidR="00A81D3B" w:rsidRDefault="00A81D3B" w:rsidP="00635A37">
      <w:pPr>
        <w:spacing w:after="0" w:line="240" w:lineRule="auto"/>
      </w:pPr>
      <w:r>
        <w:separator/>
      </w:r>
    </w:p>
  </w:footnote>
  <w:footnote w:type="continuationSeparator" w:id="0">
    <w:p w14:paraId="6064FEE1" w14:textId="77777777" w:rsidR="00A81D3B" w:rsidRDefault="00A81D3B" w:rsidP="00635A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516"/>
    <w:rsid w:val="00087D3F"/>
    <w:rsid w:val="0029453D"/>
    <w:rsid w:val="002F7A1D"/>
    <w:rsid w:val="003F19C9"/>
    <w:rsid w:val="003F7FE8"/>
    <w:rsid w:val="00635A37"/>
    <w:rsid w:val="00A72516"/>
    <w:rsid w:val="00A81D3B"/>
    <w:rsid w:val="00CA5239"/>
    <w:rsid w:val="00CA54DB"/>
    <w:rsid w:val="00DF6A71"/>
    <w:rsid w:val="00E17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910F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eWeb">
    <w:name w:val="Normal (Web)"/>
    <w:basedOn w:val="Normale"/>
    <w:uiPriority w:val="99"/>
    <w:semiHidden/>
    <w:unhideWhenUsed/>
    <w:rsid w:val="0043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Intestazione">
    <w:name w:val="header"/>
    <w:basedOn w:val="Normale"/>
    <w:link w:val="IntestazioneCarattere"/>
    <w:uiPriority w:val="99"/>
    <w:unhideWhenUsed/>
    <w:rsid w:val="00635A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35A37"/>
  </w:style>
  <w:style w:type="paragraph" w:styleId="Pidipagina">
    <w:name w:val="footer"/>
    <w:basedOn w:val="Normale"/>
    <w:link w:val="PidipaginaCarattere"/>
    <w:uiPriority w:val="99"/>
    <w:unhideWhenUsed/>
    <w:rsid w:val="00635A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35A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461</Words>
  <Characters>2634</Characters>
  <Application>Microsoft Office Word</Application>
  <DocSecurity>0</DocSecurity>
  <Lines>21</Lines>
  <Paragraphs>6</Paragraphs>
  <ScaleCrop>false</ScaleCrop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2024-10-09T13:38:00Z</dcterms:created>
  <dcterms:modified xsi:type="dcterms:W3CDTF">2024-10-09T13:38:00Z</dcterms:modified>
</cp:coreProperties>
</file>