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1002C3" w14:textId="530D60DD" w:rsidR="00060D8C" w:rsidRPr="0065306F" w:rsidRDefault="0065306F" w:rsidP="004C3440">
      <w:pPr>
        <w:spacing w:after="0"/>
        <w:rPr>
          <w:b/>
          <w:bCs/>
          <w:lang w:val="en-US"/>
        </w:rPr>
      </w:pPr>
      <w:bookmarkStart w:id="0" w:name="_Hlk202867485"/>
      <w:bookmarkEnd w:id="0"/>
      <w:r w:rsidRPr="0065306F">
        <w:rPr>
          <w:b/>
          <w:bCs/>
          <w:lang w:val="en-US"/>
        </w:rPr>
        <w:t>Appendix A: LDA procedure and To</w:t>
      </w:r>
      <w:r>
        <w:rPr>
          <w:b/>
          <w:bCs/>
          <w:lang w:val="en-US"/>
        </w:rPr>
        <w:t>pics description</w:t>
      </w:r>
    </w:p>
    <w:p w14:paraId="3F02DAE3" w14:textId="77777777" w:rsidR="004C3440" w:rsidRDefault="004C3440" w:rsidP="004C3440">
      <w:pPr>
        <w:spacing w:after="0"/>
        <w:rPr>
          <w:b/>
          <w:bCs/>
          <w:lang w:val="en-US"/>
        </w:rPr>
      </w:pPr>
    </w:p>
    <w:p w14:paraId="755E4F99" w14:textId="4CC50FFA" w:rsidR="0065306F" w:rsidRDefault="0065306F" w:rsidP="004C3440">
      <w:pPr>
        <w:spacing w:after="0"/>
        <w:rPr>
          <w:b/>
          <w:bCs/>
          <w:lang w:val="en-US"/>
        </w:rPr>
      </w:pPr>
      <w:r>
        <w:rPr>
          <w:b/>
          <w:bCs/>
          <w:lang w:val="en-US"/>
        </w:rPr>
        <w:t>A.1. Data pre-processing and definition of the corpus</w:t>
      </w:r>
    </w:p>
    <w:p w14:paraId="43A505B5" w14:textId="57C03642" w:rsidR="00185A6A" w:rsidRDefault="003D1822" w:rsidP="004C3440">
      <w:pPr>
        <w:spacing w:after="0"/>
        <w:jc w:val="both"/>
        <w:rPr>
          <w:lang w:val="en-US"/>
        </w:rPr>
      </w:pPr>
      <w:r w:rsidRPr="003D1822">
        <w:rPr>
          <w:lang w:val="en-US"/>
        </w:rPr>
        <w:t xml:space="preserve">The original data, </w:t>
      </w:r>
      <w:r>
        <w:rPr>
          <w:lang w:val="en-US"/>
        </w:rPr>
        <w:t>obtained</w:t>
      </w:r>
      <w:r w:rsidRPr="003D1822">
        <w:rPr>
          <w:lang w:val="en-US"/>
        </w:rPr>
        <w:t xml:space="preserve"> from Scopus.com, were stored in an Excel file comprising 1,175 rows and 15 columns. Each row corresponds to a selected abstract. </w:t>
      </w:r>
      <w:r>
        <w:rPr>
          <w:lang w:val="en-US"/>
        </w:rPr>
        <w:t xml:space="preserve">Key variables </w:t>
      </w:r>
      <w:r w:rsidRPr="003D1822">
        <w:rPr>
          <w:lang w:val="en-US"/>
        </w:rPr>
        <w:t xml:space="preserve">used in </w:t>
      </w:r>
      <w:r>
        <w:rPr>
          <w:lang w:val="en-US"/>
        </w:rPr>
        <w:t xml:space="preserve">the </w:t>
      </w:r>
      <w:r w:rsidRPr="003D1822">
        <w:rPr>
          <w:lang w:val="en-US"/>
        </w:rPr>
        <w:t>analysis include the abstract text, the year of publication, and the number of citations.</w:t>
      </w:r>
    </w:p>
    <w:p w14:paraId="6D688418" w14:textId="77777777" w:rsidR="003D1822" w:rsidRPr="003D1822" w:rsidRDefault="003D1822" w:rsidP="003D1822">
      <w:pPr>
        <w:spacing w:after="0"/>
        <w:ind w:firstLine="284"/>
        <w:jc w:val="both"/>
        <w:rPr>
          <w:rFonts w:cs="Times New Roman"/>
          <w:lang w:val="en-US"/>
        </w:rPr>
      </w:pPr>
      <w:r w:rsidRPr="003D1822">
        <w:rPr>
          <w:rFonts w:cs="Times New Roman"/>
          <w:lang w:val="en-US"/>
        </w:rPr>
        <w:t>Before calculating the topic models, we pre-processed the data. Specifically, we constructed a text corpus by uploading 1,175 abstracts. Consistent with prior research (e.g., Schmitt et al., 2022; Vaid et al., 2023), we excluded keywords and titles associated with the published papers. The texts were then tokenized, lowercased, and stripped of numbers, punctuation, and special characters.</w:t>
      </w:r>
    </w:p>
    <w:p w14:paraId="6FA085BE" w14:textId="4C00064E" w:rsidR="003D1822" w:rsidRPr="003D1822" w:rsidRDefault="003D1822" w:rsidP="003D1822">
      <w:pPr>
        <w:spacing w:after="0"/>
        <w:ind w:firstLine="284"/>
        <w:jc w:val="both"/>
        <w:rPr>
          <w:rFonts w:cs="Times New Roman"/>
          <w:lang w:val="en-US"/>
        </w:rPr>
      </w:pPr>
      <w:r w:rsidRPr="003D1822">
        <w:rPr>
          <w:rFonts w:cs="Times New Roman"/>
          <w:lang w:val="en-US"/>
        </w:rPr>
        <w:t xml:space="preserve">We further removed standard English </w:t>
      </w:r>
      <w:proofErr w:type="spellStart"/>
      <w:r w:rsidRPr="003D1822">
        <w:rPr>
          <w:rFonts w:cs="Times New Roman"/>
          <w:lang w:val="en-US"/>
        </w:rPr>
        <w:t>stopwords</w:t>
      </w:r>
      <w:proofErr w:type="spellEnd"/>
      <w:r w:rsidRPr="003D1822">
        <w:rPr>
          <w:rFonts w:cs="Times New Roman"/>
          <w:lang w:val="en-US"/>
        </w:rPr>
        <w:t xml:space="preserve"> as well as a set of domain-specific, low-informational terms such as </w:t>
      </w:r>
      <w:r w:rsidRPr="003D1822">
        <w:rPr>
          <w:rFonts w:cs="Times New Roman"/>
          <w:i/>
          <w:iCs/>
          <w:lang w:val="en-US"/>
        </w:rPr>
        <w:t>purpose</w:t>
      </w:r>
      <w:r w:rsidRPr="003D1822">
        <w:rPr>
          <w:rFonts w:cs="Times New Roman"/>
          <w:lang w:val="en-US"/>
        </w:rPr>
        <w:t xml:space="preserve">, </w:t>
      </w:r>
      <w:r w:rsidRPr="003D1822">
        <w:rPr>
          <w:rFonts w:cs="Times New Roman"/>
          <w:i/>
          <w:iCs/>
          <w:lang w:val="en-US"/>
        </w:rPr>
        <w:t>paper</w:t>
      </w:r>
      <w:r w:rsidRPr="003D1822">
        <w:rPr>
          <w:rFonts w:cs="Times New Roman"/>
          <w:lang w:val="en-US"/>
        </w:rPr>
        <w:t xml:space="preserve">, </w:t>
      </w:r>
      <w:r w:rsidRPr="003D1822">
        <w:rPr>
          <w:rFonts w:cs="Times New Roman"/>
          <w:i/>
          <w:iCs/>
          <w:lang w:val="en-US"/>
        </w:rPr>
        <w:t>objective</w:t>
      </w:r>
      <w:r w:rsidRPr="003D1822">
        <w:rPr>
          <w:rFonts w:cs="Times New Roman"/>
          <w:lang w:val="en-US"/>
        </w:rPr>
        <w:t xml:space="preserve">, </w:t>
      </w:r>
      <w:r w:rsidRPr="003D1822">
        <w:rPr>
          <w:rFonts w:cs="Times New Roman"/>
          <w:i/>
          <w:iCs/>
          <w:lang w:val="en-US"/>
        </w:rPr>
        <w:t>study</w:t>
      </w:r>
      <w:r w:rsidRPr="003D1822">
        <w:rPr>
          <w:rFonts w:cs="Times New Roman"/>
          <w:lang w:val="en-US"/>
        </w:rPr>
        <w:t xml:space="preserve">, </w:t>
      </w:r>
      <w:r w:rsidRPr="003D1822">
        <w:rPr>
          <w:rFonts w:cs="Times New Roman"/>
          <w:i/>
          <w:iCs/>
          <w:lang w:val="en-US"/>
        </w:rPr>
        <w:t>research</w:t>
      </w:r>
      <w:r w:rsidRPr="003D1822">
        <w:rPr>
          <w:rFonts w:cs="Times New Roman"/>
          <w:lang w:val="en-US"/>
        </w:rPr>
        <w:t xml:space="preserve">, </w:t>
      </w:r>
      <w:r w:rsidRPr="003D1822">
        <w:rPr>
          <w:rFonts w:cs="Times New Roman"/>
          <w:i/>
          <w:iCs/>
          <w:lang w:val="en-US"/>
        </w:rPr>
        <w:t>theory</w:t>
      </w:r>
      <w:r w:rsidRPr="003D1822">
        <w:rPr>
          <w:rFonts w:cs="Times New Roman"/>
          <w:lang w:val="en-US"/>
        </w:rPr>
        <w:t xml:space="preserve">, </w:t>
      </w:r>
      <w:r w:rsidRPr="003D1822">
        <w:rPr>
          <w:rFonts w:cs="Times New Roman"/>
          <w:i/>
          <w:iCs/>
          <w:lang w:val="en-US"/>
        </w:rPr>
        <w:t>findings</w:t>
      </w:r>
      <w:r w:rsidRPr="003D1822">
        <w:rPr>
          <w:rFonts w:cs="Times New Roman"/>
          <w:lang w:val="en-US"/>
        </w:rPr>
        <w:t xml:space="preserve">, </w:t>
      </w:r>
      <w:r w:rsidRPr="003D1822">
        <w:rPr>
          <w:rFonts w:cs="Times New Roman"/>
          <w:i/>
          <w:iCs/>
          <w:lang w:val="en-US"/>
        </w:rPr>
        <w:t>can</w:t>
      </w:r>
      <w:r w:rsidRPr="003D1822">
        <w:rPr>
          <w:rFonts w:cs="Times New Roman"/>
          <w:lang w:val="en-US"/>
        </w:rPr>
        <w:t xml:space="preserve">, </w:t>
      </w:r>
      <w:r w:rsidRPr="003D1822">
        <w:rPr>
          <w:rFonts w:cs="Times New Roman"/>
          <w:i/>
          <w:iCs/>
          <w:lang w:val="en-US"/>
        </w:rPr>
        <w:t>also</w:t>
      </w:r>
      <w:r w:rsidRPr="003D1822">
        <w:rPr>
          <w:rFonts w:cs="Times New Roman"/>
          <w:lang w:val="en-US"/>
        </w:rPr>
        <w:t xml:space="preserve">, </w:t>
      </w:r>
      <w:r w:rsidRPr="003D1822">
        <w:rPr>
          <w:rFonts w:cs="Times New Roman"/>
          <w:i/>
          <w:iCs/>
          <w:lang w:val="en-US"/>
        </w:rPr>
        <w:t>based</w:t>
      </w:r>
      <w:r w:rsidRPr="003D1822">
        <w:rPr>
          <w:rFonts w:cs="Times New Roman"/>
          <w:lang w:val="en-US"/>
        </w:rPr>
        <w:t xml:space="preserve">, </w:t>
      </w:r>
      <w:r w:rsidRPr="003D1822">
        <w:rPr>
          <w:rFonts w:cs="Times New Roman"/>
          <w:i/>
          <w:iCs/>
          <w:lang w:val="en-US"/>
        </w:rPr>
        <w:t>approach</w:t>
      </w:r>
      <w:r w:rsidRPr="003D1822">
        <w:rPr>
          <w:rFonts w:cs="Times New Roman"/>
          <w:lang w:val="en-US"/>
        </w:rPr>
        <w:t xml:space="preserve">, </w:t>
      </w:r>
      <w:r w:rsidRPr="003D1822">
        <w:rPr>
          <w:rFonts w:cs="Times New Roman"/>
          <w:i/>
          <w:iCs/>
          <w:lang w:val="en-US"/>
        </w:rPr>
        <w:t>implications</w:t>
      </w:r>
      <w:r w:rsidRPr="003D1822">
        <w:rPr>
          <w:rFonts w:cs="Times New Roman"/>
          <w:lang w:val="en-US"/>
        </w:rPr>
        <w:t xml:space="preserve">, </w:t>
      </w:r>
      <w:r w:rsidRPr="003D1822">
        <w:rPr>
          <w:rFonts w:cs="Times New Roman"/>
          <w:i/>
          <w:iCs/>
          <w:lang w:val="en-US"/>
        </w:rPr>
        <w:t>results</w:t>
      </w:r>
      <w:r w:rsidRPr="003D1822">
        <w:rPr>
          <w:rFonts w:cs="Times New Roman"/>
          <w:lang w:val="en-US"/>
        </w:rPr>
        <w:t xml:space="preserve">, </w:t>
      </w:r>
      <w:r w:rsidRPr="003D1822">
        <w:rPr>
          <w:rFonts w:cs="Times New Roman"/>
          <w:i/>
          <w:iCs/>
          <w:lang w:val="en-US"/>
        </w:rPr>
        <w:t>data</w:t>
      </w:r>
      <w:r w:rsidRPr="003D1822">
        <w:rPr>
          <w:rFonts w:cs="Times New Roman"/>
          <w:lang w:val="en-US"/>
        </w:rPr>
        <w:t xml:space="preserve">, </w:t>
      </w:r>
      <w:r w:rsidRPr="003D1822">
        <w:rPr>
          <w:rFonts w:cs="Times New Roman"/>
          <w:i/>
          <w:iCs/>
          <w:lang w:val="en-US"/>
        </w:rPr>
        <w:t>author</w:t>
      </w:r>
      <w:r w:rsidRPr="003D1822">
        <w:rPr>
          <w:rFonts w:cs="Times New Roman"/>
          <w:lang w:val="en-US"/>
        </w:rPr>
        <w:t xml:space="preserve">, and </w:t>
      </w:r>
      <w:r w:rsidRPr="003D1822">
        <w:rPr>
          <w:rFonts w:cs="Times New Roman"/>
          <w:i/>
          <w:iCs/>
          <w:lang w:val="en-US"/>
        </w:rPr>
        <w:t>authors</w:t>
      </w:r>
      <w:r w:rsidRPr="003D1822">
        <w:rPr>
          <w:rFonts w:cs="Times New Roman"/>
          <w:lang w:val="en-US"/>
        </w:rPr>
        <w:t>.</w:t>
      </w:r>
      <w:r>
        <w:rPr>
          <w:rFonts w:cs="Times New Roman"/>
          <w:lang w:val="en-US"/>
        </w:rPr>
        <w:t xml:space="preserve"> </w:t>
      </w:r>
      <w:r w:rsidRPr="003D1822">
        <w:rPr>
          <w:rFonts w:cs="Times New Roman"/>
          <w:lang w:val="en-US"/>
        </w:rPr>
        <w:t xml:space="preserve">Based on the cleaned texts, we constructed a document-term matrix (DTM) of dimensions 1,175 abstracts by 11,062 unique tokens. To reduce computational complexity, only tokens with a minimum frequency threshold of </w:t>
      </w:r>
      <w:r w:rsidRPr="003D1822">
        <w:rPr>
          <w:rFonts w:cs="Times New Roman"/>
          <w:i/>
          <w:iCs/>
          <w:lang w:val="en-US"/>
        </w:rPr>
        <w:t>p</w:t>
      </w:r>
      <w:r w:rsidRPr="003D1822">
        <w:rPr>
          <w:rFonts w:cs="Times New Roman"/>
          <w:lang w:val="en-US"/>
        </w:rPr>
        <w:t xml:space="preserve"> = 0.01 were retained. This DTM served as the input for the Latent Dirichlet Allocation (LDA) algorithm.</w:t>
      </w:r>
    </w:p>
    <w:p w14:paraId="14E804CD" w14:textId="5ADDA8A0" w:rsidR="00185A6A" w:rsidRPr="00B130C2" w:rsidRDefault="00185A6A" w:rsidP="00B130C2">
      <w:pPr>
        <w:spacing w:after="0"/>
        <w:ind w:firstLine="284"/>
        <w:jc w:val="both"/>
        <w:rPr>
          <w:rFonts w:cs="Times New Roman"/>
          <w:lang w:val="en-US"/>
        </w:rPr>
      </w:pPr>
      <w:r w:rsidRPr="00185A6A">
        <w:rPr>
          <w:rFonts w:cs="Times New Roman"/>
          <w:lang w:val="en-US"/>
        </w:rPr>
        <w:t xml:space="preserve">R packages used to clean text or to visualize data include </w:t>
      </w:r>
      <w:proofErr w:type="spellStart"/>
      <w:r w:rsidRPr="00185A6A">
        <w:rPr>
          <w:rFonts w:ascii="Courier New" w:hAnsi="Courier New" w:cs="Courier New"/>
          <w:sz w:val="20"/>
          <w:szCs w:val="20"/>
          <w:lang w:val="en-US"/>
        </w:rPr>
        <w:t>quanteda</w:t>
      </w:r>
      <w:proofErr w:type="spellEnd"/>
      <w:r w:rsidRPr="00185A6A">
        <w:rPr>
          <w:rFonts w:ascii="Courier New" w:hAnsi="Courier New" w:cs="Courier New"/>
          <w:sz w:val="20"/>
          <w:szCs w:val="20"/>
          <w:lang w:val="en-US"/>
        </w:rPr>
        <w:t xml:space="preserve">, </w:t>
      </w:r>
      <w:proofErr w:type="spellStart"/>
      <w:r w:rsidRPr="00185A6A">
        <w:rPr>
          <w:rFonts w:ascii="Courier New" w:hAnsi="Courier New" w:cs="Courier New"/>
          <w:sz w:val="20"/>
          <w:szCs w:val="20"/>
          <w:lang w:val="en-US"/>
        </w:rPr>
        <w:t>lubridate</w:t>
      </w:r>
      <w:proofErr w:type="spellEnd"/>
      <w:r w:rsidRPr="00185A6A">
        <w:rPr>
          <w:rFonts w:ascii="Courier New" w:hAnsi="Courier New" w:cs="Courier New"/>
          <w:sz w:val="20"/>
          <w:szCs w:val="20"/>
          <w:lang w:val="en-US"/>
        </w:rPr>
        <w:t xml:space="preserve">, tm, </w:t>
      </w:r>
      <w:proofErr w:type="spellStart"/>
      <w:r w:rsidRPr="00185A6A">
        <w:rPr>
          <w:rFonts w:ascii="Courier New" w:hAnsi="Courier New" w:cs="Courier New"/>
          <w:sz w:val="20"/>
          <w:szCs w:val="20"/>
          <w:lang w:val="en-US"/>
        </w:rPr>
        <w:t>stringr</w:t>
      </w:r>
      <w:proofErr w:type="spellEnd"/>
      <w:r w:rsidRPr="00185A6A">
        <w:rPr>
          <w:rFonts w:cs="Times New Roman"/>
          <w:lang w:val="en-US"/>
        </w:rPr>
        <w:t>.</w:t>
      </w:r>
    </w:p>
    <w:p w14:paraId="20A500E9" w14:textId="77777777" w:rsidR="0020610F" w:rsidRDefault="0020610F" w:rsidP="004C3440">
      <w:pPr>
        <w:spacing w:after="0"/>
        <w:rPr>
          <w:b/>
          <w:bCs/>
          <w:lang w:val="en-US"/>
        </w:rPr>
      </w:pPr>
    </w:p>
    <w:p w14:paraId="13E6A3C8" w14:textId="2FE5A01C" w:rsidR="0065306F" w:rsidRDefault="0065306F" w:rsidP="004C3440">
      <w:pPr>
        <w:spacing w:after="0"/>
        <w:rPr>
          <w:b/>
          <w:bCs/>
          <w:lang w:val="en-US"/>
        </w:rPr>
      </w:pPr>
      <w:r>
        <w:rPr>
          <w:b/>
          <w:bCs/>
          <w:lang w:val="en-US"/>
        </w:rPr>
        <w:t xml:space="preserve">A.2. </w:t>
      </w:r>
      <w:r w:rsidR="00C25DF2">
        <w:rPr>
          <w:b/>
          <w:bCs/>
          <w:lang w:val="en-US"/>
        </w:rPr>
        <w:t>S</w:t>
      </w:r>
      <w:r>
        <w:rPr>
          <w:b/>
          <w:bCs/>
          <w:lang w:val="en-US"/>
        </w:rPr>
        <w:t>election of the optimal number of topics</w:t>
      </w:r>
    </w:p>
    <w:p w14:paraId="33C6F7F1" w14:textId="77777777" w:rsidR="0067072D" w:rsidRPr="0067072D" w:rsidRDefault="0067072D" w:rsidP="0067072D">
      <w:pPr>
        <w:spacing w:after="0"/>
        <w:jc w:val="both"/>
        <w:rPr>
          <w:rFonts w:eastAsia="Times New Roman" w:cs="Times New Roman"/>
          <w:lang w:val="en-US" w:eastAsia="it-IT"/>
        </w:rPr>
      </w:pPr>
      <w:r w:rsidRPr="0067072D">
        <w:rPr>
          <w:rFonts w:eastAsia="Times New Roman" w:cs="Times New Roman"/>
          <w:lang w:val="en-US" w:eastAsia="it-IT"/>
        </w:rPr>
        <w:t xml:space="preserve">We employed the R package </w:t>
      </w:r>
      <w:proofErr w:type="spellStart"/>
      <w:r w:rsidRPr="0067072D">
        <w:rPr>
          <w:rFonts w:ascii="Courier New" w:eastAsia="Times New Roman" w:hAnsi="Courier New" w:cs="Courier New"/>
          <w:sz w:val="20"/>
          <w:szCs w:val="20"/>
          <w:lang w:val="en-US" w:eastAsia="it-IT"/>
        </w:rPr>
        <w:t>topicmodels</w:t>
      </w:r>
      <w:proofErr w:type="spellEnd"/>
      <w:r w:rsidRPr="0067072D">
        <w:rPr>
          <w:rFonts w:eastAsia="Times New Roman" w:cs="Times New Roman"/>
          <w:lang w:val="en-US" w:eastAsia="it-IT"/>
        </w:rPr>
        <w:t xml:space="preserve"> (</w:t>
      </w:r>
      <w:proofErr w:type="spellStart"/>
      <w:r w:rsidRPr="0067072D">
        <w:rPr>
          <w:rFonts w:eastAsia="Times New Roman" w:cs="Times New Roman"/>
          <w:lang w:val="en-US" w:eastAsia="it-IT"/>
        </w:rPr>
        <w:t>Grün</w:t>
      </w:r>
      <w:proofErr w:type="spellEnd"/>
      <w:r w:rsidRPr="0067072D">
        <w:rPr>
          <w:rFonts w:eastAsia="Times New Roman" w:cs="Times New Roman"/>
          <w:lang w:val="en-US" w:eastAsia="it-IT"/>
        </w:rPr>
        <w:t xml:space="preserve"> &amp; </w:t>
      </w:r>
      <w:proofErr w:type="spellStart"/>
      <w:r w:rsidRPr="0067072D">
        <w:rPr>
          <w:rFonts w:eastAsia="Times New Roman" w:cs="Times New Roman"/>
          <w:lang w:val="en-US" w:eastAsia="it-IT"/>
        </w:rPr>
        <w:t>Hornik</w:t>
      </w:r>
      <w:proofErr w:type="spellEnd"/>
      <w:r w:rsidRPr="0067072D">
        <w:rPr>
          <w:rFonts w:eastAsia="Times New Roman" w:cs="Times New Roman"/>
          <w:lang w:val="en-US" w:eastAsia="it-IT"/>
        </w:rPr>
        <w:t xml:space="preserve">, 2011) to estimate Latent Dirichlet Allocation (LDA) topic models. Additionally, we used the </w:t>
      </w:r>
      <w:proofErr w:type="spellStart"/>
      <w:r w:rsidRPr="0067072D">
        <w:rPr>
          <w:rFonts w:ascii="Courier New" w:eastAsia="Times New Roman" w:hAnsi="Courier New" w:cs="Courier New"/>
          <w:sz w:val="20"/>
          <w:szCs w:val="20"/>
          <w:lang w:val="en-US" w:eastAsia="it-IT"/>
        </w:rPr>
        <w:t>ldatuning</w:t>
      </w:r>
      <w:proofErr w:type="spellEnd"/>
      <w:r w:rsidRPr="0067072D">
        <w:rPr>
          <w:rFonts w:eastAsia="Times New Roman" w:cs="Times New Roman"/>
          <w:lang w:val="en-US" w:eastAsia="it-IT"/>
        </w:rPr>
        <w:t xml:space="preserve"> package to compute fit indices that assist in determining the optimal number of topics (Nikita &amp; Nikita, 2016).</w:t>
      </w:r>
    </w:p>
    <w:p w14:paraId="732296D0" w14:textId="77777777" w:rsidR="0067072D" w:rsidRPr="0067072D" w:rsidRDefault="0067072D" w:rsidP="0067072D">
      <w:pPr>
        <w:spacing w:after="0"/>
        <w:ind w:firstLine="284"/>
        <w:jc w:val="both"/>
        <w:rPr>
          <w:rFonts w:eastAsia="Times New Roman" w:cs="Times New Roman"/>
          <w:lang w:val="en-US" w:eastAsia="it-IT"/>
        </w:rPr>
      </w:pPr>
      <w:r w:rsidRPr="0067072D">
        <w:rPr>
          <w:rFonts w:eastAsia="Times New Roman" w:cs="Times New Roman"/>
          <w:lang w:val="en-US" w:eastAsia="it-IT"/>
        </w:rPr>
        <w:t>LDA assumes that each word in a document is generated from a mixture model, where the components represent topics modeled as multinomial distributions (Blei et al., 2003; Wedel &amp; Kannan, 2016). The core idea is that documents are composed of latent topics, each defined by a probability distribution over words. Words can appear in multiple topics, each with a different probability, and topics are conceptualized as weighted vectors of words, each reflecting a distinct semantic “concept” (Grimmer &amp; Stewart, 2013; DiMaggio et al., 2013).</w:t>
      </w:r>
    </w:p>
    <w:p w14:paraId="612A39C6" w14:textId="2C5F386E" w:rsidR="0067072D" w:rsidRPr="0067072D" w:rsidRDefault="0067072D" w:rsidP="0067072D">
      <w:pPr>
        <w:spacing w:after="0"/>
        <w:ind w:firstLine="284"/>
        <w:jc w:val="both"/>
        <w:rPr>
          <w:rFonts w:eastAsia="Times New Roman" w:cs="Times New Roman"/>
          <w:lang w:val="en-US" w:eastAsia="it-IT"/>
        </w:rPr>
      </w:pPr>
      <w:r w:rsidRPr="0067072D">
        <w:rPr>
          <w:rFonts w:eastAsia="Times New Roman" w:cs="Times New Roman"/>
          <w:lang w:val="en-US" w:eastAsia="it-IT"/>
        </w:rPr>
        <w:t>Importantly, LDA is a partially unsupervised technique, as it requires the researcher to specify the number of topics in advance. As DiMaggio et al. (2013) highlight, there is no definitive statistical test to determine the optimal number of topics. Instead, researchers must assess the various solutions provided by the algorithm and select the one that offers the most coherent and interpretable structure of the data (Hannigan et al., 2019).</w:t>
      </w:r>
      <w:r>
        <w:rPr>
          <w:rFonts w:eastAsia="Times New Roman" w:cs="Times New Roman"/>
          <w:lang w:val="en-US" w:eastAsia="it-IT"/>
        </w:rPr>
        <w:t xml:space="preserve"> </w:t>
      </w:r>
      <w:r w:rsidRPr="0067072D">
        <w:rPr>
          <w:rFonts w:eastAsia="Times New Roman" w:cs="Times New Roman"/>
          <w:lang w:val="en-US" w:eastAsia="it-IT"/>
        </w:rPr>
        <w:t>Given the aim of our study—namely, to offer an initial synthesis of the literature related to the concept of stewardship—we adopted a parsimonious approach to topic modeling.</w:t>
      </w:r>
    </w:p>
    <w:p w14:paraId="6C3EEAC0" w14:textId="77777777" w:rsidR="0067072D" w:rsidRPr="0067072D" w:rsidRDefault="00F13769" w:rsidP="00175E72">
      <w:pPr>
        <w:spacing w:after="0"/>
        <w:ind w:firstLine="284"/>
        <w:jc w:val="both"/>
        <w:rPr>
          <w:szCs w:val="20"/>
          <w:lang w:val="en-US"/>
        </w:rPr>
      </w:pPr>
      <w:r w:rsidRPr="00F13769">
        <w:rPr>
          <w:rFonts w:cs="Times New Roman"/>
          <w:lang w:val="en-US"/>
        </w:rPr>
        <w:t xml:space="preserve">In line with the suggestions of literature (e.g., Rashid, 2024; DiMaggio, Nag and </w:t>
      </w:r>
      <w:proofErr w:type="spellStart"/>
      <w:r w:rsidRPr="00F13769">
        <w:rPr>
          <w:rFonts w:cs="Times New Roman"/>
          <w:lang w:val="en-US"/>
        </w:rPr>
        <w:t>Blei</w:t>
      </w:r>
      <w:proofErr w:type="spellEnd"/>
      <w:r w:rsidRPr="00F13769">
        <w:rPr>
          <w:rFonts w:cs="Times New Roman"/>
          <w:lang w:val="en-US"/>
        </w:rPr>
        <w:t xml:space="preserve">, 2013; </w:t>
      </w:r>
      <w:proofErr w:type="spellStart"/>
      <w:r w:rsidRPr="00F13769">
        <w:rPr>
          <w:rFonts w:cs="Times New Roman"/>
          <w:lang w:val="en-US"/>
        </w:rPr>
        <w:t>Hanningan</w:t>
      </w:r>
      <w:proofErr w:type="spellEnd"/>
      <w:r w:rsidRPr="00F13769">
        <w:rPr>
          <w:rFonts w:cs="Times New Roman"/>
          <w:lang w:val="en-US"/>
        </w:rPr>
        <w:t xml:space="preserve"> et al., 2019) we integrated a statistical perspective based on the analysis of the fit indexes provided by the package </w:t>
      </w:r>
      <w:proofErr w:type="spellStart"/>
      <w:r w:rsidRPr="00F13769">
        <w:rPr>
          <w:rFonts w:ascii="Courier New" w:hAnsi="Courier New" w:cs="Courier New"/>
          <w:sz w:val="20"/>
          <w:szCs w:val="20"/>
          <w:lang w:val="en-US"/>
        </w:rPr>
        <w:t>ldatuning</w:t>
      </w:r>
      <w:proofErr w:type="spellEnd"/>
      <w:r w:rsidRPr="00F13769">
        <w:rPr>
          <w:rFonts w:cs="Times New Roman"/>
          <w:lang w:val="en-US"/>
        </w:rPr>
        <w:t xml:space="preserve"> (namely, Cao Juan, Griffiths, Arun and </w:t>
      </w:r>
      <w:proofErr w:type="spellStart"/>
      <w:r w:rsidRPr="00F13769">
        <w:rPr>
          <w:rFonts w:cs="Times New Roman"/>
          <w:lang w:val="en-US"/>
        </w:rPr>
        <w:t>Deveaud</w:t>
      </w:r>
      <w:proofErr w:type="spellEnd"/>
      <w:r w:rsidRPr="00F13769">
        <w:rPr>
          <w:rFonts w:cs="Times New Roman"/>
          <w:lang w:val="en-US"/>
        </w:rPr>
        <w:t xml:space="preserve">. See: Nikita &amp; Nikita, 2016) with a qualitative inspection of each solution to find the number of topics that provides semantically meaningful interpretation (see also Chang et al., 2009). </w:t>
      </w:r>
      <w:r w:rsidR="0067072D" w:rsidRPr="0067072D">
        <w:rPr>
          <w:szCs w:val="20"/>
          <w:lang w:val="en-US"/>
        </w:rPr>
        <w:t>Specifically, we relied on the following metrics to guide the selection of the optimal number of topics:</w:t>
      </w:r>
    </w:p>
    <w:p w14:paraId="44C0BEBC" w14:textId="77777777" w:rsidR="0067072D" w:rsidRPr="0067072D" w:rsidRDefault="0067072D" w:rsidP="00175E72">
      <w:pPr>
        <w:numPr>
          <w:ilvl w:val="0"/>
          <w:numId w:val="5"/>
        </w:numPr>
        <w:spacing w:after="0"/>
        <w:jc w:val="both"/>
        <w:rPr>
          <w:rFonts w:cs="Times New Roman"/>
          <w:szCs w:val="20"/>
          <w:lang w:val="en-US"/>
        </w:rPr>
      </w:pPr>
      <w:r w:rsidRPr="0067072D">
        <w:rPr>
          <w:rFonts w:cs="Times New Roman"/>
          <w:szCs w:val="20"/>
          <w:lang w:val="en-US"/>
        </w:rPr>
        <w:t>Cao Juan calculates the average cosine similarity between topics. As the number of topics increases, the similarity among them typically rises, resulting in higher values. Therefore, lower values of the Cao Juan index indicate more distinct and well-separated topics, suggesting a better solution.</w:t>
      </w:r>
    </w:p>
    <w:p w14:paraId="31621D39" w14:textId="77777777" w:rsidR="0067072D" w:rsidRPr="0067072D" w:rsidRDefault="0067072D" w:rsidP="00175E72">
      <w:pPr>
        <w:numPr>
          <w:ilvl w:val="0"/>
          <w:numId w:val="5"/>
        </w:numPr>
        <w:spacing w:after="0"/>
        <w:jc w:val="both"/>
        <w:rPr>
          <w:rFonts w:cs="Times New Roman"/>
          <w:szCs w:val="20"/>
          <w:lang w:val="en-US"/>
        </w:rPr>
      </w:pPr>
      <w:r w:rsidRPr="0067072D">
        <w:rPr>
          <w:rFonts w:cs="Times New Roman"/>
          <w:szCs w:val="20"/>
          <w:lang w:val="en-US"/>
        </w:rPr>
        <w:t xml:space="preserve">Arun uses symmetric </w:t>
      </w:r>
      <w:proofErr w:type="spellStart"/>
      <w:r w:rsidRPr="0067072D">
        <w:rPr>
          <w:rFonts w:cs="Times New Roman"/>
          <w:szCs w:val="20"/>
          <w:lang w:val="en-US"/>
        </w:rPr>
        <w:t>Kullback-Leibler</w:t>
      </w:r>
      <w:proofErr w:type="spellEnd"/>
      <w:r w:rsidRPr="0067072D">
        <w:rPr>
          <w:rFonts w:cs="Times New Roman"/>
          <w:szCs w:val="20"/>
          <w:lang w:val="en-US"/>
        </w:rPr>
        <w:t xml:space="preserve"> (KL) divergence between the document-topic and topic-word distributions, aiming to balance topic granularity and interpretability. Lower values suggest a model with a meaningful structure and distinct topic representation.</w:t>
      </w:r>
    </w:p>
    <w:p w14:paraId="1C07CEE7" w14:textId="59184DD1" w:rsidR="0067072D" w:rsidRPr="0067072D" w:rsidRDefault="0067072D" w:rsidP="00175E72">
      <w:pPr>
        <w:numPr>
          <w:ilvl w:val="0"/>
          <w:numId w:val="5"/>
        </w:numPr>
        <w:spacing w:after="0"/>
        <w:jc w:val="both"/>
        <w:rPr>
          <w:rFonts w:cs="Times New Roman"/>
          <w:szCs w:val="20"/>
          <w:lang w:val="en-US"/>
        </w:rPr>
      </w:pPr>
      <w:r w:rsidRPr="0067072D">
        <w:rPr>
          <w:rFonts w:cs="Times New Roman"/>
          <w:szCs w:val="20"/>
          <w:lang w:val="en-US"/>
        </w:rPr>
        <w:t>Griffiths relies on the log-likelihood of the data given the model. Higher values indicate a better model fit. Empirically, this index often exhibits a plateau or elbow at the optimal number of topics—a pattern we also observed in our data.</w:t>
      </w:r>
    </w:p>
    <w:p w14:paraId="72993A6C" w14:textId="77777777" w:rsidR="0067072D" w:rsidRPr="0067072D" w:rsidRDefault="0067072D" w:rsidP="00175E72">
      <w:pPr>
        <w:numPr>
          <w:ilvl w:val="0"/>
          <w:numId w:val="5"/>
        </w:numPr>
        <w:spacing w:after="0"/>
        <w:jc w:val="both"/>
        <w:rPr>
          <w:rFonts w:cs="Times New Roman"/>
          <w:szCs w:val="20"/>
          <w:lang w:val="en-US"/>
        </w:rPr>
      </w:pPr>
      <w:proofErr w:type="spellStart"/>
      <w:r w:rsidRPr="0067072D">
        <w:rPr>
          <w:rFonts w:cs="Times New Roman"/>
          <w:szCs w:val="20"/>
          <w:lang w:val="en-US"/>
        </w:rPr>
        <w:t>Deveaud</w:t>
      </w:r>
      <w:proofErr w:type="spellEnd"/>
      <w:r w:rsidRPr="0067072D">
        <w:rPr>
          <w:rFonts w:cs="Times New Roman"/>
          <w:szCs w:val="20"/>
          <w:lang w:val="en-US"/>
        </w:rPr>
        <w:t xml:space="preserve"> is based on Jensen-Shannon divergence between topic-word distributions and seeks to maximize the distance between topics. Higher values correspond to more coherent and well-separated topics.</w:t>
      </w:r>
    </w:p>
    <w:p w14:paraId="7B633E83" w14:textId="274091A9" w:rsidR="0067072D" w:rsidRPr="0067072D" w:rsidRDefault="0067072D" w:rsidP="00175E72">
      <w:pPr>
        <w:spacing w:after="0"/>
        <w:jc w:val="both"/>
        <w:rPr>
          <w:rFonts w:cs="Times New Roman"/>
          <w:szCs w:val="20"/>
          <w:lang w:val="en-US"/>
        </w:rPr>
      </w:pPr>
      <w:r w:rsidRPr="0067072D">
        <w:rPr>
          <w:rFonts w:cs="Times New Roman"/>
          <w:szCs w:val="20"/>
          <w:lang w:val="en-US"/>
        </w:rPr>
        <w:lastRenderedPageBreak/>
        <w:t xml:space="preserve">We allowed the number of topics to vary between 2 and 150. A minimum of two topics is required to perform topic modeling, while in principle there is no strict upper limit. However, in line with the purpose of conducting an integrative review, we </w:t>
      </w:r>
      <w:r w:rsidR="00235FDC">
        <w:rPr>
          <w:rFonts w:cs="Times New Roman"/>
          <w:szCs w:val="20"/>
          <w:lang w:val="en-US"/>
        </w:rPr>
        <w:t xml:space="preserve">initially </w:t>
      </w:r>
      <w:r w:rsidRPr="0067072D">
        <w:rPr>
          <w:rFonts w:cs="Times New Roman"/>
          <w:szCs w:val="20"/>
          <w:lang w:val="en-US"/>
        </w:rPr>
        <w:t>limited the search to 150 topics, as higher values tend to yield diminishing returns in terms of interpretability and analytical value. This procedure resulted in the configuration of the four index curves shown in Figure A.1.</w:t>
      </w:r>
    </w:p>
    <w:p w14:paraId="0B091CCB" w14:textId="2A3038D0" w:rsidR="00821C27" w:rsidRPr="00727C32" w:rsidRDefault="00821C27" w:rsidP="004C3440">
      <w:pPr>
        <w:spacing w:after="0"/>
        <w:jc w:val="both"/>
        <w:rPr>
          <w:lang w:val="en-US"/>
        </w:rPr>
      </w:pPr>
    </w:p>
    <w:p w14:paraId="5B2F7A9C" w14:textId="50E79419" w:rsidR="00727C32" w:rsidRDefault="00727C32" w:rsidP="004C3440">
      <w:pPr>
        <w:spacing w:after="0"/>
        <w:jc w:val="center"/>
        <w:rPr>
          <w:b/>
          <w:bCs/>
          <w:lang w:val="en-US"/>
        </w:rPr>
      </w:pPr>
      <w:r w:rsidRPr="00FB1D2D">
        <w:rPr>
          <w:noProof/>
        </w:rPr>
        <w:drawing>
          <wp:inline distT="0" distB="0" distL="0" distR="0" wp14:anchorId="05CAD1E9" wp14:editId="4807ABB0">
            <wp:extent cx="4206522" cy="2160000"/>
            <wp:effectExtent l="0" t="0" r="381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t="4443"/>
                    <a:stretch/>
                  </pic:blipFill>
                  <pic:spPr bwMode="auto">
                    <a:xfrm>
                      <a:off x="0" y="0"/>
                      <a:ext cx="4206522" cy="2160000"/>
                    </a:xfrm>
                    <a:prstGeom prst="rect">
                      <a:avLst/>
                    </a:prstGeom>
                    <a:ln>
                      <a:noFill/>
                    </a:ln>
                    <a:extLst>
                      <a:ext uri="{53640926-AAD7-44D8-BBD7-CCE9431645EC}">
                        <a14:shadowObscured xmlns:a14="http://schemas.microsoft.com/office/drawing/2010/main"/>
                      </a:ext>
                    </a:extLst>
                  </pic:spPr>
                </pic:pic>
              </a:graphicData>
            </a:graphic>
          </wp:inline>
        </w:drawing>
      </w:r>
    </w:p>
    <w:p w14:paraId="5F2976B2" w14:textId="787BEF5D" w:rsidR="00727C32" w:rsidRDefault="00821C27" w:rsidP="004C3440">
      <w:pPr>
        <w:spacing w:after="0"/>
        <w:jc w:val="center"/>
        <w:rPr>
          <w:b/>
          <w:bCs/>
          <w:lang w:val="en-US"/>
        </w:rPr>
      </w:pPr>
      <w:r>
        <w:rPr>
          <w:b/>
          <w:bCs/>
          <w:lang w:val="en-US"/>
        </w:rPr>
        <w:t xml:space="preserve">Figure A.1: </w:t>
      </w:r>
      <w:proofErr w:type="spellStart"/>
      <w:r>
        <w:rPr>
          <w:b/>
          <w:bCs/>
          <w:lang w:val="en-US"/>
        </w:rPr>
        <w:t>LDAtuning</w:t>
      </w:r>
      <w:proofErr w:type="spellEnd"/>
      <w:r>
        <w:rPr>
          <w:b/>
          <w:bCs/>
          <w:lang w:val="en-US"/>
        </w:rPr>
        <w:t xml:space="preserve"> results</w:t>
      </w:r>
    </w:p>
    <w:p w14:paraId="4645FD1D" w14:textId="77777777" w:rsidR="004C3440" w:rsidRDefault="004C3440" w:rsidP="004C3440">
      <w:pPr>
        <w:autoSpaceDE w:val="0"/>
        <w:autoSpaceDN w:val="0"/>
        <w:adjustRightInd w:val="0"/>
        <w:spacing w:after="0"/>
        <w:jc w:val="both"/>
        <w:rPr>
          <w:rFonts w:cs="Times New Roman"/>
          <w:kern w:val="0"/>
          <w:lang w:val="en-US"/>
        </w:rPr>
      </w:pPr>
    </w:p>
    <w:p w14:paraId="276243EE" w14:textId="1ECF259F" w:rsidR="00663C4E" w:rsidRDefault="00235FDC" w:rsidP="00663C4E">
      <w:pPr>
        <w:spacing w:after="0"/>
        <w:jc w:val="both"/>
        <w:rPr>
          <w:rFonts w:cs="Times New Roman"/>
          <w:kern w:val="0"/>
          <w:lang w:val="en-US"/>
        </w:rPr>
      </w:pPr>
      <w:r w:rsidRPr="00235FDC">
        <w:rPr>
          <w:rFonts w:cs="Times New Roman"/>
          <w:kern w:val="0"/>
          <w:lang w:val="en-US"/>
        </w:rPr>
        <w:t xml:space="preserve">Figure </w:t>
      </w:r>
      <w:r>
        <w:rPr>
          <w:rFonts w:cs="Times New Roman"/>
          <w:kern w:val="0"/>
          <w:lang w:val="en-US"/>
        </w:rPr>
        <w:t>A.</w:t>
      </w:r>
      <w:r w:rsidRPr="00235FDC">
        <w:rPr>
          <w:rFonts w:cs="Times New Roman"/>
          <w:kern w:val="0"/>
          <w:lang w:val="en-US"/>
        </w:rPr>
        <w:t>1 does not reveal convergence among the four fit indices, leaving the question of the optimal number of topics unresolved. Moreover, the only two indices that exhibit a clear maximum or minimum—namely, Cao Juan and the perplexity-based index by Griffiths—suggest inconsistent and excessively high numbers of topics as optimal. Adopting these indications would lead to an overly complex representation of the literature on stewardship, which would be misaligned with the goal of providing a coherent and integrative review.</w:t>
      </w:r>
      <w:r w:rsidR="00663C4E">
        <w:rPr>
          <w:rFonts w:cs="Times New Roman"/>
          <w:kern w:val="0"/>
          <w:lang w:val="en-US"/>
        </w:rPr>
        <w:t xml:space="preserve"> </w:t>
      </w:r>
      <w:r w:rsidRPr="00235FDC">
        <w:rPr>
          <w:rFonts w:cs="Times New Roman"/>
          <w:kern w:val="0"/>
          <w:lang w:val="en-US"/>
        </w:rPr>
        <w:t>For this reason, we closely examined topic model solutions ranging from 2 to 20 topics. Specifically, we analyzed the most cited papers within each topic to hermeneutically interpret the overarching themes associated with each solution. Each author independently conducted this interpretive analysis, after which we engaged in collaborative discussion to compare and synthesize the interpretations emerging from the 2- to 20-topic models.</w:t>
      </w:r>
      <w:r w:rsidR="00663C4E">
        <w:rPr>
          <w:rFonts w:cs="Times New Roman"/>
          <w:kern w:val="0"/>
          <w:lang w:val="en-US"/>
        </w:rPr>
        <w:t xml:space="preserve"> </w:t>
      </w:r>
    </w:p>
    <w:p w14:paraId="7AF1835C" w14:textId="1D378F63" w:rsidR="00235FDC" w:rsidRPr="00235FDC" w:rsidRDefault="00235FDC" w:rsidP="00663C4E">
      <w:pPr>
        <w:spacing w:after="0"/>
        <w:ind w:firstLine="284"/>
        <w:jc w:val="both"/>
        <w:rPr>
          <w:rFonts w:cs="Times New Roman"/>
          <w:kern w:val="0"/>
          <w:lang w:val="en-US"/>
        </w:rPr>
      </w:pPr>
      <w:r w:rsidRPr="00235FDC">
        <w:rPr>
          <w:rFonts w:cs="Times New Roman"/>
          <w:kern w:val="0"/>
          <w:lang w:val="en-US"/>
        </w:rPr>
        <w:t>This approach aligns with the recommendations of Rashid et al. (2024), DiMaggio et al. (2013), and Hannigan et al. (2019), who emphasize the importance of complementing statistical model selection criteria with qualitative, interpretive assessment. Notably, Hannigan et al. (2019) point out that topic models optimized solely for statistical fit may produce less semantically meaningful results (see also Chang et al., 2009). Similarly, DiMaggio et al. (2013) underscore that no statistical test can definitively determine the optimal number of topics; rather, it is up to the researcher to select the solution that yields the most conceptually clear and analytically useful representation of the data.</w:t>
      </w:r>
      <w:r w:rsidR="00663C4E">
        <w:rPr>
          <w:rFonts w:cs="Times New Roman"/>
          <w:kern w:val="0"/>
          <w:lang w:val="en-US"/>
        </w:rPr>
        <w:t xml:space="preserve"> </w:t>
      </w:r>
      <w:r w:rsidRPr="00235FDC">
        <w:rPr>
          <w:rFonts w:cs="Times New Roman"/>
          <w:kern w:val="0"/>
          <w:lang w:val="en-US"/>
        </w:rPr>
        <w:t>Following this mixed-method evaluation, the authors ultimately reached a consensus on a 10-topic solution.</w:t>
      </w:r>
    </w:p>
    <w:p w14:paraId="08C8C44B" w14:textId="77777777" w:rsidR="00727C32" w:rsidRDefault="00727C32" w:rsidP="004C3440">
      <w:pPr>
        <w:spacing w:after="0"/>
        <w:jc w:val="both"/>
        <w:rPr>
          <w:b/>
          <w:bCs/>
          <w:lang w:val="en-US"/>
        </w:rPr>
      </w:pPr>
    </w:p>
    <w:p w14:paraId="700AB485" w14:textId="6DA5B5C9" w:rsidR="0065306F" w:rsidRDefault="0065306F" w:rsidP="004C3440">
      <w:pPr>
        <w:spacing w:after="0"/>
        <w:rPr>
          <w:b/>
          <w:bCs/>
          <w:lang w:val="en-US"/>
        </w:rPr>
      </w:pPr>
      <w:r>
        <w:rPr>
          <w:b/>
          <w:bCs/>
          <w:lang w:val="en-US"/>
        </w:rPr>
        <w:t xml:space="preserve">A.3. </w:t>
      </w:r>
      <w:r w:rsidR="00C25DF2">
        <w:rPr>
          <w:b/>
          <w:bCs/>
          <w:lang w:val="en-US"/>
        </w:rPr>
        <w:t>L</w:t>
      </w:r>
      <w:r w:rsidR="00EE67FF">
        <w:rPr>
          <w:b/>
          <w:bCs/>
          <w:lang w:val="en-US"/>
        </w:rPr>
        <w:t>abeling</w:t>
      </w:r>
      <w:r w:rsidR="00C25DF2">
        <w:rPr>
          <w:b/>
          <w:bCs/>
          <w:lang w:val="en-US"/>
        </w:rPr>
        <w:t xml:space="preserve"> of topics</w:t>
      </w:r>
    </w:p>
    <w:p w14:paraId="13D363E6" w14:textId="14A54422" w:rsidR="009C1BD2" w:rsidRDefault="009C1BD2" w:rsidP="0052023A">
      <w:pPr>
        <w:spacing w:after="0"/>
        <w:jc w:val="both"/>
        <w:rPr>
          <w:lang w:val="en-US"/>
        </w:rPr>
      </w:pPr>
      <w:r w:rsidRPr="009C1BD2">
        <w:rPr>
          <w:lang w:val="en-US"/>
        </w:rPr>
        <w:t xml:space="preserve">The 10-topic solution provides the 10 (topics) X 1175 (abstracts) theta matrix of probabilities of each abstract to be included in each topic. Thus, we assigned each paper to the topic based on the highest probability of matching said topic (matrix theta; Blei et al., 2003). The 10-topic solution provides also the 10 (topics) X 11062 (tokens) beta matrix of probabilities of each token (word in the corpus) to be included in the topics. </w:t>
      </w:r>
    </w:p>
    <w:p w14:paraId="739C6F7E" w14:textId="55064DA5" w:rsidR="003313D1" w:rsidRDefault="003313D1" w:rsidP="003313D1">
      <w:pPr>
        <w:spacing w:after="0"/>
        <w:ind w:firstLine="284"/>
        <w:jc w:val="both"/>
        <w:rPr>
          <w:lang w:val="en-US"/>
        </w:rPr>
      </w:pPr>
      <w:r>
        <w:rPr>
          <w:lang w:val="en-US"/>
        </w:rPr>
        <w:t>U</w:t>
      </w:r>
      <w:r w:rsidRPr="003313D1">
        <w:rPr>
          <w:lang w:val="en-US"/>
        </w:rPr>
        <w:t>sing the theta matrix, we identified the most representative documents associated with each topic.</w:t>
      </w:r>
      <w:r>
        <w:rPr>
          <w:lang w:val="en-US"/>
        </w:rPr>
        <w:t xml:space="preserve"> Subsequently, b</w:t>
      </w:r>
      <w:r w:rsidRPr="003313D1">
        <w:rPr>
          <w:lang w:val="en-US"/>
        </w:rPr>
        <w:t xml:space="preserve">ased on the beta matrix derived from the ten-topic solution of the LDA model, we extracted the ten most salient terms for each topic. </w:t>
      </w:r>
      <w:r w:rsidR="00B44580">
        <w:rPr>
          <w:lang w:val="en-US"/>
        </w:rPr>
        <w:t>Specifically, w</w:t>
      </w:r>
      <w:r w:rsidR="00B44580" w:rsidRPr="00DA6F7A">
        <w:rPr>
          <w:lang w:val="en-US"/>
        </w:rPr>
        <w:t>e extract</w:t>
      </w:r>
      <w:r w:rsidR="00B44580">
        <w:rPr>
          <w:lang w:val="en-US"/>
        </w:rPr>
        <w:t>ed</w:t>
      </w:r>
      <w:r w:rsidR="00B44580" w:rsidRPr="00DA6F7A">
        <w:rPr>
          <w:lang w:val="en-US"/>
        </w:rPr>
        <w:t xml:space="preserve"> the most frequent terms using the </w:t>
      </w:r>
      <w:r w:rsidR="00B44580" w:rsidRPr="00DA6F7A">
        <w:rPr>
          <w:rStyle w:val="CodiceHTML"/>
          <w:rFonts w:eastAsiaTheme="majorEastAsia"/>
          <w:lang w:val="en-US"/>
        </w:rPr>
        <w:t>terms</w:t>
      </w:r>
      <w:r w:rsidR="00B44580" w:rsidRPr="00DA6F7A">
        <w:rPr>
          <w:lang w:val="en-US"/>
        </w:rPr>
        <w:t xml:space="preserve"> function from the </w:t>
      </w:r>
      <w:proofErr w:type="spellStart"/>
      <w:r w:rsidR="00B44580" w:rsidRPr="00DA6F7A">
        <w:rPr>
          <w:rStyle w:val="Enfasicorsivo"/>
          <w:rFonts w:ascii="Courier New" w:hAnsi="Courier New" w:cs="Courier New"/>
          <w:i w:val="0"/>
          <w:iCs w:val="0"/>
          <w:sz w:val="20"/>
          <w:szCs w:val="20"/>
          <w:lang w:val="en-US"/>
        </w:rPr>
        <w:t>topicmodels</w:t>
      </w:r>
      <w:proofErr w:type="spellEnd"/>
      <w:r w:rsidR="00B44580" w:rsidRPr="00DA6F7A">
        <w:rPr>
          <w:lang w:val="en-US"/>
        </w:rPr>
        <w:t xml:space="preserve"> R package.</w:t>
      </w:r>
      <w:r w:rsidR="00B44580">
        <w:rPr>
          <w:lang w:val="en-US"/>
        </w:rPr>
        <w:t xml:space="preserve"> </w:t>
      </w:r>
      <w:r w:rsidRPr="003313D1">
        <w:rPr>
          <w:lang w:val="en-US"/>
        </w:rPr>
        <w:t xml:space="preserve">By </w:t>
      </w:r>
      <w:r>
        <w:rPr>
          <w:lang w:val="en-US"/>
        </w:rPr>
        <w:t xml:space="preserve">hermeneutically </w:t>
      </w:r>
      <w:r w:rsidRPr="003313D1">
        <w:rPr>
          <w:lang w:val="en-US"/>
        </w:rPr>
        <w:t>analyzing the top-ranked texts and interpreting them in light of the most relevant terms extracted, we assigned an interpretive label—or topic title—to each of the ten topics.</w:t>
      </w:r>
    </w:p>
    <w:p w14:paraId="531467FC" w14:textId="5C960E1B" w:rsidR="0027369B" w:rsidRPr="0052023A" w:rsidRDefault="00DA6F7A" w:rsidP="00463A9B">
      <w:pPr>
        <w:spacing w:after="0"/>
        <w:ind w:firstLine="284"/>
        <w:jc w:val="both"/>
        <w:rPr>
          <w:lang w:val="en-US"/>
        </w:rPr>
      </w:pPr>
      <w:r>
        <w:rPr>
          <w:lang w:val="en-US"/>
        </w:rPr>
        <w:lastRenderedPageBreak/>
        <w:t>The complete set of the ten keywords with the highest probability is provided in Table A.</w:t>
      </w:r>
      <w:r w:rsidR="003B6FBF">
        <w:rPr>
          <w:lang w:val="en-US"/>
        </w:rPr>
        <w:t>1.</w:t>
      </w:r>
      <w:r w:rsidR="003313D1">
        <w:rPr>
          <w:lang w:val="en-US"/>
        </w:rPr>
        <w:t xml:space="preserve">, while Table 2 in the main text offers sample references for each topic. </w:t>
      </w:r>
    </w:p>
    <w:p w14:paraId="58CF6853" w14:textId="538D89AA" w:rsidR="008F2409" w:rsidRDefault="008F2409" w:rsidP="004C3440">
      <w:pPr>
        <w:spacing w:after="0"/>
        <w:jc w:val="both"/>
        <w:rPr>
          <w:lang w:val="en-US"/>
        </w:rPr>
      </w:pPr>
    </w:p>
    <w:tbl>
      <w:tblPr>
        <w:tblW w:w="9638" w:type="dxa"/>
        <w:tblCellMar>
          <w:left w:w="70" w:type="dxa"/>
          <w:right w:w="70" w:type="dxa"/>
        </w:tblCellMar>
        <w:tblLook w:val="04A0" w:firstRow="1" w:lastRow="0" w:firstColumn="1" w:lastColumn="0" w:noHBand="0" w:noVBand="1"/>
      </w:tblPr>
      <w:tblGrid>
        <w:gridCol w:w="957"/>
        <w:gridCol w:w="906"/>
        <w:gridCol w:w="906"/>
        <w:gridCol w:w="1030"/>
        <w:gridCol w:w="991"/>
        <w:gridCol w:w="858"/>
        <w:gridCol w:w="1116"/>
        <w:gridCol w:w="832"/>
        <w:gridCol w:w="1051"/>
        <w:gridCol w:w="991"/>
      </w:tblGrid>
      <w:tr w:rsidR="0027369B" w:rsidRPr="0027369B" w14:paraId="0E84DF8F" w14:textId="77777777" w:rsidTr="0027369B">
        <w:trPr>
          <w:trHeight w:val="300"/>
        </w:trPr>
        <w:tc>
          <w:tcPr>
            <w:tcW w:w="957" w:type="dxa"/>
            <w:tcBorders>
              <w:top w:val="nil"/>
              <w:left w:val="nil"/>
              <w:bottom w:val="single" w:sz="4" w:space="0" w:color="auto"/>
              <w:right w:val="single" w:sz="4" w:space="0" w:color="auto"/>
            </w:tcBorders>
            <w:noWrap/>
            <w:vAlign w:val="center"/>
            <w:hideMark/>
          </w:tcPr>
          <w:p w14:paraId="3ED207F6"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1</w:t>
            </w:r>
          </w:p>
        </w:tc>
        <w:tc>
          <w:tcPr>
            <w:tcW w:w="906" w:type="dxa"/>
            <w:tcBorders>
              <w:top w:val="nil"/>
              <w:left w:val="single" w:sz="4" w:space="0" w:color="auto"/>
              <w:bottom w:val="single" w:sz="4" w:space="0" w:color="auto"/>
              <w:right w:val="single" w:sz="4" w:space="0" w:color="auto"/>
            </w:tcBorders>
            <w:noWrap/>
            <w:vAlign w:val="center"/>
            <w:hideMark/>
          </w:tcPr>
          <w:p w14:paraId="1A883133"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2</w:t>
            </w:r>
          </w:p>
        </w:tc>
        <w:tc>
          <w:tcPr>
            <w:tcW w:w="906" w:type="dxa"/>
            <w:tcBorders>
              <w:top w:val="nil"/>
              <w:left w:val="single" w:sz="4" w:space="0" w:color="auto"/>
              <w:bottom w:val="single" w:sz="4" w:space="0" w:color="auto"/>
              <w:right w:val="single" w:sz="4" w:space="0" w:color="auto"/>
            </w:tcBorders>
            <w:noWrap/>
            <w:vAlign w:val="center"/>
            <w:hideMark/>
          </w:tcPr>
          <w:p w14:paraId="75D43A48"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3</w:t>
            </w:r>
          </w:p>
        </w:tc>
        <w:tc>
          <w:tcPr>
            <w:tcW w:w="1030" w:type="dxa"/>
            <w:tcBorders>
              <w:top w:val="nil"/>
              <w:left w:val="single" w:sz="4" w:space="0" w:color="auto"/>
              <w:bottom w:val="single" w:sz="4" w:space="0" w:color="auto"/>
              <w:right w:val="single" w:sz="4" w:space="0" w:color="auto"/>
            </w:tcBorders>
            <w:noWrap/>
            <w:vAlign w:val="center"/>
            <w:hideMark/>
          </w:tcPr>
          <w:p w14:paraId="69CCC44E"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4</w:t>
            </w:r>
          </w:p>
        </w:tc>
        <w:tc>
          <w:tcPr>
            <w:tcW w:w="991" w:type="dxa"/>
            <w:tcBorders>
              <w:top w:val="nil"/>
              <w:left w:val="single" w:sz="4" w:space="0" w:color="auto"/>
              <w:bottom w:val="single" w:sz="4" w:space="0" w:color="auto"/>
              <w:right w:val="single" w:sz="4" w:space="0" w:color="auto"/>
            </w:tcBorders>
            <w:noWrap/>
            <w:vAlign w:val="center"/>
            <w:hideMark/>
          </w:tcPr>
          <w:p w14:paraId="6F93D0C1"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5</w:t>
            </w:r>
          </w:p>
        </w:tc>
        <w:tc>
          <w:tcPr>
            <w:tcW w:w="858" w:type="dxa"/>
            <w:tcBorders>
              <w:top w:val="nil"/>
              <w:left w:val="single" w:sz="4" w:space="0" w:color="auto"/>
              <w:bottom w:val="single" w:sz="4" w:space="0" w:color="auto"/>
              <w:right w:val="single" w:sz="4" w:space="0" w:color="auto"/>
            </w:tcBorders>
            <w:noWrap/>
            <w:vAlign w:val="center"/>
            <w:hideMark/>
          </w:tcPr>
          <w:p w14:paraId="14BC75F3"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6</w:t>
            </w:r>
          </w:p>
        </w:tc>
        <w:tc>
          <w:tcPr>
            <w:tcW w:w="1116" w:type="dxa"/>
            <w:tcBorders>
              <w:top w:val="nil"/>
              <w:left w:val="single" w:sz="4" w:space="0" w:color="auto"/>
              <w:bottom w:val="single" w:sz="4" w:space="0" w:color="auto"/>
              <w:right w:val="single" w:sz="4" w:space="0" w:color="auto"/>
            </w:tcBorders>
            <w:noWrap/>
            <w:vAlign w:val="center"/>
            <w:hideMark/>
          </w:tcPr>
          <w:p w14:paraId="1D05AC3E"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7</w:t>
            </w:r>
          </w:p>
        </w:tc>
        <w:tc>
          <w:tcPr>
            <w:tcW w:w="832" w:type="dxa"/>
            <w:tcBorders>
              <w:top w:val="nil"/>
              <w:left w:val="single" w:sz="4" w:space="0" w:color="auto"/>
              <w:bottom w:val="single" w:sz="4" w:space="0" w:color="auto"/>
              <w:right w:val="single" w:sz="4" w:space="0" w:color="auto"/>
            </w:tcBorders>
            <w:noWrap/>
            <w:vAlign w:val="center"/>
            <w:hideMark/>
          </w:tcPr>
          <w:p w14:paraId="7DAD8C81"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8</w:t>
            </w:r>
          </w:p>
        </w:tc>
        <w:tc>
          <w:tcPr>
            <w:tcW w:w="1051" w:type="dxa"/>
            <w:tcBorders>
              <w:top w:val="nil"/>
              <w:left w:val="single" w:sz="4" w:space="0" w:color="auto"/>
              <w:bottom w:val="single" w:sz="4" w:space="0" w:color="auto"/>
              <w:right w:val="single" w:sz="4" w:space="0" w:color="auto"/>
            </w:tcBorders>
            <w:noWrap/>
            <w:vAlign w:val="center"/>
            <w:hideMark/>
          </w:tcPr>
          <w:p w14:paraId="05F423BB"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9</w:t>
            </w:r>
          </w:p>
        </w:tc>
        <w:tc>
          <w:tcPr>
            <w:tcW w:w="991" w:type="dxa"/>
            <w:tcBorders>
              <w:top w:val="nil"/>
              <w:left w:val="single" w:sz="4" w:space="0" w:color="auto"/>
              <w:bottom w:val="single" w:sz="4" w:space="0" w:color="auto"/>
              <w:right w:val="nil"/>
            </w:tcBorders>
            <w:noWrap/>
            <w:vAlign w:val="center"/>
            <w:hideMark/>
          </w:tcPr>
          <w:p w14:paraId="020B81F2" w14:textId="77777777" w:rsidR="0027369B" w:rsidRPr="0027369B" w:rsidRDefault="0027369B" w:rsidP="0027369B">
            <w:pPr>
              <w:spacing w:after="0" w:line="240" w:lineRule="auto"/>
              <w:jc w:val="center"/>
              <w:rPr>
                <w:rFonts w:eastAsia="Times New Roman" w:cs="Times New Roman"/>
                <w:b/>
                <w:bCs/>
                <w:color w:val="000000"/>
                <w:kern w:val="0"/>
                <w:sz w:val="14"/>
                <w:szCs w:val="14"/>
                <w:lang w:val="en-US" w:eastAsia="it-IT"/>
                <w14:ligatures w14:val="none"/>
              </w:rPr>
            </w:pPr>
            <w:r w:rsidRPr="0027369B">
              <w:rPr>
                <w:rFonts w:eastAsia="Times New Roman" w:cs="Times New Roman"/>
                <w:b/>
                <w:bCs/>
                <w:color w:val="000000"/>
                <w:kern w:val="0"/>
                <w:sz w:val="14"/>
                <w:szCs w:val="14"/>
                <w:lang w:val="en-US" w:eastAsia="it-IT"/>
                <w14:ligatures w14:val="none"/>
              </w:rPr>
              <w:t>Topic 10</w:t>
            </w:r>
          </w:p>
        </w:tc>
      </w:tr>
      <w:tr w:rsidR="0027369B" w:rsidRPr="0027369B" w14:paraId="3A3E7C07" w14:textId="77777777" w:rsidTr="0027369B">
        <w:trPr>
          <w:trHeight w:val="300"/>
        </w:trPr>
        <w:tc>
          <w:tcPr>
            <w:tcW w:w="957" w:type="dxa"/>
            <w:tcBorders>
              <w:top w:val="single" w:sz="4" w:space="0" w:color="auto"/>
              <w:left w:val="nil"/>
              <w:bottom w:val="nil"/>
              <w:right w:val="single" w:sz="4" w:space="0" w:color="auto"/>
            </w:tcBorders>
            <w:noWrap/>
            <w:vAlign w:val="bottom"/>
            <w:hideMark/>
          </w:tcPr>
          <w:p w14:paraId="1A811EBC" w14:textId="645138D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ethical</w:t>
            </w:r>
          </w:p>
        </w:tc>
        <w:tc>
          <w:tcPr>
            <w:tcW w:w="906" w:type="dxa"/>
            <w:tcBorders>
              <w:top w:val="single" w:sz="4" w:space="0" w:color="auto"/>
              <w:left w:val="single" w:sz="4" w:space="0" w:color="auto"/>
              <w:bottom w:val="nil"/>
              <w:right w:val="single" w:sz="4" w:space="0" w:color="auto"/>
            </w:tcBorders>
            <w:noWrap/>
            <w:vAlign w:val="bottom"/>
            <w:hideMark/>
          </w:tcPr>
          <w:p w14:paraId="6684DC19" w14:textId="0FFBCB18"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leadership</w:t>
            </w:r>
          </w:p>
        </w:tc>
        <w:tc>
          <w:tcPr>
            <w:tcW w:w="906" w:type="dxa"/>
            <w:tcBorders>
              <w:top w:val="single" w:sz="4" w:space="0" w:color="auto"/>
              <w:left w:val="single" w:sz="4" w:space="0" w:color="auto"/>
              <w:bottom w:val="nil"/>
              <w:right w:val="single" w:sz="4" w:space="0" w:color="auto"/>
            </w:tcBorders>
            <w:noWrap/>
            <w:vAlign w:val="bottom"/>
            <w:hideMark/>
          </w:tcPr>
          <w:p w14:paraId="11FCA811" w14:textId="44B92DBB"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institutional</w:t>
            </w:r>
          </w:p>
        </w:tc>
        <w:tc>
          <w:tcPr>
            <w:tcW w:w="1030" w:type="dxa"/>
            <w:tcBorders>
              <w:top w:val="single" w:sz="4" w:space="0" w:color="auto"/>
              <w:left w:val="single" w:sz="4" w:space="0" w:color="auto"/>
              <w:bottom w:val="nil"/>
              <w:right w:val="single" w:sz="4" w:space="0" w:color="auto"/>
            </w:tcBorders>
            <w:noWrap/>
            <w:vAlign w:val="bottom"/>
            <w:hideMark/>
          </w:tcPr>
          <w:p w14:paraId="24C846C1" w14:textId="45C9B77C"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change</w:t>
            </w:r>
          </w:p>
        </w:tc>
        <w:tc>
          <w:tcPr>
            <w:tcW w:w="991" w:type="dxa"/>
            <w:tcBorders>
              <w:top w:val="single" w:sz="4" w:space="0" w:color="auto"/>
              <w:left w:val="single" w:sz="4" w:space="0" w:color="auto"/>
              <w:bottom w:val="nil"/>
              <w:right w:val="single" w:sz="4" w:space="0" w:color="auto"/>
            </w:tcBorders>
            <w:noWrap/>
            <w:vAlign w:val="bottom"/>
            <w:hideMark/>
          </w:tcPr>
          <w:p w14:paraId="324F24E5" w14:textId="612CF25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behavior</w:t>
            </w:r>
          </w:p>
        </w:tc>
        <w:tc>
          <w:tcPr>
            <w:tcW w:w="858" w:type="dxa"/>
            <w:tcBorders>
              <w:top w:val="single" w:sz="4" w:space="0" w:color="auto"/>
              <w:left w:val="single" w:sz="4" w:space="0" w:color="auto"/>
              <w:bottom w:val="nil"/>
              <w:right w:val="single" w:sz="4" w:space="0" w:color="auto"/>
            </w:tcBorders>
            <w:noWrap/>
            <w:vAlign w:val="bottom"/>
            <w:hideMark/>
          </w:tcPr>
          <w:p w14:paraId="2147234F" w14:textId="581972D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brand</w:t>
            </w:r>
          </w:p>
        </w:tc>
        <w:tc>
          <w:tcPr>
            <w:tcW w:w="1116" w:type="dxa"/>
            <w:tcBorders>
              <w:top w:val="single" w:sz="4" w:space="0" w:color="auto"/>
              <w:left w:val="single" w:sz="4" w:space="0" w:color="auto"/>
              <w:bottom w:val="nil"/>
              <w:right w:val="single" w:sz="4" w:space="0" w:color="auto"/>
            </w:tcBorders>
            <w:noWrap/>
            <w:vAlign w:val="bottom"/>
            <w:hideMark/>
          </w:tcPr>
          <w:p w14:paraId="4122576E" w14:textId="13BAF5CC"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tourism</w:t>
            </w:r>
          </w:p>
        </w:tc>
        <w:tc>
          <w:tcPr>
            <w:tcW w:w="832" w:type="dxa"/>
            <w:tcBorders>
              <w:top w:val="single" w:sz="4" w:space="0" w:color="auto"/>
              <w:left w:val="single" w:sz="4" w:space="0" w:color="auto"/>
              <w:bottom w:val="nil"/>
              <w:right w:val="single" w:sz="4" w:space="0" w:color="auto"/>
            </w:tcBorders>
            <w:noWrap/>
            <w:vAlign w:val="bottom"/>
            <w:hideMark/>
          </w:tcPr>
          <w:p w14:paraId="5D80E69C" w14:textId="38AA58CC"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proofErr w:type="spellStart"/>
            <w:r w:rsidRPr="0027369B">
              <w:rPr>
                <w:rFonts w:cs="Times New Roman"/>
                <w:color w:val="000000"/>
                <w:sz w:val="14"/>
                <w:szCs w:val="14"/>
                <w:lang w:val="en-US"/>
              </w:rPr>
              <w:t>csr</w:t>
            </w:r>
            <w:proofErr w:type="spellEnd"/>
          </w:p>
        </w:tc>
        <w:tc>
          <w:tcPr>
            <w:tcW w:w="1051" w:type="dxa"/>
            <w:tcBorders>
              <w:top w:val="single" w:sz="4" w:space="0" w:color="auto"/>
              <w:left w:val="single" w:sz="4" w:space="0" w:color="auto"/>
              <w:bottom w:val="nil"/>
              <w:right w:val="single" w:sz="4" w:space="0" w:color="auto"/>
            </w:tcBorders>
            <w:noWrap/>
            <w:vAlign w:val="bottom"/>
            <w:hideMark/>
          </w:tcPr>
          <w:p w14:paraId="351BCBBC" w14:textId="5622A0D8"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reporting</w:t>
            </w:r>
          </w:p>
        </w:tc>
        <w:tc>
          <w:tcPr>
            <w:tcW w:w="991" w:type="dxa"/>
            <w:tcBorders>
              <w:top w:val="single" w:sz="4" w:space="0" w:color="auto"/>
              <w:left w:val="single" w:sz="4" w:space="0" w:color="auto"/>
              <w:bottom w:val="nil"/>
              <w:right w:val="nil"/>
            </w:tcBorders>
            <w:noWrap/>
            <w:vAlign w:val="bottom"/>
            <w:hideMark/>
          </w:tcPr>
          <w:p w14:paraId="0663B5B4" w14:textId="41E0A37A"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proofErr w:type="spellStart"/>
            <w:r w:rsidRPr="0027369B">
              <w:rPr>
                <w:rFonts w:cs="Times New Roman"/>
                <w:color w:val="000000"/>
                <w:sz w:val="14"/>
                <w:szCs w:val="14"/>
                <w:lang w:val="en-US"/>
              </w:rPr>
              <w:t>ceo</w:t>
            </w:r>
            <w:proofErr w:type="spellEnd"/>
          </w:p>
        </w:tc>
      </w:tr>
      <w:tr w:rsidR="0027369B" w:rsidRPr="0027369B" w14:paraId="1106E79B" w14:textId="77777777" w:rsidTr="0027369B">
        <w:trPr>
          <w:trHeight w:val="300"/>
        </w:trPr>
        <w:tc>
          <w:tcPr>
            <w:tcW w:w="957" w:type="dxa"/>
            <w:tcBorders>
              <w:top w:val="nil"/>
              <w:left w:val="nil"/>
              <w:bottom w:val="nil"/>
              <w:right w:val="single" w:sz="4" w:space="0" w:color="auto"/>
            </w:tcBorders>
            <w:noWrap/>
            <w:vAlign w:val="bottom"/>
            <w:hideMark/>
          </w:tcPr>
          <w:p w14:paraId="0A28F6E2" w14:textId="40A7284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leadership</w:t>
            </w:r>
          </w:p>
        </w:tc>
        <w:tc>
          <w:tcPr>
            <w:tcW w:w="906" w:type="dxa"/>
            <w:tcBorders>
              <w:top w:val="nil"/>
              <w:left w:val="single" w:sz="4" w:space="0" w:color="auto"/>
              <w:bottom w:val="nil"/>
              <w:right w:val="single" w:sz="4" w:space="0" w:color="auto"/>
            </w:tcBorders>
            <w:noWrap/>
            <w:vAlign w:val="bottom"/>
            <w:hideMark/>
          </w:tcPr>
          <w:p w14:paraId="6093E383" w14:textId="7210746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community</w:t>
            </w:r>
          </w:p>
        </w:tc>
        <w:tc>
          <w:tcPr>
            <w:tcW w:w="906" w:type="dxa"/>
            <w:tcBorders>
              <w:top w:val="nil"/>
              <w:left w:val="single" w:sz="4" w:space="0" w:color="auto"/>
              <w:bottom w:val="nil"/>
              <w:right w:val="single" w:sz="4" w:space="0" w:color="auto"/>
            </w:tcBorders>
            <w:noWrap/>
            <w:vAlign w:val="bottom"/>
            <w:hideMark/>
          </w:tcPr>
          <w:p w14:paraId="248C0743" w14:textId="50D496CE"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investors</w:t>
            </w:r>
          </w:p>
        </w:tc>
        <w:tc>
          <w:tcPr>
            <w:tcW w:w="1030" w:type="dxa"/>
            <w:tcBorders>
              <w:top w:val="nil"/>
              <w:left w:val="single" w:sz="4" w:space="0" w:color="auto"/>
              <w:bottom w:val="nil"/>
              <w:right w:val="single" w:sz="4" w:space="0" w:color="auto"/>
            </w:tcBorders>
            <w:noWrap/>
            <w:vAlign w:val="bottom"/>
            <w:hideMark/>
          </w:tcPr>
          <w:p w14:paraId="2AFF53AF" w14:textId="4E08799A"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climate</w:t>
            </w:r>
          </w:p>
        </w:tc>
        <w:tc>
          <w:tcPr>
            <w:tcW w:w="991" w:type="dxa"/>
            <w:tcBorders>
              <w:top w:val="nil"/>
              <w:left w:val="single" w:sz="4" w:space="0" w:color="auto"/>
              <w:bottom w:val="nil"/>
              <w:right w:val="single" w:sz="4" w:space="0" w:color="auto"/>
            </w:tcBorders>
            <w:noWrap/>
            <w:vAlign w:val="bottom"/>
            <w:hideMark/>
          </w:tcPr>
          <w:p w14:paraId="203A18D9" w14:textId="194B0BBB"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innovation</w:t>
            </w:r>
          </w:p>
        </w:tc>
        <w:tc>
          <w:tcPr>
            <w:tcW w:w="858" w:type="dxa"/>
            <w:tcBorders>
              <w:top w:val="nil"/>
              <w:left w:val="single" w:sz="4" w:space="0" w:color="auto"/>
              <w:bottom w:val="nil"/>
              <w:right w:val="single" w:sz="4" w:space="0" w:color="auto"/>
            </w:tcBorders>
            <w:noWrap/>
            <w:vAlign w:val="bottom"/>
            <w:hideMark/>
          </w:tcPr>
          <w:p w14:paraId="6FD8001D" w14:textId="7B882FE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consumers</w:t>
            </w:r>
          </w:p>
        </w:tc>
        <w:tc>
          <w:tcPr>
            <w:tcW w:w="1116" w:type="dxa"/>
            <w:tcBorders>
              <w:top w:val="nil"/>
              <w:left w:val="single" w:sz="4" w:space="0" w:color="auto"/>
              <w:bottom w:val="nil"/>
              <w:right w:val="single" w:sz="4" w:space="0" w:color="auto"/>
            </w:tcBorders>
            <w:noWrap/>
            <w:vAlign w:val="bottom"/>
            <w:hideMark/>
          </w:tcPr>
          <w:p w14:paraId="4C895D15" w14:textId="22CE6DEA"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forest</w:t>
            </w:r>
          </w:p>
        </w:tc>
        <w:tc>
          <w:tcPr>
            <w:tcW w:w="832" w:type="dxa"/>
            <w:tcBorders>
              <w:top w:val="nil"/>
              <w:left w:val="single" w:sz="4" w:space="0" w:color="auto"/>
              <w:bottom w:val="nil"/>
              <w:right w:val="single" w:sz="4" w:space="0" w:color="auto"/>
            </w:tcBorders>
            <w:noWrap/>
            <w:vAlign w:val="bottom"/>
            <w:hideMark/>
          </w:tcPr>
          <w:p w14:paraId="4CC4D4E8" w14:textId="1FF8D16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reporting</w:t>
            </w:r>
          </w:p>
        </w:tc>
        <w:tc>
          <w:tcPr>
            <w:tcW w:w="1051" w:type="dxa"/>
            <w:tcBorders>
              <w:top w:val="nil"/>
              <w:left w:val="single" w:sz="4" w:space="0" w:color="auto"/>
              <w:bottom w:val="nil"/>
              <w:right w:val="single" w:sz="4" w:space="0" w:color="auto"/>
            </w:tcBorders>
            <w:noWrap/>
            <w:vAlign w:val="bottom"/>
            <w:hideMark/>
          </w:tcPr>
          <w:p w14:paraId="36289FCC" w14:textId="5F52DC6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quality</w:t>
            </w:r>
          </w:p>
        </w:tc>
        <w:tc>
          <w:tcPr>
            <w:tcW w:w="991" w:type="dxa"/>
            <w:tcBorders>
              <w:top w:val="nil"/>
              <w:left w:val="single" w:sz="4" w:space="0" w:color="auto"/>
              <w:bottom w:val="nil"/>
              <w:right w:val="nil"/>
            </w:tcBorders>
            <w:noWrap/>
            <w:vAlign w:val="bottom"/>
            <w:hideMark/>
          </w:tcPr>
          <w:p w14:paraId="4F8734F1" w14:textId="37AF2B05"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duality</w:t>
            </w:r>
          </w:p>
        </w:tc>
      </w:tr>
      <w:tr w:rsidR="0027369B" w:rsidRPr="0027369B" w14:paraId="0A941292" w14:textId="77777777" w:rsidTr="0027369B">
        <w:trPr>
          <w:trHeight w:val="300"/>
        </w:trPr>
        <w:tc>
          <w:tcPr>
            <w:tcW w:w="957" w:type="dxa"/>
            <w:tcBorders>
              <w:top w:val="nil"/>
              <w:left w:val="nil"/>
              <w:bottom w:val="nil"/>
              <w:right w:val="single" w:sz="4" w:space="0" w:color="auto"/>
            </w:tcBorders>
            <w:noWrap/>
            <w:vAlign w:val="bottom"/>
            <w:hideMark/>
          </w:tcPr>
          <w:p w14:paraId="50EFE7EB" w14:textId="117C5495"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values</w:t>
            </w:r>
          </w:p>
        </w:tc>
        <w:tc>
          <w:tcPr>
            <w:tcW w:w="906" w:type="dxa"/>
            <w:tcBorders>
              <w:top w:val="nil"/>
              <w:left w:val="single" w:sz="4" w:space="0" w:color="auto"/>
              <w:bottom w:val="nil"/>
              <w:right w:val="single" w:sz="4" w:space="0" w:color="auto"/>
            </w:tcBorders>
            <w:noWrap/>
            <w:vAlign w:val="bottom"/>
            <w:hideMark/>
          </w:tcPr>
          <w:p w14:paraId="1EA10E92" w14:textId="5967380B"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heritage</w:t>
            </w:r>
          </w:p>
        </w:tc>
        <w:tc>
          <w:tcPr>
            <w:tcW w:w="906" w:type="dxa"/>
            <w:tcBorders>
              <w:top w:val="nil"/>
              <w:left w:val="single" w:sz="4" w:space="0" w:color="auto"/>
              <w:bottom w:val="nil"/>
              <w:right w:val="single" w:sz="4" w:space="0" w:color="auto"/>
            </w:tcBorders>
            <w:noWrap/>
            <w:vAlign w:val="bottom"/>
            <w:hideMark/>
          </w:tcPr>
          <w:p w14:paraId="23B8B59B" w14:textId="43BF6926"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investment</w:t>
            </w:r>
          </w:p>
        </w:tc>
        <w:tc>
          <w:tcPr>
            <w:tcW w:w="1030" w:type="dxa"/>
            <w:tcBorders>
              <w:top w:val="nil"/>
              <w:left w:val="single" w:sz="4" w:space="0" w:color="auto"/>
              <w:bottom w:val="nil"/>
              <w:right w:val="single" w:sz="4" w:space="0" w:color="auto"/>
            </w:tcBorders>
            <w:noWrap/>
            <w:vAlign w:val="bottom"/>
            <w:hideMark/>
          </w:tcPr>
          <w:p w14:paraId="001BC87D" w14:textId="09C5A1F4"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energy</w:t>
            </w:r>
          </w:p>
        </w:tc>
        <w:tc>
          <w:tcPr>
            <w:tcW w:w="991" w:type="dxa"/>
            <w:tcBorders>
              <w:top w:val="nil"/>
              <w:left w:val="single" w:sz="4" w:space="0" w:color="auto"/>
              <w:bottom w:val="nil"/>
              <w:right w:val="single" w:sz="4" w:space="0" w:color="auto"/>
            </w:tcBorders>
            <w:noWrap/>
            <w:vAlign w:val="bottom"/>
            <w:hideMark/>
          </w:tcPr>
          <w:p w14:paraId="44E71A55" w14:textId="008A3CE4"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employees</w:t>
            </w:r>
          </w:p>
        </w:tc>
        <w:tc>
          <w:tcPr>
            <w:tcW w:w="858" w:type="dxa"/>
            <w:tcBorders>
              <w:top w:val="nil"/>
              <w:left w:val="single" w:sz="4" w:space="0" w:color="auto"/>
              <w:bottom w:val="nil"/>
              <w:right w:val="single" w:sz="4" w:space="0" w:color="auto"/>
            </w:tcBorders>
            <w:noWrap/>
            <w:vAlign w:val="bottom"/>
            <w:hideMark/>
          </w:tcPr>
          <w:p w14:paraId="70EA0E30" w14:textId="2FABBB3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marketing</w:t>
            </w:r>
          </w:p>
        </w:tc>
        <w:tc>
          <w:tcPr>
            <w:tcW w:w="1116" w:type="dxa"/>
            <w:tcBorders>
              <w:top w:val="nil"/>
              <w:left w:val="single" w:sz="4" w:space="0" w:color="auto"/>
              <w:bottom w:val="nil"/>
              <w:right w:val="single" w:sz="4" w:space="0" w:color="auto"/>
            </w:tcBorders>
            <w:noWrap/>
            <w:vAlign w:val="bottom"/>
            <w:hideMark/>
          </w:tcPr>
          <w:p w14:paraId="5E2F3176" w14:textId="4F0A9920"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global</w:t>
            </w:r>
          </w:p>
        </w:tc>
        <w:tc>
          <w:tcPr>
            <w:tcW w:w="832" w:type="dxa"/>
            <w:tcBorders>
              <w:top w:val="nil"/>
              <w:left w:val="single" w:sz="4" w:space="0" w:color="auto"/>
              <w:bottom w:val="nil"/>
              <w:right w:val="single" w:sz="4" w:space="0" w:color="auto"/>
            </w:tcBorders>
            <w:noWrap/>
            <w:vAlign w:val="bottom"/>
            <w:hideMark/>
          </w:tcPr>
          <w:p w14:paraId="5389569B" w14:textId="180A9BE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community</w:t>
            </w:r>
          </w:p>
        </w:tc>
        <w:tc>
          <w:tcPr>
            <w:tcW w:w="1051" w:type="dxa"/>
            <w:tcBorders>
              <w:top w:val="nil"/>
              <w:left w:val="single" w:sz="4" w:space="0" w:color="auto"/>
              <w:bottom w:val="nil"/>
              <w:right w:val="single" w:sz="4" w:space="0" w:color="auto"/>
            </w:tcBorders>
            <w:noWrap/>
            <w:vAlign w:val="bottom"/>
            <w:hideMark/>
          </w:tcPr>
          <w:p w14:paraId="56CC50DF" w14:textId="3B3A2343"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disclosure</w:t>
            </w:r>
          </w:p>
        </w:tc>
        <w:tc>
          <w:tcPr>
            <w:tcW w:w="991" w:type="dxa"/>
            <w:tcBorders>
              <w:top w:val="nil"/>
              <w:left w:val="single" w:sz="4" w:space="0" w:color="auto"/>
              <w:bottom w:val="nil"/>
              <w:right w:val="nil"/>
            </w:tcBorders>
            <w:noWrap/>
            <w:vAlign w:val="bottom"/>
            <w:hideMark/>
          </w:tcPr>
          <w:p w14:paraId="77476FAC" w14:textId="60407653"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directors</w:t>
            </w:r>
          </w:p>
        </w:tc>
      </w:tr>
      <w:tr w:rsidR="0027369B" w:rsidRPr="0027369B" w14:paraId="42AB5429" w14:textId="77777777" w:rsidTr="0027369B">
        <w:trPr>
          <w:trHeight w:val="300"/>
        </w:trPr>
        <w:tc>
          <w:tcPr>
            <w:tcW w:w="957" w:type="dxa"/>
            <w:tcBorders>
              <w:top w:val="nil"/>
              <w:left w:val="nil"/>
              <w:bottom w:val="nil"/>
              <w:right w:val="single" w:sz="4" w:space="0" w:color="auto"/>
            </w:tcBorders>
            <w:noWrap/>
            <w:vAlign w:val="bottom"/>
            <w:hideMark/>
          </w:tcPr>
          <w:p w14:paraId="6D9932E5" w14:textId="684C28EF"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capital</w:t>
            </w:r>
          </w:p>
        </w:tc>
        <w:tc>
          <w:tcPr>
            <w:tcW w:w="906" w:type="dxa"/>
            <w:tcBorders>
              <w:top w:val="nil"/>
              <w:left w:val="single" w:sz="4" w:space="0" w:color="auto"/>
              <w:bottom w:val="nil"/>
              <w:right w:val="single" w:sz="4" w:space="0" w:color="auto"/>
            </w:tcBorders>
            <w:noWrap/>
            <w:vAlign w:val="bottom"/>
            <w:hideMark/>
          </w:tcPr>
          <w:p w14:paraId="29425C73" w14:textId="2E2C29D9"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leaders</w:t>
            </w:r>
          </w:p>
        </w:tc>
        <w:tc>
          <w:tcPr>
            <w:tcW w:w="906" w:type="dxa"/>
            <w:tcBorders>
              <w:top w:val="nil"/>
              <w:left w:val="single" w:sz="4" w:space="0" w:color="auto"/>
              <w:bottom w:val="nil"/>
              <w:right w:val="single" w:sz="4" w:space="0" w:color="auto"/>
            </w:tcBorders>
            <w:noWrap/>
            <w:vAlign w:val="bottom"/>
            <w:hideMark/>
          </w:tcPr>
          <w:p w14:paraId="71E178EC" w14:textId="274D9D4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funds</w:t>
            </w:r>
          </w:p>
        </w:tc>
        <w:tc>
          <w:tcPr>
            <w:tcW w:w="1030" w:type="dxa"/>
            <w:tcBorders>
              <w:top w:val="nil"/>
              <w:left w:val="single" w:sz="4" w:space="0" w:color="auto"/>
              <w:bottom w:val="nil"/>
              <w:right w:val="single" w:sz="4" w:space="0" w:color="auto"/>
            </w:tcBorders>
            <w:noWrap/>
            <w:vAlign w:val="bottom"/>
            <w:hideMark/>
          </w:tcPr>
          <w:p w14:paraId="71E8EB12" w14:textId="16DBA7BB"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effects</w:t>
            </w:r>
          </w:p>
        </w:tc>
        <w:tc>
          <w:tcPr>
            <w:tcW w:w="991" w:type="dxa"/>
            <w:tcBorders>
              <w:top w:val="nil"/>
              <w:left w:val="single" w:sz="4" w:space="0" w:color="auto"/>
              <w:bottom w:val="nil"/>
              <w:right w:val="single" w:sz="4" w:space="0" w:color="auto"/>
            </w:tcBorders>
            <w:noWrap/>
            <w:vAlign w:val="bottom"/>
            <w:hideMark/>
          </w:tcPr>
          <w:p w14:paraId="0F8EFCC4" w14:textId="3D2CBEA4"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orientation</w:t>
            </w:r>
          </w:p>
        </w:tc>
        <w:tc>
          <w:tcPr>
            <w:tcW w:w="858" w:type="dxa"/>
            <w:tcBorders>
              <w:top w:val="nil"/>
              <w:left w:val="single" w:sz="4" w:space="0" w:color="auto"/>
              <w:bottom w:val="nil"/>
              <w:right w:val="single" w:sz="4" w:space="0" w:color="auto"/>
            </w:tcBorders>
            <w:noWrap/>
            <w:vAlign w:val="bottom"/>
            <w:hideMark/>
          </w:tcPr>
          <w:p w14:paraId="7B839BFA" w14:textId="56F770CD"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brands</w:t>
            </w:r>
          </w:p>
        </w:tc>
        <w:tc>
          <w:tcPr>
            <w:tcW w:w="1116" w:type="dxa"/>
            <w:tcBorders>
              <w:top w:val="nil"/>
              <w:left w:val="single" w:sz="4" w:space="0" w:color="auto"/>
              <w:bottom w:val="nil"/>
              <w:right w:val="single" w:sz="4" w:space="0" w:color="auto"/>
            </w:tcBorders>
            <w:noWrap/>
            <w:vAlign w:val="bottom"/>
            <w:hideMark/>
          </w:tcPr>
          <w:p w14:paraId="0303CF8B" w14:textId="7B611CC3"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health</w:t>
            </w:r>
          </w:p>
        </w:tc>
        <w:tc>
          <w:tcPr>
            <w:tcW w:w="832" w:type="dxa"/>
            <w:tcBorders>
              <w:top w:val="nil"/>
              <w:left w:val="single" w:sz="4" w:space="0" w:color="auto"/>
              <w:bottom w:val="nil"/>
              <w:right w:val="single" w:sz="4" w:space="0" w:color="auto"/>
            </w:tcBorders>
            <w:noWrap/>
            <w:vAlign w:val="bottom"/>
            <w:hideMark/>
          </w:tcPr>
          <w:p w14:paraId="443DB594" w14:textId="2FB84BEC"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company</w:t>
            </w:r>
          </w:p>
        </w:tc>
        <w:tc>
          <w:tcPr>
            <w:tcW w:w="1051" w:type="dxa"/>
            <w:tcBorders>
              <w:top w:val="nil"/>
              <w:left w:val="single" w:sz="4" w:space="0" w:color="auto"/>
              <w:bottom w:val="nil"/>
              <w:right w:val="single" w:sz="4" w:space="0" w:color="auto"/>
            </w:tcBorders>
            <w:noWrap/>
            <w:vAlign w:val="bottom"/>
            <w:hideMark/>
          </w:tcPr>
          <w:p w14:paraId="0E6BBD72" w14:textId="1C5EFF8E"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earnings</w:t>
            </w:r>
          </w:p>
        </w:tc>
        <w:tc>
          <w:tcPr>
            <w:tcW w:w="991" w:type="dxa"/>
            <w:tcBorders>
              <w:top w:val="nil"/>
              <w:left w:val="single" w:sz="4" w:space="0" w:color="auto"/>
              <w:bottom w:val="nil"/>
              <w:right w:val="nil"/>
            </w:tcBorders>
            <w:noWrap/>
            <w:vAlign w:val="bottom"/>
            <w:hideMark/>
          </w:tcPr>
          <w:p w14:paraId="564F7E40" w14:textId="2F06550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proofErr w:type="spellStart"/>
            <w:r w:rsidRPr="0027369B">
              <w:rPr>
                <w:rFonts w:cs="Times New Roman"/>
                <w:color w:val="000000"/>
                <w:sz w:val="14"/>
                <w:szCs w:val="14"/>
                <w:lang w:val="en-US"/>
              </w:rPr>
              <w:t>ceos</w:t>
            </w:r>
            <w:proofErr w:type="spellEnd"/>
          </w:p>
        </w:tc>
      </w:tr>
      <w:tr w:rsidR="0027369B" w:rsidRPr="0027369B" w14:paraId="5BAD4DC6" w14:textId="77777777" w:rsidTr="0027369B">
        <w:trPr>
          <w:trHeight w:val="300"/>
        </w:trPr>
        <w:tc>
          <w:tcPr>
            <w:tcW w:w="957" w:type="dxa"/>
            <w:tcBorders>
              <w:top w:val="nil"/>
              <w:left w:val="nil"/>
              <w:bottom w:val="nil"/>
              <w:right w:val="single" w:sz="4" w:space="0" w:color="auto"/>
            </w:tcBorders>
            <w:noWrap/>
            <w:vAlign w:val="bottom"/>
            <w:hideMark/>
          </w:tcPr>
          <w:p w14:paraId="41C88CD9" w14:textId="62A0E160"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human</w:t>
            </w:r>
          </w:p>
        </w:tc>
        <w:tc>
          <w:tcPr>
            <w:tcW w:w="906" w:type="dxa"/>
            <w:tcBorders>
              <w:top w:val="nil"/>
              <w:left w:val="single" w:sz="4" w:space="0" w:color="auto"/>
              <w:bottom w:val="nil"/>
              <w:right w:val="single" w:sz="4" w:space="0" w:color="auto"/>
            </w:tcBorders>
            <w:noWrap/>
            <w:vAlign w:val="bottom"/>
            <w:hideMark/>
          </w:tcPr>
          <w:p w14:paraId="45D04682" w14:textId="198FD789"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change</w:t>
            </w:r>
          </w:p>
        </w:tc>
        <w:tc>
          <w:tcPr>
            <w:tcW w:w="906" w:type="dxa"/>
            <w:tcBorders>
              <w:top w:val="nil"/>
              <w:left w:val="single" w:sz="4" w:space="0" w:color="auto"/>
              <w:bottom w:val="nil"/>
              <w:right w:val="single" w:sz="4" w:space="0" w:color="auto"/>
            </w:tcBorders>
            <w:noWrap/>
            <w:vAlign w:val="bottom"/>
            <w:hideMark/>
          </w:tcPr>
          <w:p w14:paraId="622DD5B9" w14:textId="144481A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decisions</w:t>
            </w:r>
          </w:p>
        </w:tc>
        <w:tc>
          <w:tcPr>
            <w:tcW w:w="1030" w:type="dxa"/>
            <w:tcBorders>
              <w:top w:val="nil"/>
              <w:left w:val="single" w:sz="4" w:space="0" w:color="auto"/>
              <w:bottom w:val="nil"/>
              <w:right w:val="single" w:sz="4" w:space="0" w:color="auto"/>
            </w:tcBorders>
            <w:noWrap/>
            <w:vAlign w:val="bottom"/>
            <w:hideMark/>
          </w:tcPr>
          <w:p w14:paraId="136CF4A6" w14:textId="4F38034B"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eco</w:t>
            </w:r>
          </w:p>
        </w:tc>
        <w:tc>
          <w:tcPr>
            <w:tcW w:w="991" w:type="dxa"/>
            <w:tcBorders>
              <w:top w:val="nil"/>
              <w:left w:val="single" w:sz="4" w:space="0" w:color="auto"/>
              <w:bottom w:val="nil"/>
              <w:right w:val="single" w:sz="4" w:space="0" w:color="auto"/>
            </w:tcBorders>
            <w:noWrap/>
            <w:vAlign w:val="bottom"/>
            <w:hideMark/>
          </w:tcPr>
          <w:p w14:paraId="55F240FF" w14:textId="4EA887F8"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involvement</w:t>
            </w:r>
          </w:p>
        </w:tc>
        <w:tc>
          <w:tcPr>
            <w:tcW w:w="858" w:type="dxa"/>
            <w:tcBorders>
              <w:top w:val="nil"/>
              <w:left w:val="single" w:sz="4" w:space="0" w:color="auto"/>
              <w:bottom w:val="nil"/>
              <w:right w:val="single" w:sz="4" w:space="0" w:color="auto"/>
            </w:tcBorders>
            <w:noWrap/>
            <w:vAlign w:val="bottom"/>
            <w:hideMark/>
          </w:tcPr>
          <w:p w14:paraId="49B4556C" w14:textId="4EF3223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reporting</w:t>
            </w:r>
          </w:p>
        </w:tc>
        <w:tc>
          <w:tcPr>
            <w:tcW w:w="1116" w:type="dxa"/>
            <w:tcBorders>
              <w:top w:val="nil"/>
              <w:left w:val="single" w:sz="4" w:space="0" w:color="auto"/>
              <w:bottom w:val="nil"/>
              <w:right w:val="single" w:sz="4" w:space="0" w:color="auto"/>
            </w:tcBorders>
            <w:noWrap/>
            <w:vAlign w:val="bottom"/>
            <w:hideMark/>
          </w:tcPr>
          <w:p w14:paraId="263DE175" w14:textId="51C2BF0F"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supply</w:t>
            </w:r>
          </w:p>
        </w:tc>
        <w:tc>
          <w:tcPr>
            <w:tcW w:w="832" w:type="dxa"/>
            <w:tcBorders>
              <w:top w:val="nil"/>
              <w:left w:val="single" w:sz="4" w:space="0" w:color="auto"/>
              <w:bottom w:val="nil"/>
              <w:right w:val="single" w:sz="4" w:space="0" w:color="auto"/>
            </w:tcBorders>
            <w:noWrap/>
            <w:vAlign w:val="bottom"/>
            <w:hideMark/>
          </w:tcPr>
          <w:p w14:paraId="2EFF1B73" w14:textId="2A2EB249"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local</w:t>
            </w:r>
          </w:p>
        </w:tc>
        <w:tc>
          <w:tcPr>
            <w:tcW w:w="1051" w:type="dxa"/>
            <w:tcBorders>
              <w:top w:val="nil"/>
              <w:left w:val="single" w:sz="4" w:space="0" w:color="auto"/>
              <w:bottom w:val="nil"/>
              <w:right w:val="single" w:sz="4" w:space="0" w:color="auto"/>
            </w:tcBorders>
            <w:noWrap/>
            <w:vAlign w:val="bottom"/>
            <w:hideMark/>
          </w:tcPr>
          <w:p w14:paraId="0BCCCB5E" w14:textId="5E0E7EC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standards</w:t>
            </w:r>
          </w:p>
        </w:tc>
        <w:tc>
          <w:tcPr>
            <w:tcW w:w="991" w:type="dxa"/>
            <w:tcBorders>
              <w:top w:val="nil"/>
              <w:left w:val="single" w:sz="4" w:space="0" w:color="auto"/>
              <w:bottom w:val="nil"/>
              <w:right w:val="nil"/>
            </w:tcBorders>
            <w:noWrap/>
            <w:vAlign w:val="bottom"/>
            <w:hideMark/>
          </w:tcPr>
          <w:p w14:paraId="4AA29EA7" w14:textId="5F449FB8"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structure</w:t>
            </w:r>
          </w:p>
        </w:tc>
      </w:tr>
      <w:tr w:rsidR="0027369B" w:rsidRPr="0027369B" w14:paraId="1217DCD3" w14:textId="77777777" w:rsidTr="0027369B">
        <w:trPr>
          <w:trHeight w:val="300"/>
        </w:trPr>
        <w:tc>
          <w:tcPr>
            <w:tcW w:w="957" w:type="dxa"/>
            <w:tcBorders>
              <w:top w:val="nil"/>
              <w:left w:val="nil"/>
              <w:bottom w:val="nil"/>
              <w:right w:val="single" w:sz="4" w:space="0" w:color="auto"/>
            </w:tcBorders>
            <w:noWrap/>
            <w:vAlign w:val="bottom"/>
            <w:hideMark/>
          </w:tcPr>
          <w:p w14:paraId="228D8E5B" w14:textId="10DA15F9"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businesses</w:t>
            </w:r>
          </w:p>
        </w:tc>
        <w:tc>
          <w:tcPr>
            <w:tcW w:w="906" w:type="dxa"/>
            <w:tcBorders>
              <w:top w:val="nil"/>
              <w:left w:val="single" w:sz="4" w:space="0" w:color="auto"/>
              <w:bottom w:val="nil"/>
              <w:right w:val="single" w:sz="4" w:space="0" w:color="auto"/>
            </w:tcBorders>
            <w:noWrap/>
            <w:vAlign w:val="bottom"/>
            <w:hideMark/>
          </w:tcPr>
          <w:p w14:paraId="2B9B0257" w14:textId="512FEEFF"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education</w:t>
            </w:r>
          </w:p>
        </w:tc>
        <w:tc>
          <w:tcPr>
            <w:tcW w:w="906" w:type="dxa"/>
            <w:tcBorders>
              <w:top w:val="nil"/>
              <w:left w:val="single" w:sz="4" w:space="0" w:color="auto"/>
              <w:bottom w:val="nil"/>
              <w:right w:val="single" w:sz="4" w:space="0" w:color="auto"/>
            </w:tcBorders>
            <w:noWrap/>
            <w:vAlign w:val="bottom"/>
            <w:hideMark/>
          </w:tcPr>
          <w:p w14:paraId="74B58FCE" w14:textId="42FF580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nonprofit</w:t>
            </w:r>
          </w:p>
        </w:tc>
        <w:tc>
          <w:tcPr>
            <w:tcW w:w="1030" w:type="dxa"/>
            <w:tcBorders>
              <w:top w:val="nil"/>
              <w:left w:val="single" w:sz="4" w:space="0" w:color="auto"/>
              <w:bottom w:val="nil"/>
              <w:right w:val="single" w:sz="4" w:space="0" w:color="auto"/>
            </w:tcBorders>
            <w:noWrap/>
            <w:vAlign w:val="bottom"/>
            <w:hideMark/>
          </w:tcPr>
          <w:p w14:paraId="745AC79F" w14:textId="478652D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network</w:t>
            </w:r>
          </w:p>
        </w:tc>
        <w:tc>
          <w:tcPr>
            <w:tcW w:w="991" w:type="dxa"/>
            <w:tcBorders>
              <w:top w:val="nil"/>
              <w:left w:val="single" w:sz="4" w:space="0" w:color="auto"/>
              <w:bottom w:val="nil"/>
              <w:right w:val="single" w:sz="4" w:space="0" w:color="auto"/>
            </w:tcBorders>
            <w:noWrap/>
            <w:vAlign w:val="bottom"/>
            <w:hideMark/>
          </w:tcPr>
          <w:p w14:paraId="59A90D48" w14:textId="2C2DA38E"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commitment</w:t>
            </w:r>
          </w:p>
        </w:tc>
        <w:tc>
          <w:tcPr>
            <w:tcW w:w="858" w:type="dxa"/>
            <w:tcBorders>
              <w:top w:val="nil"/>
              <w:left w:val="single" w:sz="4" w:space="0" w:color="auto"/>
              <w:bottom w:val="nil"/>
              <w:right w:val="single" w:sz="4" w:space="0" w:color="auto"/>
            </w:tcBorders>
            <w:noWrap/>
            <w:vAlign w:val="bottom"/>
            <w:hideMark/>
          </w:tcPr>
          <w:p w14:paraId="456F5A00" w14:textId="009318F4"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visitors</w:t>
            </w:r>
          </w:p>
        </w:tc>
        <w:tc>
          <w:tcPr>
            <w:tcW w:w="1116" w:type="dxa"/>
            <w:tcBorders>
              <w:top w:val="nil"/>
              <w:left w:val="single" w:sz="4" w:space="0" w:color="auto"/>
              <w:bottom w:val="nil"/>
              <w:right w:val="single" w:sz="4" w:space="0" w:color="auto"/>
            </w:tcBorders>
            <w:noWrap/>
            <w:vAlign w:val="bottom"/>
            <w:hideMark/>
          </w:tcPr>
          <w:p w14:paraId="5BDC797B" w14:textId="3FAF634C"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certification</w:t>
            </w:r>
          </w:p>
        </w:tc>
        <w:tc>
          <w:tcPr>
            <w:tcW w:w="832" w:type="dxa"/>
            <w:tcBorders>
              <w:top w:val="nil"/>
              <w:left w:val="single" w:sz="4" w:space="0" w:color="auto"/>
              <w:bottom w:val="nil"/>
              <w:right w:val="single" w:sz="4" w:space="0" w:color="auto"/>
            </w:tcBorders>
            <w:noWrap/>
            <w:vAlign w:val="bottom"/>
            <w:hideMark/>
          </w:tcPr>
          <w:p w14:paraId="342D4877" w14:textId="650C89D4"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place</w:t>
            </w:r>
          </w:p>
        </w:tc>
        <w:tc>
          <w:tcPr>
            <w:tcW w:w="1051" w:type="dxa"/>
            <w:tcBorders>
              <w:top w:val="nil"/>
              <w:left w:val="single" w:sz="4" w:space="0" w:color="auto"/>
              <w:bottom w:val="nil"/>
              <w:right w:val="single" w:sz="4" w:space="0" w:color="auto"/>
            </w:tcBorders>
            <w:noWrap/>
            <w:vAlign w:val="bottom"/>
            <w:hideMark/>
          </w:tcPr>
          <w:p w14:paraId="4841BC78" w14:textId="68DF19B6"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accountability</w:t>
            </w:r>
          </w:p>
        </w:tc>
        <w:tc>
          <w:tcPr>
            <w:tcW w:w="991" w:type="dxa"/>
            <w:tcBorders>
              <w:top w:val="nil"/>
              <w:left w:val="single" w:sz="4" w:space="0" w:color="auto"/>
              <w:bottom w:val="nil"/>
              <w:right w:val="nil"/>
            </w:tcBorders>
            <w:noWrap/>
            <w:vAlign w:val="bottom"/>
            <w:hideMark/>
          </w:tcPr>
          <w:p w14:paraId="1CE82D20" w14:textId="243487B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executive</w:t>
            </w:r>
          </w:p>
        </w:tc>
      </w:tr>
      <w:tr w:rsidR="0027369B" w:rsidRPr="0027369B" w14:paraId="607B4F24" w14:textId="77777777" w:rsidTr="0027369B">
        <w:trPr>
          <w:trHeight w:val="300"/>
        </w:trPr>
        <w:tc>
          <w:tcPr>
            <w:tcW w:w="957" w:type="dxa"/>
            <w:tcBorders>
              <w:top w:val="nil"/>
              <w:left w:val="nil"/>
              <w:bottom w:val="nil"/>
              <w:right w:val="single" w:sz="4" w:space="0" w:color="auto"/>
            </w:tcBorders>
            <w:noWrap/>
            <w:vAlign w:val="bottom"/>
            <w:hideMark/>
          </w:tcPr>
          <w:p w14:paraId="387F46F8" w14:textId="3A50466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ethics</w:t>
            </w:r>
          </w:p>
        </w:tc>
        <w:tc>
          <w:tcPr>
            <w:tcW w:w="906" w:type="dxa"/>
            <w:tcBorders>
              <w:top w:val="nil"/>
              <w:left w:val="single" w:sz="4" w:space="0" w:color="auto"/>
              <w:bottom w:val="nil"/>
              <w:right w:val="single" w:sz="4" w:space="0" w:color="auto"/>
            </w:tcBorders>
            <w:noWrap/>
            <w:vAlign w:val="bottom"/>
            <w:hideMark/>
          </w:tcPr>
          <w:p w14:paraId="05D27A67" w14:textId="47D7A710"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identity</w:t>
            </w:r>
          </w:p>
        </w:tc>
        <w:tc>
          <w:tcPr>
            <w:tcW w:w="906" w:type="dxa"/>
            <w:tcBorders>
              <w:top w:val="nil"/>
              <w:left w:val="single" w:sz="4" w:space="0" w:color="auto"/>
              <w:bottom w:val="nil"/>
              <w:right w:val="single" w:sz="4" w:space="0" w:color="auto"/>
            </w:tcBorders>
            <w:noWrap/>
            <w:vAlign w:val="bottom"/>
            <w:hideMark/>
          </w:tcPr>
          <w:p w14:paraId="76AE80E1" w14:textId="6B81508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fund</w:t>
            </w:r>
          </w:p>
        </w:tc>
        <w:tc>
          <w:tcPr>
            <w:tcW w:w="1030" w:type="dxa"/>
            <w:tcBorders>
              <w:top w:val="nil"/>
              <w:left w:val="single" w:sz="4" w:space="0" w:color="auto"/>
              <w:bottom w:val="nil"/>
              <w:right w:val="single" w:sz="4" w:space="0" w:color="auto"/>
            </w:tcBorders>
            <w:noWrap/>
            <w:vAlign w:val="bottom"/>
            <w:hideMark/>
          </w:tcPr>
          <w:p w14:paraId="1F93322C" w14:textId="57C11859"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system</w:t>
            </w:r>
          </w:p>
        </w:tc>
        <w:tc>
          <w:tcPr>
            <w:tcW w:w="991" w:type="dxa"/>
            <w:tcBorders>
              <w:top w:val="nil"/>
              <w:left w:val="single" w:sz="4" w:space="0" w:color="auto"/>
              <w:bottom w:val="nil"/>
              <w:right w:val="single" w:sz="4" w:space="0" w:color="auto"/>
            </w:tcBorders>
            <w:noWrap/>
            <w:vAlign w:val="bottom"/>
            <w:hideMark/>
          </w:tcPr>
          <w:p w14:paraId="6CF89454" w14:textId="2C96F3DC" w:rsidR="0027369B" w:rsidRPr="0027369B" w:rsidRDefault="00743126"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H</w:t>
            </w:r>
            <w:r w:rsidR="0027369B" w:rsidRPr="0027369B">
              <w:rPr>
                <w:rFonts w:cs="Times New Roman"/>
                <w:color w:val="000000"/>
                <w:sz w:val="14"/>
                <w:szCs w:val="14"/>
                <w:lang w:val="en-US"/>
              </w:rPr>
              <w:t>igh</w:t>
            </w:r>
          </w:p>
        </w:tc>
        <w:tc>
          <w:tcPr>
            <w:tcW w:w="858" w:type="dxa"/>
            <w:tcBorders>
              <w:top w:val="nil"/>
              <w:left w:val="single" w:sz="4" w:space="0" w:color="auto"/>
              <w:bottom w:val="nil"/>
              <w:right w:val="single" w:sz="4" w:space="0" w:color="auto"/>
            </w:tcBorders>
            <w:noWrap/>
            <w:vAlign w:val="bottom"/>
            <w:hideMark/>
          </w:tcPr>
          <w:p w14:paraId="175F4C42" w14:textId="5B2523A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initiatives</w:t>
            </w:r>
          </w:p>
        </w:tc>
        <w:tc>
          <w:tcPr>
            <w:tcW w:w="1116" w:type="dxa"/>
            <w:tcBorders>
              <w:top w:val="nil"/>
              <w:left w:val="single" w:sz="4" w:space="0" w:color="auto"/>
              <w:bottom w:val="nil"/>
              <w:right w:val="single" w:sz="4" w:space="0" w:color="auto"/>
            </w:tcBorders>
            <w:noWrap/>
            <w:vAlign w:val="bottom"/>
            <w:hideMark/>
          </w:tcPr>
          <w:p w14:paraId="3DFD4FA0" w14:textId="0E16848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water</w:t>
            </w:r>
          </w:p>
        </w:tc>
        <w:tc>
          <w:tcPr>
            <w:tcW w:w="832" w:type="dxa"/>
            <w:tcBorders>
              <w:top w:val="nil"/>
              <w:left w:val="single" w:sz="4" w:space="0" w:color="auto"/>
              <w:bottom w:val="nil"/>
              <w:right w:val="single" w:sz="4" w:space="0" w:color="auto"/>
            </w:tcBorders>
            <w:noWrap/>
            <w:vAlign w:val="bottom"/>
            <w:hideMark/>
          </w:tcPr>
          <w:p w14:paraId="39E48A30" w14:textId="688EBC65"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review</w:t>
            </w:r>
          </w:p>
        </w:tc>
        <w:tc>
          <w:tcPr>
            <w:tcW w:w="1051" w:type="dxa"/>
            <w:tcBorders>
              <w:top w:val="nil"/>
              <w:left w:val="single" w:sz="4" w:space="0" w:color="auto"/>
              <w:bottom w:val="nil"/>
              <w:right w:val="single" w:sz="4" w:space="0" w:color="auto"/>
            </w:tcBorders>
            <w:noWrap/>
            <w:vAlign w:val="bottom"/>
            <w:hideMark/>
          </w:tcPr>
          <w:p w14:paraId="0F961DD8" w14:textId="5D1D86B3"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audit</w:t>
            </w:r>
          </w:p>
        </w:tc>
        <w:tc>
          <w:tcPr>
            <w:tcW w:w="991" w:type="dxa"/>
            <w:tcBorders>
              <w:top w:val="nil"/>
              <w:left w:val="single" w:sz="4" w:space="0" w:color="auto"/>
              <w:bottom w:val="nil"/>
              <w:right w:val="nil"/>
            </w:tcBorders>
            <w:noWrap/>
            <w:vAlign w:val="bottom"/>
            <w:hideMark/>
          </w:tcPr>
          <w:p w14:paraId="0D03A91C" w14:textId="4101C86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compensation</w:t>
            </w:r>
          </w:p>
        </w:tc>
      </w:tr>
      <w:tr w:rsidR="0027369B" w:rsidRPr="0027369B" w14:paraId="4AE3842D" w14:textId="77777777" w:rsidTr="0027369B">
        <w:trPr>
          <w:trHeight w:val="300"/>
        </w:trPr>
        <w:tc>
          <w:tcPr>
            <w:tcW w:w="957" w:type="dxa"/>
            <w:tcBorders>
              <w:top w:val="nil"/>
              <w:left w:val="nil"/>
              <w:bottom w:val="nil"/>
              <w:right w:val="single" w:sz="4" w:space="0" w:color="auto"/>
            </w:tcBorders>
            <w:noWrap/>
            <w:vAlign w:val="bottom"/>
            <w:hideMark/>
          </w:tcPr>
          <w:p w14:paraId="75980C37" w14:textId="14A0D406"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tourism</w:t>
            </w:r>
          </w:p>
        </w:tc>
        <w:tc>
          <w:tcPr>
            <w:tcW w:w="906" w:type="dxa"/>
            <w:tcBorders>
              <w:top w:val="nil"/>
              <w:left w:val="single" w:sz="4" w:space="0" w:color="auto"/>
              <w:bottom w:val="nil"/>
              <w:right w:val="single" w:sz="4" w:space="0" w:color="auto"/>
            </w:tcBorders>
            <w:noWrap/>
            <w:vAlign w:val="bottom"/>
            <w:hideMark/>
          </w:tcPr>
          <w:p w14:paraId="651988A6" w14:textId="0E5D8A4B"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vision</w:t>
            </w:r>
          </w:p>
        </w:tc>
        <w:tc>
          <w:tcPr>
            <w:tcW w:w="906" w:type="dxa"/>
            <w:tcBorders>
              <w:top w:val="nil"/>
              <w:left w:val="single" w:sz="4" w:space="0" w:color="auto"/>
              <w:bottom w:val="nil"/>
              <w:right w:val="single" w:sz="4" w:space="0" w:color="auto"/>
            </w:tcBorders>
            <w:noWrap/>
            <w:vAlign w:val="bottom"/>
            <w:hideMark/>
          </w:tcPr>
          <w:p w14:paraId="1F9C2D16" w14:textId="4D9D0B9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responsible</w:t>
            </w:r>
          </w:p>
        </w:tc>
        <w:tc>
          <w:tcPr>
            <w:tcW w:w="1030" w:type="dxa"/>
            <w:tcBorders>
              <w:top w:val="nil"/>
              <w:left w:val="single" w:sz="4" w:space="0" w:color="auto"/>
              <w:bottom w:val="nil"/>
              <w:right w:val="single" w:sz="4" w:space="0" w:color="auto"/>
            </w:tcBorders>
            <w:noWrap/>
            <w:vAlign w:val="bottom"/>
            <w:hideMark/>
          </w:tcPr>
          <w:p w14:paraId="457A643B" w14:textId="308AAFD0"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adoption</w:t>
            </w:r>
          </w:p>
        </w:tc>
        <w:tc>
          <w:tcPr>
            <w:tcW w:w="991" w:type="dxa"/>
            <w:tcBorders>
              <w:top w:val="nil"/>
              <w:left w:val="single" w:sz="4" w:space="0" w:color="auto"/>
              <w:bottom w:val="nil"/>
              <w:right w:val="single" w:sz="4" w:space="0" w:color="auto"/>
            </w:tcBorders>
            <w:noWrap/>
            <w:vAlign w:val="bottom"/>
            <w:hideMark/>
          </w:tcPr>
          <w:p w14:paraId="036410F7" w14:textId="1410F78A"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strategic</w:t>
            </w:r>
          </w:p>
        </w:tc>
        <w:tc>
          <w:tcPr>
            <w:tcW w:w="858" w:type="dxa"/>
            <w:tcBorders>
              <w:top w:val="nil"/>
              <w:left w:val="single" w:sz="4" w:space="0" w:color="auto"/>
              <w:bottom w:val="nil"/>
              <w:right w:val="single" w:sz="4" w:space="0" w:color="auto"/>
            </w:tcBorders>
            <w:noWrap/>
            <w:vAlign w:val="bottom"/>
            <w:hideMark/>
          </w:tcPr>
          <w:p w14:paraId="30EB8BEE" w14:textId="7F5C700B"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consumer</w:t>
            </w:r>
          </w:p>
        </w:tc>
        <w:tc>
          <w:tcPr>
            <w:tcW w:w="1116" w:type="dxa"/>
            <w:tcBorders>
              <w:top w:val="nil"/>
              <w:left w:val="single" w:sz="4" w:space="0" w:color="auto"/>
              <w:bottom w:val="nil"/>
              <w:right w:val="single" w:sz="4" w:space="0" w:color="auto"/>
            </w:tcBorders>
            <w:noWrap/>
            <w:vAlign w:val="bottom"/>
            <w:hideMark/>
          </w:tcPr>
          <w:p w14:paraId="5763E5C7" w14:textId="679CD34F"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chain</w:t>
            </w:r>
          </w:p>
        </w:tc>
        <w:tc>
          <w:tcPr>
            <w:tcW w:w="832" w:type="dxa"/>
            <w:tcBorders>
              <w:top w:val="nil"/>
              <w:left w:val="single" w:sz="4" w:space="0" w:color="auto"/>
              <w:bottom w:val="nil"/>
              <w:right w:val="single" w:sz="4" w:space="0" w:color="auto"/>
            </w:tcBorders>
            <w:noWrap/>
            <w:vAlign w:val="bottom"/>
            <w:hideMark/>
          </w:tcPr>
          <w:p w14:paraId="2E72E59A" w14:textId="3199FBD3"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reports</w:t>
            </w:r>
          </w:p>
        </w:tc>
        <w:tc>
          <w:tcPr>
            <w:tcW w:w="1051" w:type="dxa"/>
            <w:tcBorders>
              <w:top w:val="nil"/>
              <w:left w:val="single" w:sz="4" w:space="0" w:color="auto"/>
              <w:bottom w:val="nil"/>
              <w:right w:val="single" w:sz="4" w:space="0" w:color="auto"/>
            </w:tcBorders>
            <w:noWrap/>
            <w:vAlign w:val="bottom"/>
            <w:hideMark/>
          </w:tcPr>
          <w:p w14:paraId="08DF046A" w14:textId="776C540A"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auditors</w:t>
            </w:r>
          </w:p>
        </w:tc>
        <w:tc>
          <w:tcPr>
            <w:tcW w:w="991" w:type="dxa"/>
            <w:tcBorders>
              <w:top w:val="nil"/>
              <w:left w:val="single" w:sz="4" w:space="0" w:color="auto"/>
              <w:bottom w:val="nil"/>
              <w:right w:val="nil"/>
            </w:tcBorders>
            <w:noWrap/>
            <w:vAlign w:val="bottom"/>
            <w:hideMark/>
          </w:tcPr>
          <w:p w14:paraId="6EB90436" w14:textId="7FF57F24"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listed</w:t>
            </w:r>
          </w:p>
        </w:tc>
      </w:tr>
      <w:tr w:rsidR="0027369B" w:rsidRPr="0027369B" w14:paraId="07F0F15A" w14:textId="77777777" w:rsidTr="0027369B">
        <w:trPr>
          <w:trHeight w:val="300"/>
        </w:trPr>
        <w:tc>
          <w:tcPr>
            <w:tcW w:w="957" w:type="dxa"/>
            <w:tcBorders>
              <w:top w:val="nil"/>
              <w:left w:val="nil"/>
              <w:bottom w:val="nil"/>
              <w:right w:val="single" w:sz="4" w:space="0" w:color="auto"/>
            </w:tcBorders>
            <w:noWrap/>
            <w:vAlign w:val="bottom"/>
            <w:hideMark/>
          </w:tcPr>
          <w:p w14:paraId="1552963B" w14:textId="237EA186"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trust</w:t>
            </w:r>
          </w:p>
        </w:tc>
        <w:tc>
          <w:tcPr>
            <w:tcW w:w="906" w:type="dxa"/>
            <w:tcBorders>
              <w:top w:val="nil"/>
              <w:left w:val="single" w:sz="4" w:space="0" w:color="auto"/>
              <w:bottom w:val="nil"/>
              <w:right w:val="single" w:sz="4" w:space="0" w:color="auto"/>
            </w:tcBorders>
            <w:noWrap/>
            <w:vAlign w:val="bottom"/>
            <w:hideMark/>
          </w:tcPr>
          <w:p w14:paraId="1C5A0DC8" w14:textId="4FBDECA4"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values</w:t>
            </w:r>
          </w:p>
        </w:tc>
        <w:tc>
          <w:tcPr>
            <w:tcW w:w="906" w:type="dxa"/>
            <w:tcBorders>
              <w:top w:val="nil"/>
              <w:left w:val="single" w:sz="4" w:space="0" w:color="auto"/>
              <w:bottom w:val="nil"/>
              <w:right w:val="single" w:sz="4" w:space="0" w:color="auto"/>
            </w:tcBorders>
            <w:noWrap/>
            <w:vAlign w:val="bottom"/>
            <w:hideMark/>
          </w:tcPr>
          <w:p w14:paraId="45CF7BE9" w14:textId="6CB6A59E"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mechanisms</w:t>
            </w:r>
          </w:p>
        </w:tc>
        <w:tc>
          <w:tcPr>
            <w:tcW w:w="1030" w:type="dxa"/>
            <w:tcBorders>
              <w:top w:val="nil"/>
              <w:left w:val="single" w:sz="4" w:space="0" w:color="auto"/>
              <w:bottom w:val="nil"/>
              <w:right w:val="single" w:sz="4" w:space="0" w:color="auto"/>
            </w:tcBorders>
            <w:noWrap/>
            <w:vAlign w:val="bottom"/>
            <w:hideMark/>
          </w:tcPr>
          <w:p w14:paraId="43D173B5" w14:textId="3793E950"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equity</w:t>
            </w:r>
          </w:p>
        </w:tc>
        <w:tc>
          <w:tcPr>
            <w:tcW w:w="991" w:type="dxa"/>
            <w:tcBorders>
              <w:top w:val="nil"/>
              <w:left w:val="single" w:sz="4" w:space="0" w:color="auto"/>
              <w:bottom w:val="nil"/>
              <w:right w:val="single" w:sz="4" w:space="0" w:color="auto"/>
            </w:tcBorders>
            <w:noWrap/>
            <w:vAlign w:val="bottom"/>
            <w:hideMark/>
          </w:tcPr>
          <w:p w14:paraId="5550CD54" w14:textId="19F8AA18" w:rsidR="0027369B" w:rsidRPr="0027369B" w:rsidRDefault="00743126"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w:t>
            </w:r>
            <w:r w:rsidR="0027369B" w:rsidRPr="0027369B">
              <w:rPr>
                <w:rFonts w:cs="Times New Roman"/>
                <w:color w:val="000000"/>
                <w:sz w:val="14"/>
                <w:szCs w:val="14"/>
                <w:lang w:val="en-US"/>
              </w:rPr>
              <w:t>ulture</w:t>
            </w:r>
          </w:p>
        </w:tc>
        <w:tc>
          <w:tcPr>
            <w:tcW w:w="858" w:type="dxa"/>
            <w:tcBorders>
              <w:top w:val="nil"/>
              <w:left w:val="single" w:sz="4" w:space="0" w:color="auto"/>
              <w:bottom w:val="nil"/>
              <w:right w:val="single" w:sz="4" w:space="0" w:color="auto"/>
            </w:tcBorders>
            <w:noWrap/>
            <w:vAlign w:val="bottom"/>
            <w:hideMark/>
          </w:tcPr>
          <w:p w14:paraId="17E202E8" w14:textId="30388789"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recreation</w:t>
            </w:r>
          </w:p>
        </w:tc>
        <w:tc>
          <w:tcPr>
            <w:tcW w:w="1116" w:type="dxa"/>
            <w:tcBorders>
              <w:top w:val="nil"/>
              <w:left w:val="single" w:sz="4" w:space="0" w:color="auto"/>
              <w:bottom w:val="nil"/>
              <w:right w:val="single" w:sz="4" w:space="0" w:color="auto"/>
            </w:tcBorders>
            <w:noWrap/>
            <w:vAlign w:val="bottom"/>
            <w:hideMark/>
          </w:tcPr>
          <w:p w14:paraId="54964DA1" w14:textId="3BF0EBC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services</w:t>
            </w:r>
          </w:p>
        </w:tc>
        <w:tc>
          <w:tcPr>
            <w:tcW w:w="832" w:type="dxa"/>
            <w:tcBorders>
              <w:top w:val="nil"/>
              <w:left w:val="single" w:sz="4" w:space="0" w:color="auto"/>
              <w:bottom w:val="nil"/>
              <w:right w:val="single" w:sz="4" w:space="0" w:color="auto"/>
            </w:tcBorders>
            <w:noWrap/>
            <w:vAlign w:val="bottom"/>
            <w:hideMark/>
          </w:tcPr>
          <w:p w14:paraId="252D010B" w14:textId="74177EB3"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emissions</w:t>
            </w:r>
          </w:p>
        </w:tc>
        <w:tc>
          <w:tcPr>
            <w:tcW w:w="1051" w:type="dxa"/>
            <w:tcBorders>
              <w:top w:val="nil"/>
              <w:left w:val="single" w:sz="4" w:space="0" w:color="auto"/>
              <w:bottom w:val="nil"/>
              <w:right w:val="single" w:sz="4" w:space="0" w:color="auto"/>
            </w:tcBorders>
            <w:noWrap/>
            <w:vAlign w:val="bottom"/>
            <w:hideMark/>
          </w:tcPr>
          <w:p w14:paraId="4A8DB785" w14:textId="612C4BA1"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directors</w:t>
            </w:r>
          </w:p>
        </w:tc>
        <w:tc>
          <w:tcPr>
            <w:tcW w:w="991" w:type="dxa"/>
            <w:tcBorders>
              <w:top w:val="nil"/>
              <w:left w:val="single" w:sz="4" w:space="0" w:color="auto"/>
              <w:bottom w:val="nil"/>
              <w:right w:val="nil"/>
            </w:tcBorders>
            <w:noWrap/>
            <w:vAlign w:val="bottom"/>
            <w:hideMark/>
          </w:tcPr>
          <w:p w14:paraId="39C64FD2" w14:textId="6AC1268E"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size</w:t>
            </w:r>
          </w:p>
        </w:tc>
      </w:tr>
      <w:tr w:rsidR="0027369B" w:rsidRPr="0027369B" w14:paraId="7177CF99" w14:textId="77777777" w:rsidTr="0027369B">
        <w:trPr>
          <w:trHeight w:val="300"/>
        </w:trPr>
        <w:tc>
          <w:tcPr>
            <w:tcW w:w="957" w:type="dxa"/>
            <w:tcBorders>
              <w:top w:val="nil"/>
              <w:left w:val="nil"/>
              <w:bottom w:val="nil"/>
              <w:right w:val="single" w:sz="4" w:space="0" w:color="auto"/>
            </w:tcBorders>
            <w:noWrap/>
            <w:vAlign w:val="bottom"/>
            <w:hideMark/>
          </w:tcPr>
          <w:p w14:paraId="4167B6CD" w14:textId="4D37AD98"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proofErr w:type="spellStart"/>
            <w:r w:rsidRPr="0027369B">
              <w:rPr>
                <w:rFonts w:cs="Times New Roman"/>
                <w:color w:val="000000"/>
                <w:sz w:val="14"/>
                <w:szCs w:val="14"/>
                <w:lang w:val="en-US"/>
              </w:rPr>
              <w:t>behaviour</w:t>
            </w:r>
            <w:proofErr w:type="spellEnd"/>
          </w:p>
        </w:tc>
        <w:tc>
          <w:tcPr>
            <w:tcW w:w="906" w:type="dxa"/>
            <w:tcBorders>
              <w:top w:val="nil"/>
              <w:left w:val="single" w:sz="4" w:space="0" w:color="auto"/>
              <w:bottom w:val="nil"/>
              <w:right w:val="single" w:sz="4" w:space="0" w:color="auto"/>
            </w:tcBorders>
            <w:noWrap/>
            <w:vAlign w:val="bottom"/>
            <w:hideMark/>
          </w:tcPr>
          <w:p w14:paraId="42DCBDA6" w14:textId="11FCC49A"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knowledge</w:t>
            </w:r>
          </w:p>
        </w:tc>
        <w:tc>
          <w:tcPr>
            <w:tcW w:w="906" w:type="dxa"/>
            <w:tcBorders>
              <w:top w:val="nil"/>
              <w:left w:val="single" w:sz="4" w:space="0" w:color="auto"/>
              <w:bottom w:val="nil"/>
              <w:right w:val="single" w:sz="4" w:space="0" w:color="auto"/>
            </w:tcBorders>
            <w:noWrap/>
            <w:vAlign w:val="bottom"/>
            <w:hideMark/>
          </w:tcPr>
          <w:p w14:paraId="296467B7" w14:textId="427F057D"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code</w:t>
            </w:r>
          </w:p>
        </w:tc>
        <w:tc>
          <w:tcPr>
            <w:tcW w:w="1030" w:type="dxa"/>
            <w:tcBorders>
              <w:top w:val="nil"/>
              <w:left w:val="single" w:sz="4" w:space="0" w:color="auto"/>
              <w:bottom w:val="nil"/>
              <w:right w:val="single" w:sz="4" w:space="0" w:color="auto"/>
            </w:tcBorders>
            <w:noWrap/>
            <w:vAlign w:val="bottom"/>
            <w:hideMark/>
          </w:tcPr>
          <w:p w14:paraId="0BEBAC3A" w14:textId="5BAF4737"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strategy</w:t>
            </w:r>
          </w:p>
        </w:tc>
        <w:tc>
          <w:tcPr>
            <w:tcW w:w="991" w:type="dxa"/>
            <w:tcBorders>
              <w:top w:val="nil"/>
              <w:left w:val="single" w:sz="4" w:space="0" w:color="auto"/>
              <w:bottom w:val="nil"/>
              <w:right w:val="single" w:sz="4" w:space="0" w:color="auto"/>
            </w:tcBorders>
            <w:noWrap/>
            <w:vAlign w:val="bottom"/>
            <w:hideMark/>
          </w:tcPr>
          <w:p w14:paraId="6B3AF141" w14:textId="734BC14C"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employee</w:t>
            </w:r>
          </w:p>
        </w:tc>
        <w:tc>
          <w:tcPr>
            <w:tcW w:w="858" w:type="dxa"/>
            <w:tcBorders>
              <w:top w:val="nil"/>
              <w:left w:val="single" w:sz="4" w:space="0" w:color="auto"/>
              <w:bottom w:val="nil"/>
              <w:right w:val="single" w:sz="4" w:space="0" w:color="auto"/>
            </w:tcBorders>
            <w:noWrap/>
            <w:vAlign w:val="bottom"/>
            <w:hideMark/>
          </w:tcPr>
          <w:p w14:paraId="4F462FB1" w14:textId="05DC6FDD"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heritage</w:t>
            </w:r>
          </w:p>
        </w:tc>
        <w:tc>
          <w:tcPr>
            <w:tcW w:w="1116" w:type="dxa"/>
            <w:tcBorders>
              <w:top w:val="nil"/>
              <w:left w:val="single" w:sz="4" w:space="0" w:color="auto"/>
              <w:bottom w:val="nil"/>
              <w:right w:val="single" w:sz="4" w:space="0" w:color="auto"/>
            </w:tcBorders>
            <w:noWrap/>
            <w:vAlign w:val="bottom"/>
            <w:hideMark/>
          </w:tcPr>
          <w:p w14:paraId="52A0747D" w14:textId="70D83EA3"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sector</w:t>
            </w:r>
          </w:p>
        </w:tc>
        <w:tc>
          <w:tcPr>
            <w:tcW w:w="832" w:type="dxa"/>
            <w:tcBorders>
              <w:top w:val="nil"/>
              <w:left w:val="single" w:sz="4" w:space="0" w:color="auto"/>
              <w:bottom w:val="nil"/>
              <w:right w:val="single" w:sz="4" w:space="0" w:color="auto"/>
            </w:tcBorders>
            <w:noWrap/>
            <w:vAlign w:val="bottom"/>
            <w:hideMark/>
          </w:tcPr>
          <w:p w14:paraId="70A1BB6B" w14:textId="0801DB28"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language</w:t>
            </w:r>
          </w:p>
        </w:tc>
        <w:tc>
          <w:tcPr>
            <w:tcW w:w="1051" w:type="dxa"/>
            <w:tcBorders>
              <w:top w:val="nil"/>
              <w:left w:val="single" w:sz="4" w:space="0" w:color="auto"/>
              <w:bottom w:val="nil"/>
              <w:right w:val="single" w:sz="4" w:space="0" w:color="auto"/>
            </w:tcBorders>
            <w:noWrap/>
            <w:vAlign w:val="bottom"/>
            <w:hideMark/>
          </w:tcPr>
          <w:p w14:paraId="079FFA2D" w14:textId="433FA8B8"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measurement</w:t>
            </w:r>
          </w:p>
        </w:tc>
        <w:tc>
          <w:tcPr>
            <w:tcW w:w="991" w:type="dxa"/>
            <w:tcBorders>
              <w:top w:val="nil"/>
              <w:left w:val="single" w:sz="4" w:space="0" w:color="auto"/>
              <w:bottom w:val="nil"/>
              <w:right w:val="nil"/>
            </w:tcBorders>
            <w:noWrap/>
            <w:vAlign w:val="bottom"/>
            <w:hideMark/>
          </w:tcPr>
          <w:p w14:paraId="1F4D3F08" w14:textId="1D2ECBC2" w:rsidR="0027369B" w:rsidRPr="0027369B" w:rsidRDefault="0027369B" w:rsidP="0027369B">
            <w:pPr>
              <w:spacing w:after="0" w:line="240" w:lineRule="auto"/>
              <w:jc w:val="center"/>
              <w:rPr>
                <w:rFonts w:eastAsia="Times New Roman" w:cs="Times New Roman"/>
                <w:color w:val="000000"/>
                <w:kern w:val="0"/>
                <w:sz w:val="14"/>
                <w:szCs w:val="14"/>
                <w:lang w:val="en-US" w:eastAsia="it-IT"/>
                <w14:ligatures w14:val="none"/>
              </w:rPr>
            </w:pPr>
            <w:r w:rsidRPr="0027369B">
              <w:rPr>
                <w:rFonts w:cs="Times New Roman"/>
                <w:color w:val="000000"/>
                <w:sz w:val="14"/>
                <w:szCs w:val="14"/>
                <w:lang w:val="en-US"/>
              </w:rPr>
              <w:t>effects</w:t>
            </w:r>
          </w:p>
        </w:tc>
      </w:tr>
    </w:tbl>
    <w:p w14:paraId="1934A503" w14:textId="60A7075E" w:rsidR="0027369B" w:rsidRPr="00A122D0" w:rsidRDefault="0027369B" w:rsidP="0027369B">
      <w:pPr>
        <w:spacing w:after="0"/>
        <w:jc w:val="center"/>
        <w:rPr>
          <w:b/>
          <w:bCs/>
          <w:lang w:val="en-US"/>
        </w:rPr>
      </w:pPr>
      <w:r w:rsidRPr="00A122D0">
        <w:rPr>
          <w:b/>
          <w:bCs/>
          <w:lang w:val="en-US"/>
        </w:rPr>
        <w:t>Table A.</w:t>
      </w:r>
      <w:r w:rsidR="003B6FBF">
        <w:rPr>
          <w:b/>
          <w:bCs/>
          <w:lang w:val="en-US"/>
        </w:rPr>
        <w:t>1</w:t>
      </w:r>
      <w:r w:rsidRPr="00A122D0">
        <w:rPr>
          <w:b/>
          <w:bCs/>
          <w:lang w:val="en-US"/>
        </w:rPr>
        <w:t xml:space="preserve">.: </w:t>
      </w:r>
      <w:r w:rsidR="00E00821">
        <w:rPr>
          <w:b/>
          <w:bCs/>
          <w:lang w:val="en-US"/>
        </w:rPr>
        <w:t>Most important keywords per topic</w:t>
      </w:r>
    </w:p>
    <w:p w14:paraId="333E584B" w14:textId="55966140" w:rsidR="0027369B" w:rsidRDefault="0027369B" w:rsidP="004C3440">
      <w:pPr>
        <w:spacing w:after="0"/>
        <w:jc w:val="both"/>
        <w:rPr>
          <w:lang w:val="en-US"/>
        </w:rPr>
      </w:pPr>
    </w:p>
    <w:p w14:paraId="2205E8B9" w14:textId="37FE1D70" w:rsidR="00EE67FF" w:rsidRDefault="003313D1" w:rsidP="000E2C04">
      <w:pPr>
        <w:spacing w:after="0"/>
        <w:jc w:val="both"/>
        <w:rPr>
          <w:lang w:val="en-US"/>
        </w:rPr>
      </w:pPr>
      <w:r>
        <w:rPr>
          <w:lang w:val="en-US"/>
        </w:rPr>
        <w:t>As a result of this procedure, we labeled each topic as follows</w:t>
      </w:r>
      <w:r w:rsidR="00E92564" w:rsidRPr="009C1BD2">
        <w:rPr>
          <w:lang w:val="en-US"/>
        </w:rPr>
        <w:t xml:space="preserve">: 1. </w:t>
      </w:r>
      <w:r w:rsidR="00E92564" w:rsidRPr="009C1BD2">
        <w:rPr>
          <w:i/>
          <w:iCs/>
          <w:lang w:val="en-US"/>
        </w:rPr>
        <w:t>Values-based Leadership</w:t>
      </w:r>
      <w:r w:rsidR="00E92564" w:rsidRPr="009C1BD2">
        <w:rPr>
          <w:lang w:val="en-US"/>
        </w:rPr>
        <w:t xml:space="preserve">, 2. </w:t>
      </w:r>
      <w:r w:rsidR="00E92564" w:rsidRPr="009C1BD2">
        <w:rPr>
          <w:i/>
          <w:iCs/>
          <w:lang w:val="en-US"/>
        </w:rPr>
        <w:t>Responsible Leadership</w:t>
      </w:r>
      <w:r w:rsidR="00E92564" w:rsidRPr="009C1BD2">
        <w:rPr>
          <w:lang w:val="en-US"/>
        </w:rPr>
        <w:t xml:space="preserve">, 3. </w:t>
      </w:r>
      <w:r w:rsidR="00E92564" w:rsidRPr="009C1BD2">
        <w:rPr>
          <w:i/>
          <w:iCs/>
          <w:lang w:val="en-US"/>
        </w:rPr>
        <w:t>Stewardship Governance</w:t>
      </w:r>
      <w:r w:rsidR="00E92564" w:rsidRPr="009C1BD2">
        <w:rPr>
          <w:lang w:val="en-US"/>
        </w:rPr>
        <w:t xml:space="preserve">, 4. </w:t>
      </w:r>
      <w:r w:rsidR="00E92564" w:rsidRPr="009C1BD2">
        <w:rPr>
          <w:i/>
          <w:iCs/>
          <w:lang w:val="en-US"/>
        </w:rPr>
        <w:t>Fostering Innovation</w:t>
      </w:r>
      <w:r w:rsidR="00E92564" w:rsidRPr="009C1BD2">
        <w:rPr>
          <w:lang w:val="en-US"/>
        </w:rPr>
        <w:t xml:space="preserve">, 5. </w:t>
      </w:r>
      <w:r w:rsidR="00E92564" w:rsidRPr="009C1BD2">
        <w:rPr>
          <w:i/>
          <w:iCs/>
          <w:lang w:val="en-US"/>
        </w:rPr>
        <w:t>Psychological Ownership</w:t>
      </w:r>
      <w:r w:rsidR="00E92564" w:rsidRPr="009C1BD2">
        <w:rPr>
          <w:lang w:val="en-US"/>
        </w:rPr>
        <w:t xml:space="preserve">, 6. </w:t>
      </w:r>
      <w:r w:rsidR="00E92564" w:rsidRPr="009C1BD2">
        <w:rPr>
          <w:i/>
          <w:iCs/>
          <w:lang w:val="en-US"/>
        </w:rPr>
        <w:t>Human Purpose</w:t>
      </w:r>
      <w:r w:rsidR="00E92564" w:rsidRPr="009C1BD2">
        <w:rPr>
          <w:lang w:val="en-US"/>
        </w:rPr>
        <w:t xml:space="preserve">, 7. </w:t>
      </w:r>
      <w:r w:rsidR="00E92564" w:rsidRPr="009C1BD2">
        <w:rPr>
          <w:i/>
          <w:iCs/>
          <w:lang w:val="en-US"/>
        </w:rPr>
        <w:t>Environment and</w:t>
      </w:r>
      <w:r w:rsidR="00E92564" w:rsidRPr="009C1BD2">
        <w:rPr>
          <w:lang w:val="en-US"/>
        </w:rPr>
        <w:t xml:space="preserve"> </w:t>
      </w:r>
      <w:r w:rsidR="00E92564" w:rsidRPr="009C1BD2">
        <w:rPr>
          <w:i/>
          <w:iCs/>
          <w:lang w:val="en-US"/>
        </w:rPr>
        <w:t>Society</w:t>
      </w:r>
      <w:r w:rsidR="00E92564" w:rsidRPr="009C1BD2">
        <w:rPr>
          <w:lang w:val="en-US"/>
        </w:rPr>
        <w:t xml:space="preserve">, 8. </w:t>
      </w:r>
      <w:r w:rsidR="00E92564" w:rsidRPr="009C1BD2">
        <w:rPr>
          <w:i/>
          <w:iCs/>
          <w:lang w:val="en-US"/>
        </w:rPr>
        <w:t>Stimulating Positive Change</w:t>
      </w:r>
      <w:r w:rsidR="00E92564" w:rsidRPr="009C1BD2">
        <w:rPr>
          <w:lang w:val="en-US"/>
        </w:rPr>
        <w:t xml:space="preserve">, 9. </w:t>
      </w:r>
      <w:r w:rsidR="00E92564" w:rsidRPr="009C1BD2">
        <w:rPr>
          <w:i/>
          <w:iCs/>
          <w:lang w:val="en-US"/>
        </w:rPr>
        <w:t>Accountability</w:t>
      </w:r>
      <w:r w:rsidR="00E92564" w:rsidRPr="009C1BD2">
        <w:rPr>
          <w:lang w:val="en-US"/>
        </w:rPr>
        <w:t xml:space="preserve">, and 10. </w:t>
      </w:r>
      <w:r w:rsidR="00E92564" w:rsidRPr="009C1BD2">
        <w:rPr>
          <w:i/>
          <w:iCs/>
          <w:lang w:val="en-US"/>
        </w:rPr>
        <w:t>Organizational Performance</w:t>
      </w:r>
      <w:r w:rsidR="00E92564" w:rsidRPr="009C1BD2">
        <w:rPr>
          <w:lang w:val="en-US"/>
        </w:rPr>
        <w:t>.</w:t>
      </w:r>
      <w:r w:rsidR="00E92564">
        <w:rPr>
          <w:lang w:val="en-US"/>
        </w:rPr>
        <w:t xml:space="preserve"> </w:t>
      </w:r>
    </w:p>
    <w:p w14:paraId="0916FEA3" w14:textId="77777777" w:rsidR="00743126" w:rsidRDefault="00743126" w:rsidP="000E2C04">
      <w:pPr>
        <w:spacing w:after="0"/>
        <w:jc w:val="both"/>
        <w:rPr>
          <w:lang w:val="en-US"/>
        </w:rPr>
      </w:pPr>
    </w:p>
    <w:p w14:paraId="65248F6B" w14:textId="16DA4877" w:rsidR="00743126" w:rsidRDefault="00743126" w:rsidP="00743126">
      <w:pPr>
        <w:spacing w:after="0"/>
        <w:rPr>
          <w:b/>
          <w:bCs/>
          <w:lang w:val="en-US"/>
        </w:rPr>
      </w:pPr>
      <w:r>
        <w:rPr>
          <w:b/>
          <w:bCs/>
          <w:lang w:val="en-US"/>
        </w:rPr>
        <w:t xml:space="preserve">A.4. </w:t>
      </w:r>
      <w:r w:rsidR="00A57F58">
        <w:rPr>
          <w:b/>
          <w:bCs/>
          <w:lang w:val="en-US"/>
        </w:rPr>
        <w:t>Topic specificity</w:t>
      </w:r>
      <w:r>
        <w:rPr>
          <w:b/>
          <w:bCs/>
          <w:lang w:val="en-US"/>
        </w:rPr>
        <w:t xml:space="preserve"> analysis</w:t>
      </w:r>
    </w:p>
    <w:p w14:paraId="3CC9AA43" w14:textId="63E6DDFD" w:rsidR="00A57F58" w:rsidRPr="00A57F58" w:rsidRDefault="00B44580" w:rsidP="00A57F58">
      <w:pPr>
        <w:spacing w:after="0"/>
        <w:jc w:val="both"/>
        <w:rPr>
          <w:lang w:val="en-US"/>
        </w:rPr>
      </w:pPr>
      <w:r w:rsidRPr="00B44580">
        <w:rPr>
          <w:lang w:val="en-US"/>
        </w:rPr>
        <w:t xml:space="preserve">We assessed the quality of our ten-topic solution by examining both internal consistency and between-topic overlap, using the ten most salient terms per topic as reported in </w:t>
      </w:r>
      <w:r w:rsidR="00A57F58">
        <w:rPr>
          <w:lang w:val="en-US"/>
        </w:rPr>
        <w:t>Table A.</w:t>
      </w:r>
      <w:r w:rsidR="003B6FBF">
        <w:rPr>
          <w:lang w:val="en-US"/>
        </w:rPr>
        <w:t>1</w:t>
      </w:r>
      <w:r w:rsidR="00A57F58">
        <w:rPr>
          <w:lang w:val="en-US"/>
        </w:rPr>
        <w:t xml:space="preserve">. More specifically, we </w:t>
      </w:r>
      <w:r>
        <w:rPr>
          <w:lang w:val="en-US"/>
        </w:rPr>
        <w:t>conducted</w:t>
      </w:r>
      <w:r w:rsidR="00A57F58">
        <w:rPr>
          <w:lang w:val="en-US"/>
        </w:rPr>
        <w:t xml:space="preserve"> the analysis of</w:t>
      </w:r>
      <w:r w:rsidR="00A57F58" w:rsidRPr="00A57F58">
        <w:rPr>
          <w:lang w:val="en-US"/>
        </w:rPr>
        <w:t xml:space="preserve"> semantic coherence</w:t>
      </w:r>
      <w:r w:rsidR="00A57F58">
        <w:rPr>
          <w:lang w:val="en-US"/>
        </w:rPr>
        <w:t xml:space="preserve"> (Hashmi et al., 2025; Pennington, Socher and Manning, 2014)</w:t>
      </w:r>
      <w:r w:rsidR="00A57F58" w:rsidRPr="00A57F58">
        <w:rPr>
          <w:lang w:val="en-US"/>
        </w:rPr>
        <w:t>, granularity</w:t>
      </w:r>
      <w:r w:rsidR="00A57F58">
        <w:rPr>
          <w:lang w:val="en-US"/>
        </w:rPr>
        <w:t xml:space="preserve"> (Ganguli and Sengupta, 2023; </w:t>
      </w:r>
      <w:proofErr w:type="spellStart"/>
      <w:r w:rsidR="00A57F58">
        <w:rPr>
          <w:lang w:val="en-US"/>
        </w:rPr>
        <w:t>Todri</w:t>
      </w:r>
      <w:proofErr w:type="spellEnd"/>
      <w:r w:rsidR="00A57F58">
        <w:rPr>
          <w:lang w:val="en-US"/>
        </w:rPr>
        <w:t xml:space="preserve">, </w:t>
      </w:r>
      <w:proofErr w:type="spellStart"/>
      <w:r w:rsidR="00A57F58">
        <w:rPr>
          <w:lang w:val="en-US"/>
        </w:rPr>
        <w:t>Adamopoulos</w:t>
      </w:r>
      <w:proofErr w:type="spellEnd"/>
      <w:r w:rsidR="00A57F58">
        <w:rPr>
          <w:lang w:val="en-US"/>
        </w:rPr>
        <w:t xml:space="preserve"> and Andrews, 2022)</w:t>
      </w:r>
      <w:r w:rsidR="00A57F58" w:rsidRPr="00A57F58">
        <w:rPr>
          <w:lang w:val="en-US"/>
        </w:rPr>
        <w:t xml:space="preserve">, and entropy/specificity </w:t>
      </w:r>
      <w:r w:rsidR="00A57F58">
        <w:rPr>
          <w:lang w:val="en-US"/>
        </w:rPr>
        <w:t xml:space="preserve">(Blei, Ng and Jordan, 2003; Kim, Lee and McCulloch, 2024; Lee and Kang, 2018). </w:t>
      </w:r>
      <w:r w:rsidR="00A57F58" w:rsidRPr="00A57F58">
        <w:rPr>
          <w:lang w:val="en-US"/>
        </w:rPr>
        <w:t>By considering all three dimensions</w:t>
      </w:r>
      <w:r w:rsidR="00A57F58">
        <w:rPr>
          <w:lang w:val="en-US"/>
        </w:rPr>
        <w:t xml:space="preserve"> together provides a reliable </w:t>
      </w:r>
      <w:r w:rsidR="00A57F58" w:rsidRPr="00A57F58">
        <w:rPr>
          <w:lang w:val="en-US"/>
        </w:rPr>
        <w:t>assess</w:t>
      </w:r>
      <w:r w:rsidR="00A57F58">
        <w:rPr>
          <w:lang w:val="en-US"/>
        </w:rPr>
        <w:t>ment of</w:t>
      </w:r>
      <w:r w:rsidR="00A57F58" w:rsidRPr="00A57F58">
        <w:rPr>
          <w:lang w:val="en-US"/>
        </w:rPr>
        <w:t xml:space="preserve"> both the interpretive quality and the structural soundness of the model, striking a balance between coherence within topics and separation across topics. This multidimensional approach allows for a more robust and nuanced evaluation of topic modeling solutions.</w:t>
      </w:r>
    </w:p>
    <w:p w14:paraId="4B3A62B4" w14:textId="77777777" w:rsidR="00A57F58" w:rsidRDefault="00A57F58" w:rsidP="00743126">
      <w:pPr>
        <w:spacing w:after="0"/>
        <w:rPr>
          <w:b/>
          <w:bCs/>
          <w:lang w:val="en-US"/>
        </w:rPr>
      </w:pPr>
    </w:p>
    <w:p w14:paraId="3C6FF0CA" w14:textId="0EA02B48" w:rsidR="00884624" w:rsidRPr="00884624" w:rsidRDefault="00884624" w:rsidP="000E768B">
      <w:pPr>
        <w:spacing w:after="0"/>
        <w:jc w:val="both"/>
        <w:rPr>
          <w:i/>
          <w:iCs/>
          <w:lang w:val="en-US"/>
        </w:rPr>
      </w:pPr>
      <w:r>
        <w:rPr>
          <w:lang w:val="en-US"/>
        </w:rPr>
        <w:t xml:space="preserve">A.4.1. </w:t>
      </w:r>
      <w:r>
        <w:rPr>
          <w:i/>
          <w:iCs/>
          <w:lang w:val="en-US"/>
        </w:rPr>
        <w:t>Semantic coherence</w:t>
      </w:r>
    </w:p>
    <w:p w14:paraId="4D8B0C3E" w14:textId="4C99AC2A" w:rsidR="000E768B" w:rsidRDefault="000E768B" w:rsidP="000E768B">
      <w:pPr>
        <w:spacing w:after="0"/>
        <w:jc w:val="both"/>
        <w:rPr>
          <w:lang w:val="en-US"/>
        </w:rPr>
      </w:pPr>
      <w:r>
        <w:rPr>
          <w:lang w:val="en-US"/>
        </w:rPr>
        <w:t>We first analyzed semantic coherence</w:t>
      </w:r>
      <w:r w:rsidR="00A6462C">
        <w:rPr>
          <w:lang w:val="en-US"/>
        </w:rPr>
        <w:t xml:space="preserve"> of topics based on the sample keywords of Table A.</w:t>
      </w:r>
      <w:r w:rsidR="003B6FBF">
        <w:rPr>
          <w:lang w:val="en-US"/>
        </w:rPr>
        <w:t>1</w:t>
      </w:r>
      <w:r w:rsidR="00A6462C">
        <w:rPr>
          <w:lang w:val="en-US"/>
        </w:rPr>
        <w:t>.</w:t>
      </w:r>
      <w:r>
        <w:rPr>
          <w:lang w:val="en-US"/>
        </w:rPr>
        <w:t xml:space="preserve"> (Hashmi et al., 2025; Pennington, Socher and Manning, 2014). This analysis employes the</w:t>
      </w:r>
      <w:r w:rsidRPr="000E768B">
        <w:rPr>
          <w:lang w:val="en-US"/>
        </w:rPr>
        <w:t xml:space="preserve"> pre-trained word embedding </w:t>
      </w:r>
      <w:r>
        <w:rPr>
          <w:lang w:val="en-US"/>
        </w:rPr>
        <w:t xml:space="preserve">lexicon </w:t>
      </w:r>
      <w:r w:rsidRPr="000E768B">
        <w:rPr>
          <w:lang w:val="en-US"/>
        </w:rPr>
        <w:t>such as Global Vectors for Word Representation</w:t>
      </w:r>
      <w:r>
        <w:rPr>
          <w:lang w:val="en-US"/>
        </w:rPr>
        <w:t xml:space="preserve"> (</w:t>
      </w:r>
      <w:proofErr w:type="spellStart"/>
      <w:r w:rsidRPr="000E768B">
        <w:rPr>
          <w:lang w:val="en-US"/>
        </w:rPr>
        <w:t>GloVe</w:t>
      </w:r>
      <w:proofErr w:type="spellEnd"/>
      <w:r>
        <w:rPr>
          <w:lang w:val="en-US"/>
        </w:rPr>
        <w:t>. See Pennington et al., 2014</w:t>
      </w:r>
      <w:r w:rsidR="00A6462C">
        <w:rPr>
          <w:lang w:val="en-US"/>
        </w:rPr>
        <w:t xml:space="preserve">; </w:t>
      </w:r>
      <w:r w:rsidR="00A6462C" w:rsidRPr="00A6462C">
        <w:rPr>
          <w:lang w:val="en-US"/>
        </w:rPr>
        <w:t>Shankar</w:t>
      </w:r>
      <w:r w:rsidR="00A6462C">
        <w:rPr>
          <w:lang w:val="en-US"/>
        </w:rPr>
        <w:t xml:space="preserve"> and </w:t>
      </w:r>
      <w:proofErr w:type="spellStart"/>
      <w:r w:rsidR="00A6462C" w:rsidRPr="00A6462C">
        <w:rPr>
          <w:lang w:val="en-US"/>
        </w:rPr>
        <w:t>Parsana</w:t>
      </w:r>
      <w:proofErr w:type="spellEnd"/>
      <w:r w:rsidR="00A6462C" w:rsidRPr="00A6462C">
        <w:rPr>
          <w:lang w:val="en-US"/>
        </w:rPr>
        <w:t>, 2022</w:t>
      </w:r>
      <w:r w:rsidRPr="000E768B">
        <w:rPr>
          <w:lang w:val="en-US"/>
        </w:rPr>
        <w:t xml:space="preserve">). </w:t>
      </w:r>
      <w:proofErr w:type="spellStart"/>
      <w:r w:rsidRPr="000E768B">
        <w:rPr>
          <w:lang w:val="en-US"/>
        </w:rPr>
        <w:t>GloVe</w:t>
      </w:r>
      <w:proofErr w:type="spellEnd"/>
      <w:r w:rsidRPr="000E768B">
        <w:rPr>
          <w:lang w:val="en-US"/>
        </w:rPr>
        <w:t xml:space="preserve"> maps words into dense vector spaces where semantically similar words are positioned close together. By computing the average pairwise cosine similarity </w:t>
      </w:r>
      <w:r w:rsidR="004529E3">
        <w:rPr>
          <w:lang w:val="en-US"/>
        </w:rPr>
        <w:t xml:space="preserve">(e.g.: </w:t>
      </w:r>
      <w:proofErr w:type="spellStart"/>
      <w:r w:rsidR="004529E3">
        <w:rPr>
          <w:lang w:val="en-US"/>
        </w:rPr>
        <w:t>Ghojogh</w:t>
      </w:r>
      <w:proofErr w:type="spellEnd"/>
      <w:r w:rsidR="004529E3">
        <w:rPr>
          <w:lang w:val="en-US"/>
        </w:rPr>
        <w:t xml:space="preserve"> et al., 2022) </w:t>
      </w:r>
      <w:r w:rsidRPr="000E768B">
        <w:rPr>
          <w:lang w:val="en-US"/>
        </w:rPr>
        <w:t xml:space="preserve">between the top-N words of each topic using </w:t>
      </w:r>
      <w:proofErr w:type="spellStart"/>
      <w:r w:rsidRPr="000E768B">
        <w:rPr>
          <w:lang w:val="en-US"/>
        </w:rPr>
        <w:t>GloVe</w:t>
      </w:r>
      <w:proofErr w:type="spellEnd"/>
      <w:r w:rsidRPr="000E768B">
        <w:rPr>
          <w:lang w:val="en-US"/>
        </w:rPr>
        <w:t xml:space="preserve"> vectors, one can estimate how semantically consistent or meaningful the topic is. This method provides a simple yet effective unsupervised measure of topic coherence that aligns well with human judgments, particularly in scenarios where labeled coherence data is unavailable.</w:t>
      </w:r>
      <w:r w:rsidR="004529E3">
        <w:rPr>
          <w:lang w:val="en-US"/>
        </w:rPr>
        <w:t xml:space="preserve"> Figure A.2. display semantic coherence of topics in descending order.</w:t>
      </w:r>
    </w:p>
    <w:p w14:paraId="226F2ACE" w14:textId="29356113" w:rsidR="004529E3" w:rsidRDefault="004529E3" w:rsidP="004529E3">
      <w:pPr>
        <w:spacing w:after="0"/>
        <w:jc w:val="center"/>
        <w:rPr>
          <w:lang w:val="en-US"/>
        </w:rPr>
      </w:pPr>
      <w:r>
        <w:rPr>
          <w:noProof/>
        </w:rPr>
        <w:lastRenderedPageBreak/>
        <w:drawing>
          <wp:inline distT="0" distB="0" distL="0" distR="0" wp14:anchorId="7FD9DE34" wp14:editId="47D6E6EC">
            <wp:extent cx="3152383" cy="3098104"/>
            <wp:effectExtent l="0" t="0" r="0" b="7620"/>
            <wp:docPr id="1897303719" name="Immagine 1"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303719" name="Immagine 1" descr="Immagine che contiene testo, schermata, diagramma, Carattere&#10;&#10;Il contenuto generato dall'IA potrebbe non essere corretto."/>
                    <pic:cNvPicPr/>
                  </pic:nvPicPr>
                  <pic:blipFill rotWithShape="1">
                    <a:blip r:embed="rId9"/>
                    <a:srcRect l="3609" t="3480" r="-941" b="863"/>
                    <a:stretch/>
                  </pic:blipFill>
                  <pic:spPr bwMode="auto">
                    <a:xfrm>
                      <a:off x="0" y="0"/>
                      <a:ext cx="3153556" cy="3099257"/>
                    </a:xfrm>
                    <a:prstGeom prst="rect">
                      <a:avLst/>
                    </a:prstGeom>
                    <a:ln>
                      <a:noFill/>
                    </a:ln>
                    <a:extLst>
                      <a:ext uri="{53640926-AAD7-44D8-BBD7-CCE9431645EC}">
                        <a14:shadowObscured xmlns:a14="http://schemas.microsoft.com/office/drawing/2010/main"/>
                      </a:ext>
                    </a:extLst>
                  </pic:spPr>
                </pic:pic>
              </a:graphicData>
            </a:graphic>
          </wp:inline>
        </w:drawing>
      </w:r>
    </w:p>
    <w:p w14:paraId="3DF674EC" w14:textId="7C8A524D" w:rsidR="004529E3" w:rsidRPr="00A122D0" w:rsidRDefault="004529E3" w:rsidP="004529E3">
      <w:pPr>
        <w:spacing w:after="0"/>
        <w:jc w:val="center"/>
        <w:rPr>
          <w:b/>
          <w:bCs/>
          <w:lang w:val="en-US"/>
        </w:rPr>
      </w:pPr>
      <w:r>
        <w:rPr>
          <w:b/>
          <w:bCs/>
          <w:lang w:val="en-US"/>
        </w:rPr>
        <w:t xml:space="preserve">Figure </w:t>
      </w:r>
      <w:r w:rsidRPr="00A122D0">
        <w:rPr>
          <w:b/>
          <w:bCs/>
          <w:lang w:val="en-US"/>
        </w:rPr>
        <w:t>A.</w:t>
      </w:r>
      <w:r>
        <w:rPr>
          <w:b/>
          <w:bCs/>
          <w:lang w:val="en-US"/>
        </w:rPr>
        <w:t>2</w:t>
      </w:r>
      <w:r w:rsidRPr="00A122D0">
        <w:rPr>
          <w:b/>
          <w:bCs/>
          <w:lang w:val="en-US"/>
        </w:rPr>
        <w:t xml:space="preserve">: </w:t>
      </w:r>
      <w:r>
        <w:rPr>
          <w:b/>
          <w:bCs/>
          <w:lang w:val="en-US"/>
        </w:rPr>
        <w:t>Semantic coherence of topics.</w:t>
      </w:r>
    </w:p>
    <w:p w14:paraId="053E3150" w14:textId="77777777" w:rsidR="004529E3" w:rsidRPr="000E768B" w:rsidRDefault="004529E3" w:rsidP="000E768B">
      <w:pPr>
        <w:spacing w:after="0"/>
        <w:jc w:val="both"/>
        <w:rPr>
          <w:lang w:val="en-US"/>
        </w:rPr>
      </w:pPr>
    </w:p>
    <w:p w14:paraId="6A645F67" w14:textId="13A7947E" w:rsidR="000E768B" w:rsidRDefault="00AF7C6B" w:rsidP="00A6462C">
      <w:pPr>
        <w:tabs>
          <w:tab w:val="num" w:pos="720"/>
        </w:tabs>
        <w:spacing w:after="0"/>
        <w:jc w:val="both"/>
        <w:rPr>
          <w:lang w:val="en-US"/>
        </w:rPr>
      </w:pPr>
      <w:r w:rsidRPr="00AF7C6B">
        <w:rPr>
          <w:lang w:val="en-US"/>
        </w:rPr>
        <w:t xml:space="preserve">Semantic coherence measures how semantically similar the top words within each topic are, typically based on their vector representations in a word embedding space such as </w:t>
      </w:r>
      <w:proofErr w:type="spellStart"/>
      <w:r w:rsidRPr="00AF7C6B">
        <w:rPr>
          <w:lang w:val="en-US"/>
        </w:rPr>
        <w:t>GloVe</w:t>
      </w:r>
      <w:proofErr w:type="spellEnd"/>
      <w:r w:rsidRPr="00AF7C6B">
        <w:rPr>
          <w:lang w:val="en-US"/>
        </w:rPr>
        <w:t>. Higher values indicate that the top words of a topic are more closely related in meaning, suggesting a more interpretable and meaningful topic</w:t>
      </w:r>
      <w:r w:rsidR="00A6462C">
        <w:rPr>
          <w:lang w:val="en-US"/>
        </w:rPr>
        <w:t xml:space="preserve"> (</w:t>
      </w:r>
      <w:r w:rsidR="00A6462C" w:rsidRPr="00A6462C">
        <w:rPr>
          <w:lang w:val="en-US"/>
        </w:rPr>
        <w:t>Shankar</w:t>
      </w:r>
      <w:r w:rsidR="00A6462C">
        <w:rPr>
          <w:lang w:val="en-US"/>
        </w:rPr>
        <w:t xml:space="preserve"> and </w:t>
      </w:r>
      <w:proofErr w:type="spellStart"/>
      <w:r w:rsidR="00A6462C" w:rsidRPr="00A6462C">
        <w:rPr>
          <w:lang w:val="en-US"/>
        </w:rPr>
        <w:t>Parsana</w:t>
      </w:r>
      <w:proofErr w:type="spellEnd"/>
      <w:r w:rsidR="00A6462C" w:rsidRPr="00A6462C">
        <w:rPr>
          <w:lang w:val="en-US"/>
        </w:rPr>
        <w:t>, 2022</w:t>
      </w:r>
      <w:r w:rsidR="00A6462C" w:rsidRPr="000E768B">
        <w:rPr>
          <w:lang w:val="en-US"/>
        </w:rPr>
        <w:t>)</w:t>
      </w:r>
      <w:r w:rsidRPr="00AF7C6B">
        <w:rPr>
          <w:lang w:val="en-US"/>
        </w:rPr>
        <w:t>.</w:t>
      </w:r>
      <w:r w:rsidR="00A6462C">
        <w:rPr>
          <w:lang w:val="en-US"/>
        </w:rPr>
        <w:t xml:space="preserve"> In our case, topic </w:t>
      </w:r>
      <w:r w:rsidR="00A6462C" w:rsidRPr="00E96B61">
        <w:rPr>
          <w:i/>
          <w:iCs/>
          <w:lang w:val="en-US"/>
        </w:rPr>
        <w:t>10. Organizational Performance</w:t>
      </w:r>
      <w:r w:rsidR="00A6462C">
        <w:rPr>
          <w:lang w:val="en-US"/>
        </w:rPr>
        <w:t xml:space="preserve"> has a low score, indicating </w:t>
      </w:r>
      <w:r w:rsidRPr="00AF7C6B">
        <w:rPr>
          <w:lang w:val="en-US"/>
        </w:rPr>
        <w:t>that the top words within a topic are only loosely related, potentially making the topic harder to interpret.</w:t>
      </w:r>
      <w:r w:rsidR="00A6462C">
        <w:rPr>
          <w:lang w:val="en-US"/>
        </w:rPr>
        <w:t xml:space="preserve"> Topics </w:t>
      </w:r>
      <w:r w:rsidR="00A6462C" w:rsidRPr="009C1BD2">
        <w:rPr>
          <w:lang w:val="en-US"/>
        </w:rPr>
        <w:t xml:space="preserve">2. </w:t>
      </w:r>
      <w:r w:rsidR="00A6462C" w:rsidRPr="009C1BD2">
        <w:rPr>
          <w:i/>
          <w:iCs/>
          <w:lang w:val="en-US"/>
        </w:rPr>
        <w:t>Responsible Leadership</w:t>
      </w:r>
      <w:r w:rsidR="00A6462C" w:rsidRPr="009C1BD2">
        <w:rPr>
          <w:lang w:val="en-US"/>
        </w:rPr>
        <w:t xml:space="preserve">, 3. </w:t>
      </w:r>
      <w:r w:rsidR="00A6462C" w:rsidRPr="009C1BD2">
        <w:rPr>
          <w:i/>
          <w:iCs/>
          <w:lang w:val="en-US"/>
        </w:rPr>
        <w:t>Stewardship Governance</w:t>
      </w:r>
      <w:r w:rsidR="00A6462C">
        <w:rPr>
          <w:i/>
          <w:iCs/>
          <w:lang w:val="en-US"/>
        </w:rPr>
        <w:t xml:space="preserve">, </w:t>
      </w:r>
      <w:r w:rsidR="00A6462C" w:rsidRPr="00A6462C">
        <w:rPr>
          <w:lang w:val="en-US"/>
        </w:rPr>
        <w:t>and</w:t>
      </w:r>
      <w:r w:rsidR="00A6462C">
        <w:rPr>
          <w:lang w:val="en-US"/>
        </w:rPr>
        <w:t xml:space="preserve"> </w:t>
      </w:r>
      <w:r w:rsidR="00A6462C" w:rsidRPr="009C1BD2">
        <w:rPr>
          <w:lang w:val="en-US"/>
        </w:rPr>
        <w:t xml:space="preserve">9. </w:t>
      </w:r>
      <w:r w:rsidR="00A6462C" w:rsidRPr="009C1BD2">
        <w:rPr>
          <w:i/>
          <w:iCs/>
          <w:lang w:val="en-US"/>
        </w:rPr>
        <w:t>Accountability</w:t>
      </w:r>
      <w:r w:rsidR="00A6462C">
        <w:rPr>
          <w:lang w:val="en-US"/>
        </w:rPr>
        <w:t xml:space="preserve"> are characterized by large scores, indicating that the keywords in these topics </w:t>
      </w:r>
      <w:r w:rsidR="00A6462C" w:rsidRPr="00AF7C6B">
        <w:rPr>
          <w:lang w:val="en-US"/>
        </w:rPr>
        <w:t>are strongly related and thus more likely to represent a coherent concept.</w:t>
      </w:r>
      <w:r w:rsidR="00A6462C">
        <w:rPr>
          <w:lang w:val="en-US"/>
        </w:rPr>
        <w:t xml:space="preserve"> The other topics are characterized by moderate coherence, suggesting that they are </w:t>
      </w:r>
      <w:r w:rsidRPr="00AF7C6B">
        <w:rPr>
          <w:lang w:val="en-US"/>
        </w:rPr>
        <w:t>semantically meaningful but may include noise or mixed themes.</w:t>
      </w:r>
    </w:p>
    <w:p w14:paraId="0D2F1691" w14:textId="77777777" w:rsidR="004529E3" w:rsidRDefault="004529E3" w:rsidP="004529E3">
      <w:pPr>
        <w:spacing w:after="0"/>
        <w:ind w:left="284" w:hanging="284"/>
        <w:jc w:val="both"/>
        <w:rPr>
          <w:lang w:val="en-US"/>
        </w:rPr>
      </w:pPr>
    </w:p>
    <w:p w14:paraId="0B75C9AA" w14:textId="2F7865F5" w:rsidR="00884624" w:rsidRPr="00884624" w:rsidRDefault="00884624" w:rsidP="00884624">
      <w:pPr>
        <w:spacing w:after="0"/>
        <w:jc w:val="both"/>
        <w:rPr>
          <w:i/>
          <w:iCs/>
          <w:lang w:val="en-US"/>
        </w:rPr>
      </w:pPr>
      <w:r>
        <w:rPr>
          <w:lang w:val="en-US"/>
        </w:rPr>
        <w:t xml:space="preserve">A.4.2. </w:t>
      </w:r>
      <w:r>
        <w:rPr>
          <w:i/>
          <w:iCs/>
          <w:lang w:val="en-US"/>
        </w:rPr>
        <w:t>Granularity</w:t>
      </w:r>
    </w:p>
    <w:p w14:paraId="3249D779" w14:textId="236F9D1C" w:rsidR="009A6811" w:rsidRDefault="00884624" w:rsidP="00AA7007">
      <w:pPr>
        <w:spacing w:after="0"/>
        <w:jc w:val="both"/>
        <w:rPr>
          <w:lang w:val="en-US"/>
        </w:rPr>
      </w:pPr>
      <w:r>
        <w:rPr>
          <w:lang w:val="en-US"/>
        </w:rPr>
        <w:t xml:space="preserve">The granularity of a topic model </w:t>
      </w:r>
      <w:r w:rsidR="004529E3" w:rsidRPr="004529E3">
        <w:rPr>
          <w:lang w:val="en-US"/>
        </w:rPr>
        <w:t>is the extent to which topics capture distinct semantic regions of the vocabulary</w:t>
      </w:r>
      <w:r w:rsidR="004B12DC">
        <w:rPr>
          <w:lang w:val="en-US"/>
        </w:rPr>
        <w:t xml:space="preserve"> (Ganguli and Sengupta, 2023; </w:t>
      </w:r>
      <w:proofErr w:type="spellStart"/>
      <w:r w:rsidR="004B12DC">
        <w:rPr>
          <w:lang w:val="en-US"/>
        </w:rPr>
        <w:t>Todri</w:t>
      </w:r>
      <w:proofErr w:type="spellEnd"/>
      <w:r w:rsidR="004B12DC">
        <w:rPr>
          <w:lang w:val="en-US"/>
        </w:rPr>
        <w:t xml:space="preserve">, </w:t>
      </w:r>
      <w:proofErr w:type="spellStart"/>
      <w:r w:rsidR="004B12DC">
        <w:rPr>
          <w:lang w:val="en-US"/>
        </w:rPr>
        <w:t>Adamopoulos</w:t>
      </w:r>
      <w:proofErr w:type="spellEnd"/>
      <w:r w:rsidR="004B12DC">
        <w:rPr>
          <w:lang w:val="en-US"/>
        </w:rPr>
        <w:t xml:space="preserve"> and Andrews, 2022). In this case, </w:t>
      </w:r>
      <w:r w:rsidR="004529E3" w:rsidRPr="004529E3">
        <w:rPr>
          <w:lang w:val="en-US"/>
        </w:rPr>
        <w:t>pairwise Jaccard similarity between the top-N words of each topic can be used. The Jaccard index quantifies the proportion of shared words between two topics relative to their union. A high average Jaccard similarity across topics suggests low granularity, indicating that topics may be overlapping or redundant. Conversely, a low average Jaccard similarity implies high granularity, suggesting well-separated, specific topics. This metric provides a simple and interpretable way to complement coherence scores by revealing redundancy and lexical overlap in topic models.</w:t>
      </w:r>
      <w:r w:rsidR="009A6811">
        <w:rPr>
          <w:lang w:val="en-US"/>
        </w:rPr>
        <w:t xml:space="preserve"> Average </w:t>
      </w:r>
      <w:r w:rsidR="00B44580">
        <w:rPr>
          <w:lang w:val="en-US"/>
        </w:rPr>
        <w:t xml:space="preserve">granularity (i.e., 1 - </w:t>
      </w:r>
      <w:r w:rsidR="009A6811">
        <w:rPr>
          <w:lang w:val="en-US"/>
        </w:rPr>
        <w:t xml:space="preserve">Jaccard </w:t>
      </w:r>
      <w:r w:rsidR="00B44580">
        <w:rPr>
          <w:lang w:val="en-US"/>
        </w:rPr>
        <w:t xml:space="preserve">distance) </w:t>
      </w:r>
      <w:r w:rsidR="009A6811">
        <w:rPr>
          <w:lang w:val="en-US"/>
        </w:rPr>
        <w:t xml:space="preserve">resulted in .987, indicating </w:t>
      </w:r>
      <w:r w:rsidR="009A6811" w:rsidRPr="009A6811">
        <w:rPr>
          <w:lang w:val="en-US"/>
        </w:rPr>
        <w:t>very high granularity, meaning that the top words associated with each topic overlap very little</w:t>
      </w:r>
      <w:r w:rsidR="009A6811">
        <w:rPr>
          <w:lang w:val="en-US"/>
        </w:rPr>
        <w:t xml:space="preserve"> or, in other words, that </w:t>
      </w:r>
      <w:r w:rsidR="009A6811" w:rsidRPr="009A6811">
        <w:rPr>
          <w:lang w:val="en-US"/>
        </w:rPr>
        <w:t>they are nearly disjoint sets.</w:t>
      </w:r>
      <w:r w:rsidR="009A6811">
        <w:rPr>
          <w:lang w:val="en-US"/>
        </w:rPr>
        <w:t xml:space="preserve"> </w:t>
      </w:r>
      <w:r w:rsidR="00AA7007" w:rsidRPr="00AA7007">
        <w:rPr>
          <w:lang w:val="en-US"/>
        </w:rPr>
        <w:t xml:space="preserve">The lighter or white hues in the heatmap </w:t>
      </w:r>
      <w:r w:rsidR="00AA7007">
        <w:rPr>
          <w:lang w:val="en-US"/>
        </w:rPr>
        <w:t xml:space="preserve">of Figure A.3 </w:t>
      </w:r>
      <w:r w:rsidR="00AA7007" w:rsidRPr="00AA7007">
        <w:rPr>
          <w:lang w:val="en-US"/>
        </w:rPr>
        <w:t>correspond to minimal levels of topic overlap, indicating low shared content among topics</w:t>
      </w:r>
      <w:r w:rsidR="009A6811">
        <w:rPr>
          <w:lang w:val="en-US"/>
        </w:rPr>
        <w:t>.</w:t>
      </w:r>
    </w:p>
    <w:p w14:paraId="4C6EF88A" w14:textId="77777777" w:rsidR="009A6811" w:rsidRDefault="009A6811" w:rsidP="009A6811">
      <w:pPr>
        <w:spacing w:after="0"/>
        <w:jc w:val="both"/>
        <w:rPr>
          <w:lang w:val="en-US"/>
        </w:rPr>
      </w:pPr>
    </w:p>
    <w:p w14:paraId="68B70439" w14:textId="09CC5B1B" w:rsidR="009A6811" w:rsidRDefault="009A6811" w:rsidP="009A6811">
      <w:pPr>
        <w:spacing w:after="0"/>
        <w:jc w:val="center"/>
        <w:rPr>
          <w:lang w:val="en-US"/>
        </w:rPr>
      </w:pPr>
      <w:r>
        <w:rPr>
          <w:noProof/>
        </w:rPr>
        <w:lastRenderedPageBreak/>
        <w:drawing>
          <wp:inline distT="0" distB="0" distL="0" distR="0" wp14:anchorId="7FCFD1A7" wp14:editId="7A646C75">
            <wp:extent cx="3114040" cy="2981194"/>
            <wp:effectExtent l="0" t="0" r="0" b="0"/>
            <wp:docPr id="1075903413" name="Immagine 1"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903413" name="Immagine 1" descr="Immagine che contiene testo, schermata, diagramma, Carattere&#10;&#10;Il contenuto generato dall'IA potrebbe non essere corretto."/>
                    <pic:cNvPicPr/>
                  </pic:nvPicPr>
                  <pic:blipFill rotWithShape="1">
                    <a:blip r:embed="rId10"/>
                    <a:srcRect l="3866" t="4124" b="3843"/>
                    <a:stretch/>
                  </pic:blipFill>
                  <pic:spPr bwMode="auto">
                    <a:xfrm>
                      <a:off x="0" y="0"/>
                      <a:ext cx="3114716" cy="2981841"/>
                    </a:xfrm>
                    <a:prstGeom prst="rect">
                      <a:avLst/>
                    </a:prstGeom>
                    <a:ln>
                      <a:noFill/>
                    </a:ln>
                    <a:extLst>
                      <a:ext uri="{53640926-AAD7-44D8-BBD7-CCE9431645EC}">
                        <a14:shadowObscured xmlns:a14="http://schemas.microsoft.com/office/drawing/2010/main"/>
                      </a:ext>
                    </a:extLst>
                  </pic:spPr>
                </pic:pic>
              </a:graphicData>
            </a:graphic>
          </wp:inline>
        </w:drawing>
      </w:r>
    </w:p>
    <w:p w14:paraId="0229F863" w14:textId="49D39F11" w:rsidR="009A6811" w:rsidRPr="00A122D0" w:rsidRDefault="009A6811" w:rsidP="009A6811">
      <w:pPr>
        <w:spacing w:after="0"/>
        <w:jc w:val="center"/>
        <w:rPr>
          <w:b/>
          <w:bCs/>
          <w:lang w:val="en-US"/>
        </w:rPr>
      </w:pPr>
      <w:r>
        <w:rPr>
          <w:b/>
          <w:bCs/>
          <w:lang w:val="en-US"/>
        </w:rPr>
        <w:t xml:space="preserve">Figure </w:t>
      </w:r>
      <w:r w:rsidRPr="00A122D0">
        <w:rPr>
          <w:b/>
          <w:bCs/>
          <w:lang w:val="en-US"/>
        </w:rPr>
        <w:t>A.</w:t>
      </w:r>
      <w:r w:rsidR="00595D18">
        <w:rPr>
          <w:b/>
          <w:bCs/>
          <w:lang w:val="en-US"/>
        </w:rPr>
        <w:t>3</w:t>
      </w:r>
      <w:r w:rsidRPr="00A122D0">
        <w:rPr>
          <w:b/>
          <w:bCs/>
          <w:lang w:val="en-US"/>
        </w:rPr>
        <w:t xml:space="preserve">: </w:t>
      </w:r>
      <w:r>
        <w:rPr>
          <w:b/>
          <w:bCs/>
          <w:lang w:val="en-US"/>
        </w:rPr>
        <w:t>Pairwise Jaccard similarities between topics.</w:t>
      </w:r>
    </w:p>
    <w:p w14:paraId="65842B44" w14:textId="77777777" w:rsidR="004529E3" w:rsidRPr="004529E3" w:rsidRDefault="004529E3" w:rsidP="004529E3">
      <w:pPr>
        <w:spacing w:after="0"/>
        <w:jc w:val="both"/>
        <w:rPr>
          <w:lang w:val="en-US"/>
        </w:rPr>
      </w:pPr>
    </w:p>
    <w:p w14:paraId="39B07E13" w14:textId="2783B302" w:rsidR="00595D18" w:rsidRDefault="00595D18" w:rsidP="00595D18">
      <w:pPr>
        <w:spacing w:after="0"/>
        <w:jc w:val="both"/>
        <w:rPr>
          <w:lang w:val="en-US"/>
        </w:rPr>
      </w:pPr>
      <w:r>
        <w:rPr>
          <w:lang w:val="en-US"/>
        </w:rPr>
        <w:t xml:space="preserve">The Jaccard similarity index, </w:t>
      </w:r>
      <w:r w:rsidRPr="00595D18">
        <w:rPr>
          <w:lang w:val="en-US"/>
        </w:rPr>
        <w:t>which captures how many words the topics have in common</w:t>
      </w:r>
      <w:r>
        <w:rPr>
          <w:lang w:val="en-US"/>
        </w:rPr>
        <w:t xml:space="preserve">, can be also used to display a </w:t>
      </w:r>
      <w:r w:rsidRPr="00595D18">
        <w:rPr>
          <w:lang w:val="en-US"/>
        </w:rPr>
        <w:t xml:space="preserve">dendrogram that visualizes the lexical similarity between </w:t>
      </w:r>
      <w:r>
        <w:rPr>
          <w:lang w:val="en-US"/>
        </w:rPr>
        <w:t xml:space="preserve">the </w:t>
      </w:r>
      <w:r w:rsidRPr="00595D18">
        <w:rPr>
          <w:lang w:val="en-US"/>
        </w:rPr>
        <w:t xml:space="preserve">10 topics. </w:t>
      </w:r>
      <w:r>
        <w:rPr>
          <w:lang w:val="en-US"/>
        </w:rPr>
        <w:t>Specifically, in the resulting dendrogram of Figure A.4 e</w:t>
      </w:r>
      <w:r w:rsidRPr="00595D18">
        <w:rPr>
          <w:lang w:val="en-US"/>
        </w:rPr>
        <w:t xml:space="preserve">ach </w:t>
      </w:r>
      <w:r>
        <w:rPr>
          <w:lang w:val="en-US"/>
        </w:rPr>
        <w:t>topic occupies a bottom-most label, i.e. a leaf of the tree. T</w:t>
      </w:r>
      <w:r w:rsidRPr="00595D18">
        <w:rPr>
          <w:lang w:val="en-US"/>
        </w:rPr>
        <w:t>he height of a branch indicates the Jaccard distance between the merged topics or clusters</w:t>
      </w:r>
      <w:r>
        <w:rPr>
          <w:lang w:val="en-US"/>
        </w:rPr>
        <w:t>, graphically displaying lexically similar topics (i.e. topics sharing many of the same top words) with short branches, while tall</w:t>
      </w:r>
      <w:r w:rsidRPr="00595D18">
        <w:rPr>
          <w:lang w:val="en-US"/>
        </w:rPr>
        <w:t xml:space="preserve"> branches </w:t>
      </w:r>
      <w:r>
        <w:rPr>
          <w:lang w:val="en-US"/>
        </w:rPr>
        <w:t xml:space="preserve">mean little overlap, corresponding to </w:t>
      </w:r>
      <w:r w:rsidRPr="00595D18">
        <w:rPr>
          <w:lang w:val="en-US"/>
        </w:rPr>
        <w:t>lexically distinct</w:t>
      </w:r>
      <w:r>
        <w:rPr>
          <w:lang w:val="en-US"/>
        </w:rPr>
        <w:t xml:space="preserve"> topics</w:t>
      </w:r>
      <w:r w:rsidRPr="00595D18">
        <w:rPr>
          <w:lang w:val="en-US"/>
        </w:rPr>
        <w:t>.</w:t>
      </w:r>
      <w:r>
        <w:rPr>
          <w:lang w:val="en-US"/>
        </w:rPr>
        <w:t xml:space="preserve"> Consistent to previous analyses, </w:t>
      </w:r>
      <w:r w:rsidRPr="00595D18">
        <w:rPr>
          <w:lang w:val="en-US"/>
        </w:rPr>
        <w:t xml:space="preserve">closely clustered topics </w:t>
      </w:r>
      <w:r>
        <w:rPr>
          <w:lang w:val="en-US"/>
        </w:rPr>
        <w:t>(namely,</w:t>
      </w:r>
      <w:r w:rsidRPr="00595D18">
        <w:rPr>
          <w:lang w:val="en-US"/>
        </w:rPr>
        <w:t xml:space="preserve"> lexically similar</w:t>
      </w:r>
      <w:r>
        <w:rPr>
          <w:lang w:val="en-US"/>
        </w:rPr>
        <w:t xml:space="preserve"> topics) are absent</w:t>
      </w:r>
      <w:r w:rsidRPr="00595D18">
        <w:rPr>
          <w:lang w:val="en-US"/>
        </w:rPr>
        <w:t xml:space="preserve">, while </w:t>
      </w:r>
      <w:r>
        <w:rPr>
          <w:lang w:val="en-US"/>
        </w:rPr>
        <w:t xml:space="preserve">the tree is characterized by </w:t>
      </w:r>
      <w:r w:rsidRPr="00595D18">
        <w:rPr>
          <w:lang w:val="en-US"/>
        </w:rPr>
        <w:t>distant branches</w:t>
      </w:r>
      <w:r>
        <w:rPr>
          <w:lang w:val="en-US"/>
        </w:rPr>
        <w:t>, that</w:t>
      </w:r>
      <w:r w:rsidRPr="00595D18">
        <w:rPr>
          <w:lang w:val="en-US"/>
        </w:rPr>
        <w:t xml:space="preserve"> represent topics that are thematically distinct, as indicated by their disjoint vocabularies.</w:t>
      </w:r>
    </w:p>
    <w:p w14:paraId="2EEB5E91" w14:textId="77777777" w:rsidR="00595D18" w:rsidRDefault="00595D18" w:rsidP="00595D18">
      <w:pPr>
        <w:spacing w:after="0"/>
        <w:jc w:val="both"/>
        <w:rPr>
          <w:lang w:val="en-US"/>
        </w:rPr>
      </w:pPr>
    </w:p>
    <w:p w14:paraId="557C66E5" w14:textId="5C8D3181" w:rsidR="00595D18" w:rsidRPr="00595D18" w:rsidRDefault="00595D18" w:rsidP="00595D18">
      <w:pPr>
        <w:spacing w:after="0"/>
        <w:jc w:val="center"/>
        <w:rPr>
          <w:lang w:val="en-US"/>
        </w:rPr>
      </w:pPr>
      <w:r>
        <w:rPr>
          <w:noProof/>
        </w:rPr>
        <w:drawing>
          <wp:inline distT="0" distB="0" distL="0" distR="0" wp14:anchorId="2FB0FF60" wp14:editId="00A8671C">
            <wp:extent cx="3045596" cy="2420482"/>
            <wp:effectExtent l="0" t="0" r="2540" b="0"/>
            <wp:docPr id="2113310742" name="Immagine 1" descr="Immagine che contiene testo, schermata, ricevu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310742" name="Immagine 1" descr="Immagine che contiene testo, schermata, ricevuta&#10;&#10;Il contenuto generato dall'IA potrebbe non essere corretto."/>
                    <pic:cNvPicPr/>
                  </pic:nvPicPr>
                  <pic:blipFill rotWithShape="1">
                    <a:blip r:embed="rId11"/>
                    <a:srcRect l="5975" t="12121" b="13153"/>
                    <a:stretch>
                      <a:fillRect/>
                    </a:stretch>
                  </pic:blipFill>
                  <pic:spPr bwMode="auto">
                    <a:xfrm>
                      <a:off x="0" y="0"/>
                      <a:ext cx="3046409" cy="2421128"/>
                    </a:xfrm>
                    <a:prstGeom prst="rect">
                      <a:avLst/>
                    </a:prstGeom>
                    <a:ln>
                      <a:noFill/>
                    </a:ln>
                    <a:extLst>
                      <a:ext uri="{53640926-AAD7-44D8-BBD7-CCE9431645EC}">
                        <a14:shadowObscured xmlns:a14="http://schemas.microsoft.com/office/drawing/2010/main"/>
                      </a:ext>
                    </a:extLst>
                  </pic:spPr>
                </pic:pic>
              </a:graphicData>
            </a:graphic>
          </wp:inline>
        </w:drawing>
      </w:r>
    </w:p>
    <w:p w14:paraId="732003B9" w14:textId="00285443" w:rsidR="00595D18" w:rsidRPr="00A122D0" w:rsidRDefault="00595D18" w:rsidP="00595D18">
      <w:pPr>
        <w:spacing w:after="0"/>
        <w:jc w:val="center"/>
        <w:rPr>
          <w:b/>
          <w:bCs/>
          <w:lang w:val="en-US"/>
        </w:rPr>
      </w:pPr>
      <w:r>
        <w:rPr>
          <w:b/>
          <w:bCs/>
          <w:lang w:val="en-US"/>
        </w:rPr>
        <w:t xml:space="preserve">Figure </w:t>
      </w:r>
      <w:r w:rsidRPr="00A122D0">
        <w:rPr>
          <w:b/>
          <w:bCs/>
          <w:lang w:val="en-US"/>
        </w:rPr>
        <w:t>A.</w:t>
      </w:r>
      <w:r>
        <w:rPr>
          <w:b/>
          <w:bCs/>
          <w:lang w:val="en-US"/>
        </w:rPr>
        <w:t>4</w:t>
      </w:r>
      <w:r w:rsidRPr="00A122D0">
        <w:rPr>
          <w:b/>
          <w:bCs/>
          <w:lang w:val="en-US"/>
        </w:rPr>
        <w:t xml:space="preserve">: </w:t>
      </w:r>
      <w:r>
        <w:rPr>
          <w:b/>
          <w:bCs/>
          <w:lang w:val="en-US"/>
        </w:rPr>
        <w:t>Dendrogram of Topics (based on Jaccard distance).</w:t>
      </w:r>
    </w:p>
    <w:p w14:paraId="3A3FEAA0" w14:textId="77777777" w:rsidR="00595D18" w:rsidRDefault="00595D18" w:rsidP="000E2C04">
      <w:pPr>
        <w:spacing w:after="0"/>
        <w:jc w:val="both"/>
        <w:rPr>
          <w:lang w:val="en-US"/>
        </w:rPr>
      </w:pPr>
    </w:p>
    <w:p w14:paraId="77C6E366" w14:textId="4758D839" w:rsidR="005C11CE" w:rsidRPr="005C11CE" w:rsidRDefault="005C11CE" w:rsidP="005C11CE">
      <w:pPr>
        <w:spacing w:after="0"/>
        <w:jc w:val="both"/>
        <w:rPr>
          <w:lang w:val="en-US"/>
        </w:rPr>
      </w:pPr>
      <w:r>
        <w:rPr>
          <w:lang w:val="en-US"/>
        </w:rPr>
        <w:t xml:space="preserve">As a further analysis, we propose a graph-based representation of the topics’ overlapping configuration. </w:t>
      </w:r>
      <w:r w:rsidR="0090056E">
        <w:rPr>
          <w:lang w:val="en-US"/>
        </w:rPr>
        <w:t xml:space="preserve">More specifically, we defined a graph with the ten topics as nodes, while two nodes </w:t>
      </w:r>
      <w:r w:rsidR="0090056E" w:rsidRPr="005C11CE">
        <w:rPr>
          <w:lang w:val="en-US"/>
        </w:rPr>
        <w:t>are linked by an edge in the resulting network</w:t>
      </w:r>
      <w:r w:rsidR="0090056E">
        <w:rPr>
          <w:lang w:val="en-US"/>
        </w:rPr>
        <w:t xml:space="preserve"> only if they share more than 10% of their top words (corresponding to a Jaccard similarity above .1). C</w:t>
      </w:r>
      <w:r w:rsidR="0090056E" w:rsidRPr="005C11CE">
        <w:rPr>
          <w:lang w:val="en-US"/>
        </w:rPr>
        <w:t xml:space="preserve">hoosing </w:t>
      </w:r>
      <w:r w:rsidR="0090056E">
        <w:rPr>
          <w:lang w:val="en-US"/>
        </w:rPr>
        <w:t>this</w:t>
      </w:r>
      <w:r w:rsidR="0090056E" w:rsidRPr="005C11CE">
        <w:rPr>
          <w:lang w:val="en-US"/>
        </w:rPr>
        <w:t xml:space="preserve"> threshold balances inclusiveness and interpretability</w:t>
      </w:r>
      <w:r w:rsidR="0090056E">
        <w:rPr>
          <w:lang w:val="en-US"/>
        </w:rPr>
        <w:t xml:space="preserve">. In fact, on the one side, this choice </w:t>
      </w:r>
      <w:r w:rsidRPr="005C11CE">
        <w:rPr>
          <w:lang w:val="en-US"/>
        </w:rPr>
        <w:t>allows connections between topics that share a non-negligible but limited number of top keywords, filtering out weaker or incidental overlaps.</w:t>
      </w:r>
      <w:r w:rsidR="0090056E">
        <w:rPr>
          <w:lang w:val="en-US"/>
        </w:rPr>
        <w:t xml:space="preserve"> Moreover, it </w:t>
      </w:r>
      <w:r w:rsidRPr="005C11CE">
        <w:rPr>
          <w:lang w:val="en-US"/>
        </w:rPr>
        <w:t>helps highlight moderate to strong lexical relationships while avoiding excessive noise that would result from setting the threshold too low (e.g., 0.01), which would produce a dense and potentially uninterpretable graph</w:t>
      </w:r>
      <w:r w:rsidR="0090056E">
        <w:rPr>
          <w:lang w:val="en-US"/>
        </w:rPr>
        <w:t xml:space="preserve">; on the other side, </w:t>
      </w:r>
      <w:r w:rsidRPr="005C11CE">
        <w:rPr>
          <w:lang w:val="en-US"/>
        </w:rPr>
        <w:t xml:space="preserve">this threshold is not so high as to </w:t>
      </w:r>
      <w:r w:rsidRPr="005C11CE">
        <w:rPr>
          <w:lang w:val="en-US"/>
        </w:rPr>
        <w:lastRenderedPageBreak/>
        <w:t>exclude all connections</w:t>
      </w:r>
      <w:r w:rsidR="0090056E">
        <w:rPr>
          <w:lang w:val="en-US"/>
        </w:rPr>
        <w:t xml:space="preserve">, since </w:t>
      </w:r>
      <w:r w:rsidRPr="005C11CE">
        <w:rPr>
          <w:lang w:val="en-US"/>
        </w:rPr>
        <w:t>there is still room to capture meaningful thematic bridges between topics without requiring near-identical word sets.</w:t>
      </w:r>
    </w:p>
    <w:p w14:paraId="46D3DFD1" w14:textId="43578172" w:rsidR="005C11CE" w:rsidRDefault="005C11CE" w:rsidP="0090056E">
      <w:pPr>
        <w:spacing w:after="0"/>
        <w:ind w:firstLine="284"/>
        <w:jc w:val="both"/>
        <w:rPr>
          <w:lang w:val="en-US"/>
        </w:rPr>
      </w:pPr>
      <w:r w:rsidRPr="005C11CE">
        <w:rPr>
          <w:lang w:val="en-US"/>
        </w:rPr>
        <w:t>This facilitates a clearer visualization of the semantic structure and grouping tendencies within the topic model</w:t>
      </w:r>
      <w:r w:rsidR="0090056E">
        <w:rPr>
          <w:lang w:val="en-US"/>
        </w:rPr>
        <w:t xml:space="preserve">, retaining </w:t>
      </w:r>
      <w:r w:rsidR="0090056E" w:rsidRPr="005C11CE">
        <w:rPr>
          <w:lang w:val="en-US"/>
        </w:rPr>
        <w:t>topic pairs with a meaningful degree of lexical similarity while avoiding spurious links due to minimal word overlap</w:t>
      </w:r>
      <w:r w:rsidR="0090056E">
        <w:rPr>
          <w:lang w:val="en-US"/>
        </w:rPr>
        <w:t xml:space="preserve">. </w:t>
      </w:r>
      <w:r w:rsidR="007637BF">
        <w:rPr>
          <w:lang w:val="en-US"/>
        </w:rPr>
        <w:t>The r</w:t>
      </w:r>
      <w:r w:rsidR="0090056E">
        <w:rPr>
          <w:lang w:val="en-US"/>
        </w:rPr>
        <w:t>esulting graph is reported in Figure A.5.</w:t>
      </w:r>
    </w:p>
    <w:p w14:paraId="3F34B92D" w14:textId="77777777" w:rsidR="0090056E" w:rsidRDefault="0090056E" w:rsidP="0090056E">
      <w:pPr>
        <w:spacing w:after="0"/>
        <w:ind w:firstLine="284"/>
        <w:jc w:val="both"/>
        <w:rPr>
          <w:lang w:val="en-US"/>
        </w:rPr>
      </w:pPr>
    </w:p>
    <w:p w14:paraId="6CDF2611" w14:textId="6E3D6460" w:rsidR="0090056E" w:rsidRDefault="0090056E" w:rsidP="0090056E">
      <w:pPr>
        <w:spacing w:after="0"/>
        <w:ind w:firstLine="284"/>
        <w:jc w:val="center"/>
        <w:rPr>
          <w:lang w:val="en-US"/>
        </w:rPr>
      </w:pPr>
      <w:r>
        <w:rPr>
          <w:noProof/>
        </w:rPr>
        <w:drawing>
          <wp:inline distT="0" distB="0" distL="0" distR="0" wp14:anchorId="4440A7F1" wp14:editId="7B78BE13">
            <wp:extent cx="2905724" cy="2356122"/>
            <wp:effectExtent l="0" t="0" r="9525" b="6350"/>
            <wp:docPr id="1487730728" name="Immagine 1" descr="Immagine che contiene testo, schermata, diagramma, cerch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30728" name="Immagine 1" descr="Immagine che contiene testo, schermata, diagramma, cerchio&#10;&#10;Il contenuto generato dall'IA potrebbe non essere corretto."/>
                    <pic:cNvPicPr/>
                  </pic:nvPicPr>
                  <pic:blipFill rotWithShape="1">
                    <a:blip r:embed="rId12"/>
                    <a:srcRect l="9351" t="13074" r="955" b="14197"/>
                    <a:stretch>
                      <a:fillRect/>
                    </a:stretch>
                  </pic:blipFill>
                  <pic:spPr bwMode="auto">
                    <a:xfrm>
                      <a:off x="0" y="0"/>
                      <a:ext cx="2906075" cy="2356407"/>
                    </a:xfrm>
                    <a:prstGeom prst="rect">
                      <a:avLst/>
                    </a:prstGeom>
                    <a:ln>
                      <a:noFill/>
                    </a:ln>
                    <a:extLst>
                      <a:ext uri="{53640926-AAD7-44D8-BBD7-CCE9431645EC}">
                        <a14:shadowObscured xmlns:a14="http://schemas.microsoft.com/office/drawing/2010/main"/>
                      </a:ext>
                    </a:extLst>
                  </pic:spPr>
                </pic:pic>
              </a:graphicData>
            </a:graphic>
          </wp:inline>
        </w:drawing>
      </w:r>
    </w:p>
    <w:p w14:paraId="0B603740" w14:textId="4D269B37" w:rsidR="0090056E" w:rsidRPr="00A122D0" w:rsidRDefault="0090056E" w:rsidP="0090056E">
      <w:pPr>
        <w:spacing w:after="0"/>
        <w:jc w:val="center"/>
        <w:rPr>
          <w:b/>
          <w:bCs/>
          <w:lang w:val="en-US"/>
        </w:rPr>
      </w:pPr>
      <w:r>
        <w:rPr>
          <w:b/>
          <w:bCs/>
          <w:lang w:val="en-US"/>
        </w:rPr>
        <w:t xml:space="preserve">Figure </w:t>
      </w:r>
      <w:r w:rsidRPr="00A122D0">
        <w:rPr>
          <w:b/>
          <w:bCs/>
          <w:lang w:val="en-US"/>
        </w:rPr>
        <w:t>A.</w:t>
      </w:r>
      <w:r>
        <w:rPr>
          <w:b/>
          <w:bCs/>
          <w:lang w:val="en-US"/>
        </w:rPr>
        <w:t>5</w:t>
      </w:r>
      <w:r w:rsidRPr="00A122D0">
        <w:rPr>
          <w:b/>
          <w:bCs/>
          <w:lang w:val="en-US"/>
        </w:rPr>
        <w:t xml:space="preserve">: </w:t>
      </w:r>
      <w:r>
        <w:rPr>
          <w:b/>
          <w:bCs/>
          <w:lang w:val="en-US"/>
        </w:rPr>
        <w:t>Topic Connection Graph (Jaccard distance &gt;.1).</w:t>
      </w:r>
    </w:p>
    <w:p w14:paraId="5277A11F" w14:textId="77777777" w:rsidR="005C11CE" w:rsidRDefault="005C11CE" w:rsidP="000E2C04">
      <w:pPr>
        <w:spacing w:after="0"/>
        <w:jc w:val="both"/>
        <w:rPr>
          <w:lang w:val="en-US"/>
        </w:rPr>
      </w:pPr>
    </w:p>
    <w:p w14:paraId="3A7A9E55" w14:textId="77777777" w:rsidR="005C11CE" w:rsidRDefault="005C11CE" w:rsidP="000E2C04">
      <w:pPr>
        <w:spacing w:after="0"/>
        <w:jc w:val="both"/>
        <w:rPr>
          <w:lang w:val="en-US"/>
        </w:rPr>
      </w:pPr>
    </w:p>
    <w:p w14:paraId="1DF79A0E" w14:textId="0B39777C" w:rsidR="009A6811" w:rsidRPr="00884624" w:rsidRDefault="009A6811" w:rsidP="009A6811">
      <w:pPr>
        <w:spacing w:after="0"/>
        <w:jc w:val="both"/>
        <w:rPr>
          <w:i/>
          <w:iCs/>
          <w:lang w:val="en-US"/>
        </w:rPr>
      </w:pPr>
      <w:r>
        <w:rPr>
          <w:lang w:val="en-US"/>
        </w:rPr>
        <w:t xml:space="preserve">A.4.3. </w:t>
      </w:r>
      <w:r>
        <w:rPr>
          <w:i/>
          <w:iCs/>
          <w:lang w:val="en-US"/>
        </w:rPr>
        <w:t>Entropy</w:t>
      </w:r>
      <w:r w:rsidR="00B803E5">
        <w:rPr>
          <w:i/>
          <w:iCs/>
          <w:lang w:val="en-US"/>
        </w:rPr>
        <w:t xml:space="preserve"> and specificity</w:t>
      </w:r>
    </w:p>
    <w:p w14:paraId="01CAD200" w14:textId="78EAF1BA" w:rsidR="009A6811" w:rsidRDefault="004529E3" w:rsidP="00B803E5">
      <w:pPr>
        <w:spacing w:after="0"/>
        <w:jc w:val="both"/>
        <w:rPr>
          <w:lang w:val="en-US"/>
        </w:rPr>
      </w:pPr>
      <w:r w:rsidRPr="004529E3">
        <w:rPr>
          <w:lang w:val="en-US"/>
        </w:rPr>
        <w:t>Entropy and specificity are two key metrics used to analyze the distribution and distinctiveness of words across topics in topic modeling</w:t>
      </w:r>
      <w:r w:rsidR="009A6811">
        <w:rPr>
          <w:lang w:val="en-US"/>
        </w:rPr>
        <w:t xml:space="preserve"> (Blei, Ng and Jordan, 2003; Kim, Lee and McCulloch, 2024; Lee and Kang, 2018). </w:t>
      </w:r>
      <w:r w:rsidR="009A6811" w:rsidRPr="004529E3">
        <w:rPr>
          <w:lang w:val="en-US"/>
        </w:rPr>
        <w:t>These metrics help in interpreting topics and identifying words that are representative or ambiguous within the model.</w:t>
      </w:r>
    </w:p>
    <w:p w14:paraId="67E8CB61" w14:textId="3F941FAA" w:rsidR="004529E3" w:rsidRDefault="009A6811" w:rsidP="00B803E5">
      <w:pPr>
        <w:spacing w:after="0"/>
        <w:ind w:firstLine="284"/>
        <w:jc w:val="both"/>
        <w:rPr>
          <w:lang w:val="en-US"/>
        </w:rPr>
      </w:pPr>
      <w:r>
        <w:rPr>
          <w:lang w:val="en-US"/>
        </w:rPr>
        <w:t>Specifically, e</w:t>
      </w:r>
      <w:r w:rsidR="004529E3" w:rsidRPr="004529E3">
        <w:rPr>
          <w:lang w:val="en-US"/>
        </w:rPr>
        <w:t>ntropy measures uncertainty or randomness in the assignment of a word across multiple topics. A high entropy value indicates that a word is more evenly distributed among topics, implying it is less informative for distinguishing a specific topic. Conversely, low entropy suggests that the word is strongly associated with fewer topics.</w:t>
      </w:r>
      <w:r>
        <w:rPr>
          <w:lang w:val="en-US"/>
        </w:rPr>
        <w:t xml:space="preserve"> </w:t>
      </w:r>
      <w:r w:rsidR="004529E3" w:rsidRPr="004529E3">
        <w:rPr>
          <w:lang w:val="en-US"/>
        </w:rPr>
        <w:t xml:space="preserve">Specificity, often derived from entropy, quantifies how uniquely a word belongs to a particular topic; higher specificity means the word is more exclusive to that topic, serving as a strong topical marker. </w:t>
      </w:r>
    </w:p>
    <w:p w14:paraId="693E996A" w14:textId="6A5F63AF" w:rsidR="00B803E5" w:rsidRDefault="00B803E5" w:rsidP="00B803E5">
      <w:pPr>
        <w:spacing w:after="0"/>
        <w:ind w:firstLine="284"/>
        <w:jc w:val="both"/>
        <w:rPr>
          <w:lang w:val="en-US"/>
        </w:rPr>
      </w:pPr>
      <w:r w:rsidRPr="00B803E5">
        <w:rPr>
          <w:lang w:val="en-US"/>
        </w:rPr>
        <w:t xml:space="preserve">In our case, </w:t>
      </w:r>
      <w:r>
        <w:rPr>
          <w:lang w:val="en-US"/>
        </w:rPr>
        <w:t>we calculated an</w:t>
      </w:r>
      <w:r w:rsidRPr="00B803E5">
        <w:rPr>
          <w:lang w:val="en-US"/>
        </w:rPr>
        <w:t xml:space="preserve"> entropy value of .1065 is very low, suggesting that the top words for each topic are highly concentrated and do not appear frequently across multiple topics. This indicates high lexical distinctiveness, meaning each topic is characterized by a relatively unique vocabulary.</w:t>
      </w:r>
      <w:r>
        <w:rPr>
          <w:lang w:val="en-US"/>
        </w:rPr>
        <w:t xml:space="preserve"> Moreover, a specificity score, resulted as </w:t>
      </w:r>
      <w:r w:rsidRPr="00B803E5">
        <w:rPr>
          <w:lang w:val="en-US"/>
        </w:rPr>
        <w:t>.9679</w:t>
      </w:r>
      <w:r>
        <w:rPr>
          <w:lang w:val="en-US"/>
        </w:rPr>
        <w:t>,</w:t>
      </w:r>
      <w:r w:rsidRPr="00B803E5">
        <w:rPr>
          <w:lang w:val="en-US"/>
        </w:rPr>
        <w:t xml:space="preserve"> suggests that the top keywords are very well differentiated and strongly associated with their respective topics. This supports the idea that the model yields well-defined and non-overlapping thematic groupings.</w:t>
      </w:r>
      <w:r>
        <w:rPr>
          <w:lang w:val="en-US"/>
        </w:rPr>
        <w:t xml:space="preserve"> </w:t>
      </w:r>
      <w:r w:rsidRPr="00B803E5">
        <w:rPr>
          <w:lang w:val="en-US"/>
        </w:rPr>
        <w:t xml:space="preserve">In combination, these values indicate that </w:t>
      </w:r>
      <w:r>
        <w:rPr>
          <w:lang w:val="en-US"/>
        </w:rPr>
        <w:t>our</w:t>
      </w:r>
      <w:r w:rsidRPr="00B803E5">
        <w:rPr>
          <w:lang w:val="en-US"/>
        </w:rPr>
        <w:t xml:space="preserve"> 10-topic model</w:t>
      </w:r>
      <w:r>
        <w:rPr>
          <w:lang w:val="en-US"/>
        </w:rPr>
        <w:t xml:space="preserve"> provides</w:t>
      </w:r>
      <w:r w:rsidRPr="00B803E5">
        <w:rPr>
          <w:lang w:val="en-US"/>
        </w:rPr>
        <w:t xml:space="preserve"> clear and distinct topics, with little lexical overlap</w:t>
      </w:r>
      <w:r>
        <w:rPr>
          <w:lang w:val="en-US"/>
        </w:rPr>
        <w:t xml:space="preserve"> and allows </w:t>
      </w:r>
      <w:r w:rsidRPr="00B803E5">
        <w:rPr>
          <w:lang w:val="en-US"/>
        </w:rPr>
        <w:t>highly interpretab</w:t>
      </w:r>
      <w:r>
        <w:rPr>
          <w:lang w:val="en-US"/>
        </w:rPr>
        <w:t>ility</w:t>
      </w:r>
      <w:r w:rsidRPr="00B803E5">
        <w:rPr>
          <w:lang w:val="en-US"/>
        </w:rPr>
        <w:t>, assuming the semantic coherence of the topics is also high.</w:t>
      </w:r>
      <w:r>
        <w:rPr>
          <w:lang w:val="en-US"/>
        </w:rPr>
        <w:t xml:space="preserve"> Figure A.</w:t>
      </w:r>
      <w:r w:rsidR="00595D18">
        <w:rPr>
          <w:lang w:val="en-US"/>
        </w:rPr>
        <w:t>5</w:t>
      </w:r>
      <w:r>
        <w:rPr>
          <w:lang w:val="en-US"/>
        </w:rPr>
        <w:t>. displays the configuration of entropy and specificity scores.</w:t>
      </w:r>
    </w:p>
    <w:p w14:paraId="79F8CF3A" w14:textId="77777777" w:rsidR="00B803E5" w:rsidRDefault="00B803E5" w:rsidP="00B803E5">
      <w:pPr>
        <w:spacing w:after="0"/>
        <w:ind w:firstLine="284"/>
        <w:jc w:val="both"/>
        <w:rPr>
          <w:lang w:val="en-US"/>
        </w:rPr>
      </w:pPr>
    </w:p>
    <w:p w14:paraId="0DC5C1B3" w14:textId="2A0A1074" w:rsidR="00B803E5" w:rsidRPr="00B803E5" w:rsidRDefault="00B803E5" w:rsidP="00B803E5">
      <w:pPr>
        <w:spacing w:after="0"/>
        <w:ind w:firstLine="284"/>
        <w:jc w:val="center"/>
        <w:rPr>
          <w:lang w:val="en-US"/>
        </w:rPr>
      </w:pPr>
      <w:r>
        <w:rPr>
          <w:noProof/>
        </w:rPr>
        <w:lastRenderedPageBreak/>
        <w:drawing>
          <wp:inline distT="0" distB="0" distL="0" distR="0" wp14:anchorId="5F26035C" wp14:editId="7BAABCB3">
            <wp:extent cx="3240000" cy="3240000"/>
            <wp:effectExtent l="0" t="0" r="0" b="0"/>
            <wp:docPr id="207242321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423215" name=""/>
                    <pic:cNvPicPr/>
                  </pic:nvPicPr>
                  <pic:blipFill>
                    <a:blip r:embed="rId13"/>
                    <a:stretch>
                      <a:fillRect/>
                    </a:stretch>
                  </pic:blipFill>
                  <pic:spPr>
                    <a:xfrm>
                      <a:off x="0" y="0"/>
                      <a:ext cx="3240000" cy="3240000"/>
                    </a:xfrm>
                    <a:prstGeom prst="rect">
                      <a:avLst/>
                    </a:prstGeom>
                  </pic:spPr>
                </pic:pic>
              </a:graphicData>
            </a:graphic>
          </wp:inline>
        </w:drawing>
      </w:r>
    </w:p>
    <w:p w14:paraId="6D5CA1E9" w14:textId="45C21D7B" w:rsidR="009A6811" w:rsidRPr="009A6811" w:rsidRDefault="009A6811" w:rsidP="009A6811">
      <w:pPr>
        <w:spacing w:after="0"/>
        <w:jc w:val="both"/>
        <w:rPr>
          <w:lang w:val="en-US"/>
        </w:rPr>
      </w:pPr>
    </w:p>
    <w:p w14:paraId="59DF089C" w14:textId="27D5C970" w:rsidR="00B803E5" w:rsidRPr="00A122D0" w:rsidRDefault="00B803E5" w:rsidP="00B803E5">
      <w:pPr>
        <w:spacing w:after="0"/>
        <w:jc w:val="center"/>
        <w:rPr>
          <w:b/>
          <w:bCs/>
          <w:lang w:val="en-US"/>
        </w:rPr>
      </w:pPr>
      <w:r>
        <w:rPr>
          <w:b/>
          <w:bCs/>
          <w:lang w:val="en-US"/>
        </w:rPr>
        <w:t xml:space="preserve">Figure </w:t>
      </w:r>
      <w:r w:rsidRPr="00A122D0">
        <w:rPr>
          <w:b/>
          <w:bCs/>
          <w:lang w:val="en-US"/>
        </w:rPr>
        <w:t>A.</w:t>
      </w:r>
      <w:r w:rsidR="00595D18">
        <w:rPr>
          <w:b/>
          <w:bCs/>
          <w:lang w:val="en-US"/>
        </w:rPr>
        <w:t>5</w:t>
      </w:r>
      <w:r w:rsidRPr="00A122D0">
        <w:rPr>
          <w:b/>
          <w:bCs/>
          <w:lang w:val="en-US"/>
        </w:rPr>
        <w:t xml:space="preserve">: </w:t>
      </w:r>
      <w:r>
        <w:rPr>
          <w:b/>
          <w:bCs/>
          <w:lang w:val="en-US"/>
        </w:rPr>
        <w:t>Entropy and specificity scores.</w:t>
      </w:r>
    </w:p>
    <w:p w14:paraId="5C5A3012" w14:textId="77777777" w:rsidR="00B803E5" w:rsidRPr="004529E3" w:rsidRDefault="00B803E5" w:rsidP="00B803E5">
      <w:pPr>
        <w:spacing w:after="0"/>
        <w:jc w:val="both"/>
        <w:rPr>
          <w:lang w:val="en-US"/>
        </w:rPr>
      </w:pPr>
    </w:p>
    <w:p w14:paraId="219B4135" w14:textId="77777777" w:rsidR="004529E3" w:rsidRPr="00B803E5" w:rsidRDefault="004529E3" w:rsidP="000E2C04">
      <w:pPr>
        <w:spacing w:after="0"/>
        <w:jc w:val="both"/>
        <w:rPr>
          <w:lang w:val="en-US"/>
        </w:rPr>
      </w:pPr>
    </w:p>
    <w:p w14:paraId="469EF69B" w14:textId="1EA167AE" w:rsidR="00743126" w:rsidRPr="00C7590D" w:rsidRDefault="00743126" w:rsidP="00743126">
      <w:pPr>
        <w:spacing w:after="0"/>
        <w:rPr>
          <w:b/>
          <w:bCs/>
          <w:lang w:val="en-US"/>
        </w:rPr>
      </w:pPr>
      <w:r w:rsidRPr="00C7590D">
        <w:rPr>
          <w:b/>
          <w:bCs/>
          <w:lang w:val="en-US"/>
        </w:rPr>
        <w:t>A.5. Temporal dynamics</w:t>
      </w:r>
    </w:p>
    <w:p w14:paraId="05FEE10E" w14:textId="61F3244C" w:rsidR="00BC3740" w:rsidRPr="00C7590D" w:rsidRDefault="00215B21" w:rsidP="00743126">
      <w:pPr>
        <w:autoSpaceDE w:val="0"/>
        <w:autoSpaceDN w:val="0"/>
        <w:adjustRightInd w:val="0"/>
        <w:spacing w:after="0"/>
        <w:jc w:val="both"/>
        <w:rPr>
          <w:kern w:val="0"/>
          <w:lang w:val="en-US"/>
        </w:rPr>
      </w:pPr>
      <w:r w:rsidRPr="00215B21">
        <w:rPr>
          <w:rFonts w:cs="Times New Roman"/>
          <w:kern w:val="0"/>
          <w:lang w:val="en-US"/>
        </w:rPr>
        <w:t>Although a detailed analysis of the temporal dynamics of the ten topics falls outside the scope of this paper, we provide a descriptive overview of two key quantitative indicators associated with each topic. Specifically, our dataset includes both the year of publication and the number of citations for each of the 1,175 abstracts analyzed.</w:t>
      </w:r>
      <w:r>
        <w:rPr>
          <w:rFonts w:cs="Times New Roman"/>
          <w:kern w:val="0"/>
          <w:lang w:val="en-US"/>
        </w:rPr>
        <w:t xml:space="preserve"> </w:t>
      </w:r>
      <w:r w:rsidRPr="00215B21">
        <w:rPr>
          <w:rFonts w:cs="Times New Roman"/>
          <w:kern w:val="0"/>
          <w:lang w:val="en-US"/>
        </w:rPr>
        <w:t>As previously noted, the 10-topic solution yields a 10 (topics) × 1,175 (abstracts) document-topic probability matrix (</w:t>
      </w:r>
      <w:r w:rsidR="00BC3740" w:rsidRPr="00BC3740">
        <w:rPr>
          <w:rFonts w:cs="Times New Roman"/>
          <w:kern w:val="0"/>
          <w:lang w:val="en-US"/>
        </w:rPr>
        <w:t>th</w:t>
      </w:r>
      <w:r w:rsidR="00BC3740">
        <w:rPr>
          <w:rFonts w:cs="Times New Roman"/>
          <w:kern w:val="0"/>
          <w:lang w:val="en-US"/>
        </w:rPr>
        <w:t>eta</w:t>
      </w:r>
      <w:r w:rsidRPr="00215B21">
        <w:rPr>
          <w:rFonts w:cs="Times New Roman"/>
          <w:kern w:val="0"/>
          <w:lang w:val="en-US"/>
        </w:rPr>
        <w:t xml:space="preserve">), which enables the assignment of each abstract to a single topic based on the highest probability score. This classification formed the basis for the two graphical representations presented in Figure </w:t>
      </w:r>
      <w:r w:rsidRPr="00C7590D">
        <w:rPr>
          <w:rFonts w:cs="Times New Roman"/>
          <w:kern w:val="0"/>
          <w:lang w:val="en-US"/>
        </w:rPr>
        <w:t>A.</w:t>
      </w:r>
      <w:r w:rsidR="00AA7007">
        <w:rPr>
          <w:rFonts w:cs="Times New Roman"/>
          <w:kern w:val="0"/>
          <w:lang w:val="en-US"/>
        </w:rPr>
        <w:t>6</w:t>
      </w:r>
      <w:r w:rsidRPr="00C7590D">
        <w:rPr>
          <w:rFonts w:cs="Times New Roman"/>
          <w:kern w:val="0"/>
          <w:lang w:val="en-US"/>
        </w:rPr>
        <w:t>.</w:t>
      </w:r>
      <w:r w:rsidR="00BC3740" w:rsidRPr="00C7590D">
        <w:rPr>
          <w:rFonts w:cs="Times New Roman"/>
          <w:kern w:val="0"/>
          <w:lang w:val="en-US"/>
        </w:rPr>
        <w:t xml:space="preserve"> </w:t>
      </w:r>
      <w:r w:rsidR="00BC3740" w:rsidRPr="00C7590D">
        <w:rPr>
          <w:kern w:val="0"/>
          <w:lang w:val="en-US"/>
        </w:rPr>
        <w:t>More specifically:</w:t>
      </w:r>
    </w:p>
    <w:p w14:paraId="1E0C7C3A" w14:textId="55D967E2" w:rsidR="00BC3740" w:rsidRPr="00BC3740" w:rsidRDefault="00BC3740" w:rsidP="00BC3740">
      <w:pPr>
        <w:numPr>
          <w:ilvl w:val="0"/>
          <w:numId w:val="6"/>
        </w:numPr>
        <w:autoSpaceDE w:val="0"/>
        <w:autoSpaceDN w:val="0"/>
        <w:adjustRightInd w:val="0"/>
        <w:spacing w:after="0"/>
        <w:jc w:val="both"/>
        <w:rPr>
          <w:rFonts w:cs="Times New Roman"/>
          <w:kern w:val="0"/>
          <w:lang w:val="en-US"/>
        </w:rPr>
      </w:pPr>
      <w:r w:rsidRPr="00BC3740">
        <w:rPr>
          <w:rFonts w:cs="Times New Roman"/>
          <w:kern w:val="0"/>
          <w:lang w:val="en-US"/>
        </w:rPr>
        <w:t>By aggregating the number of papers published per year within each topic, we generated a graphical representation of publication trends over time, as shown in the time series plot in Figure A.</w:t>
      </w:r>
      <w:r w:rsidR="00AA7007">
        <w:rPr>
          <w:rFonts w:cs="Times New Roman"/>
          <w:kern w:val="0"/>
          <w:lang w:val="en-US"/>
        </w:rPr>
        <w:t>6</w:t>
      </w:r>
      <w:r w:rsidRPr="00BC3740">
        <w:rPr>
          <w:rFonts w:cs="Times New Roman"/>
          <w:kern w:val="0"/>
          <w:lang w:val="en-US"/>
        </w:rPr>
        <w:t>.a;</w:t>
      </w:r>
    </w:p>
    <w:p w14:paraId="60068201" w14:textId="2BFC2A21" w:rsidR="00BC3740" w:rsidRPr="00BC3740" w:rsidRDefault="00BC3740" w:rsidP="00BC3740">
      <w:pPr>
        <w:numPr>
          <w:ilvl w:val="0"/>
          <w:numId w:val="6"/>
        </w:numPr>
        <w:autoSpaceDE w:val="0"/>
        <w:autoSpaceDN w:val="0"/>
        <w:adjustRightInd w:val="0"/>
        <w:spacing w:after="0"/>
        <w:jc w:val="both"/>
        <w:rPr>
          <w:rFonts w:cs="Times New Roman"/>
          <w:kern w:val="0"/>
          <w:lang w:val="en-US"/>
        </w:rPr>
      </w:pPr>
      <w:r w:rsidRPr="00BC3740">
        <w:rPr>
          <w:rFonts w:cs="Times New Roman"/>
          <w:kern w:val="0"/>
          <w:lang w:val="en-US"/>
        </w:rPr>
        <w:t>By summing the number of citations received by papers associated with each topic, we produced a graphical representation of citation dynamics, as displayed in Figure A.</w:t>
      </w:r>
      <w:r w:rsidR="00AA7007">
        <w:rPr>
          <w:rFonts w:cs="Times New Roman"/>
          <w:kern w:val="0"/>
          <w:lang w:val="en-US"/>
        </w:rPr>
        <w:t>6</w:t>
      </w:r>
      <w:r w:rsidRPr="00BC3740">
        <w:rPr>
          <w:rFonts w:cs="Times New Roman"/>
          <w:kern w:val="0"/>
          <w:lang w:val="en-US"/>
        </w:rPr>
        <w:t>.b.</w:t>
      </w:r>
    </w:p>
    <w:p w14:paraId="23A1827D" w14:textId="1CC849B7" w:rsidR="00215B21" w:rsidRPr="00215B21" w:rsidRDefault="00215B21" w:rsidP="00215B21">
      <w:pPr>
        <w:autoSpaceDE w:val="0"/>
        <w:autoSpaceDN w:val="0"/>
        <w:adjustRightInd w:val="0"/>
        <w:spacing w:after="0"/>
        <w:jc w:val="both"/>
        <w:rPr>
          <w:rFonts w:cs="Times New Roman"/>
          <w:kern w:val="0"/>
          <w:lang w:val="en-US"/>
        </w:rPr>
      </w:pPr>
    </w:p>
    <w:tbl>
      <w:tblPr>
        <w:tblStyle w:val="Grigliatabella"/>
        <w:tblW w:w="0" w:type="auto"/>
        <w:tblLook w:val="04A0" w:firstRow="1" w:lastRow="0" w:firstColumn="1" w:lastColumn="0" w:noHBand="0" w:noVBand="1"/>
      </w:tblPr>
      <w:tblGrid>
        <w:gridCol w:w="4814"/>
        <w:gridCol w:w="4814"/>
      </w:tblGrid>
      <w:tr w:rsidR="00557C60" w14:paraId="36F231D0" w14:textId="77777777" w:rsidTr="00557C60">
        <w:tc>
          <w:tcPr>
            <w:tcW w:w="4814" w:type="dxa"/>
            <w:tcBorders>
              <w:bottom w:val="nil"/>
            </w:tcBorders>
            <w:vAlign w:val="center"/>
          </w:tcPr>
          <w:p w14:paraId="62B69797" w14:textId="2F0DD5EF" w:rsidR="00557C60" w:rsidRDefault="00557C60" w:rsidP="00557C60">
            <w:pPr>
              <w:autoSpaceDE w:val="0"/>
              <w:autoSpaceDN w:val="0"/>
              <w:adjustRightInd w:val="0"/>
              <w:jc w:val="center"/>
              <w:rPr>
                <w:rFonts w:cs="Times New Roman"/>
                <w:kern w:val="0"/>
                <w:lang w:val="en-US"/>
              </w:rPr>
            </w:pPr>
            <w:r>
              <w:rPr>
                <w:noProof/>
              </w:rPr>
              <w:drawing>
                <wp:inline distT="0" distB="0" distL="0" distR="0" wp14:anchorId="40D509B7" wp14:editId="0E6EA7AD">
                  <wp:extent cx="2795311" cy="1440000"/>
                  <wp:effectExtent l="0" t="0" r="5080" b="825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795311" cy="1440000"/>
                          </a:xfrm>
                          <a:prstGeom prst="rect">
                            <a:avLst/>
                          </a:prstGeom>
                        </pic:spPr>
                      </pic:pic>
                    </a:graphicData>
                  </a:graphic>
                </wp:inline>
              </w:drawing>
            </w:r>
          </w:p>
        </w:tc>
        <w:tc>
          <w:tcPr>
            <w:tcW w:w="4814" w:type="dxa"/>
            <w:tcBorders>
              <w:bottom w:val="nil"/>
            </w:tcBorders>
            <w:vAlign w:val="center"/>
          </w:tcPr>
          <w:p w14:paraId="11E27013" w14:textId="5087C78B" w:rsidR="00557C60" w:rsidRDefault="00557C60" w:rsidP="00557C60">
            <w:pPr>
              <w:autoSpaceDE w:val="0"/>
              <w:autoSpaceDN w:val="0"/>
              <w:adjustRightInd w:val="0"/>
              <w:jc w:val="center"/>
              <w:rPr>
                <w:rFonts w:cs="Times New Roman"/>
                <w:kern w:val="0"/>
                <w:lang w:val="en-US"/>
              </w:rPr>
            </w:pPr>
            <w:r>
              <w:rPr>
                <w:noProof/>
              </w:rPr>
              <w:drawing>
                <wp:inline distT="0" distB="0" distL="0" distR="0" wp14:anchorId="03FF00AF" wp14:editId="4A8D3253">
                  <wp:extent cx="2795311" cy="1440000"/>
                  <wp:effectExtent l="0" t="0" r="5080" b="825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795311" cy="1440000"/>
                          </a:xfrm>
                          <a:prstGeom prst="rect">
                            <a:avLst/>
                          </a:prstGeom>
                        </pic:spPr>
                      </pic:pic>
                    </a:graphicData>
                  </a:graphic>
                </wp:inline>
              </w:drawing>
            </w:r>
          </w:p>
        </w:tc>
      </w:tr>
      <w:tr w:rsidR="00557C60" w:rsidRPr="00B44580" w14:paraId="26FF04E8" w14:textId="77777777" w:rsidTr="00557C60">
        <w:tc>
          <w:tcPr>
            <w:tcW w:w="4814" w:type="dxa"/>
            <w:tcBorders>
              <w:top w:val="nil"/>
            </w:tcBorders>
            <w:vAlign w:val="center"/>
          </w:tcPr>
          <w:p w14:paraId="046DD926" w14:textId="1D4600E4" w:rsidR="00557C60" w:rsidRPr="00557C60" w:rsidRDefault="00557C60" w:rsidP="00557C60">
            <w:pPr>
              <w:jc w:val="center"/>
              <w:rPr>
                <w:rFonts w:cs="Times New Roman"/>
                <w:kern w:val="0"/>
                <w:sz w:val="18"/>
                <w:szCs w:val="18"/>
                <w:lang w:val="en-US"/>
              </w:rPr>
            </w:pPr>
            <w:r w:rsidRPr="00557C60">
              <w:rPr>
                <w:b/>
                <w:bCs/>
                <w:sz w:val="18"/>
                <w:szCs w:val="18"/>
                <w:lang w:val="en-US"/>
              </w:rPr>
              <w:t>Figure A.</w:t>
            </w:r>
            <w:r w:rsidR="00AA7007">
              <w:rPr>
                <w:b/>
                <w:bCs/>
                <w:sz w:val="18"/>
                <w:szCs w:val="18"/>
                <w:lang w:val="en-US"/>
              </w:rPr>
              <w:t>6</w:t>
            </w:r>
            <w:r w:rsidRPr="00557C60">
              <w:rPr>
                <w:b/>
                <w:bCs/>
                <w:sz w:val="18"/>
                <w:szCs w:val="18"/>
                <w:lang w:val="en-US"/>
              </w:rPr>
              <w:t>.</w:t>
            </w:r>
            <w:r>
              <w:rPr>
                <w:b/>
                <w:bCs/>
                <w:sz w:val="18"/>
                <w:szCs w:val="18"/>
                <w:lang w:val="en-US"/>
              </w:rPr>
              <w:t>a</w:t>
            </w:r>
            <w:r w:rsidRPr="00557C60">
              <w:rPr>
                <w:b/>
                <w:bCs/>
                <w:sz w:val="18"/>
                <w:szCs w:val="18"/>
                <w:lang w:val="en-US"/>
              </w:rPr>
              <w:t>: The time-series of published papers per topic</w:t>
            </w:r>
          </w:p>
        </w:tc>
        <w:tc>
          <w:tcPr>
            <w:tcW w:w="4814" w:type="dxa"/>
            <w:tcBorders>
              <w:top w:val="nil"/>
            </w:tcBorders>
            <w:vAlign w:val="center"/>
          </w:tcPr>
          <w:p w14:paraId="05303F74" w14:textId="1B9E75C6" w:rsidR="00557C60" w:rsidRPr="00557C60" w:rsidRDefault="00557C60" w:rsidP="00557C60">
            <w:pPr>
              <w:autoSpaceDE w:val="0"/>
              <w:autoSpaceDN w:val="0"/>
              <w:adjustRightInd w:val="0"/>
              <w:jc w:val="center"/>
              <w:rPr>
                <w:rFonts w:cs="Times New Roman"/>
                <w:kern w:val="0"/>
                <w:sz w:val="18"/>
                <w:szCs w:val="18"/>
                <w:lang w:val="en-US"/>
              </w:rPr>
            </w:pPr>
            <w:r w:rsidRPr="00557C60">
              <w:rPr>
                <w:b/>
                <w:bCs/>
                <w:sz w:val="18"/>
                <w:szCs w:val="18"/>
                <w:lang w:val="en-US"/>
              </w:rPr>
              <w:t>Figure A.</w:t>
            </w:r>
            <w:r w:rsidR="00AA7007">
              <w:rPr>
                <w:b/>
                <w:bCs/>
                <w:sz w:val="18"/>
                <w:szCs w:val="18"/>
                <w:lang w:val="en-US"/>
              </w:rPr>
              <w:t>6</w:t>
            </w:r>
            <w:r>
              <w:rPr>
                <w:b/>
                <w:bCs/>
                <w:sz w:val="18"/>
                <w:szCs w:val="18"/>
                <w:lang w:val="en-US"/>
              </w:rPr>
              <w:t>.b</w:t>
            </w:r>
            <w:r w:rsidRPr="00557C60">
              <w:rPr>
                <w:b/>
                <w:bCs/>
                <w:sz w:val="18"/>
                <w:szCs w:val="18"/>
                <w:lang w:val="en-US"/>
              </w:rPr>
              <w:t>: The time-series of citations per topic</w:t>
            </w:r>
          </w:p>
        </w:tc>
      </w:tr>
    </w:tbl>
    <w:p w14:paraId="45839620" w14:textId="28B33DBB" w:rsidR="00557C60" w:rsidRDefault="00557C60" w:rsidP="001851FC">
      <w:pPr>
        <w:autoSpaceDE w:val="0"/>
        <w:autoSpaceDN w:val="0"/>
        <w:adjustRightInd w:val="0"/>
        <w:spacing w:after="0"/>
        <w:jc w:val="both"/>
        <w:rPr>
          <w:rFonts w:cs="Times New Roman"/>
          <w:kern w:val="0"/>
          <w:lang w:val="en-US"/>
        </w:rPr>
      </w:pPr>
    </w:p>
    <w:p w14:paraId="55182EA7" w14:textId="77777777" w:rsidR="00BC3740" w:rsidRPr="00BC3740" w:rsidRDefault="00BC3740" w:rsidP="00BC3740">
      <w:pPr>
        <w:autoSpaceDE w:val="0"/>
        <w:autoSpaceDN w:val="0"/>
        <w:adjustRightInd w:val="0"/>
        <w:spacing w:after="0"/>
        <w:jc w:val="both"/>
        <w:rPr>
          <w:rFonts w:cs="Times New Roman"/>
          <w:kern w:val="0"/>
          <w:lang w:val="en-US"/>
        </w:rPr>
      </w:pPr>
      <w:r w:rsidRPr="00BC3740">
        <w:rPr>
          <w:rFonts w:cs="Times New Roman"/>
          <w:kern w:val="0"/>
          <w:lang w:val="en-US"/>
        </w:rPr>
        <w:t>It is important to note that citation counts are inherently biased by the publication date of the papers—topics that have emerged more recently may appear less cited simply due to their limited exposure time. Reinterpreting the notions of “hot” and “cold” topics introduced by Antons et al. (2016) and Rashid et al. (2023), we adopted two key quantitative indicators to assess topic relevance: (1) the number of papers associated with each topic and (2) the total number of citations those papers have received to date.</w:t>
      </w:r>
    </w:p>
    <w:p w14:paraId="16002947" w14:textId="1A135B2F" w:rsidR="00BC3740" w:rsidRPr="00BC3740" w:rsidRDefault="00BC3740" w:rsidP="00BC3740">
      <w:pPr>
        <w:autoSpaceDE w:val="0"/>
        <w:autoSpaceDN w:val="0"/>
        <w:adjustRightInd w:val="0"/>
        <w:spacing w:after="0"/>
        <w:ind w:firstLine="284"/>
        <w:jc w:val="both"/>
        <w:rPr>
          <w:rFonts w:cs="Times New Roman"/>
          <w:kern w:val="0"/>
          <w:lang w:val="en-US"/>
        </w:rPr>
      </w:pPr>
      <w:r w:rsidRPr="00BC3740">
        <w:rPr>
          <w:rFonts w:cs="Times New Roman"/>
          <w:kern w:val="0"/>
          <w:lang w:val="en-US"/>
        </w:rPr>
        <w:lastRenderedPageBreak/>
        <w:t>In this framework, the number of papers attributed to each topic (i.e., as derived from the th</w:t>
      </w:r>
      <w:r>
        <w:rPr>
          <w:rFonts w:cs="Times New Roman"/>
          <w:kern w:val="0"/>
          <w:lang w:val="en-US"/>
        </w:rPr>
        <w:t>eta</w:t>
      </w:r>
      <w:r w:rsidRPr="00BC3740">
        <w:rPr>
          <w:rFonts w:cs="Times New Roman"/>
          <w:kern w:val="0"/>
          <w:lang w:val="en-US"/>
        </w:rPr>
        <w:t xml:space="preserve"> matrix) can be interpreted as a measure of the topic’s </w:t>
      </w:r>
      <w:r w:rsidRPr="00BC3740">
        <w:rPr>
          <w:rFonts w:cs="Times New Roman"/>
          <w:i/>
          <w:iCs/>
          <w:kern w:val="0"/>
          <w:lang w:val="en-US"/>
        </w:rPr>
        <w:t>importance</w:t>
      </w:r>
      <w:r w:rsidRPr="00BC3740">
        <w:rPr>
          <w:rFonts w:cs="Times New Roman"/>
          <w:kern w:val="0"/>
          <w:lang w:val="en-US"/>
        </w:rPr>
        <w:t xml:space="preserve"> in the broader discourse on stewardship. Similarly, the cumulative citation count per topic may be seen as a proxy for </w:t>
      </w:r>
      <w:r w:rsidRPr="00BC3740">
        <w:rPr>
          <w:rFonts w:cs="Times New Roman"/>
          <w:i/>
          <w:iCs/>
          <w:kern w:val="0"/>
          <w:lang w:val="en-US"/>
        </w:rPr>
        <w:t>performance</w:t>
      </w:r>
      <w:r w:rsidRPr="00BC3740">
        <w:rPr>
          <w:rFonts w:cs="Times New Roman"/>
          <w:kern w:val="0"/>
          <w:lang w:val="en-US"/>
        </w:rPr>
        <w:t>, capturing the extent to which a topic has stimulated scholarly attention and debate.</w:t>
      </w:r>
      <w:r w:rsidR="00AA7007">
        <w:rPr>
          <w:rFonts w:cs="Times New Roman"/>
          <w:kern w:val="0"/>
          <w:lang w:val="en-US"/>
        </w:rPr>
        <w:t xml:space="preserve"> </w:t>
      </w:r>
      <w:r w:rsidRPr="00BC3740">
        <w:rPr>
          <w:rFonts w:cs="Times New Roman"/>
          <w:kern w:val="0"/>
          <w:lang w:val="en-US"/>
        </w:rPr>
        <w:t xml:space="preserve">By combining these two dimensions, we developed a performance–importance matrix, which is presented in the </w:t>
      </w:r>
      <w:r w:rsidR="00AA7007">
        <w:rPr>
          <w:rFonts w:cs="Times New Roman"/>
          <w:kern w:val="0"/>
          <w:lang w:val="en-US"/>
        </w:rPr>
        <w:t>paper</w:t>
      </w:r>
      <w:r w:rsidRPr="00BC3740">
        <w:rPr>
          <w:rFonts w:cs="Times New Roman"/>
          <w:kern w:val="0"/>
          <w:lang w:val="en-US"/>
        </w:rPr>
        <w:t xml:space="preserve"> as Figure 1</w:t>
      </w:r>
      <w:r w:rsidR="00743126">
        <w:rPr>
          <w:rFonts w:cs="Times New Roman"/>
          <w:kern w:val="0"/>
          <w:lang w:val="en-US"/>
        </w:rPr>
        <w:t>.</w:t>
      </w:r>
    </w:p>
    <w:p w14:paraId="7F540386" w14:textId="77777777" w:rsidR="00BC3740" w:rsidRDefault="00BC3740" w:rsidP="001851FC">
      <w:pPr>
        <w:autoSpaceDE w:val="0"/>
        <w:autoSpaceDN w:val="0"/>
        <w:adjustRightInd w:val="0"/>
        <w:spacing w:after="0"/>
        <w:jc w:val="both"/>
        <w:rPr>
          <w:rFonts w:cs="Times New Roman"/>
          <w:kern w:val="0"/>
          <w:lang w:val="en-US"/>
        </w:rPr>
      </w:pPr>
    </w:p>
    <w:p w14:paraId="54CD8198" w14:textId="1700C0E9" w:rsidR="003108AF" w:rsidRDefault="003108AF" w:rsidP="001851FC">
      <w:pPr>
        <w:autoSpaceDE w:val="0"/>
        <w:autoSpaceDN w:val="0"/>
        <w:adjustRightInd w:val="0"/>
        <w:spacing w:after="0"/>
        <w:jc w:val="both"/>
        <w:rPr>
          <w:rFonts w:cs="Times New Roman"/>
          <w:b/>
          <w:bCs/>
          <w:kern w:val="0"/>
          <w:lang w:val="en-US"/>
        </w:rPr>
      </w:pPr>
      <w:r>
        <w:rPr>
          <w:rFonts w:cs="Times New Roman"/>
          <w:b/>
          <w:bCs/>
          <w:kern w:val="0"/>
          <w:lang w:val="en-US"/>
        </w:rPr>
        <w:t>References</w:t>
      </w:r>
    </w:p>
    <w:p w14:paraId="0DDE630B" w14:textId="77777777" w:rsidR="003108AF" w:rsidRPr="004529E3" w:rsidRDefault="003108AF" w:rsidP="003108AF">
      <w:pPr>
        <w:spacing w:after="0"/>
        <w:ind w:left="284" w:hanging="284"/>
        <w:jc w:val="both"/>
        <w:rPr>
          <w:lang w:val="en-US"/>
        </w:rPr>
      </w:pPr>
      <w:r w:rsidRPr="00E96B61">
        <w:rPr>
          <w:lang w:val="en-US"/>
        </w:rPr>
        <w:t xml:space="preserve">Blei, D. M., Ng, A. Y., &amp; Jordan, M. I. (2003). </w:t>
      </w:r>
      <w:r w:rsidRPr="004529E3">
        <w:rPr>
          <w:lang w:val="en-US"/>
        </w:rPr>
        <w:t xml:space="preserve">Latent Dirichlet Allocation. </w:t>
      </w:r>
      <w:r w:rsidRPr="00E96B61">
        <w:rPr>
          <w:i/>
          <w:iCs/>
          <w:lang w:val="en-US"/>
        </w:rPr>
        <w:t>Journal of Machine Learning Research</w:t>
      </w:r>
      <w:r w:rsidRPr="004529E3">
        <w:rPr>
          <w:lang w:val="en-US"/>
        </w:rPr>
        <w:t>, 3, 993–1022.</w:t>
      </w:r>
    </w:p>
    <w:p w14:paraId="278A4622" w14:textId="77777777" w:rsidR="003108AF" w:rsidRDefault="003108AF" w:rsidP="003108AF">
      <w:pPr>
        <w:spacing w:after="0"/>
        <w:ind w:left="284" w:hanging="284"/>
        <w:jc w:val="both"/>
        <w:rPr>
          <w:lang w:val="en-US"/>
        </w:rPr>
      </w:pPr>
      <w:proofErr w:type="spellStart"/>
      <w:r w:rsidRPr="004B12DC">
        <w:t>Ganguli</w:t>
      </w:r>
      <w:proofErr w:type="spellEnd"/>
      <w:r w:rsidRPr="004B12DC">
        <w:t xml:space="preserve">, I., </w:t>
      </w:r>
      <w:proofErr w:type="spellStart"/>
      <w:r w:rsidRPr="004B12DC">
        <w:t>Sil</w:t>
      </w:r>
      <w:proofErr w:type="spellEnd"/>
      <w:r w:rsidRPr="004B12DC">
        <w:t xml:space="preserve">, J., &amp; </w:t>
      </w:r>
      <w:proofErr w:type="spellStart"/>
      <w:r w:rsidRPr="004B12DC">
        <w:t>Sengupta</w:t>
      </w:r>
      <w:proofErr w:type="spellEnd"/>
      <w:r w:rsidRPr="004B12DC">
        <w:t xml:space="preserve">, N. (2023). </w:t>
      </w:r>
      <w:r w:rsidRPr="004B12DC">
        <w:rPr>
          <w:lang w:val="en-US"/>
        </w:rPr>
        <w:t xml:space="preserve">Nonparametric method of topic identification using granularity concept and graph-based modeling. </w:t>
      </w:r>
      <w:r w:rsidRPr="004B12DC">
        <w:rPr>
          <w:i/>
          <w:iCs/>
          <w:lang w:val="en-US"/>
        </w:rPr>
        <w:t>Neural Computing and Applications</w:t>
      </w:r>
      <w:r w:rsidRPr="004B12DC">
        <w:rPr>
          <w:lang w:val="en-US"/>
        </w:rPr>
        <w:t xml:space="preserve">, </w:t>
      </w:r>
      <w:r w:rsidRPr="004B12DC">
        <w:rPr>
          <w:i/>
          <w:iCs/>
          <w:lang w:val="en-US"/>
        </w:rPr>
        <w:t>35</w:t>
      </w:r>
      <w:r w:rsidRPr="004B12DC">
        <w:rPr>
          <w:lang w:val="en-US"/>
        </w:rPr>
        <w:t>(2), 1055-1075.</w:t>
      </w:r>
    </w:p>
    <w:p w14:paraId="7EB15579" w14:textId="77777777" w:rsidR="003108AF" w:rsidRPr="000E768B" w:rsidRDefault="003108AF" w:rsidP="003108AF">
      <w:pPr>
        <w:spacing w:after="0"/>
        <w:ind w:left="284" w:hanging="284"/>
        <w:jc w:val="both"/>
        <w:rPr>
          <w:lang w:val="en-US"/>
        </w:rPr>
      </w:pPr>
      <w:proofErr w:type="spellStart"/>
      <w:r w:rsidRPr="004529E3">
        <w:rPr>
          <w:lang w:val="en-US"/>
        </w:rPr>
        <w:t>Ghojogh</w:t>
      </w:r>
      <w:proofErr w:type="spellEnd"/>
      <w:r w:rsidRPr="004529E3">
        <w:rPr>
          <w:lang w:val="en-US"/>
        </w:rPr>
        <w:t xml:space="preserve">, B., Crowley, M., </w:t>
      </w:r>
      <w:proofErr w:type="spellStart"/>
      <w:r w:rsidRPr="004529E3">
        <w:rPr>
          <w:lang w:val="en-US"/>
        </w:rPr>
        <w:t>Karray</w:t>
      </w:r>
      <w:proofErr w:type="spellEnd"/>
      <w:r w:rsidRPr="004529E3">
        <w:rPr>
          <w:lang w:val="en-US"/>
        </w:rPr>
        <w:t xml:space="preserve">, F., &amp; Ghodsi, A. (2022). Variational autoencoders. In </w:t>
      </w:r>
      <w:r w:rsidRPr="004529E3">
        <w:rPr>
          <w:i/>
          <w:iCs/>
          <w:lang w:val="en-US"/>
        </w:rPr>
        <w:t>Elements of Dimensionality Reduction and Manifold Learning</w:t>
      </w:r>
      <w:r w:rsidRPr="004529E3">
        <w:rPr>
          <w:lang w:val="en-US"/>
        </w:rPr>
        <w:t xml:space="preserve"> (pp. 563-576). Cham: Springer International Publishing.</w:t>
      </w:r>
    </w:p>
    <w:p w14:paraId="7428FBF7" w14:textId="77777777" w:rsidR="003108AF" w:rsidRPr="003108AF" w:rsidRDefault="003108AF" w:rsidP="003108AF">
      <w:pPr>
        <w:spacing w:after="0"/>
        <w:ind w:left="284" w:hanging="284"/>
        <w:jc w:val="both"/>
        <w:rPr>
          <w:lang w:val="en-US"/>
        </w:rPr>
      </w:pPr>
      <w:r w:rsidRPr="000E768B">
        <w:rPr>
          <w:lang w:val="en-US"/>
        </w:rPr>
        <w:t xml:space="preserve">Hashmi, E., Altaf, A., Anwar, M. W., Jamal, M. H., &amp; Bajwa, U. I. (2025). BI-SENT: bilingual aspect-based sentiment analysis of COVID-19 Tweets in Urdu language. </w:t>
      </w:r>
      <w:proofErr w:type="spellStart"/>
      <w:r w:rsidRPr="000E768B">
        <w:rPr>
          <w:i/>
          <w:iCs/>
          <w:lang w:val="en-US"/>
        </w:rPr>
        <w:t>PloS</w:t>
      </w:r>
      <w:proofErr w:type="spellEnd"/>
      <w:r w:rsidRPr="000E768B">
        <w:rPr>
          <w:i/>
          <w:iCs/>
          <w:lang w:val="en-US"/>
        </w:rPr>
        <w:t xml:space="preserve"> one</w:t>
      </w:r>
      <w:r w:rsidRPr="000E768B">
        <w:rPr>
          <w:lang w:val="en-US"/>
        </w:rPr>
        <w:t xml:space="preserve">, </w:t>
      </w:r>
      <w:r w:rsidRPr="000E768B">
        <w:rPr>
          <w:i/>
          <w:iCs/>
          <w:lang w:val="en-US"/>
        </w:rPr>
        <w:t>20</w:t>
      </w:r>
      <w:r w:rsidRPr="000E768B">
        <w:rPr>
          <w:lang w:val="en-US"/>
        </w:rPr>
        <w:t>(6), e0317562.</w:t>
      </w:r>
    </w:p>
    <w:p w14:paraId="63571A0E" w14:textId="77777777" w:rsidR="003108AF" w:rsidRPr="009A6811" w:rsidRDefault="003108AF" w:rsidP="003108AF">
      <w:pPr>
        <w:spacing w:after="0"/>
        <w:ind w:left="284" w:hanging="284"/>
        <w:jc w:val="both"/>
        <w:rPr>
          <w:lang w:val="en-US"/>
        </w:rPr>
      </w:pPr>
      <w:r w:rsidRPr="009A6811">
        <w:rPr>
          <w:lang w:val="en-US"/>
        </w:rPr>
        <w:t xml:space="preserve">Kim, S., Lee, S., &amp; McCulloch, R. (2024). A topic-based segmentation model for identifying segment-level drivers of star ratings from unstructured text reviews. </w:t>
      </w:r>
      <w:r w:rsidRPr="009A6811">
        <w:rPr>
          <w:i/>
          <w:iCs/>
          <w:lang w:val="en-US"/>
        </w:rPr>
        <w:t>Journal of Marketing Research</w:t>
      </w:r>
      <w:r w:rsidRPr="009A6811">
        <w:rPr>
          <w:lang w:val="en-US"/>
        </w:rPr>
        <w:t xml:space="preserve">, </w:t>
      </w:r>
      <w:r w:rsidRPr="009A6811">
        <w:rPr>
          <w:i/>
          <w:iCs/>
          <w:lang w:val="en-US"/>
        </w:rPr>
        <w:t>61</w:t>
      </w:r>
      <w:r w:rsidRPr="009A6811">
        <w:rPr>
          <w:lang w:val="en-US"/>
        </w:rPr>
        <w:t>(6), 1132-1151.</w:t>
      </w:r>
    </w:p>
    <w:p w14:paraId="1F8F7782" w14:textId="77777777" w:rsidR="003108AF" w:rsidRDefault="003108AF" w:rsidP="003108AF">
      <w:pPr>
        <w:spacing w:after="0"/>
        <w:ind w:left="284" w:hanging="284"/>
        <w:jc w:val="both"/>
        <w:rPr>
          <w:lang w:val="en-US"/>
        </w:rPr>
      </w:pPr>
      <w:r w:rsidRPr="009A6811">
        <w:rPr>
          <w:lang w:val="en-US"/>
        </w:rPr>
        <w:t xml:space="preserve">Lee, H., &amp; Kang, P. (2018). Identifying core topics in technology and innovation management studies: A topic model approach. </w:t>
      </w:r>
      <w:r w:rsidRPr="009A6811">
        <w:rPr>
          <w:i/>
          <w:iCs/>
          <w:lang w:val="en-US"/>
        </w:rPr>
        <w:t>The Journal of Technology Transfer</w:t>
      </w:r>
      <w:r w:rsidRPr="009A6811">
        <w:rPr>
          <w:lang w:val="en-US"/>
        </w:rPr>
        <w:t xml:space="preserve">, </w:t>
      </w:r>
      <w:r w:rsidRPr="009A6811">
        <w:rPr>
          <w:i/>
          <w:iCs/>
          <w:lang w:val="en-US"/>
        </w:rPr>
        <w:t>43</w:t>
      </w:r>
      <w:r w:rsidRPr="009A6811">
        <w:rPr>
          <w:lang w:val="en-US"/>
        </w:rPr>
        <w:t>(5), 1291-1317.</w:t>
      </w:r>
    </w:p>
    <w:p w14:paraId="5DE889B2" w14:textId="77777777" w:rsidR="003108AF" w:rsidRDefault="003108AF" w:rsidP="003108AF">
      <w:pPr>
        <w:spacing w:after="0"/>
        <w:ind w:left="284" w:hanging="284"/>
        <w:jc w:val="both"/>
        <w:rPr>
          <w:lang w:val="en-US"/>
        </w:rPr>
      </w:pPr>
      <w:r w:rsidRPr="000E768B">
        <w:rPr>
          <w:lang w:val="en-US"/>
        </w:rPr>
        <w:t xml:space="preserve">Pennington, J., Socher, R., &amp; Manning, C. D. (2014). </w:t>
      </w:r>
      <w:proofErr w:type="spellStart"/>
      <w:r w:rsidRPr="000E768B">
        <w:rPr>
          <w:lang w:val="en-US"/>
        </w:rPr>
        <w:t>GloVe</w:t>
      </w:r>
      <w:proofErr w:type="spellEnd"/>
      <w:r w:rsidRPr="000E768B">
        <w:rPr>
          <w:lang w:val="en-US"/>
        </w:rPr>
        <w:t>: Global Vectors for Word Representation. Proceedings of the 2014 Conference on Empirical Methods in Natural Language Processing (EMNLP), 1532–1543.</w:t>
      </w:r>
    </w:p>
    <w:p w14:paraId="3CF758D7" w14:textId="77777777" w:rsidR="003108AF" w:rsidRPr="00A6462C" w:rsidRDefault="003108AF" w:rsidP="003108AF">
      <w:pPr>
        <w:spacing w:after="0"/>
        <w:ind w:left="284" w:hanging="284"/>
        <w:jc w:val="both"/>
        <w:rPr>
          <w:lang w:val="en-US"/>
        </w:rPr>
      </w:pPr>
      <w:r w:rsidRPr="00A6462C">
        <w:rPr>
          <w:lang w:val="en-US"/>
        </w:rPr>
        <w:t xml:space="preserve">Shankar, V., &amp; </w:t>
      </w:r>
      <w:proofErr w:type="spellStart"/>
      <w:r w:rsidRPr="00A6462C">
        <w:rPr>
          <w:lang w:val="en-US"/>
        </w:rPr>
        <w:t>Parsana</w:t>
      </w:r>
      <w:proofErr w:type="spellEnd"/>
      <w:r w:rsidRPr="00A6462C">
        <w:rPr>
          <w:lang w:val="en-US"/>
        </w:rPr>
        <w:t xml:space="preserve">, S. (2022). An overview and empirical comparison of natural language processing (NLP) models and an introduction to and empirical application of autoencoder models in marketing. </w:t>
      </w:r>
      <w:r w:rsidRPr="00A6462C">
        <w:rPr>
          <w:i/>
          <w:iCs/>
          <w:lang w:val="en-US"/>
        </w:rPr>
        <w:t>Journal of the Academy of Marketing Science</w:t>
      </w:r>
      <w:r w:rsidRPr="00A6462C">
        <w:rPr>
          <w:lang w:val="en-US"/>
        </w:rPr>
        <w:t xml:space="preserve">, </w:t>
      </w:r>
      <w:r w:rsidRPr="00A6462C">
        <w:rPr>
          <w:i/>
          <w:iCs/>
          <w:lang w:val="en-US"/>
        </w:rPr>
        <w:t>50</w:t>
      </w:r>
      <w:r w:rsidRPr="00A6462C">
        <w:rPr>
          <w:lang w:val="en-US"/>
        </w:rPr>
        <w:t>(6), 1324-1350.</w:t>
      </w:r>
    </w:p>
    <w:p w14:paraId="78180E83" w14:textId="2DC1C2BA" w:rsidR="003108AF" w:rsidRDefault="003108AF" w:rsidP="003108AF">
      <w:pPr>
        <w:spacing w:after="0"/>
        <w:ind w:left="284" w:hanging="284"/>
        <w:jc w:val="both"/>
        <w:rPr>
          <w:lang w:val="en-US"/>
        </w:rPr>
      </w:pPr>
      <w:proofErr w:type="spellStart"/>
      <w:r w:rsidRPr="004B12DC">
        <w:rPr>
          <w:lang w:val="en-US"/>
        </w:rPr>
        <w:t>Todri</w:t>
      </w:r>
      <w:proofErr w:type="spellEnd"/>
      <w:r w:rsidRPr="004B12DC">
        <w:rPr>
          <w:lang w:val="en-US"/>
        </w:rPr>
        <w:t xml:space="preserve">, V., Adamopoulos, P., &amp; Andrews, M. (2022). Is distance really dead in the online world? The moderating role of geographical distance on the effectiveness of electronic word of mouth. </w:t>
      </w:r>
      <w:r w:rsidRPr="004B12DC">
        <w:rPr>
          <w:i/>
          <w:iCs/>
          <w:lang w:val="en-US"/>
        </w:rPr>
        <w:t>Journal of Marketing</w:t>
      </w:r>
      <w:r w:rsidRPr="004B12DC">
        <w:rPr>
          <w:lang w:val="en-US"/>
        </w:rPr>
        <w:t xml:space="preserve">, </w:t>
      </w:r>
      <w:r w:rsidRPr="004B12DC">
        <w:rPr>
          <w:i/>
          <w:iCs/>
          <w:lang w:val="en-US"/>
        </w:rPr>
        <w:t>86</w:t>
      </w:r>
      <w:r w:rsidRPr="004B12DC">
        <w:rPr>
          <w:lang w:val="en-US"/>
        </w:rPr>
        <w:t>(4), 118-140.</w:t>
      </w:r>
    </w:p>
    <w:p w14:paraId="7D5815A9" w14:textId="77777777" w:rsidR="00E96B61" w:rsidRPr="004B12DC" w:rsidRDefault="00E96B61" w:rsidP="003108AF">
      <w:pPr>
        <w:spacing w:after="0"/>
        <w:ind w:left="284" w:hanging="284"/>
        <w:jc w:val="both"/>
        <w:rPr>
          <w:lang w:val="en-US"/>
        </w:rPr>
      </w:pPr>
    </w:p>
    <w:sectPr w:rsidR="00E96B61" w:rsidRPr="004B12DC">
      <w:footerReference w:type="even" r:id="rId16"/>
      <w:footerReference w:type="default" r:id="rId1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429AE1" w14:textId="77777777" w:rsidR="00510961" w:rsidRDefault="00510961" w:rsidP="00C25DF2">
      <w:pPr>
        <w:spacing w:after="0" w:line="240" w:lineRule="auto"/>
      </w:pPr>
      <w:r>
        <w:separator/>
      </w:r>
    </w:p>
  </w:endnote>
  <w:endnote w:type="continuationSeparator" w:id="0">
    <w:p w14:paraId="32F1FB06" w14:textId="77777777" w:rsidR="00510961" w:rsidRDefault="00510961" w:rsidP="00C25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885597666"/>
      <w:docPartObj>
        <w:docPartGallery w:val="Page Numbers (Bottom of Page)"/>
        <w:docPartUnique/>
      </w:docPartObj>
    </w:sdtPr>
    <w:sdtEndPr>
      <w:rPr>
        <w:rStyle w:val="Numeropagina"/>
      </w:rPr>
    </w:sdtEndPr>
    <w:sdtContent>
      <w:p w14:paraId="422EDA36" w14:textId="3E63D1E5" w:rsidR="00C25DF2" w:rsidRDefault="00C25DF2" w:rsidP="0070539D">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6C3D77F" w14:textId="77777777" w:rsidR="00C25DF2" w:rsidRDefault="00C25DF2" w:rsidP="00C25DF2">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312526562"/>
      <w:docPartObj>
        <w:docPartGallery w:val="Page Numbers (Bottom of Page)"/>
        <w:docPartUnique/>
      </w:docPartObj>
    </w:sdtPr>
    <w:sdtEndPr>
      <w:rPr>
        <w:rStyle w:val="Numeropagina"/>
      </w:rPr>
    </w:sdtEndPr>
    <w:sdtContent>
      <w:p w14:paraId="7533DDBA" w14:textId="7C2BAEDA" w:rsidR="00C25DF2" w:rsidRDefault="00C25DF2" w:rsidP="0070539D">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05843F5" w14:textId="77777777" w:rsidR="00C25DF2" w:rsidRDefault="00C25DF2" w:rsidP="00C25DF2">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A3543" w14:textId="77777777" w:rsidR="00510961" w:rsidRDefault="00510961" w:rsidP="00C25DF2">
      <w:pPr>
        <w:spacing w:after="0" w:line="240" w:lineRule="auto"/>
      </w:pPr>
      <w:r>
        <w:separator/>
      </w:r>
    </w:p>
  </w:footnote>
  <w:footnote w:type="continuationSeparator" w:id="0">
    <w:p w14:paraId="52BF56F9" w14:textId="77777777" w:rsidR="00510961" w:rsidRDefault="00510961" w:rsidP="00C25D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21944"/>
    <w:multiLevelType w:val="hybridMultilevel"/>
    <w:tmpl w:val="66AE9ECA"/>
    <w:lvl w:ilvl="0" w:tplc="2E302DA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063221D"/>
    <w:multiLevelType w:val="hybridMultilevel"/>
    <w:tmpl w:val="636EE66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6C33F0B"/>
    <w:multiLevelType w:val="hybridMultilevel"/>
    <w:tmpl w:val="84182EFE"/>
    <w:lvl w:ilvl="0" w:tplc="0410000F">
      <w:start w:val="1"/>
      <w:numFmt w:val="decimal"/>
      <w:lvlText w:val="%1."/>
      <w:lvlJc w:val="left"/>
      <w:pPr>
        <w:ind w:left="773" w:hanging="360"/>
      </w:pPr>
    </w:lvl>
    <w:lvl w:ilvl="1" w:tplc="04100019" w:tentative="1">
      <w:start w:val="1"/>
      <w:numFmt w:val="lowerLetter"/>
      <w:lvlText w:val="%2."/>
      <w:lvlJc w:val="left"/>
      <w:pPr>
        <w:ind w:left="1493" w:hanging="360"/>
      </w:pPr>
    </w:lvl>
    <w:lvl w:ilvl="2" w:tplc="0410001B" w:tentative="1">
      <w:start w:val="1"/>
      <w:numFmt w:val="lowerRoman"/>
      <w:lvlText w:val="%3."/>
      <w:lvlJc w:val="right"/>
      <w:pPr>
        <w:ind w:left="2213" w:hanging="180"/>
      </w:pPr>
    </w:lvl>
    <w:lvl w:ilvl="3" w:tplc="0410000F" w:tentative="1">
      <w:start w:val="1"/>
      <w:numFmt w:val="decimal"/>
      <w:lvlText w:val="%4."/>
      <w:lvlJc w:val="left"/>
      <w:pPr>
        <w:ind w:left="2933" w:hanging="360"/>
      </w:pPr>
    </w:lvl>
    <w:lvl w:ilvl="4" w:tplc="04100019" w:tentative="1">
      <w:start w:val="1"/>
      <w:numFmt w:val="lowerLetter"/>
      <w:lvlText w:val="%5."/>
      <w:lvlJc w:val="left"/>
      <w:pPr>
        <w:ind w:left="3653" w:hanging="360"/>
      </w:pPr>
    </w:lvl>
    <w:lvl w:ilvl="5" w:tplc="0410001B" w:tentative="1">
      <w:start w:val="1"/>
      <w:numFmt w:val="lowerRoman"/>
      <w:lvlText w:val="%6."/>
      <w:lvlJc w:val="right"/>
      <w:pPr>
        <w:ind w:left="4373" w:hanging="180"/>
      </w:pPr>
    </w:lvl>
    <w:lvl w:ilvl="6" w:tplc="0410000F" w:tentative="1">
      <w:start w:val="1"/>
      <w:numFmt w:val="decimal"/>
      <w:lvlText w:val="%7."/>
      <w:lvlJc w:val="left"/>
      <w:pPr>
        <w:ind w:left="5093" w:hanging="360"/>
      </w:pPr>
    </w:lvl>
    <w:lvl w:ilvl="7" w:tplc="04100019" w:tentative="1">
      <w:start w:val="1"/>
      <w:numFmt w:val="lowerLetter"/>
      <w:lvlText w:val="%8."/>
      <w:lvlJc w:val="left"/>
      <w:pPr>
        <w:ind w:left="5813" w:hanging="360"/>
      </w:pPr>
    </w:lvl>
    <w:lvl w:ilvl="8" w:tplc="0410001B" w:tentative="1">
      <w:start w:val="1"/>
      <w:numFmt w:val="lowerRoman"/>
      <w:lvlText w:val="%9."/>
      <w:lvlJc w:val="right"/>
      <w:pPr>
        <w:ind w:left="6533" w:hanging="180"/>
      </w:pPr>
    </w:lvl>
  </w:abstractNum>
  <w:abstractNum w:abstractNumId="3" w15:restartNumberingAfterBreak="0">
    <w:nsid w:val="2A0A0891"/>
    <w:multiLevelType w:val="multilevel"/>
    <w:tmpl w:val="B8FC2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E2A0A8E"/>
    <w:multiLevelType w:val="multilevel"/>
    <w:tmpl w:val="4D68F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CBE67D8"/>
    <w:multiLevelType w:val="hybridMultilevel"/>
    <w:tmpl w:val="8EDE542A"/>
    <w:lvl w:ilvl="0" w:tplc="FEFCA064">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EDA1EFA"/>
    <w:multiLevelType w:val="multilevel"/>
    <w:tmpl w:val="0A2C7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
  </w:num>
  <w:num w:numId="3">
    <w:abstractNumId w:val="0"/>
  </w:num>
  <w:num w:numId="4">
    <w:abstractNumId w:val="1"/>
  </w:num>
  <w:num w:numId="5">
    <w:abstractNumId w:val="6"/>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86"/>
  <w:doNotDisplayPageBoundaries/>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240"/>
    <w:rsid w:val="00060D8C"/>
    <w:rsid w:val="0009194E"/>
    <w:rsid w:val="000A5E98"/>
    <w:rsid w:val="000E2C04"/>
    <w:rsid w:val="000E768B"/>
    <w:rsid w:val="001338CD"/>
    <w:rsid w:val="001435DC"/>
    <w:rsid w:val="00150B15"/>
    <w:rsid w:val="00156EDC"/>
    <w:rsid w:val="00175E72"/>
    <w:rsid w:val="001851FC"/>
    <w:rsid w:val="00185A6A"/>
    <w:rsid w:val="001A771B"/>
    <w:rsid w:val="0020593D"/>
    <w:rsid w:val="00205A35"/>
    <w:rsid w:val="0020610F"/>
    <w:rsid w:val="00215B21"/>
    <w:rsid w:val="002201E8"/>
    <w:rsid w:val="00235FDC"/>
    <w:rsid w:val="0027369B"/>
    <w:rsid w:val="002F086D"/>
    <w:rsid w:val="003108AF"/>
    <w:rsid w:val="003313D1"/>
    <w:rsid w:val="003968EA"/>
    <w:rsid w:val="003A37DB"/>
    <w:rsid w:val="003B6FBF"/>
    <w:rsid w:val="003C58BB"/>
    <w:rsid w:val="003D1822"/>
    <w:rsid w:val="004529E3"/>
    <w:rsid w:val="00463A9B"/>
    <w:rsid w:val="0046482B"/>
    <w:rsid w:val="00484661"/>
    <w:rsid w:val="004875B7"/>
    <w:rsid w:val="004B12DC"/>
    <w:rsid w:val="004C3151"/>
    <w:rsid w:val="004C3440"/>
    <w:rsid w:val="00510961"/>
    <w:rsid w:val="0052023A"/>
    <w:rsid w:val="00534DA0"/>
    <w:rsid w:val="00557C60"/>
    <w:rsid w:val="00595D18"/>
    <w:rsid w:val="005C11CE"/>
    <w:rsid w:val="0060683B"/>
    <w:rsid w:val="0062681C"/>
    <w:rsid w:val="0065306F"/>
    <w:rsid w:val="00663C4E"/>
    <w:rsid w:val="0067072D"/>
    <w:rsid w:val="00701240"/>
    <w:rsid w:val="00727472"/>
    <w:rsid w:val="00727C32"/>
    <w:rsid w:val="00743126"/>
    <w:rsid w:val="007637BF"/>
    <w:rsid w:val="00821C27"/>
    <w:rsid w:val="00884624"/>
    <w:rsid w:val="008A3E6C"/>
    <w:rsid w:val="008E4C4A"/>
    <w:rsid w:val="008F2409"/>
    <w:rsid w:val="0090056E"/>
    <w:rsid w:val="00940B98"/>
    <w:rsid w:val="0096275C"/>
    <w:rsid w:val="009A6811"/>
    <w:rsid w:val="009C1BD2"/>
    <w:rsid w:val="009C3EDF"/>
    <w:rsid w:val="00A122D0"/>
    <w:rsid w:val="00A47578"/>
    <w:rsid w:val="00A57F58"/>
    <w:rsid w:val="00A6462C"/>
    <w:rsid w:val="00A90484"/>
    <w:rsid w:val="00AA7007"/>
    <w:rsid w:val="00AF7C6B"/>
    <w:rsid w:val="00B130C2"/>
    <w:rsid w:val="00B1452C"/>
    <w:rsid w:val="00B44580"/>
    <w:rsid w:val="00B803E5"/>
    <w:rsid w:val="00BC3740"/>
    <w:rsid w:val="00C25DF2"/>
    <w:rsid w:val="00C7590D"/>
    <w:rsid w:val="00C95768"/>
    <w:rsid w:val="00DA6F7A"/>
    <w:rsid w:val="00E00821"/>
    <w:rsid w:val="00E11B29"/>
    <w:rsid w:val="00E1591C"/>
    <w:rsid w:val="00E42234"/>
    <w:rsid w:val="00E61700"/>
    <w:rsid w:val="00E92564"/>
    <w:rsid w:val="00E96B61"/>
    <w:rsid w:val="00EE67FF"/>
    <w:rsid w:val="00F13769"/>
    <w:rsid w:val="00F74927"/>
    <w:rsid w:val="00F77ED8"/>
    <w:rsid w:val="00FB1D2D"/>
    <w:rsid w:val="00FC702A"/>
    <w:rsid w:val="00FD2D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B8333"/>
  <w15:chartTrackingRefBased/>
  <w15:docId w15:val="{A546EC34-DB8A-41C8-860C-83C9FFE72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0124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70124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701240"/>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0124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01240"/>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701240"/>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701240"/>
    <w:pPr>
      <w:keepNext/>
      <w:keepLines/>
      <w:spacing w:before="40" w:after="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701240"/>
    <w:pPr>
      <w:keepNext/>
      <w:keepLines/>
      <w:spacing w:after="0"/>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701240"/>
    <w:pPr>
      <w:keepNext/>
      <w:keepLines/>
      <w:spacing w:after="0"/>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0124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0124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01240"/>
    <w:rPr>
      <w:rFonts w:asciiTheme="minorHAnsi" w:eastAsiaTheme="majorEastAsia" w:hAnsiTheme="minorHAnsi"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01240"/>
    <w:rPr>
      <w:rFonts w:asciiTheme="minorHAnsi" w:eastAsiaTheme="majorEastAsia" w:hAnsiTheme="minorHAnsi" w:cstheme="majorBidi"/>
      <w:i/>
      <w:iCs/>
      <w:color w:val="0F4761" w:themeColor="accent1" w:themeShade="BF"/>
    </w:rPr>
  </w:style>
  <w:style w:type="character" w:customStyle="1" w:styleId="Titolo5Carattere">
    <w:name w:val="Titolo 5 Carattere"/>
    <w:basedOn w:val="Carpredefinitoparagrafo"/>
    <w:link w:val="Titolo5"/>
    <w:uiPriority w:val="9"/>
    <w:semiHidden/>
    <w:rsid w:val="00701240"/>
    <w:rPr>
      <w:rFonts w:asciiTheme="minorHAnsi" w:eastAsiaTheme="majorEastAsia" w:hAnsiTheme="minorHAnsi" w:cstheme="majorBidi"/>
      <w:color w:val="0F4761" w:themeColor="accent1" w:themeShade="BF"/>
    </w:rPr>
  </w:style>
  <w:style w:type="character" w:customStyle="1" w:styleId="Titolo6Carattere">
    <w:name w:val="Titolo 6 Carattere"/>
    <w:basedOn w:val="Carpredefinitoparagrafo"/>
    <w:link w:val="Titolo6"/>
    <w:uiPriority w:val="9"/>
    <w:semiHidden/>
    <w:rsid w:val="00701240"/>
    <w:rPr>
      <w:rFonts w:asciiTheme="minorHAnsi" w:eastAsiaTheme="majorEastAsia" w:hAnsiTheme="minorHAnsi" w:cstheme="majorBidi"/>
      <w:i/>
      <w:iCs/>
      <w:color w:val="595959" w:themeColor="text1" w:themeTint="A6"/>
    </w:rPr>
  </w:style>
  <w:style w:type="character" w:customStyle="1" w:styleId="Titolo7Carattere">
    <w:name w:val="Titolo 7 Carattere"/>
    <w:basedOn w:val="Carpredefinitoparagrafo"/>
    <w:link w:val="Titolo7"/>
    <w:uiPriority w:val="9"/>
    <w:semiHidden/>
    <w:rsid w:val="00701240"/>
    <w:rPr>
      <w:rFonts w:asciiTheme="minorHAnsi" w:eastAsiaTheme="majorEastAsia" w:hAnsiTheme="minorHAnsi" w:cstheme="majorBidi"/>
      <w:color w:val="595959" w:themeColor="text1" w:themeTint="A6"/>
    </w:rPr>
  </w:style>
  <w:style w:type="character" w:customStyle="1" w:styleId="Titolo8Carattere">
    <w:name w:val="Titolo 8 Carattere"/>
    <w:basedOn w:val="Carpredefinitoparagrafo"/>
    <w:link w:val="Titolo8"/>
    <w:uiPriority w:val="9"/>
    <w:semiHidden/>
    <w:rsid w:val="00701240"/>
    <w:rPr>
      <w:rFonts w:asciiTheme="minorHAnsi" w:eastAsiaTheme="majorEastAsia" w:hAnsiTheme="minorHAnsi" w:cstheme="majorBidi"/>
      <w:i/>
      <w:iCs/>
      <w:color w:val="272727" w:themeColor="text1" w:themeTint="D8"/>
    </w:rPr>
  </w:style>
  <w:style w:type="character" w:customStyle="1" w:styleId="Titolo9Carattere">
    <w:name w:val="Titolo 9 Carattere"/>
    <w:basedOn w:val="Carpredefinitoparagrafo"/>
    <w:link w:val="Titolo9"/>
    <w:uiPriority w:val="9"/>
    <w:semiHidden/>
    <w:rsid w:val="00701240"/>
    <w:rPr>
      <w:rFonts w:asciiTheme="minorHAnsi" w:eastAsiaTheme="majorEastAsia" w:hAnsiTheme="minorHAnsi" w:cstheme="majorBidi"/>
      <w:color w:val="272727" w:themeColor="text1" w:themeTint="D8"/>
    </w:rPr>
  </w:style>
  <w:style w:type="paragraph" w:styleId="Titolo">
    <w:name w:val="Title"/>
    <w:basedOn w:val="Normale"/>
    <w:next w:val="Normale"/>
    <w:link w:val="TitoloCarattere"/>
    <w:uiPriority w:val="10"/>
    <w:qFormat/>
    <w:rsid w:val="007012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0124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01240"/>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01240"/>
    <w:rPr>
      <w:rFonts w:asciiTheme="minorHAnsi" w:eastAsiaTheme="majorEastAsia" w:hAnsiTheme="minorHAnsi"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0124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01240"/>
    <w:rPr>
      <w:i/>
      <w:iCs/>
      <w:color w:val="404040" w:themeColor="text1" w:themeTint="BF"/>
    </w:rPr>
  </w:style>
  <w:style w:type="paragraph" w:styleId="Paragrafoelenco">
    <w:name w:val="List Paragraph"/>
    <w:basedOn w:val="Normale"/>
    <w:uiPriority w:val="34"/>
    <w:qFormat/>
    <w:rsid w:val="00701240"/>
    <w:pPr>
      <w:ind w:left="720"/>
      <w:contextualSpacing/>
    </w:pPr>
  </w:style>
  <w:style w:type="character" w:styleId="Enfasiintensa">
    <w:name w:val="Intense Emphasis"/>
    <w:basedOn w:val="Carpredefinitoparagrafo"/>
    <w:uiPriority w:val="21"/>
    <w:qFormat/>
    <w:rsid w:val="00701240"/>
    <w:rPr>
      <w:i/>
      <w:iCs/>
      <w:color w:val="0F4761" w:themeColor="accent1" w:themeShade="BF"/>
    </w:rPr>
  </w:style>
  <w:style w:type="paragraph" w:styleId="Citazioneintensa">
    <w:name w:val="Intense Quote"/>
    <w:basedOn w:val="Normale"/>
    <w:next w:val="Normale"/>
    <w:link w:val="CitazioneintensaCarattere"/>
    <w:uiPriority w:val="30"/>
    <w:qFormat/>
    <w:rsid w:val="0070124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01240"/>
    <w:rPr>
      <w:i/>
      <w:iCs/>
      <w:color w:val="0F4761" w:themeColor="accent1" w:themeShade="BF"/>
    </w:rPr>
  </w:style>
  <w:style w:type="character" w:styleId="Riferimentointenso">
    <w:name w:val="Intense Reference"/>
    <w:basedOn w:val="Carpredefinitoparagrafo"/>
    <w:uiPriority w:val="32"/>
    <w:qFormat/>
    <w:rsid w:val="00701240"/>
    <w:rPr>
      <w:b/>
      <w:bCs/>
      <w:smallCaps/>
      <w:color w:val="0F4761" w:themeColor="accent1" w:themeShade="BF"/>
      <w:spacing w:val="5"/>
    </w:rPr>
  </w:style>
  <w:style w:type="character" w:styleId="CodiceHTML">
    <w:name w:val="HTML Code"/>
    <w:basedOn w:val="Carpredefinitoparagrafo"/>
    <w:uiPriority w:val="99"/>
    <w:semiHidden/>
    <w:unhideWhenUsed/>
    <w:rsid w:val="0052023A"/>
    <w:rPr>
      <w:rFonts w:ascii="Courier New" w:eastAsia="Times New Roman" w:hAnsi="Courier New" w:cs="Courier New"/>
      <w:sz w:val="20"/>
      <w:szCs w:val="20"/>
    </w:rPr>
  </w:style>
  <w:style w:type="character" w:styleId="Enfasigrassetto">
    <w:name w:val="Strong"/>
    <w:basedOn w:val="Carpredefinitoparagrafo"/>
    <w:uiPriority w:val="22"/>
    <w:qFormat/>
    <w:rsid w:val="0052023A"/>
    <w:rPr>
      <w:b/>
      <w:bCs/>
    </w:rPr>
  </w:style>
  <w:style w:type="table" w:styleId="Grigliatabella">
    <w:name w:val="Table Grid"/>
    <w:basedOn w:val="Tabellanormale"/>
    <w:uiPriority w:val="39"/>
    <w:rsid w:val="00A122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67072D"/>
    <w:rPr>
      <w:rFonts w:cs="Times New Roman"/>
      <w:sz w:val="24"/>
      <w:szCs w:val="24"/>
    </w:rPr>
  </w:style>
  <w:style w:type="character" w:styleId="Enfasicorsivo">
    <w:name w:val="Emphasis"/>
    <w:basedOn w:val="Carpredefinitoparagrafo"/>
    <w:uiPriority w:val="20"/>
    <w:qFormat/>
    <w:rsid w:val="00DA6F7A"/>
    <w:rPr>
      <w:i/>
      <w:iCs/>
    </w:rPr>
  </w:style>
  <w:style w:type="paragraph" w:styleId="Pidipagina">
    <w:name w:val="footer"/>
    <w:basedOn w:val="Normale"/>
    <w:link w:val="PidipaginaCarattere"/>
    <w:uiPriority w:val="99"/>
    <w:unhideWhenUsed/>
    <w:rsid w:val="00C25DF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25DF2"/>
  </w:style>
  <w:style w:type="character" w:styleId="Numeropagina">
    <w:name w:val="page number"/>
    <w:basedOn w:val="Carpredefinitoparagrafo"/>
    <w:uiPriority w:val="99"/>
    <w:semiHidden/>
    <w:unhideWhenUsed/>
    <w:rsid w:val="00C25D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1959693">
      <w:bodyDiv w:val="1"/>
      <w:marLeft w:val="0"/>
      <w:marRight w:val="0"/>
      <w:marTop w:val="0"/>
      <w:marBottom w:val="0"/>
      <w:divBdr>
        <w:top w:val="none" w:sz="0" w:space="0" w:color="auto"/>
        <w:left w:val="none" w:sz="0" w:space="0" w:color="auto"/>
        <w:bottom w:val="none" w:sz="0" w:space="0" w:color="auto"/>
        <w:right w:val="none" w:sz="0" w:space="0" w:color="auto"/>
      </w:divBdr>
    </w:div>
    <w:div w:id="338044733">
      <w:bodyDiv w:val="1"/>
      <w:marLeft w:val="0"/>
      <w:marRight w:val="0"/>
      <w:marTop w:val="0"/>
      <w:marBottom w:val="0"/>
      <w:divBdr>
        <w:top w:val="none" w:sz="0" w:space="0" w:color="auto"/>
        <w:left w:val="none" w:sz="0" w:space="0" w:color="auto"/>
        <w:bottom w:val="none" w:sz="0" w:space="0" w:color="auto"/>
        <w:right w:val="none" w:sz="0" w:space="0" w:color="auto"/>
      </w:divBdr>
    </w:div>
    <w:div w:id="381709218">
      <w:bodyDiv w:val="1"/>
      <w:marLeft w:val="0"/>
      <w:marRight w:val="0"/>
      <w:marTop w:val="0"/>
      <w:marBottom w:val="0"/>
      <w:divBdr>
        <w:top w:val="none" w:sz="0" w:space="0" w:color="auto"/>
        <w:left w:val="none" w:sz="0" w:space="0" w:color="auto"/>
        <w:bottom w:val="none" w:sz="0" w:space="0" w:color="auto"/>
        <w:right w:val="none" w:sz="0" w:space="0" w:color="auto"/>
      </w:divBdr>
      <w:divsChild>
        <w:div w:id="985858065">
          <w:marLeft w:val="0"/>
          <w:marRight w:val="0"/>
          <w:marTop w:val="0"/>
          <w:marBottom w:val="0"/>
          <w:divBdr>
            <w:top w:val="none" w:sz="0" w:space="0" w:color="auto"/>
            <w:left w:val="none" w:sz="0" w:space="0" w:color="auto"/>
            <w:bottom w:val="none" w:sz="0" w:space="0" w:color="auto"/>
            <w:right w:val="none" w:sz="0" w:space="0" w:color="auto"/>
          </w:divBdr>
        </w:div>
      </w:divsChild>
    </w:div>
    <w:div w:id="419987245">
      <w:bodyDiv w:val="1"/>
      <w:marLeft w:val="0"/>
      <w:marRight w:val="0"/>
      <w:marTop w:val="0"/>
      <w:marBottom w:val="0"/>
      <w:divBdr>
        <w:top w:val="none" w:sz="0" w:space="0" w:color="auto"/>
        <w:left w:val="none" w:sz="0" w:space="0" w:color="auto"/>
        <w:bottom w:val="none" w:sz="0" w:space="0" w:color="auto"/>
        <w:right w:val="none" w:sz="0" w:space="0" w:color="auto"/>
      </w:divBdr>
      <w:divsChild>
        <w:div w:id="1735277986">
          <w:marLeft w:val="0"/>
          <w:marRight w:val="0"/>
          <w:marTop w:val="0"/>
          <w:marBottom w:val="0"/>
          <w:divBdr>
            <w:top w:val="none" w:sz="0" w:space="0" w:color="auto"/>
            <w:left w:val="none" w:sz="0" w:space="0" w:color="auto"/>
            <w:bottom w:val="none" w:sz="0" w:space="0" w:color="auto"/>
            <w:right w:val="none" w:sz="0" w:space="0" w:color="auto"/>
          </w:divBdr>
        </w:div>
      </w:divsChild>
    </w:div>
    <w:div w:id="427240799">
      <w:bodyDiv w:val="1"/>
      <w:marLeft w:val="0"/>
      <w:marRight w:val="0"/>
      <w:marTop w:val="0"/>
      <w:marBottom w:val="0"/>
      <w:divBdr>
        <w:top w:val="none" w:sz="0" w:space="0" w:color="auto"/>
        <w:left w:val="none" w:sz="0" w:space="0" w:color="auto"/>
        <w:bottom w:val="none" w:sz="0" w:space="0" w:color="auto"/>
        <w:right w:val="none" w:sz="0" w:space="0" w:color="auto"/>
      </w:divBdr>
      <w:divsChild>
        <w:div w:id="1851144113">
          <w:marLeft w:val="0"/>
          <w:marRight w:val="0"/>
          <w:marTop w:val="0"/>
          <w:marBottom w:val="0"/>
          <w:divBdr>
            <w:top w:val="none" w:sz="0" w:space="0" w:color="auto"/>
            <w:left w:val="none" w:sz="0" w:space="0" w:color="auto"/>
            <w:bottom w:val="none" w:sz="0" w:space="0" w:color="auto"/>
            <w:right w:val="none" w:sz="0" w:space="0" w:color="auto"/>
          </w:divBdr>
        </w:div>
      </w:divsChild>
    </w:div>
    <w:div w:id="437337603">
      <w:bodyDiv w:val="1"/>
      <w:marLeft w:val="0"/>
      <w:marRight w:val="0"/>
      <w:marTop w:val="0"/>
      <w:marBottom w:val="0"/>
      <w:divBdr>
        <w:top w:val="none" w:sz="0" w:space="0" w:color="auto"/>
        <w:left w:val="none" w:sz="0" w:space="0" w:color="auto"/>
        <w:bottom w:val="none" w:sz="0" w:space="0" w:color="auto"/>
        <w:right w:val="none" w:sz="0" w:space="0" w:color="auto"/>
      </w:divBdr>
      <w:divsChild>
        <w:div w:id="2095393776">
          <w:marLeft w:val="0"/>
          <w:marRight w:val="0"/>
          <w:marTop w:val="0"/>
          <w:marBottom w:val="0"/>
          <w:divBdr>
            <w:top w:val="none" w:sz="0" w:space="0" w:color="auto"/>
            <w:left w:val="none" w:sz="0" w:space="0" w:color="auto"/>
            <w:bottom w:val="none" w:sz="0" w:space="0" w:color="auto"/>
            <w:right w:val="none" w:sz="0" w:space="0" w:color="auto"/>
          </w:divBdr>
        </w:div>
      </w:divsChild>
    </w:div>
    <w:div w:id="585846146">
      <w:bodyDiv w:val="1"/>
      <w:marLeft w:val="0"/>
      <w:marRight w:val="0"/>
      <w:marTop w:val="0"/>
      <w:marBottom w:val="0"/>
      <w:divBdr>
        <w:top w:val="none" w:sz="0" w:space="0" w:color="auto"/>
        <w:left w:val="none" w:sz="0" w:space="0" w:color="auto"/>
        <w:bottom w:val="none" w:sz="0" w:space="0" w:color="auto"/>
        <w:right w:val="none" w:sz="0" w:space="0" w:color="auto"/>
      </w:divBdr>
    </w:div>
    <w:div w:id="624434308">
      <w:bodyDiv w:val="1"/>
      <w:marLeft w:val="0"/>
      <w:marRight w:val="0"/>
      <w:marTop w:val="0"/>
      <w:marBottom w:val="0"/>
      <w:divBdr>
        <w:top w:val="none" w:sz="0" w:space="0" w:color="auto"/>
        <w:left w:val="none" w:sz="0" w:space="0" w:color="auto"/>
        <w:bottom w:val="none" w:sz="0" w:space="0" w:color="auto"/>
        <w:right w:val="none" w:sz="0" w:space="0" w:color="auto"/>
      </w:divBdr>
      <w:divsChild>
        <w:div w:id="1861234265">
          <w:marLeft w:val="0"/>
          <w:marRight w:val="0"/>
          <w:marTop w:val="0"/>
          <w:marBottom w:val="0"/>
          <w:divBdr>
            <w:top w:val="none" w:sz="0" w:space="0" w:color="auto"/>
            <w:left w:val="none" w:sz="0" w:space="0" w:color="auto"/>
            <w:bottom w:val="none" w:sz="0" w:space="0" w:color="auto"/>
            <w:right w:val="none" w:sz="0" w:space="0" w:color="auto"/>
          </w:divBdr>
        </w:div>
      </w:divsChild>
    </w:div>
    <w:div w:id="627008523">
      <w:bodyDiv w:val="1"/>
      <w:marLeft w:val="0"/>
      <w:marRight w:val="0"/>
      <w:marTop w:val="0"/>
      <w:marBottom w:val="0"/>
      <w:divBdr>
        <w:top w:val="none" w:sz="0" w:space="0" w:color="auto"/>
        <w:left w:val="none" w:sz="0" w:space="0" w:color="auto"/>
        <w:bottom w:val="none" w:sz="0" w:space="0" w:color="auto"/>
        <w:right w:val="none" w:sz="0" w:space="0" w:color="auto"/>
      </w:divBdr>
      <w:divsChild>
        <w:div w:id="448091363">
          <w:marLeft w:val="0"/>
          <w:marRight w:val="0"/>
          <w:marTop w:val="0"/>
          <w:marBottom w:val="0"/>
          <w:divBdr>
            <w:top w:val="none" w:sz="0" w:space="0" w:color="auto"/>
            <w:left w:val="none" w:sz="0" w:space="0" w:color="auto"/>
            <w:bottom w:val="none" w:sz="0" w:space="0" w:color="auto"/>
            <w:right w:val="none" w:sz="0" w:space="0" w:color="auto"/>
          </w:divBdr>
        </w:div>
      </w:divsChild>
    </w:div>
    <w:div w:id="671640924">
      <w:bodyDiv w:val="1"/>
      <w:marLeft w:val="0"/>
      <w:marRight w:val="0"/>
      <w:marTop w:val="0"/>
      <w:marBottom w:val="0"/>
      <w:divBdr>
        <w:top w:val="none" w:sz="0" w:space="0" w:color="auto"/>
        <w:left w:val="none" w:sz="0" w:space="0" w:color="auto"/>
        <w:bottom w:val="none" w:sz="0" w:space="0" w:color="auto"/>
        <w:right w:val="none" w:sz="0" w:space="0" w:color="auto"/>
      </w:divBdr>
    </w:div>
    <w:div w:id="790131220">
      <w:bodyDiv w:val="1"/>
      <w:marLeft w:val="0"/>
      <w:marRight w:val="0"/>
      <w:marTop w:val="0"/>
      <w:marBottom w:val="0"/>
      <w:divBdr>
        <w:top w:val="none" w:sz="0" w:space="0" w:color="auto"/>
        <w:left w:val="none" w:sz="0" w:space="0" w:color="auto"/>
        <w:bottom w:val="none" w:sz="0" w:space="0" w:color="auto"/>
        <w:right w:val="none" w:sz="0" w:space="0" w:color="auto"/>
      </w:divBdr>
    </w:div>
    <w:div w:id="857348212">
      <w:bodyDiv w:val="1"/>
      <w:marLeft w:val="0"/>
      <w:marRight w:val="0"/>
      <w:marTop w:val="0"/>
      <w:marBottom w:val="0"/>
      <w:divBdr>
        <w:top w:val="none" w:sz="0" w:space="0" w:color="auto"/>
        <w:left w:val="none" w:sz="0" w:space="0" w:color="auto"/>
        <w:bottom w:val="none" w:sz="0" w:space="0" w:color="auto"/>
        <w:right w:val="none" w:sz="0" w:space="0" w:color="auto"/>
      </w:divBdr>
      <w:divsChild>
        <w:div w:id="62025574">
          <w:marLeft w:val="0"/>
          <w:marRight w:val="0"/>
          <w:marTop w:val="0"/>
          <w:marBottom w:val="0"/>
          <w:divBdr>
            <w:top w:val="none" w:sz="0" w:space="0" w:color="auto"/>
            <w:left w:val="none" w:sz="0" w:space="0" w:color="auto"/>
            <w:bottom w:val="none" w:sz="0" w:space="0" w:color="auto"/>
            <w:right w:val="none" w:sz="0" w:space="0" w:color="auto"/>
          </w:divBdr>
        </w:div>
      </w:divsChild>
    </w:div>
    <w:div w:id="910457751">
      <w:bodyDiv w:val="1"/>
      <w:marLeft w:val="0"/>
      <w:marRight w:val="0"/>
      <w:marTop w:val="0"/>
      <w:marBottom w:val="0"/>
      <w:divBdr>
        <w:top w:val="none" w:sz="0" w:space="0" w:color="auto"/>
        <w:left w:val="none" w:sz="0" w:space="0" w:color="auto"/>
        <w:bottom w:val="none" w:sz="0" w:space="0" w:color="auto"/>
        <w:right w:val="none" w:sz="0" w:space="0" w:color="auto"/>
      </w:divBdr>
      <w:divsChild>
        <w:div w:id="845945179">
          <w:marLeft w:val="0"/>
          <w:marRight w:val="0"/>
          <w:marTop w:val="0"/>
          <w:marBottom w:val="0"/>
          <w:divBdr>
            <w:top w:val="none" w:sz="0" w:space="0" w:color="auto"/>
            <w:left w:val="none" w:sz="0" w:space="0" w:color="auto"/>
            <w:bottom w:val="none" w:sz="0" w:space="0" w:color="auto"/>
            <w:right w:val="none" w:sz="0" w:space="0" w:color="auto"/>
          </w:divBdr>
        </w:div>
      </w:divsChild>
    </w:div>
    <w:div w:id="1047484782">
      <w:bodyDiv w:val="1"/>
      <w:marLeft w:val="0"/>
      <w:marRight w:val="0"/>
      <w:marTop w:val="0"/>
      <w:marBottom w:val="0"/>
      <w:divBdr>
        <w:top w:val="none" w:sz="0" w:space="0" w:color="auto"/>
        <w:left w:val="none" w:sz="0" w:space="0" w:color="auto"/>
        <w:bottom w:val="none" w:sz="0" w:space="0" w:color="auto"/>
        <w:right w:val="none" w:sz="0" w:space="0" w:color="auto"/>
      </w:divBdr>
    </w:div>
    <w:div w:id="1057628635">
      <w:bodyDiv w:val="1"/>
      <w:marLeft w:val="0"/>
      <w:marRight w:val="0"/>
      <w:marTop w:val="0"/>
      <w:marBottom w:val="0"/>
      <w:divBdr>
        <w:top w:val="none" w:sz="0" w:space="0" w:color="auto"/>
        <w:left w:val="none" w:sz="0" w:space="0" w:color="auto"/>
        <w:bottom w:val="none" w:sz="0" w:space="0" w:color="auto"/>
        <w:right w:val="none" w:sz="0" w:space="0" w:color="auto"/>
      </w:divBdr>
      <w:divsChild>
        <w:div w:id="164520778">
          <w:marLeft w:val="0"/>
          <w:marRight w:val="0"/>
          <w:marTop w:val="0"/>
          <w:marBottom w:val="0"/>
          <w:divBdr>
            <w:top w:val="none" w:sz="0" w:space="0" w:color="auto"/>
            <w:left w:val="none" w:sz="0" w:space="0" w:color="auto"/>
            <w:bottom w:val="none" w:sz="0" w:space="0" w:color="auto"/>
            <w:right w:val="none" w:sz="0" w:space="0" w:color="auto"/>
          </w:divBdr>
        </w:div>
      </w:divsChild>
    </w:div>
    <w:div w:id="1082220320">
      <w:bodyDiv w:val="1"/>
      <w:marLeft w:val="0"/>
      <w:marRight w:val="0"/>
      <w:marTop w:val="0"/>
      <w:marBottom w:val="0"/>
      <w:divBdr>
        <w:top w:val="none" w:sz="0" w:space="0" w:color="auto"/>
        <w:left w:val="none" w:sz="0" w:space="0" w:color="auto"/>
        <w:bottom w:val="none" w:sz="0" w:space="0" w:color="auto"/>
        <w:right w:val="none" w:sz="0" w:space="0" w:color="auto"/>
      </w:divBdr>
    </w:div>
    <w:div w:id="1185246695">
      <w:bodyDiv w:val="1"/>
      <w:marLeft w:val="0"/>
      <w:marRight w:val="0"/>
      <w:marTop w:val="0"/>
      <w:marBottom w:val="0"/>
      <w:divBdr>
        <w:top w:val="none" w:sz="0" w:space="0" w:color="auto"/>
        <w:left w:val="none" w:sz="0" w:space="0" w:color="auto"/>
        <w:bottom w:val="none" w:sz="0" w:space="0" w:color="auto"/>
        <w:right w:val="none" w:sz="0" w:space="0" w:color="auto"/>
      </w:divBdr>
    </w:div>
    <w:div w:id="1220675490">
      <w:bodyDiv w:val="1"/>
      <w:marLeft w:val="0"/>
      <w:marRight w:val="0"/>
      <w:marTop w:val="0"/>
      <w:marBottom w:val="0"/>
      <w:divBdr>
        <w:top w:val="none" w:sz="0" w:space="0" w:color="auto"/>
        <w:left w:val="none" w:sz="0" w:space="0" w:color="auto"/>
        <w:bottom w:val="none" w:sz="0" w:space="0" w:color="auto"/>
        <w:right w:val="none" w:sz="0" w:space="0" w:color="auto"/>
      </w:divBdr>
      <w:divsChild>
        <w:div w:id="890772597">
          <w:marLeft w:val="0"/>
          <w:marRight w:val="0"/>
          <w:marTop w:val="0"/>
          <w:marBottom w:val="0"/>
          <w:divBdr>
            <w:top w:val="none" w:sz="0" w:space="0" w:color="auto"/>
            <w:left w:val="none" w:sz="0" w:space="0" w:color="auto"/>
            <w:bottom w:val="none" w:sz="0" w:space="0" w:color="auto"/>
            <w:right w:val="none" w:sz="0" w:space="0" w:color="auto"/>
          </w:divBdr>
        </w:div>
      </w:divsChild>
    </w:div>
    <w:div w:id="1326668658">
      <w:bodyDiv w:val="1"/>
      <w:marLeft w:val="0"/>
      <w:marRight w:val="0"/>
      <w:marTop w:val="0"/>
      <w:marBottom w:val="0"/>
      <w:divBdr>
        <w:top w:val="none" w:sz="0" w:space="0" w:color="auto"/>
        <w:left w:val="none" w:sz="0" w:space="0" w:color="auto"/>
        <w:bottom w:val="none" w:sz="0" w:space="0" w:color="auto"/>
        <w:right w:val="none" w:sz="0" w:space="0" w:color="auto"/>
      </w:divBdr>
    </w:div>
    <w:div w:id="1340348455">
      <w:bodyDiv w:val="1"/>
      <w:marLeft w:val="0"/>
      <w:marRight w:val="0"/>
      <w:marTop w:val="0"/>
      <w:marBottom w:val="0"/>
      <w:divBdr>
        <w:top w:val="none" w:sz="0" w:space="0" w:color="auto"/>
        <w:left w:val="none" w:sz="0" w:space="0" w:color="auto"/>
        <w:bottom w:val="none" w:sz="0" w:space="0" w:color="auto"/>
        <w:right w:val="none" w:sz="0" w:space="0" w:color="auto"/>
      </w:divBdr>
      <w:divsChild>
        <w:div w:id="1746802581">
          <w:marLeft w:val="0"/>
          <w:marRight w:val="0"/>
          <w:marTop w:val="0"/>
          <w:marBottom w:val="0"/>
          <w:divBdr>
            <w:top w:val="none" w:sz="0" w:space="0" w:color="auto"/>
            <w:left w:val="none" w:sz="0" w:space="0" w:color="auto"/>
            <w:bottom w:val="none" w:sz="0" w:space="0" w:color="auto"/>
            <w:right w:val="none" w:sz="0" w:space="0" w:color="auto"/>
          </w:divBdr>
        </w:div>
      </w:divsChild>
    </w:div>
    <w:div w:id="1375890647">
      <w:bodyDiv w:val="1"/>
      <w:marLeft w:val="0"/>
      <w:marRight w:val="0"/>
      <w:marTop w:val="0"/>
      <w:marBottom w:val="0"/>
      <w:divBdr>
        <w:top w:val="none" w:sz="0" w:space="0" w:color="auto"/>
        <w:left w:val="none" w:sz="0" w:space="0" w:color="auto"/>
        <w:bottom w:val="none" w:sz="0" w:space="0" w:color="auto"/>
        <w:right w:val="none" w:sz="0" w:space="0" w:color="auto"/>
      </w:divBdr>
    </w:div>
    <w:div w:id="1404252481">
      <w:bodyDiv w:val="1"/>
      <w:marLeft w:val="0"/>
      <w:marRight w:val="0"/>
      <w:marTop w:val="0"/>
      <w:marBottom w:val="0"/>
      <w:divBdr>
        <w:top w:val="none" w:sz="0" w:space="0" w:color="auto"/>
        <w:left w:val="none" w:sz="0" w:space="0" w:color="auto"/>
        <w:bottom w:val="none" w:sz="0" w:space="0" w:color="auto"/>
        <w:right w:val="none" w:sz="0" w:space="0" w:color="auto"/>
      </w:divBdr>
      <w:divsChild>
        <w:div w:id="1440904679">
          <w:marLeft w:val="0"/>
          <w:marRight w:val="0"/>
          <w:marTop w:val="0"/>
          <w:marBottom w:val="0"/>
          <w:divBdr>
            <w:top w:val="none" w:sz="0" w:space="0" w:color="auto"/>
            <w:left w:val="none" w:sz="0" w:space="0" w:color="auto"/>
            <w:bottom w:val="none" w:sz="0" w:space="0" w:color="auto"/>
            <w:right w:val="none" w:sz="0" w:space="0" w:color="auto"/>
          </w:divBdr>
        </w:div>
      </w:divsChild>
    </w:div>
    <w:div w:id="1420447199">
      <w:bodyDiv w:val="1"/>
      <w:marLeft w:val="0"/>
      <w:marRight w:val="0"/>
      <w:marTop w:val="0"/>
      <w:marBottom w:val="0"/>
      <w:divBdr>
        <w:top w:val="none" w:sz="0" w:space="0" w:color="auto"/>
        <w:left w:val="none" w:sz="0" w:space="0" w:color="auto"/>
        <w:bottom w:val="none" w:sz="0" w:space="0" w:color="auto"/>
        <w:right w:val="none" w:sz="0" w:space="0" w:color="auto"/>
      </w:divBdr>
      <w:divsChild>
        <w:div w:id="1563759086">
          <w:marLeft w:val="0"/>
          <w:marRight w:val="0"/>
          <w:marTop w:val="0"/>
          <w:marBottom w:val="0"/>
          <w:divBdr>
            <w:top w:val="none" w:sz="0" w:space="0" w:color="auto"/>
            <w:left w:val="none" w:sz="0" w:space="0" w:color="auto"/>
            <w:bottom w:val="none" w:sz="0" w:space="0" w:color="auto"/>
            <w:right w:val="none" w:sz="0" w:space="0" w:color="auto"/>
          </w:divBdr>
        </w:div>
      </w:divsChild>
    </w:div>
    <w:div w:id="1463040365">
      <w:bodyDiv w:val="1"/>
      <w:marLeft w:val="0"/>
      <w:marRight w:val="0"/>
      <w:marTop w:val="0"/>
      <w:marBottom w:val="0"/>
      <w:divBdr>
        <w:top w:val="none" w:sz="0" w:space="0" w:color="auto"/>
        <w:left w:val="none" w:sz="0" w:space="0" w:color="auto"/>
        <w:bottom w:val="none" w:sz="0" w:space="0" w:color="auto"/>
        <w:right w:val="none" w:sz="0" w:space="0" w:color="auto"/>
      </w:divBdr>
      <w:divsChild>
        <w:div w:id="666055159">
          <w:marLeft w:val="0"/>
          <w:marRight w:val="0"/>
          <w:marTop w:val="0"/>
          <w:marBottom w:val="0"/>
          <w:divBdr>
            <w:top w:val="none" w:sz="0" w:space="0" w:color="auto"/>
            <w:left w:val="none" w:sz="0" w:space="0" w:color="auto"/>
            <w:bottom w:val="none" w:sz="0" w:space="0" w:color="auto"/>
            <w:right w:val="none" w:sz="0" w:space="0" w:color="auto"/>
          </w:divBdr>
        </w:div>
      </w:divsChild>
    </w:div>
    <w:div w:id="1547906745">
      <w:bodyDiv w:val="1"/>
      <w:marLeft w:val="0"/>
      <w:marRight w:val="0"/>
      <w:marTop w:val="0"/>
      <w:marBottom w:val="0"/>
      <w:divBdr>
        <w:top w:val="none" w:sz="0" w:space="0" w:color="auto"/>
        <w:left w:val="none" w:sz="0" w:space="0" w:color="auto"/>
        <w:bottom w:val="none" w:sz="0" w:space="0" w:color="auto"/>
        <w:right w:val="none" w:sz="0" w:space="0" w:color="auto"/>
      </w:divBdr>
    </w:div>
    <w:div w:id="1557231549">
      <w:bodyDiv w:val="1"/>
      <w:marLeft w:val="0"/>
      <w:marRight w:val="0"/>
      <w:marTop w:val="0"/>
      <w:marBottom w:val="0"/>
      <w:divBdr>
        <w:top w:val="none" w:sz="0" w:space="0" w:color="auto"/>
        <w:left w:val="none" w:sz="0" w:space="0" w:color="auto"/>
        <w:bottom w:val="none" w:sz="0" w:space="0" w:color="auto"/>
        <w:right w:val="none" w:sz="0" w:space="0" w:color="auto"/>
      </w:divBdr>
    </w:div>
    <w:div w:id="1608078319">
      <w:bodyDiv w:val="1"/>
      <w:marLeft w:val="0"/>
      <w:marRight w:val="0"/>
      <w:marTop w:val="0"/>
      <w:marBottom w:val="0"/>
      <w:divBdr>
        <w:top w:val="none" w:sz="0" w:space="0" w:color="auto"/>
        <w:left w:val="none" w:sz="0" w:space="0" w:color="auto"/>
        <w:bottom w:val="none" w:sz="0" w:space="0" w:color="auto"/>
        <w:right w:val="none" w:sz="0" w:space="0" w:color="auto"/>
      </w:divBdr>
    </w:div>
    <w:div w:id="1608929952">
      <w:bodyDiv w:val="1"/>
      <w:marLeft w:val="0"/>
      <w:marRight w:val="0"/>
      <w:marTop w:val="0"/>
      <w:marBottom w:val="0"/>
      <w:divBdr>
        <w:top w:val="none" w:sz="0" w:space="0" w:color="auto"/>
        <w:left w:val="none" w:sz="0" w:space="0" w:color="auto"/>
        <w:bottom w:val="none" w:sz="0" w:space="0" w:color="auto"/>
        <w:right w:val="none" w:sz="0" w:space="0" w:color="auto"/>
      </w:divBdr>
      <w:divsChild>
        <w:div w:id="401105829">
          <w:marLeft w:val="0"/>
          <w:marRight w:val="0"/>
          <w:marTop w:val="0"/>
          <w:marBottom w:val="0"/>
          <w:divBdr>
            <w:top w:val="none" w:sz="0" w:space="0" w:color="auto"/>
            <w:left w:val="none" w:sz="0" w:space="0" w:color="auto"/>
            <w:bottom w:val="none" w:sz="0" w:space="0" w:color="auto"/>
            <w:right w:val="none" w:sz="0" w:space="0" w:color="auto"/>
          </w:divBdr>
        </w:div>
      </w:divsChild>
    </w:div>
    <w:div w:id="1734616881">
      <w:bodyDiv w:val="1"/>
      <w:marLeft w:val="0"/>
      <w:marRight w:val="0"/>
      <w:marTop w:val="0"/>
      <w:marBottom w:val="0"/>
      <w:divBdr>
        <w:top w:val="none" w:sz="0" w:space="0" w:color="auto"/>
        <w:left w:val="none" w:sz="0" w:space="0" w:color="auto"/>
        <w:bottom w:val="none" w:sz="0" w:space="0" w:color="auto"/>
        <w:right w:val="none" w:sz="0" w:space="0" w:color="auto"/>
      </w:divBdr>
    </w:div>
    <w:div w:id="1773166383">
      <w:bodyDiv w:val="1"/>
      <w:marLeft w:val="0"/>
      <w:marRight w:val="0"/>
      <w:marTop w:val="0"/>
      <w:marBottom w:val="0"/>
      <w:divBdr>
        <w:top w:val="none" w:sz="0" w:space="0" w:color="auto"/>
        <w:left w:val="none" w:sz="0" w:space="0" w:color="auto"/>
        <w:bottom w:val="none" w:sz="0" w:space="0" w:color="auto"/>
        <w:right w:val="none" w:sz="0" w:space="0" w:color="auto"/>
      </w:divBdr>
    </w:div>
    <w:div w:id="1793130775">
      <w:bodyDiv w:val="1"/>
      <w:marLeft w:val="0"/>
      <w:marRight w:val="0"/>
      <w:marTop w:val="0"/>
      <w:marBottom w:val="0"/>
      <w:divBdr>
        <w:top w:val="none" w:sz="0" w:space="0" w:color="auto"/>
        <w:left w:val="none" w:sz="0" w:space="0" w:color="auto"/>
        <w:bottom w:val="none" w:sz="0" w:space="0" w:color="auto"/>
        <w:right w:val="none" w:sz="0" w:space="0" w:color="auto"/>
      </w:divBdr>
    </w:div>
    <w:div w:id="1794473361">
      <w:bodyDiv w:val="1"/>
      <w:marLeft w:val="0"/>
      <w:marRight w:val="0"/>
      <w:marTop w:val="0"/>
      <w:marBottom w:val="0"/>
      <w:divBdr>
        <w:top w:val="none" w:sz="0" w:space="0" w:color="auto"/>
        <w:left w:val="none" w:sz="0" w:space="0" w:color="auto"/>
        <w:bottom w:val="none" w:sz="0" w:space="0" w:color="auto"/>
        <w:right w:val="none" w:sz="0" w:space="0" w:color="auto"/>
      </w:divBdr>
    </w:div>
    <w:div w:id="1795906860">
      <w:bodyDiv w:val="1"/>
      <w:marLeft w:val="0"/>
      <w:marRight w:val="0"/>
      <w:marTop w:val="0"/>
      <w:marBottom w:val="0"/>
      <w:divBdr>
        <w:top w:val="none" w:sz="0" w:space="0" w:color="auto"/>
        <w:left w:val="none" w:sz="0" w:space="0" w:color="auto"/>
        <w:bottom w:val="none" w:sz="0" w:space="0" w:color="auto"/>
        <w:right w:val="none" w:sz="0" w:space="0" w:color="auto"/>
      </w:divBdr>
    </w:div>
    <w:div w:id="1819808420">
      <w:bodyDiv w:val="1"/>
      <w:marLeft w:val="0"/>
      <w:marRight w:val="0"/>
      <w:marTop w:val="0"/>
      <w:marBottom w:val="0"/>
      <w:divBdr>
        <w:top w:val="none" w:sz="0" w:space="0" w:color="auto"/>
        <w:left w:val="none" w:sz="0" w:space="0" w:color="auto"/>
        <w:bottom w:val="none" w:sz="0" w:space="0" w:color="auto"/>
        <w:right w:val="none" w:sz="0" w:space="0" w:color="auto"/>
      </w:divBdr>
    </w:div>
    <w:div w:id="1938559688">
      <w:bodyDiv w:val="1"/>
      <w:marLeft w:val="0"/>
      <w:marRight w:val="0"/>
      <w:marTop w:val="0"/>
      <w:marBottom w:val="0"/>
      <w:divBdr>
        <w:top w:val="none" w:sz="0" w:space="0" w:color="auto"/>
        <w:left w:val="none" w:sz="0" w:space="0" w:color="auto"/>
        <w:bottom w:val="none" w:sz="0" w:space="0" w:color="auto"/>
        <w:right w:val="none" w:sz="0" w:space="0" w:color="auto"/>
      </w:divBdr>
    </w:div>
    <w:div w:id="1976525533">
      <w:bodyDiv w:val="1"/>
      <w:marLeft w:val="0"/>
      <w:marRight w:val="0"/>
      <w:marTop w:val="0"/>
      <w:marBottom w:val="0"/>
      <w:divBdr>
        <w:top w:val="none" w:sz="0" w:space="0" w:color="auto"/>
        <w:left w:val="none" w:sz="0" w:space="0" w:color="auto"/>
        <w:bottom w:val="none" w:sz="0" w:space="0" w:color="auto"/>
        <w:right w:val="none" w:sz="0" w:space="0" w:color="auto"/>
      </w:divBdr>
      <w:divsChild>
        <w:div w:id="761754635">
          <w:marLeft w:val="0"/>
          <w:marRight w:val="0"/>
          <w:marTop w:val="0"/>
          <w:marBottom w:val="0"/>
          <w:divBdr>
            <w:top w:val="none" w:sz="0" w:space="0" w:color="auto"/>
            <w:left w:val="none" w:sz="0" w:space="0" w:color="auto"/>
            <w:bottom w:val="none" w:sz="0" w:space="0" w:color="auto"/>
            <w:right w:val="none" w:sz="0" w:space="0" w:color="auto"/>
          </w:divBdr>
        </w:div>
      </w:divsChild>
    </w:div>
    <w:div w:id="2024817633">
      <w:bodyDiv w:val="1"/>
      <w:marLeft w:val="0"/>
      <w:marRight w:val="0"/>
      <w:marTop w:val="0"/>
      <w:marBottom w:val="0"/>
      <w:divBdr>
        <w:top w:val="none" w:sz="0" w:space="0" w:color="auto"/>
        <w:left w:val="none" w:sz="0" w:space="0" w:color="auto"/>
        <w:bottom w:val="none" w:sz="0" w:space="0" w:color="auto"/>
        <w:right w:val="none" w:sz="0" w:space="0" w:color="auto"/>
      </w:divBdr>
    </w:div>
    <w:div w:id="212468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D4E1B2-25F4-4C9E-89D3-C8AD07C5A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8</Pages>
  <Words>3209</Words>
  <Characters>18295</Characters>
  <DocSecurity>0</DocSecurity>
  <Lines>152</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2025-07-15T06:50:00Z</dcterms:created>
  <dcterms:modified xsi:type="dcterms:W3CDTF">2025-07-23T07:15:00Z</dcterms:modified>
</cp:coreProperties>
</file>