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80884F" w14:textId="77777777" w:rsidR="00251073" w:rsidRPr="00251073" w:rsidRDefault="00251073" w:rsidP="00251073">
      <w:pPr>
        <w:keepNext/>
        <w:keepLines/>
        <w:spacing w:before="280" w:after="80" w:line="480" w:lineRule="auto"/>
        <w:jc w:val="both"/>
        <w:outlineLvl w:val="2"/>
        <w:rPr>
          <w:rFonts w:ascii="Arial" w:eastAsia="Calibri" w:hAnsi="Arial" w:cs="Arial"/>
          <w:sz w:val="20"/>
          <w:szCs w:val="20"/>
          <w:lang w:val="en-GB" w:eastAsia="en-GB"/>
        </w:rPr>
      </w:pPr>
      <w:r w:rsidRPr="00251073">
        <w:rPr>
          <w:rFonts w:ascii="Arial" w:eastAsia="Calibri" w:hAnsi="Arial" w:cs="Arial"/>
          <w:sz w:val="20"/>
          <w:szCs w:val="20"/>
          <w:lang w:val="en-GB" w:eastAsia="en-GB"/>
        </w:rPr>
        <w:t>Distribution of endocannabinoid system receptors in the equine hoof: dysregulation as a potential therapeutic target for laminitis</w:t>
      </w:r>
    </w:p>
    <w:p w14:paraId="06FA1206" w14:textId="77777777" w:rsidR="00251073" w:rsidRPr="00251073" w:rsidRDefault="00251073" w:rsidP="00251073">
      <w:pPr>
        <w:keepNext/>
        <w:keepLines/>
        <w:spacing w:before="280" w:after="80" w:line="480" w:lineRule="auto"/>
        <w:jc w:val="both"/>
        <w:outlineLvl w:val="2"/>
        <w:rPr>
          <w:rFonts w:ascii="Arial" w:eastAsia="Calibri" w:hAnsi="Arial" w:cs="Arial"/>
          <w:sz w:val="20"/>
          <w:szCs w:val="20"/>
          <w:lang w:val="en-GB" w:eastAsia="en-GB"/>
        </w:rPr>
      </w:pPr>
      <w:r w:rsidRPr="00251073">
        <w:rPr>
          <w:rFonts w:ascii="Arial" w:eastAsia="Calibri" w:hAnsi="Arial" w:cs="Arial"/>
          <w:sz w:val="20"/>
          <w:szCs w:val="20"/>
          <w:lang w:val="en-GB" w:eastAsia="en-GB"/>
        </w:rPr>
        <w:t>Histochemistry and Cell Biology</w:t>
      </w:r>
    </w:p>
    <w:p w14:paraId="4292230E" w14:textId="77777777" w:rsidR="00251073" w:rsidRPr="00251073" w:rsidRDefault="00251073" w:rsidP="00251073">
      <w:pPr>
        <w:keepNext/>
        <w:keepLines/>
        <w:spacing w:before="280" w:after="80" w:line="480" w:lineRule="auto"/>
        <w:jc w:val="both"/>
        <w:outlineLvl w:val="2"/>
        <w:rPr>
          <w:rFonts w:ascii="Arial" w:eastAsia="Calibri" w:hAnsi="Arial" w:cs="Arial"/>
          <w:sz w:val="20"/>
          <w:szCs w:val="20"/>
          <w:lang w:eastAsia="en-GB"/>
        </w:rPr>
      </w:pPr>
      <w:r w:rsidRPr="00251073">
        <w:rPr>
          <w:rFonts w:ascii="Arial" w:eastAsia="Calibri" w:hAnsi="Arial" w:cs="Arial"/>
          <w:sz w:val="20"/>
          <w:szCs w:val="20"/>
          <w:lang w:eastAsia="en-GB"/>
        </w:rPr>
        <w:t>Rodrigo Zamith Cunha</w:t>
      </w:r>
      <w:bookmarkStart w:id="0" w:name="_Hlk135216839"/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1,2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>*</w:t>
      </w:r>
      <w:bookmarkEnd w:id="0"/>
      <w:r w:rsidRPr="00251073">
        <w:rPr>
          <w:rFonts w:ascii="Arial" w:eastAsia="Calibri" w:hAnsi="Arial" w:cs="Arial"/>
          <w:sz w:val="20"/>
          <w:szCs w:val="20"/>
          <w:lang w:eastAsia="en-GB"/>
        </w:rPr>
        <w:t>, Francesca Gobbo</w:t>
      </w:r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1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>, Maria Morini</w:t>
      </w:r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1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>, Augusta Zannoni</w:t>
      </w:r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1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>, Carlo Mainardi</w:t>
      </w:r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1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>, Lorenzo D’arpe</w:t>
      </w:r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1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>, Alessandro Gramenzi</w:t>
      </w:r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2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>, Roberto Chiocchetti</w:t>
      </w:r>
      <w:r w:rsidRPr="00251073">
        <w:rPr>
          <w:rFonts w:ascii="Arial" w:eastAsia="Calibri" w:hAnsi="Arial" w:cs="Arial"/>
          <w:sz w:val="20"/>
          <w:szCs w:val="20"/>
          <w:vertAlign w:val="superscript"/>
          <w:lang w:eastAsia="en-GB"/>
        </w:rPr>
        <w:t>1</w:t>
      </w:r>
      <w:r w:rsidRPr="00251073">
        <w:rPr>
          <w:rFonts w:ascii="Arial" w:eastAsia="Calibri" w:hAnsi="Arial" w:cs="Arial"/>
          <w:sz w:val="20"/>
          <w:szCs w:val="20"/>
          <w:lang w:eastAsia="en-GB"/>
        </w:rPr>
        <w:t xml:space="preserve"> </w:t>
      </w:r>
    </w:p>
    <w:p w14:paraId="7B57B6BC" w14:textId="77777777" w:rsidR="00251073" w:rsidRPr="00251073" w:rsidRDefault="00251073" w:rsidP="00251073">
      <w:pPr>
        <w:keepNext/>
        <w:keepLines/>
        <w:spacing w:before="280" w:after="80" w:line="480" w:lineRule="auto"/>
        <w:jc w:val="both"/>
        <w:outlineLvl w:val="2"/>
        <w:rPr>
          <w:rFonts w:ascii="Arial" w:eastAsia="Calibri" w:hAnsi="Arial" w:cs="Arial"/>
          <w:sz w:val="20"/>
          <w:szCs w:val="20"/>
          <w:lang w:val="en-GB" w:eastAsia="en-GB"/>
        </w:rPr>
      </w:pPr>
      <w:r w:rsidRPr="00251073">
        <w:rPr>
          <w:rFonts w:ascii="Arial" w:eastAsia="Calibri" w:hAnsi="Arial" w:cs="Arial"/>
          <w:sz w:val="20"/>
          <w:szCs w:val="20"/>
          <w:vertAlign w:val="superscript"/>
          <w:lang w:val="en-GB" w:eastAsia="en-GB"/>
        </w:rPr>
        <w:t>1</w:t>
      </w:r>
      <w:r w:rsidRPr="00251073">
        <w:rPr>
          <w:rFonts w:ascii="Arial" w:eastAsia="Calibri" w:hAnsi="Arial" w:cs="Arial"/>
          <w:sz w:val="20"/>
          <w:szCs w:val="20"/>
          <w:lang w:val="en-GB" w:eastAsia="en-GB"/>
        </w:rPr>
        <w:t xml:space="preserve"> Department of Veterinary Medical Sciences (UNI EN ISO 9001:2008), University of Bologna, Italy</w:t>
      </w:r>
    </w:p>
    <w:p w14:paraId="6F0A44A7" w14:textId="77777777" w:rsidR="00251073" w:rsidRPr="00251073" w:rsidRDefault="00251073" w:rsidP="00251073">
      <w:pPr>
        <w:keepNext/>
        <w:keepLines/>
        <w:spacing w:before="280" w:after="80" w:line="480" w:lineRule="auto"/>
        <w:jc w:val="both"/>
        <w:outlineLvl w:val="2"/>
        <w:rPr>
          <w:rFonts w:ascii="Arial" w:eastAsia="Calibri" w:hAnsi="Arial" w:cs="Arial"/>
          <w:sz w:val="20"/>
          <w:szCs w:val="20"/>
          <w:lang w:val="en-GB" w:eastAsia="en-GB"/>
        </w:rPr>
      </w:pPr>
      <w:bookmarkStart w:id="1" w:name="_Hlk135139673"/>
      <w:r w:rsidRPr="00251073">
        <w:rPr>
          <w:rFonts w:ascii="Arial" w:eastAsia="Calibri" w:hAnsi="Arial" w:cs="Arial"/>
          <w:sz w:val="20"/>
          <w:szCs w:val="20"/>
          <w:vertAlign w:val="superscript"/>
          <w:lang w:val="en-GB" w:eastAsia="en-GB"/>
        </w:rPr>
        <w:t xml:space="preserve">2 </w:t>
      </w:r>
      <w:r w:rsidRPr="00251073">
        <w:rPr>
          <w:rFonts w:ascii="Arial" w:eastAsia="Calibri" w:hAnsi="Arial" w:cs="Arial"/>
          <w:sz w:val="20"/>
          <w:szCs w:val="20"/>
          <w:lang w:val="en-GB" w:eastAsia="en-GB"/>
        </w:rPr>
        <w:t xml:space="preserve">Department of Veterinary Medicine, University of </w:t>
      </w:r>
      <w:bookmarkStart w:id="2" w:name="_GoBack"/>
      <w:r w:rsidRPr="00251073">
        <w:rPr>
          <w:rFonts w:ascii="Arial" w:eastAsia="Calibri" w:hAnsi="Arial" w:cs="Arial"/>
          <w:sz w:val="20"/>
          <w:szCs w:val="20"/>
          <w:lang w:val="en-GB" w:eastAsia="en-GB"/>
        </w:rPr>
        <w:t>Teramo</w:t>
      </w:r>
      <w:bookmarkEnd w:id="2"/>
      <w:r w:rsidRPr="00251073">
        <w:rPr>
          <w:rFonts w:ascii="Arial" w:eastAsia="Calibri" w:hAnsi="Arial" w:cs="Arial"/>
          <w:sz w:val="20"/>
          <w:szCs w:val="20"/>
          <w:lang w:val="en-GB" w:eastAsia="en-GB"/>
        </w:rPr>
        <w:t>, Teramo, Italy</w:t>
      </w:r>
    </w:p>
    <w:bookmarkEnd w:id="1"/>
    <w:p w14:paraId="77F8AC55" w14:textId="77777777" w:rsidR="00251073" w:rsidRPr="00251073" w:rsidRDefault="00251073" w:rsidP="00251073">
      <w:pPr>
        <w:keepNext/>
        <w:keepLines/>
        <w:spacing w:before="280" w:after="80" w:line="480" w:lineRule="auto"/>
        <w:jc w:val="both"/>
        <w:outlineLvl w:val="2"/>
        <w:rPr>
          <w:rFonts w:ascii="Arial" w:eastAsia="Calibri" w:hAnsi="Arial" w:cs="Arial"/>
          <w:sz w:val="20"/>
          <w:szCs w:val="20"/>
          <w:lang w:val="en-GB" w:eastAsia="en-GB"/>
        </w:rPr>
      </w:pPr>
      <w:r w:rsidRPr="00251073">
        <w:rPr>
          <w:rFonts w:ascii="Arial" w:eastAsia="Calibri" w:hAnsi="Arial" w:cs="Arial"/>
          <w:sz w:val="20"/>
          <w:szCs w:val="20"/>
          <w:lang w:val="en-GB" w:eastAsia="en-GB"/>
        </w:rPr>
        <w:t xml:space="preserve">* Corresponding author email: rodrigo.zamithcunha@studio.unibo.it </w:t>
      </w:r>
    </w:p>
    <w:p w14:paraId="067A87C5" w14:textId="77777777" w:rsidR="00251073" w:rsidRDefault="00251073" w:rsidP="00DB082B">
      <w:pPr>
        <w:keepNext/>
        <w:keepLines/>
        <w:spacing w:before="280" w:after="80"/>
        <w:jc w:val="both"/>
        <w:outlineLvl w:val="2"/>
        <w:rPr>
          <w:rFonts w:ascii="Arial" w:eastAsia="Calibri" w:hAnsi="Arial" w:cs="Arial"/>
          <w:b/>
          <w:sz w:val="20"/>
          <w:szCs w:val="20"/>
          <w:lang w:val="en-GB" w:eastAsia="en-GB"/>
        </w:rPr>
      </w:pPr>
    </w:p>
    <w:p w14:paraId="0CF229FF" w14:textId="3FB46459" w:rsidR="00DB082B" w:rsidRPr="00DB082B" w:rsidRDefault="00DB082B" w:rsidP="00DB082B">
      <w:pPr>
        <w:keepNext/>
        <w:keepLines/>
        <w:spacing w:before="280" w:after="80"/>
        <w:jc w:val="both"/>
        <w:outlineLvl w:val="2"/>
        <w:rPr>
          <w:rFonts w:ascii="Arial" w:eastAsia="Calibri" w:hAnsi="Arial" w:cs="Arial"/>
          <w:bCs/>
          <w:sz w:val="20"/>
          <w:szCs w:val="20"/>
          <w:lang w:val="en-GB" w:eastAsia="it-IT"/>
        </w:rPr>
      </w:pPr>
      <w:r w:rsidRPr="00DB082B">
        <w:rPr>
          <w:rFonts w:ascii="Arial" w:eastAsia="Calibri" w:hAnsi="Arial" w:cs="Arial"/>
          <w:b/>
          <w:sz w:val="20"/>
          <w:szCs w:val="20"/>
          <w:lang w:val="en-GB" w:eastAsia="en-GB"/>
        </w:rPr>
        <w:t xml:space="preserve">Supplementary item </w:t>
      </w:r>
      <w:r w:rsidR="008251E2">
        <w:rPr>
          <w:rFonts w:ascii="Arial" w:eastAsia="Calibri" w:hAnsi="Arial" w:cs="Arial"/>
          <w:b/>
          <w:sz w:val="20"/>
          <w:szCs w:val="20"/>
          <w:lang w:val="en-GB" w:eastAsia="en-GB"/>
        </w:rPr>
        <w:t>3</w:t>
      </w:r>
      <w:r w:rsidRPr="00DB082B">
        <w:rPr>
          <w:rFonts w:ascii="Arial" w:eastAsia="Calibri" w:hAnsi="Arial" w:cs="Arial"/>
          <w:bCs/>
          <w:sz w:val="20"/>
          <w:szCs w:val="20"/>
          <w:lang w:val="en-GB" w:eastAsia="en-GB"/>
        </w:rPr>
        <w:t xml:space="preserve"> - Statistical Results for Immunoreactivity Comparisons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8"/>
        <w:gridCol w:w="2729"/>
        <w:gridCol w:w="3585"/>
        <w:gridCol w:w="945"/>
        <w:gridCol w:w="1139"/>
      </w:tblGrid>
      <w:tr w:rsidR="00DB082B" w:rsidRPr="00DB082B" w14:paraId="312343E9" w14:textId="77777777" w:rsidTr="00001B5F">
        <w:tc>
          <w:tcPr>
            <w:tcW w:w="0" w:type="auto"/>
            <w:shd w:val="clear" w:color="auto" w:fill="auto"/>
            <w:hideMark/>
          </w:tcPr>
          <w:p w14:paraId="4141E4B1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Receptor</w:t>
            </w:r>
          </w:p>
        </w:tc>
        <w:tc>
          <w:tcPr>
            <w:tcW w:w="0" w:type="auto"/>
            <w:shd w:val="clear" w:color="auto" w:fill="auto"/>
            <w:hideMark/>
          </w:tcPr>
          <w:p w14:paraId="17EF37F7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Comparison</w:t>
            </w:r>
          </w:p>
        </w:tc>
        <w:tc>
          <w:tcPr>
            <w:tcW w:w="0" w:type="auto"/>
            <w:shd w:val="clear" w:color="auto" w:fill="auto"/>
            <w:hideMark/>
          </w:tcPr>
          <w:p w14:paraId="4F42B427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95% Confidence Interval of Difference</w:t>
            </w:r>
          </w:p>
        </w:tc>
        <w:tc>
          <w:tcPr>
            <w:tcW w:w="0" w:type="auto"/>
            <w:shd w:val="clear" w:color="auto" w:fill="auto"/>
            <w:hideMark/>
          </w:tcPr>
          <w:p w14:paraId="4D06299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P Value</w:t>
            </w:r>
          </w:p>
        </w:tc>
        <w:tc>
          <w:tcPr>
            <w:tcW w:w="0" w:type="auto"/>
            <w:shd w:val="clear" w:color="auto" w:fill="auto"/>
            <w:hideMark/>
          </w:tcPr>
          <w:p w14:paraId="00755AA6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Significant</w:t>
            </w:r>
          </w:p>
        </w:tc>
      </w:tr>
      <w:tr w:rsidR="00DB082B" w:rsidRPr="00DB082B" w14:paraId="364B27FE" w14:textId="77777777" w:rsidTr="00001B5F">
        <w:tc>
          <w:tcPr>
            <w:tcW w:w="0" w:type="auto"/>
            <w:vMerge w:val="restart"/>
            <w:shd w:val="clear" w:color="auto" w:fill="auto"/>
            <w:hideMark/>
          </w:tcPr>
          <w:p w14:paraId="30F0FE9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CB1R</w:t>
            </w:r>
          </w:p>
        </w:tc>
        <w:tc>
          <w:tcPr>
            <w:tcW w:w="0" w:type="auto"/>
            <w:shd w:val="clear" w:color="auto" w:fill="auto"/>
            <w:hideMark/>
          </w:tcPr>
          <w:p w14:paraId="2862B324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HL x Abaxial HL</w:t>
            </w:r>
          </w:p>
        </w:tc>
        <w:tc>
          <w:tcPr>
            <w:tcW w:w="0" w:type="auto"/>
            <w:shd w:val="clear" w:color="auto" w:fill="auto"/>
            <w:hideMark/>
          </w:tcPr>
          <w:p w14:paraId="6D7F3F95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-1522 to 2545</w:t>
            </w:r>
          </w:p>
        </w:tc>
        <w:tc>
          <w:tcPr>
            <w:tcW w:w="0" w:type="auto"/>
            <w:shd w:val="clear" w:color="auto" w:fill="auto"/>
            <w:hideMark/>
          </w:tcPr>
          <w:p w14:paraId="45B734F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0.4818</w:t>
            </w:r>
          </w:p>
        </w:tc>
        <w:tc>
          <w:tcPr>
            <w:tcW w:w="0" w:type="auto"/>
            <w:shd w:val="clear" w:color="auto" w:fill="auto"/>
            <w:hideMark/>
          </w:tcPr>
          <w:p w14:paraId="2077FDA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5133791E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7C4A0ED1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0275612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ALL x Abaxial ALL</w:t>
            </w:r>
          </w:p>
        </w:tc>
        <w:tc>
          <w:tcPr>
            <w:tcW w:w="0" w:type="auto"/>
            <w:shd w:val="clear" w:color="auto" w:fill="auto"/>
            <w:hideMark/>
          </w:tcPr>
          <w:p w14:paraId="401DCAF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-21808 to 6745</w:t>
            </w:r>
          </w:p>
        </w:tc>
        <w:tc>
          <w:tcPr>
            <w:tcW w:w="0" w:type="auto"/>
            <w:shd w:val="clear" w:color="auto" w:fill="auto"/>
            <w:hideMark/>
          </w:tcPr>
          <w:p w14:paraId="5200BBE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0.1918</w:t>
            </w:r>
          </w:p>
        </w:tc>
        <w:tc>
          <w:tcPr>
            <w:tcW w:w="0" w:type="auto"/>
            <w:shd w:val="clear" w:color="auto" w:fill="auto"/>
            <w:hideMark/>
          </w:tcPr>
          <w:p w14:paraId="01345F2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55C0B92B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3EBA49D8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BAFAF86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CLL x Abaxial CLL</w:t>
            </w:r>
          </w:p>
        </w:tc>
        <w:tc>
          <w:tcPr>
            <w:tcW w:w="0" w:type="auto"/>
            <w:shd w:val="clear" w:color="auto" w:fill="auto"/>
            <w:hideMark/>
          </w:tcPr>
          <w:p w14:paraId="6DED692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-10446 to 4096</w:t>
            </w:r>
          </w:p>
        </w:tc>
        <w:tc>
          <w:tcPr>
            <w:tcW w:w="0" w:type="auto"/>
            <w:shd w:val="clear" w:color="auto" w:fill="auto"/>
            <w:hideMark/>
          </w:tcPr>
          <w:p w14:paraId="47E86705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0.3264</w:t>
            </w:r>
          </w:p>
        </w:tc>
        <w:tc>
          <w:tcPr>
            <w:tcW w:w="0" w:type="auto"/>
            <w:shd w:val="clear" w:color="auto" w:fill="auto"/>
            <w:hideMark/>
          </w:tcPr>
          <w:p w14:paraId="39C500E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64C2EACB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5D8C8E3F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439E8BD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 xml:space="preserve"> HL vs. ALL</w:t>
            </w:r>
          </w:p>
        </w:tc>
        <w:tc>
          <w:tcPr>
            <w:tcW w:w="0" w:type="auto"/>
            <w:shd w:val="clear" w:color="auto" w:fill="auto"/>
            <w:hideMark/>
          </w:tcPr>
          <w:p w14:paraId="6CA2A367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-31796 to -44.78</w:t>
            </w:r>
          </w:p>
        </w:tc>
        <w:tc>
          <w:tcPr>
            <w:tcW w:w="0" w:type="auto"/>
            <w:shd w:val="clear" w:color="auto" w:fill="auto"/>
            <w:hideMark/>
          </w:tcPr>
          <w:p w14:paraId="3663934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0.0489</w:t>
            </w:r>
          </w:p>
        </w:tc>
        <w:tc>
          <w:tcPr>
            <w:tcW w:w="0" w:type="auto"/>
            <w:shd w:val="clear" w:color="auto" w:fill="auto"/>
            <w:hideMark/>
          </w:tcPr>
          <w:p w14:paraId="251654E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252AFABA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24B64A4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04C9283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 xml:space="preserve"> HL vs. CLL</w:t>
            </w:r>
          </w:p>
        </w:tc>
        <w:tc>
          <w:tcPr>
            <w:tcW w:w="0" w:type="auto"/>
            <w:shd w:val="clear" w:color="auto" w:fill="auto"/>
            <w:hideMark/>
          </w:tcPr>
          <w:p w14:paraId="149D63B7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-16004 to 12140</w:t>
            </w:r>
          </w:p>
        </w:tc>
        <w:tc>
          <w:tcPr>
            <w:tcW w:w="0" w:type="auto"/>
            <w:shd w:val="clear" w:color="auto" w:fill="auto"/>
            <w:hideMark/>
          </w:tcPr>
          <w:p w14:paraId="750718D4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0.8169</w:t>
            </w:r>
          </w:p>
        </w:tc>
        <w:tc>
          <w:tcPr>
            <w:tcW w:w="0" w:type="auto"/>
            <w:shd w:val="clear" w:color="auto" w:fill="auto"/>
            <w:hideMark/>
          </w:tcPr>
          <w:p w14:paraId="2C5071D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73740D96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7CE173F4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02A554B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ALL vs. CLL</w:t>
            </w:r>
          </w:p>
        </w:tc>
        <w:tc>
          <w:tcPr>
            <w:tcW w:w="0" w:type="auto"/>
            <w:shd w:val="clear" w:color="auto" w:fill="auto"/>
            <w:hideMark/>
          </w:tcPr>
          <w:p w14:paraId="23170F9D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-83.74 to 28060</w:t>
            </w:r>
          </w:p>
        </w:tc>
        <w:tc>
          <w:tcPr>
            <w:tcW w:w="0" w:type="auto"/>
            <w:shd w:val="clear" w:color="auto" w:fill="auto"/>
            <w:hideMark/>
          </w:tcPr>
          <w:p w14:paraId="46BECD21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0.0699</w:t>
            </w:r>
          </w:p>
        </w:tc>
        <w:tc>
          <w:tcPr>
            <w:tcW w:w="0" w:type="auto"/>
            <w:shd w:val="clear" w:color="auto" w:fill="auto"/>
            <w:hideMark/>
          </w:tcPr>
          <w:p w14:paraId="20D055B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344EC91B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463A2CB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0D2B183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 xml:space="preserve"> HL vs. CLL UP</w:t>
            </w:r>
          </w:p>
        </w:tc>
        <w:tc>
          <w:tcPr>
            <w:tcW w:w="0" w:type="auto"/>
            <w:shd w:val="clear" w:color="auto" w:fill="auto"/>
            <w:hideMark/>
          </w:tcPr>
          <w:p w14:paraId="6DF0D58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-17432 to -4337</w:t>
            </w:r>
          </w:p>
        </w:tc>
        <w:tc>
          <w:tcPr>
            <w:tcW w:w="0" w:type="auto"/>
            <w:shd w:val="clear" w:color="auto" w:fill="auto"/>
            <w:hideMark/>
          </w:tcPr>
          <w:p w14:paraId="4B3CFF0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0.0010</w:t>
            </w:r>
          </w:p>
        </w:tc>
        <w:tc>
          <w:tcPr>
            <w:tcW w:w="0" w:type="auto"/>
            <w:shd w:val="clear" w:color="auto" w:fill="auto"/>
            <w:hideMark/>
          </w:tcPr>
          <w:p w14:paraId="7E0F842E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0F3BF683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4D85D5F8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26E57AC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 xml:space="preserve"> HL vs. CLL DOWN</w:t>
            </w:r>
          </w:p>
        </w:tc>
        <w:tc>
          <w:tcPr>
            <w:tcW w:w="0" w:type="auto"/>
            <w:shd w:val="clear" w:color="auto" w:fill="auto"/>
            <w:hideMark/>
          </w:tcPr>
          <w:p w14:paraId="7E262D6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4160 to 15850</w:t>
            </w:r>
          </w:p>
        </w:tc>
        <w:tc>
          <w:tcPr>
            <w:tcW w:w="0" w:type="auto"/>
            <w:shd w:val="clear" w:color="auto" w:fill="auto"/>
            <w:hideMark/>
          </w:tcPr>
          <w:p w14:paraId="19A808E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0.0031</w:t>
            </w:r>
          </w:p>
        </w:tc>
        <w:tc>
          <w:tcPr>
            <w:tcW w:w="0" w:type="auto"/>
            <w:shd w:val="clear" w:color="auto" w:fill="auto"/>
            <w:hideMark/>
          </w:tcPr>
          <w:p w14:paraId="5E69786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722103C6" w14:textId="77777777" w:rsidTr="00001B5F">
        <w:tc>
          <w:tcPr>
            <w:tcW w:w="0" w:type="auto"/>
            <w:vMerge w:val="restart"/>
            <w:shd w:val="clear" w:color="auto" w:fill="auto"/>
            <w:hideMark/>
          </w:tcPr>
          <w:p w14:paraId="0A6CA7D4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CB2R</w:t>
            </w:r>
          </w:p>
        </w:tc>
        <w:tc>
          <w:tcPr>
            <w:tcW w:w="0" w:type="auto"/>
            <w:shd w:val="clear" w:color="auto" w:fill="auto"/>
            <w:hideMark/>
          </w:tcPr>
          <w:p w14:paraId="056F3840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HL x Abaxial HL</w:t>
            </w:r>
          </w:p>
        </w:tc>
        <w:tc>
          <w:tcPr>
            <w:tcW w:w="0" w:type="auto"/>
            <w:shd w:val="clear" w:color="auto" w:fill="auto"/>
            <w:hideMark/>
          </w:tcPr>
          <w:p w14:paraId="16CDA6A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-2837 to 7851</w:t>
            </w:r>
          </w:p>
        </w:tc>
        <w:tc>
          <w:tcPr>
            <w:tcW w:w="0" w:type="auto"/>
            <w:shd w:val="clear" w:color="auto" w:fill="auto"/>
            <w:hideMark/>
          </w:tcPr>
          <w:p w14:paraId="6A7E0484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0.2323</w:t>
            </w:r>
          </w:p>
        </w:tc>
        <w:tc>
          <w:tcPr>
            <w:tcW w:w="0" w:type="auto"/>
            <w:shd w:val="clear" w:color="auto" w:fill="auto"/>
            <w:hideMark/>
          </w:tcPr>
          <w:p w14:paraId="7F80253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2F35E9CB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779ABDBC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66DCA6A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ALL x Abaxial ALL</w:t>
            </w:r>
          </w:p>
        </w:tc>
        <w:tc>
          <w:tcPr>
            <w:tcW w:w="0" w:type="auto"/>
            <w:shd w:val="clear" w:color="auto" w:fill="auto"/>
            <w:hideMark/>
          </w:tcPr>
          <w:p w14:paraId="3CFAF463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-4720 to 17229</w:t>
            </w:r>
          </w:p>
        </w:tc>
        <w:tc>
          <w:tcPr>
            <w:tcW w:w="0" w:type="auto"/>
            <w:shd w:val="clear" w:color="auto" w:fill="auto"/>
            <w:hideMark/>
          </w:tcPr>
          <w:p w14:paraId="027E566E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0.1674</w:t>
            </w:r>
          </w:p>
        </w:tc>
        <w:tc>
          <w:tcPr>
            <w:tcW w:w="0" w:type="auto"/>
            <w:shd w:val="clear" w:color="auto" w:fill="auto"/>
            <w:hideMark/>
          </w:tcPr>
          <w:p w14:paraId="43C672FB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5226F02E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4256DCB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95E8618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CLL x Abaxial CLL</w:t>
            </w:r>
          </w:p>
        </w:tc>
        <w:tc>
          <w:tcPr>
            <w:tcW w:w="0" w:type="auto"/>
            <w:shd w:val="clear" w:color="auto" w:fill="auto"/>
            <w:hideMark/>
          </w:tcPr>
          <w:p w14:paraId="5A4AF4E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-6106 to 18312</w:t>
            </w:r>
          </w:p>
        </w:tc>
        <w:tc>
          <w:tcPr>
            <w:tcW w:w="0" w:type="auto"/>
            <w:shd w:val="clear" w:color="auto" w:fill="auto"/>
            <w:hideMark/>
          </w:tcPr>
          <w:p w14:paraId="08A10B06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0.2671</w:t>
            </w:r>
          </w:p>
        </w:tc>
        <w:tc>
          <w:tcPr>
            <w:tcW w:w="0" w:type="auto"/>
            <w:shd w:val="clear" w:color="auto" w:fill="auto"/>
            <w:hideMark/>
          </w:tcPr>
          <w:p w14:paraId="253089E6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5EF87956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3AD8F45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021BEF0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 xml:space="preserve"> HL vs. ALL</w:t>
            </w:r>
          </w:p>
        </w:tc>
        <w:tc>
          <w:tcPr>
            <w:tcW w:w="0" w:type="auto"/>
            <w:shd w:val="clear" w:color="auto" w:fill="auto"/>
            <w:hideMark/>
          </w:tcPr>
          <w:p w14:paraId="19A6CC2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-52475 to -16793</w:t>
            </w:r>
          </w:p>
        </w:tc>
        <w:tc>
          <w:tcPr>
            <w:tcW w:w="0" w:type="auto"/>
            <w:shd w:val="clear" w:color="auto" w:fill="auto"/>
            <w:hideMark/>
          </w:tcPr>
          <w:p w14:paraId="2EF32BF8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0.0005</w:t>
            </w:r>
          </w:p>
        </w:tc>
        <w:tc>
          <w:tcPr>
            <w:tcW w:w="0" w:type="auto"/>
            <w:shd w:val="clear" w:color="auto" w:fill="auto"/>
            <w:hideMark/>
          </w:tcPr>
          <w:p w14:paraId="41EA923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099BFA5E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7D53AFE8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E90450E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 xml:space="preserve"> HL vs. CLL</w:t>
            </w:r>
          </w:p>
        </w:tc>
        <w:tc>
          <w:tcPr>
            <w:tcW w:w="0" w:type="auto"/>
            <w:shd w:val="clear" w:color="auto" w:fill="auto"/>
            <w:hideMark/>
          </w:tcPr>
          <w:p w14:paraId="4FB5E19B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-30657 to 971.4</w:t>
            </w:r>
          </w:p>
        </w:tc>
        <w:tc>
          <w:tcPr>
            <w:tcW w:w="0" w:type="auto"/>
            <w:shd w:val="clear" w:color="auto" w:fill="auto"/>
            <w:hideMark/>
          </w:tcPr>
          <w:p w14:paraId="0F9CE801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0.0828</w:t>
            </w:r>
          </w:p>
        </w:tc>
        <w:tc>
          <w:tcPr>
            <w:tcW w:w="0" w:type="auto"/>
            <w:shd w:val="clear" w:color="auto" w:fill="auto"/>
            <w:hideMark/>
          </w:tcPr>
          <w:p w14:paraId="117D290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670625A9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3FE08F30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4E1F044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ALL vs. CLL</w:t>
            </w:r>
          </w:p>
        </w:tc>
        <w:tc>
          <w:tcPr>
            <w:tcW w:w="0" w:type="auto"/>
            <w:shd w:val="clear" w:color="auto" w:fill="auto"/>
            <w:hideMark/>
          </w:tcPr>
          <w:p w14:paraId="0ACB33A7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3977 to 35605</w:t>
            </w:r>
          </w:p>
        </w:tc>
        <w:tc>
          <w:tcPr>
            <w:tcW w:w="0" w:type="auto"/>
            <w:shd w:val="clear" w:color="auto" w:fill="auto"/>
            <w:hideMark/>
          </w:tcPr>
          <w:p w14:paraId="30894411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0.0079</w:t>
            </w:r>
          </w:p>
        </w:tc>
        <w:tc>
          <w:tcPr>
            <w:tcW w:w="0" w:type="auto"/>
            <w:shd w:val="clear" w:color="auto" w:fill="auto"/>
            <w:hideMark/>
          </w:tcPr>
          <w:p w14:paraId="1D05151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20F09738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71DFA13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2B39304C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 xml:space="preserve"> HL vs. CLL UP</w:t>
            </w:r>
          </w:p>
        </w:tc>
        <w:tc>
          <w:tcPr>
            <w:tcW w:w="0" w:type="auto"/>
            <w:shd w:val="clear" w:color="auto" w:fill="auto"/>
            <w:hideMark/>
          </w:tcPr>
          <w:p w14:paraId="4BFEA1C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-35655 to -9412</w:t>
            </w:r>
          </w:p>
        </w:tc>
        <w:tc>
          <w:tcPr>
            <w:tcW w:w="0" w:type="auto"/>
            <w:shd w:val="clear" w:color="auto" w:fill="auto"/>
            <w:hideMark/>
          </w:tcPr>
          <w:p w14:paraId="02907AA1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0.0114</w:t>
            </w:r>
          </w:p>
        </w:tc>
        <w:tc>
          <w:tcPr>
            <w:tcW w:w="0" w:type="auto"/>
            <w:shd w:val="clear" w:color="auto" w:fill="auto"/>
            <w:hideMark/>
          </w:tcPr>
          <w:p w14:paraId="7BBD1C38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66BE32D9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48E60819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BD18F3C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 xml:space="preserve"> HL vs. CLL NO</w:t>
            </w:r>
          </w:p>
        </w:tc>
        <w:tc>
          <w:tcPr>
            <w:tcW w:w="0" w:type="auto"/>
            <w:shd w:val="clear" w:color="auto" w:fill="auto"/>
            <w:hideMark/>
          </w:tcPr>
          <w:p w14:paraId="7170B6B4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-19524 to 9638</w:t>
            </w:r>
          </w:p>
        </w:tc>
        <w:tc>
          <w:tcPr>
            <w:tcW w:w="0" w:type="auto"/>
            <w:shd w:val="clear" w:color="auto" w:fill="auto"/>
            <w:hideMark/>
          </w:tcPr>
          <w:p w14:paraId="0C1E034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0.5609</w:t>
            </w:r>
          </w:p>
        </w:tc>
        <w:tc>
          <w:tcPr>
            <w:tcW w:w="0" w:type="auto"/>
            <w:shd w:val="clear" w:color="auto" w:fill="auto"/>
            <w:hideMark/>
          </w:tcPr>
          <w:p w14:paraId="7670F6EF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532D1DB2" w14:textId="77777777" w:rsidTr="00001B5F">
        <w:tc>
          <w:tcPr>
            <w:tcW w:w="0" w:type="auto"/>
            <w:vMerge w:val="restart"/>
            <w:shd w:val="clear" w:color="auto" w:fill="auto"/>
            <w:hideMark/>
          </w:tcPr>
          <w:p w14:paraId="29B18AC5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GPR55</w:t>
            </w:r>
          </w:p>
        </w:tc>
        <w:tc>
          <w:tcPr>
            <w:tcW w:w="0" w:type="auto"/>
            <w:shd w:val="clear" w:color="auto" w:fill="auto"/>
            <w:hideMark/>
          </w:tcPr>
          <w:p w14:paraId="1B257C8A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HL x Abaxial HL</w:t>
            </w:r>
          </w:p>
        </w:tc>
        <w:tc>
          <w:tcPr>
            <w:tcW w:w="0" w:type="auto"/>
            <w:shd w:val="clear" w:color="auto" w:fill="auto"/>
            <w:hideMark/>
          </w:tcPr>
          <w:p w14:paraId="08276CDD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2277 to 16550</w:t>
            </w:r>
          </w:p>
        </w:tc>
        <w:tc>
          <w:tcPr>
            <w:tcW w:w="0" w:type="auto"/>
            <w:shd w:val="clear" w:color="auto" w:fill="auto"/>
            <w:hideMark/>
          </w:tcPr>
          <w:p w14:paraId="6B880CA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0.0247</w:t>
            </w:r>
          </w:p>
        </w:tc>
        <w:tc>
          <w:tcPr>
            <w:tcW w:w="0" w:type="auto"/>
            <w:shd w:val="clear" w:color="auto" w:fill="auto"/>
            <w:hideMark/>
          </w:tcPr>
          <w:p w14:paraId="5D59A573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4DA91D1E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04D9053E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14AACB41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Abaxial CLL vs. Axial CLL</w:t>
            </w:r>
          </w:p>
        </w:tc>
        <w:tc>
          <w:tcPr>
            <w:tcW w:w="0" w:type="auto"/>
            <w:shd w:val="clear" w:color="auto" w:fill="auto"/>
            <w:hideMark/>
          </w:tcPr>
          <w:p w14:paraId="77444B23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-14313 to 15.56</w:t>
            </w:r>
          </w:p>
        </w:tc>
        <w:tc>
          <w:tcPr>
            <w:tcW w:w="0" w:type="auto"/>
            <w:shd w:val="clear" w:color="auto" w:fill="auto"/>
            <w:hideMark/>
          </w:tcPr>
          <w:p w14:paraId="12036558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0.0170</w:t>
            </w:r>
          </w:p>
        </w:tc>
        <w:tc>
          <w:tcPr>
            <w:tcW w:w="0" w:type="auto"/>
            <w:shd w:val="clear" w:color="auto" w:fill="auto"/>
            <w:hideMark/>
          </w:tcPr>
          <w:p w14:paraId="27539C8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727DE657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6BCEF09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CF007B9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Abaxial ALL vs. Axial ALL</w:t>
            </w:r>
          </w:p>
        </w:tc>
        <w:tc>
          <w:tcPr>
            <w:tcW w:w="0" w:type="auto"/>
            <w:shd w:val="clear" w:color="auto" w:fill="auto"/>
            <w:hideMark/>
          </w:tcPr>
          <w:p w14:paraId="1F65399F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-17170 to 1785</w:t>
            </w:r>
          </w:p>
        </w:tc>
        <w:tc>
          <w:tcPr>
            <w:tcW w:w="0" w:type="auto"/>
            <w:shd w:val="clear" w:color="auto" w:fill="auto"/>
            <w:hideMark/>
          </w:tcPr>
          <w:p w14:paraId="09605485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0.1326</w:t>
            </w:r>
          </w:p>
        </w:tc>
        <w:tc>
          <w:tcPr>
            <w:tcW w:w="0" w:type="auto"/>
            <w:shd w:val="clear" w:color="auto" w:fill="auto"/>
            <w:hideMark/>
          </w:tcPr>
          <w:p w14:paraId="4F9717EE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302BF549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62FA927C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41D29B0E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Abaxial HL vs. Abaxial ALL</w:t>
            </w:r>
          </w:p>
        </w:tc>
        <w:tc>
          <w:tcPr>
            <w:tcW w:w="0" w:type="auto"/>
            <w:shd w:val="clear" w:color="auto" w:fill="auto"/>
            <w:hideMark/>
          </w:tcPr>
          <w:p w14:paraId="4793332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-31700 to -12745</w:t>
            </w:r>
          </w:p>
        </w:tc>
        <w:tc>
          <w:tcPr>
            <w:tcW w:w="0" w:type="auto"/>
            <w:shd w:val="clear" w:color="auto" w:fill="auto"/>
            <w:hideMark/>
          </w:tcPr>
          <w:p w14:paraId="751EAC3E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&lt;0.0001</w:t>
            </w:r>
          </w:p>
        </w:tc>
        <w:tc>
          <w:tcPr>
            <w:tcW w:w="0" w:type="auto"/>
            <w:shd w:val="clear" w:color="auto" w:fill="auto"/>
            <w:hideMark/>
          </w:tcPr>
          <w:p w14:paraId="34C2CC7F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03F4E3BF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216DC07F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0A7E8CD9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Abaxial HL vs. Abaxial CLL</w:t>
            </w:r>
          </w:p>
        </w:tc>
        <w:tc>
          <w:tcPr>
            <w:tcW w:w="0" w:type="auto"/>
            <w:shd w:val="clear" w:color="auto" w:fill="auto"/>
            <w:hideMark/>
          </w:tcPr>
          <w:p w14:paraId="33EE29F7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-13808 to 2993</w:t>
            </w:r>
          </w:p>
        </w:tc>
        <w:tc>
          <w:tcPr>
            <w:tcW w:w="0" w:type="auto"/>
            <w:shd w:val="clear" w:color="auto" w:fill="auto"/>
            <w:hideMark/>
          </w:tcPr>
          <w:p w14:paraId="52CCA6FF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0.3624</w:t>
            </w:r>
          </w:p>
        </w:tc>
        <w:tc>
          <w:tcPr>
            <w:tcW w:w="0" w:type="auto"/>
            <w:shd w:val="clear" w:color="auto" w:fill="auto"/>
            <w:hideMark/>
          </w:tcPr>
          <w:p w14:paraId="102F5C4E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1233FCA6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64D1CDD5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FD24E1A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HL vs. Axial ALL</w:t>
            </w:r>
          </w:p>
        </w:tc>
        <w:tc>
          <w:tcPr>
            <w:tcW w:w="0" w:type="auto"/>
            <w:shd w:val="clear" w:color="auto" w:fill="auto"/>
            <w:hideMark/>
          </w:tcPr>
          <w:p w14:paraId="220B209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-29979 to -11024</w:t>
            </w:r>
          </w:p>
        </w:tc>
        <w:tc>
          <w:tcPr>
            <w:tcW w:w="0" w:type="auto"/>
            <w:shd w:val="clear" w:color="auto" w:fill="auto"/>
            <w:hideMark/>
          </w:tcPr>
          <w:p w14:paraId="1FEE6FAA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&lt;0.0001</w:t>
            </w:r>
          </w:p>
        </w:tc>
        <w:tc>
          <w:tcPr>
            <w:tcW w:w="0" w:type="auto"/>
            <w:shd w:val="clear" w:color="auto" w:fill="auto"/>
            <w:hideMark/>
          </w:tcPr>
          <w:p w14:paraId="193E9DAF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2DFFFD50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6F701703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A2FBC76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HL vs. Axial CLL</w:t>
            </w:r>
          </w:p>
        </w:tc>
        <w:tc>
          <w:tcPr>
            <w:tcW w:w="0" w:type="auto"/>
            <w:shd w:val="clear" w:color="auto" w:fill="auto"/>
            <w:hideMark/>
          </w:tcPr>
          <w:p w14:paraId="545DC3C6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-11544 to 5258</w:t>
            </w:r>
          </w:p>
        </w:tc>
        <w:tc>
          <w:tcPr>
            <w:tcW w:w="0" w:type="auto"/>
            <w:shd w:val="clear" w:color="auto" w:fill="auto"/>
            <w:hideMark/>
          </w:tcPr>
          <w:p w14:paraId="2C2C52A8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0.5665</w:t>
            </w:r>
          </w:p>
        </w:tc>
        <w:tc>
          <w:tcPr>
            <w:tcW w:w="0" w:type="auto"/>
            <w:shd w:val="clear" w:color="auto" w:fill="auto"/>
            <w:hideMark/>
          </w:tcPr>
          <w:p w14:paraId="3B6BB4B3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No</w:t>
            </w:r>
          </w:p>
        </w:tc>
      </w:tr>
      <w:tr w:rsidR="00DB082B" w:rsidRPr="00DB082B" w14:paraId="54FD8F80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50A5A813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7E2DBBB6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Axial ALL vs. Axial CLL</w:t>
            </w:r>
          </w:p>
        </w:tc>
        <w:tc>
          <w:tcPr>
            <w:tcW w:w="0" w:type="auto"/>
            <w:shd w:val="clear" w:color="auto" w:fill="auto"/>
            <w:hideMark/>
          </w:tcPr>
          <w:p w14:paraId="3B873B04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8958 to 25760</w:t>
            </w:r>
          </w:p>
        </w:tc>
        <w:tc>
          <w:tcPr>
            <w:tcW w:w="0" w:type="auto"/>
            <w:shd w:val="clear" w:color="auto" w:fill="auto"/>
            <w:hideMark/>
          </w:tcPr>
          <w:p w14:paraId="4DEFD2B5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&lt;0.0001</w:t>
            </w:r>
          </w:p>
        </w:tc>
        <w:tc>
          <w:tcPr>
            <w:tcW w:w="0" w:type="auto"/>
            <w:shd w:val="clear" w:color="auto" w:fill="auto"/>
            <w:hideMark/>
          </w:tcPr>
          <w:p w14:paraId="047343D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  <w:tr w:rsidR="00DB082B" w:rsidRPr="00DB082B" w14:paraId="4E6FA7A5" w14:textId="77777777" w:rsidTr="00001B5F">
        <w:tc>
          <w:tcPr>
            <w:tcW w:w="0" w:type="auto"/>
            <w:vMerge/>
            <w:shd w:val="clear" w:color="auto" w:fill="auto"/>
            <w:hideMark/>
          </w:tcPr>
          <w:p w14:paraId="1E7714E4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59693E2D" w14:textId="77777777" w:rsidR="00DB082B" w:rsidRPr="00DB082B" w:rsidRDefault="00DB082B" w:rsidP="00DB082B">
            <w:pPr>
              <w:jc w:val="both"/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val="en-GB" w:eastAsia="en-GB"/>
              </w:rPr>
              <w:t>Abaxial ALL vs. Abaxial CLL</w:t>
            </w:r>
          </w:p>
        </w:tc>
        <w:tc>
          <w:tcPr>
            <w:tcW w:w="0" w:type="auto"/>
            <w:shd w:val="clear" w:color="auto" w:fill="auto"/>
            <w:hideMark/>
          </w:tcPr>
          <w:p w14:paraId="35832BE6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8414 to 25216</w:t>
            </w:r>
          </w:p>
        </w:tc>
        <w:tc>
          <w:tcPr>
            <w:tcW w:w="0" w:type="auto"/>
            <w:shd w:val="clear" w:color="auto" w:fill="auto"/>
            <w:hideMark/>
          </w:tcPr>
          <w:p w14:paraId="0437F172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&lt;0.0001</w:t>
            </w:r>
          </w:p>
        </w:tc>
        <w:tc>
          <w:tcPr>
            <w:tcW w:w="0" w:type="auto"/>
            <w:shd w:val="clear" w:color="auto" w:fill="auto"/>
            <w:hideMark/>
          </w:tcPr>
          <w:p w14:paraId="7136628D" w14:textId="77777777" w:rsidR="00DB082B" w:rsidRPr="00DB082B" w:rsidRDefault="00DB082B" w:rsidP="00DB082B">
            <w:pPr>
              <w:jc w:val="center"/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</w:pPr>
            <w:r w:rsidRPr="00DB082B">
              <w:rPr>
                <w:rFonts w:ascii="Arial" w:eastAsia="Calibri" w:hAnsi="Arial" w:cs="Arial"/>
                <w:bCs/>
                <w:sz w:val="20"/>
                <w:szCs w:val="20"/>
                <w:lang w:eastAsia="en-GB"/>
              </w:rPr>
              <w:t>Yes</w:t>
            </w:r>
          </w:p>
        </w:tc>
      </w:tr>
    </w:tbl>
    <w:p w14:paraId="2C7F387D" w14:textId="77777777" w:rsidR="00DB082B" w:rsidRPr="00DB082B" w:rsidRDefault="00DB082B" w:rsidP="00DB082B">
      <w:pPr>
        <w:spacing w:line="480" w:lineRule="auto"/>
        <w:jc w:val="both"/>
        <w:rPr>
          <w:rFonts w:ascii="Arial" w:eastAsia="Calibri" w:hAnsi="Arial" w:cs="Arial"/>
          <w:bCs/>
          <w:sz w:val="20"/>
          <w:szCs w:val="20"/>
          <w:lang w:val="en-GB" w:eastAsia="en-GB"/>
        </w:rPr>
      </w:pPr>
      <w:r w:rsidRPr="00DB082B">
        <w:rPr>
          <w:rFonts w:ascii="Arial" w:eastAsia="Calibri" w:hAnsi="Arial" w:cs="Arial"/>
          <w:bCs/>
          <w:sz w:val="20"/>
          <w:szCs w:val="20"/>
          <w:lang w:val="en-GB" w:eastAsia="en-GB"/>
        </w:rPr>
        <w:t xml:space="preserve">Legend: HL: healthy laminae, control group; ALL: acute laminitic laminae; CLL: chronic laminitic laminae; CLL UP: chronic laminitic laminae subgroup with upregulation tendency; CLL DOWN: chronic laminitic laminae subgroup with downregulation tendency; CLL NO: chronic laminitic laminae subgroup with no significant difference. The Confidence Interval was 95%, with p &lt; 0.05 considered significant, after normalisation of the data. </w:t>
      </w:r>
    </w:p>
    <w:p w14:paraId="14876DD7" w14:textId="77777777" w:rsidR="00D741F5" w:rsidRDefault="00D741F5"/>
    <w:sectPr w:rsidR="00D741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82B"/>
    <w:rsid w:val="00251073"/>
    <w:rsid w:val="006129A9"/>
    <w:rsid w:val="008251E2"/>
    <w:rsid w:val="00D7071B"/>
    <w:rsid w:val="00D741F5"/>
    <w:rsid w:val="00DB0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B5F3C"/>
  <w15:chartTrackingRefBased/>
  <w15:docId w15:val="{CA3AA996-1C65-407C-B06A-7FDABD770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C4DE3863E28141909C79BD03963C10" ma:contentTypeVersion="18" ma:contentTypeDescription="Create a new document." ma:contentTypeScope="" ma:versionID="2e56725d16bc96d250def2bb89f2f536">
  <xsd:schema xmlns:xsd="http://www.w3.org/2001/XMLSchema" xmlns:xs="http://www.w3.org/2001/XMLSchema" xmlns:p="http://schemas.microsoft.com/office/2006/metadata/properties" xmlns:ns3="8ebd270b-f57d-4265-b562-91bdaf440e4f" xmlns:ns4="c8393b63-87b4-40f5-9660-2b85662daf79" targetNamespace="http://schemas.microsoft.com/office/2006/metadata/properties" ma:root="true" ma:fieldsID="81cabf63d0ad4355ea4885eafadb83e0" ns3:_="" ns4:_="">
    <xsd:import namespace="8ebd270b-f57d-4265-b562-91bdaf440e4f"/>
    <xsd:import namespace="c8393b63-87b4-40f5-9660-2b85662daf7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d270b-f57d-4265-b562-91bdaf440e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393b63-87b4-40f5-9660-2b85662daf79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ebd270b-f57d-4265-b562-91bdaf440e4f" xsi:nil="true"/>
  </documentManagement>
</p:properties>
</file>

<file path=customXml/itemProps1.xml><?xml version="1.0" encoding="utf-8"?>
<ds:datastoreItem xmlns:ds="http://schemas.openxmlformats.org/officeDocument/2006/customXml" ds:itemID="{0201B4C0-875F-4EDF-BF02-AF284F619C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bd270b-f57d-4265-b562-91bdaf440e4f"/>
    <ds:schemaRef ds:uri="c8393b63-87b4-40f5-9660-2b85662daf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D3C251-F9F9-4D5A-8236-EEC0A9CE24D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48D669-0D61-4334-A9C1-A58B388B9FB5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c8393b63-87b4-40f5-9660-2b85662daf79"/>
    <ds:schemaRef ds:uri="8ebd270b-f57d-4265-b562-91bdaf440e4f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Chiocchetti</dc:creator>
  <cp:keywords/>
  <dc:description/>
  <cp:lastModifiedBy>Roberto Chiocchetti</cp:lastModifiedBy>
  <cp:revision>2</cp:revision>
  <dcterms:created xsi:type="dcterms:W3CDTF">2025-04-07T10:17:00Z</dcterms:created>
  <dcterms:modified xsi:type="dcterms:W3CDTF">2025-04-07T10:17:00Z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0x0101005EC4DE3863E28141909C79BD03963C10</vt:lpwstr>
  </property>
</Properties>
</file>